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20" w:lineRule="auto"/>
        <w:jc w:val="center"/>
        <w:rPr>
          <w:rFonts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滨海县政府采购招标文件</w:t>
      </w:r>
    </w:p>
    <w:p>
      <w:pPr>
        <w:spacing w:line="420" w:lineRule="auto"/>
        <w:ind w:firstLine="640"/>
        <w:rPr>
          <w:rFonts w:eastAsia="黑体"/>
          <w:b/>
          <w:sz w:val="32"/>
        </w:rPr>
      </w:pPr>
    </w:p>
    <w:p>
      <w:pPr>
        <w:spacing w:line="420" w:lineRule="auto"/>
        <w:ind w:firstLine="640"/>
        <w:jc w:val="center"/>
        <w:rPr>
          <w:rFonts w:eastAsia="黑体"/>
          <w:b/>
          <w:sz w:val="32"/>
        </w:rPr>
      </w:pPr>
    </w:p>
    <w:p>
      <w:pPr>
        <w:spacing w:line="420" w:lineRule="auto"/>
        <w:ind w:firstLine="720"/>
        <w:rPr>
          <w:rFonts w:ascii="宋体"/>
          <w:b/>
          <w:sz w:val="36"/>
        </w:rPr>
      </w:pPr>
    </w:p>
    <w:p>
      <w:pPr>
        <w:spacing w:line="420" w:lineRule="auto"/>
        <w:ind w:firstLine="723"/>
        <w:rPr>
          <w:rFonts w:hint="eastAsia" w:ascii="宋体" w:eastAsia="宋体"/>
          <w:b/>
          <w:bCs/>
          <w:sz w:val="36"/>
          <w:szCs w:val="36"/>
          <w:lang w:eastAsia="zh-CN"/>
        </w:rPr>
      </w:pPr>
      <w:r>
        <w:rPr>
          <w:rFonts w:hint="eastAsia" w:ascii="宋体"/>
          <w:b/>
          <w:sz w:val="36"/>
        </w:rPr>
        <w:t>项目编号：</w:t>
      </w:r>
      <w:r>
        <w:rPr>
          <w:rFonts w:hint="eastAsia" w:ascii="宋体"/>
          <w:b/>
          <w:sz w:val="36"/>
          <w:lang w:eastAsia="zh-CN"/>
        </w:rPr>
        <w:t>JSZC-320922-SWGC-G2024-0056</w:t>
      </w:r>
    </w:p>
    <w:p>
      <w:pPr>
        <w:spacing w:line="420" w:lineRule="auto"/>
        <w:ind w:firstLine="720"/>
        <w:rPr>
          <w:rFonts w:ascii="宋体"/>
          <w:b/>
          <w:bCs/>
          <w:sz w:val="36"/>
          <w:szCs w:val="36"/>
        </w:rPr>
      </w:pPr>
    </w:p>
    <w:p>
      <w:pPr>
        <w:spacing w:line="420" w:lineRule="auto"/>
        <w:ind w:firstLine="720"/>
        <w:jc w:val="center"/>
        <w:rPr>
          <w:rFonts w:ascii="宋体"/>
          <w:b/>
          <w:bCs/>
          <w:sz w:val="36"/>
          <w:szCs w:val="36"/>
        </w:rPr>
      </w:pPr>
    </w:p>
    <w:p>
      <w:pPr>
        <w:spacing w:line="420" w:lineRule="auto"/>
        <w:ind w:firstLine="723"/>
        <w:jc w:val="center"/>
        <w:rPr>
          <w:rFonts w:hint="eastAsia" w:ascii="宋体" w:eastAsia="宋体"/>
          <w:b/>
          <w:sz w:val="32"/>
          <w:lang w:eastAsia="zh-CN"/>
        </w:rPr>
      </w:pPr>
      <w:r>
        <w:rPr>
          <w:rFonts w:hint="eastAsia" w:ascii="宋体"/>
          <w:b/>
          <w:sz w:val="36"/>
          <w:szCs w:val="36"/>
        </w:rPr>
        <w:t>项</w:t>
      </w:r>
      <w:r>
        <w:rPr>
          <w:rFonts w:hint="eastAsia" w:ascii="宋体" w:hAnsi="宋体" w:cs="宋体"/>
          <w:b/>
          <w:sz w:val="36"/>
          <w:szCs w:val="36"/>
        </w:rPr>
        <w:t>目名称：</w:t>
      </w:r>
      <w:r>
        <w:rPr>
          <w:rFonts w:hint="eastAsia" w:ascii="宋体" w:hAnsi="宋体" w:cs="宋体"/>
          <w:b/>
          <w:sz w:val="36"/>
          <w:szCs w:val="36"/>
          <w:lang w:eastAsia="zh-CN"/>
        </w:rPr>
        <w:t>2024年度食品安全监督抽检工作</w:t>
      </w:r>
    </w:p>
    <w:p>
      <w:pPr>
        <w:spacing w:line="420" w:lineRule="auto"/>
        <w:ind w:firstLine="640"/>
        <w:rPr>
          <w:rFonts w:ascii="宋体"/>
          <w:b/>
          <w:sz w:val="32"/>
        </w:rPr>
      </w:pPr>
    </w:p>
    <w:p>
      <w:pPr>
        <w:spacing w:line="420" w:lineRule="auto"/>
        <w:ind w:firstLine="720"/>
        <w:jc w:val="center"/>
        <w:rPr>
          <w:rFonts w:ascii="宋体"/>
          <w:b/>
          <w:sz w:val="36"/>
          <w:szCs w:val="36"/>
        </w:rPr>
      </w:pPr>
    </w:p>
    <w:p>
      <w:pPr>
        <w:spacing w:line="420" w:lineRule="auto"/>
        <w:ind w:firstLine="723"/>
        <w:jc w:val="center"/>
        <w:rPr>
          <w:rFonts w:hint="eastAsia" w:ascii="宋体" w:eastAsia="宋体"/>
          <w:b/>
          <w:sz w:val="36"/>
          <w:szCs w:val="36"/>
          <w:lang w:eastAsia="zh-CN"/>
        </w:rPr>
      </w:pPr>
      <w:r>
        <w:rPr>
          <w:rFonts w:hint="eastAsia" w:ascii="宋体"/>
          <w:b/>
          <w:sz w:val="36"/>
          <w:szCs w:val="36"/>
        </w:rPr>
        <w:t>采购单位：</w:t>
      </w:r>
      <w:r>
        <w:rPr>
          <w:rFonts w:hint="eastAsia"/>
          <w:b/>
          <w:sz w:val="32"/>
          <w:szCs w:val="32"/>
          <w:lang w:eastAsia="zh-CN"/>
        </w:rPr>
        <w:t>滨海县市场监督管理局</w:t>
      </w:r>
    </w:p>
    <w:p>
      <w:pPr>
        <w:spacing w:line="420" w:lineRule="auto"/>
        <w:ind w:firstLine="640"/>
        <w:jc w:val="center"/>
        <w:rPr>
          <w:rFonts w:ascii="宋体"/>
          <w:b/>
          <w:sz w:val="32"/>
        </w:rPr>
      </w:pPr>
    </w:p>
    <w:p>
      <w:pPr>
        <w:spacing w:line="420" w:lineRule="auto"/>
        <w:ind w:firstLine="723"/>
        <w:jc w:val="center"/>
        <w:rPr>
          <w:rFonts w:ascii="宋体"/>
          <w:b/>
          <w:sz w:val="36"/>
          <w:szCs w:val="36"/>
        </w:rPr>
      </w:pPr>
      <w:r>
        <w:rPr>
          <w:rFonts w:hint="eastAsia" w:ascii="宋体"/>
          <w:b/>
          <w:sz w:val="36"/>
          <w:szCs w:val="36"/>
        </w:rPr>
        <w:t>2024年0</w:t>
      </w:r>
      <w:r>
        <w:rPr>
          <w:rFonts w:hint="eastAsia" w:ascii="宋体"/>
          <w:b/>
          <w:sz w:val="36"/>
          <w:szCs w:val="36"/>
          <w:lang w:val="en-US" w:eastAsia="zh-CN"/>
        </w:rPr>
        <w:t>4</w:t>
      </w:r>
      <w:r>
        <w:rPr>
          <w:rFonts w:hint="eastAsia" w:ascii="宋体"/>
          <w:b/>
          <w:sz w:val="36"/>
          <w:szCs w:val="36"/>
        </w:rPr>
        <w:t>月</w:t>
      </w:r>
    </w:p>
    <w:p>
      <w:pPr>
        <w:spacing w:line="420" w:lineRule="auto"/>
        <w:ind w:firstLine="482"/>
        <w:jc w:val="center"/>
        <w:outlineLvl w:val="0"/>
      </w:pPr>
      <w:bookmarkStart w:id="0" w:name="_Toc120614210"/>
      <w:bookmarkStart w:id="1" w:name="_Toc523127445"/>
      <w:bookmarkStart w:id="2" w:name="_Toc20823272"/>
      <w:bookmarkStart w:id="3" w:name="_Toc16938516"/>
      <w:bookmarkStart w:id="4" w:name="_Toc479757206"/>
      <w:bookmarkStart w:id="5" w:name="_Toc513029200"/>
    </w:p>
    <w:p>
      <w:pPr>
        <w:pStyle w:val="316"/>
      </w:pPr>
    </w:p>
    <w:p>
      <w:pPr>
        <w:pStyle w:val="316"/>
      </w:pPr>
    </w:p>
    <w:p>
      <w:pPr>
        <w:pStyle w:val="316"/>
      </w:pPr>
    </w:p>
    <w:p>
      <w:pPr>
        <w:pStyle w:val="316"/>
      </w:pPr>
    </w:p>
    <w:p>
      <w:pPr>
        <w:pStyle w:val="316"/>
      </w:pPr>
    </w:p>
    <w:p>
      <w:pPr>
        <w:pStyle w:val="316"/>
      </w:pPr>
    </w:p>
    <w:p>
      <w:pPr>
        <w:pStyle w:val="316"/>
      </w:pPr>
    </w:p>
    <w:p>
      <w:pPr>
        <w:pStyle w:val="316"/>
      </w:pPr>
    </w:p>
    <w:p>
      <w:pPr>
        <w:pStyle w:val="316"/>
      </w:pPr>
    </w:p>
    <w:p>
      <w:pPr>
        <w:spacing w:line="420" w:lineRule="auto"/>
        <w:ind w:firstLine="2734" w:firstLineChars="619"/>
        <w:jc w:val="both"/>
        <w:outlineLvl w:val="0"/>
        <w:rPr>
          <w:rFonts w:ascii="黑体" w:hAnsi="Arial" w:eastAsia="黑体"/>
          <w:b/>
          <w:sz w:val="44"/>
        </w:rPr>
      </w:pPr>
      <w:r>
        <w:rPr>
          <w:rFonts w:hint="eastAsia" w:ascii="黑体" w:hAnsi="Arial" w:eastAsia="黑体"/>
          <w:b/>
          <w:sz w:val="44"/>
        </w:rPr>
        <w:t>总  目  录</w:t>
      </w:r>
    </w:p>
    <w:p>
      <w:pPr>
        <w:spacing w:line="420" w:lineRule="auto"/>
        <w:ind w:firstLine="560"/>
        <w:rPr>
          <w:rFonts w:ascii="仿宋_GB2312" w:hAnsi="Arial" w:eastAsia="仿宋_GB2312"/>
          <w:b/>
          <w:sz w:val="28"/>
        </w:rPr>
      </w:pPr>
    </w:p>
    <w:p>
      <w:pPr>
        <w:pStyle w:val="219"/>
        <w:ind w:left="1470" w:right="1470" w:firstLine="482"/>
        <w:rPr>
          <w:rFonts w:hint="default"/>
        </w:rPr>
      </w:pPr>
    </w:p>
    <w:p>
      <w:pPr>
        <w:numPr>
          <w:ilvl w:val="0"/>
          <w:numId w:val="4"/>
        </w:numPr>
        <w:spacing w:line="900" w:lineRule="auto"/>
        <w:ind w:firstLine="723"/>
        <w:outlineLvl w:val="0"/>
        <w:rPr>
          <w:rFonts w:ascii="黑体" w:hAnsi="Showcard Gothic" w:eastAsia="黑体"/>
          <w:sz w:val="32"/>
        </w:rPr>
      </w:pPr>
      <w:r>
        <w:rPr>
          <w:rFonts w:hint="eastAsia" w:ascii="黑体" w:hAnsi="宋体" w:eastAsia="黑体"/>
          <w:sz w:val="36"/>
        </w:rPr>
        <w:t>招标公告</w:t>
      </w:r>
    </w:p>
    <w:p>
      <w:pPr>
        <w:numPr>
          <w:ilvl w:val="0"/>
          <w:numId w:val="4"/>
        </w:numPr>
        <w:spacing w:line="900" w:lineRule="auto"/>
        <w:ind w:firstLine="723"/>
        <w:outlineLvl w:val="0"/>
        <w:rPr>
          <w:rFonts w:ascii="黑体" w:hAnsi="Showcard Gothic" w:eastAsia="黑体"/>
          <w:sz w:val="36"/>
        </w:rPr>
      </w:pPr>
      <w:r>
        <w:rPr>
          <w:rFonts w:hint="eastAsia" w:ascii="黑体" w:hAnsi="宋体" w:eastAsia="黑体"/>
          <w:bCs/>
          <w:sz w:val="36"/>
          <w:szCs w:val="36"/>
        </w:rPr>
        <w:t>投标人须知</w:t>
      </w:r>
    </w:p>
    <w:p>
      <w:pPr>
        <w:numPr>
          <w:ilvl w:val="0"/>
          <w:numId w:val="4"/>
        </w:numPr>
        <w:spacing w:line="900" w:lineRule="auto"/>
        <w:ind w:firstLine="723"/>
        <w:outlineLvl w:val="0"/>
        <w:rPr>
          <w:rFonts w:ascii="黑体" w:hAnsi="Showcard Gothic" w:eastAsia="黑体"/>
          <w:sz w:val="36"/>
        </w:rPr>
      </w:pPr>
      <w:r>
        <w:rPr>
          <w:rFonts w:hint="eastAsia" w:ascii="黑体" w:hAnsi="宋体" w:eastAsia="黑体"/>
          <w:sz w:val="36"/>
        </w:rPr>
        <w:t>合同条款及格式</w:t>
      </w:r>
    </w:p>
    <w:p>
      <w:pPr>
        <w:numPr>
          <w:ilvl w:val="0"/>
          <w:numId w:val="4"/>
        </w:numPr>
        <w:spacing w:line="900" w:lineRule="auto"/>
        <w:ind w:firstLine="723"/>
        <w:outlineLvl w:val="0"/>
        <w:rPr>
          <w:rFonts w:ascii="黑体" w:hAnsi="Showcard Gothic" w:eastAsia="黑体"/>
          <w:sz w:val="36"/>
        </w:rPr>
      </w:pPr>
      <w:r>
        <w:rPr>
          <w:rFonts w:hint="eastAsia" w:ascii="黑体" w:hAnsi="宋体" w:eastAsia="黑体"/>
          <w:sz w:val="36"/>
        </w:rPr>
        <w:t>项目需求</w:t>
      </w:r>
    </w:p>
    <w:p>
      <w:pPr>
        <w:numPr>
          <w:ilvl w:val="0"/>
          <w:numId w:val="4"/>
        </w:numPr>
        <w:spacing w:line="900" w:lineRule="auto"/>
        <w:ind w:firstLine="723"/>
        <w:outlineLvl w:val="0"/>
        <w:rPr>
          <w:rFonts w:ascii="黑体" w:hAnsi="Showcard Gothic" w:eastAsia="黑体"/>
          <w:sz w:val="36"/>
        </w:rPr>
      </w:pPr>
      <w:r>
        <w:rPr>
          <w:rFonts w:hint="eastAsia" w:ascii="黑体" w:hAnsi="宋体" w:eastAsia="黑体"/>
          <w:bCs/>
          <w:sz w:val="36"/>
          <w:szCs w:val="36"/>
        </w:rPr>
        <w:t>评标方法与评标标准</w:t>
      </w:r>
    </w:p>
    <w:p>
      <w:pPr>
        <w:numPr>
          <w:ilvl w:val="0"/>
          <w:numId w:val="4"/>
        </w:numPr>
        <w:spacing w:line="900" w:lineRule="auto"/>
        <w:ind w:firstLine="723"/>
        <w:outlineLvl w:val="0"/>
        <w:rPr>
          <w:rFonts w:ascii="黑体" w:hAnsi="宋体" w:eastAsia="黑体"/>
          <w:sz w:val="36"/>
        </w:rPr>
      </w:pPr>
      <w:r>
        <w:rPr>
          <w:rFonts w:hint="eastAsia" w:ascii="黑体" w:hAnsi="宋体" w:eastAsia="黑体"/>
          <w:sz w:val="36"/>
        </w:rPr>
        <w:t>投标文件格式</w:t>
      </w:r>
    </w:p>
    <w:p>
      <w:pPr>
        <w:pStyle w:val="196"/>
        <w:spacing w:line="360" w:lineRule="auto"/>
        <w:jc w:val="both"/>
        <w:rPr>
          <w:rFonts w:hint="eastAsia" w:ascii="黑体" w:eastAsia="黑体"/>
          <w:sz w:val="44"/>
          <w:szCs w:val="44"/>
        </w:rPr>
      </w:pPr>
    </w:p>
    <w:p>
      <w:pPr>
        <w:pStyle w:val="196"/>
        <w:spacing w:line="360" w:lineRule="auto"/>
        <w:jc w:val="center"/>
        <w:rPr>
          <w:rFonts w:ascii="黑体" w:eastAsia="黑体"/>
          <w:sz w:val="44"/>
          <w:szCs w:val="44"/>
        </w:rPr>
      </w:pPr>
      <w:r>
        <w:rPr>
          <w:rFonts w:hint="eastAsia" w:ascii="黑体" w:eastAsia="黑体"/>
          <w:sz w:val="44"/>
          <w:szCs w:val="44"/>
        </w:rPr>
        <w:t xml:space="preserve">第一章 </w:t>
      </w:r>
      <w:bookmarkEnd w:id="0"/>
      <w:bookmarkStart w:id="6" w:name="_Toc120614211"/>
      <w:r>
        <w:rPr>
          <w:rFonts w:hint="eastAsia" w:ascii="黑体" w:eastAsia="黑体"/>
          <w:sz w:val="44"/>
          <w:szCs w:val="44"/>
        </w:rPr>
        <w:t xml:space="preserve"> 招标公告</w:t>
      </w:r>
    </w:p>
    <w:p>
      <w:pPr>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bookmarkStart w:id="7" w:name="_Toc35393792"/>
      <w:bookmarkStart w:id="8" w:name="_Toc28359081"/>
      <w:bookmarkStart w:id="9" w:name="_Toc28359004"/>
      <w:bookmarkStart w:id="10" w:name="_Toc35393623"/>
      <w:r>
        <w:rPr>
          <w:rFonts w:hint="eastAsia" w:ascii="宋体" w:hAnsi="宋体" w:eastAsia="宋体" w:cs="宋体"/>
          <w:sz w:val="24"/>
          <w:szCs w:val="24"/>
        </w:rPr>
        <w:t>项目概况</w:t>
      </w:r>
    </w:p>
    <w:p>
      <w:pPr>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u w:val="single"/>
        </w:rPr>
      </w:pPr>
      <w:r>
        <w:rPr>
          <w:rFonts w:hint="eastAsia" w:ascii="宋体" w:hAnsi="宋体" w:eastAsia="宋体" w:cs="宋体"/>
          <w:sz w:val="24"/>
          <w:szCs w:val="24"/>
          <w:u w:val="single"/>
          <w:lang w:eastAsia="zh-CN"/>
        </w:rPr>
        <w:t>滨海县市场监督管理局</w:t>
      </w:r>
      <w:r>
        <w:rPr>
          <w:rFonts w:hint="eastAsia" w:ascii="宋体" w:hAnsi="宋体" w:eastAsia="宋体" w:cs="宋体"/>
          <w:sz w:val="24"/>
          <w:szCs w:val="24"/>
          <w:u w:val="single"/>
        </w:rPr>
        <w:t>的</w:t>
      </w:r>
      <w:r>
        <w:rPr>
          <w:rFonts w:hint="eastAsia" w:ascii="宋体" w:hAnsi="宋体" w:eastAsia="宋体" w:cs="宋体"/>
          <w:sz w:val="24"/>
          <w:szCs w:val="24"/>
          <w:u w:val="single"/>
          <w:lang w:eastAsia="zh-CN"/>
        </w:rPr>
        <w:t>2024年度食品安全监督抽检工作</w:t>
      </w:r>
      <w:r>
        <w:rPr>
          <w:rFonts w:hint="eastAsia" w:ascii="宋体" w:hAnsi="宋体" w:eastAsia="宋体" w:cs="宋体"/>
          <w:sz w:val="24"/>
          <w:szCs w:val="24"/>
        </w:rPr>
        <w:t>的潜在投标人应在</w:t>
      </w:r>
      <w:r>
        <w:rPr>
          <w:rFonts w:hint="eastAsia" w:ascii="宋体" w:hAnsi="宋体" w:eastAsia="宋体" w:cs="宋体"/>
          <w:sz w:val="24"/>
          <w:szCs w:val="24"/>
          <w:u w:val="single"/>
        </w:rPr>
        <w:t>江苏政府采购网（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 </w:instrText>
      </w:r>
      <w:r>
        <w:rPr>
          <w:rFonts w:hint="eastAsia" w:ascii="宋体" w:hAnsi="宋体" w:eastAsia="宋体" w:cs="宋体"/>
          <w:sz w:val="24"/>
          <w:szCs w:val="24"/>
        </w:rPr>
        <w:fldChar w:fldCharType="separate"/>
      </w:r>
      <w:r>
        <w:rPr>
          <w:rStyle w:val="43"/>
          <w:rFonts w:hint="eastAsia" w:ascii="宋体" w:hAnsi="宋体" w:eastAsia="宋体" w:cs="宋体"/>
          <w:color w:val="000000"/>
          <w:sz w:val="24"/>
          <w:szCs w:val="24"/>
        </w:rPr>
        <w:t>http://www.ccgp-jiangsu.gov.cn/</w:t>
      </w:r>
      <w:r>
        <w:rPr>
          <w:rStyle w:val="43"/>
          <w:rFonts w:hint="eastAsia" w:ascii="宋体" w:hAnsi="宋体" w:eastAsia="宋体" w:cs="宋体"/>
          <w:color w:val="000000"/>
          <w:sz w:val="24"/>
          <w:szCs w:val="24"/>
        </w:rPr>
        <w:fldChar w:fldCharType="end"/>
      </w:r>
      <w:r>
        <w:rPr>
          <w:rFonts w:hint="eastAsia" w:ascii="宋体" w:hAnsi="宋体" w:eastAsia="宋体" w:cs="宋体"/>
          <w:sz w:val="24"/>
          <w:szCs w:val="24"/>
          <w:u w:val="single"/>
        </w:rPr>
        <w:t>）、盐城市政府采购网（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"http://czj.yancheng.gov.cn/col/col2383/index.html" </w:instrText>
      </w:r>
      <w:r>
        <w:rPr>
          <w:rFonts w:hint="eastAsia" w:ascii="宋体" w:hAnsi="宋体" w:eastAsia="宋体" w:cs="宋体"/>
          <w:sz w:val="24"/>
          <w:szCs w:val="24"/>
        </w:rPr>
        <w:fldChar w:fldCharType="separate"/>
      </w:r>
      <w:r>
        <w:rPr>
          <w:rStyle w:val="43"/>
          <w:rFonts w:hint="eastAsia" w:ascii="宋体" w:hAnsi="宋体" w:eastAsia="宋体" w:cs="宋体"/>
          <w:color w:val="000000"/>
          <w:sz w:val="24"/>
          <w:szCs w:val="24"/>
        </w:rPr>
        <w:t>http://czj.yancheng.gov.cn/col/col2383/index.html</w:t>
      </w:r>
      <w:r>
        <w:rPr>
          <w:rStyle w:val="43"/>
          <w:rFonts w:hint="eastAsia" w:ascii="宋体" w:hAnsi="宋体" w:eastAsia="宋体" w:cs="宋体"/>
          <w:color w:val="000000"/>
          <w:sz w:val="24"/>
          <w:szCs w:val="24"/>
        </w:rPr>
        <w:fldChar w:fldCharType="end"/>
      </w:r>
      <w:r>
        <w:rPr>
          <w:rFonts w:hint="eastAsia" w:ascii="宋体" w:hAnsi="宋体" w:eastAsia="宋体" w:cs="宋体"/>
          <w:sz w:val="24"/>
          <w:szCs w:val="24"/>
          <w:u w:val="single"/>
        </w:rPr>
        <w:t>）</w:t>
      </w:r>
      <w:r>
        <w:rPr>
          <w:rFonts w:hint="eastAsia" w:ascii="宋体" w:hAnsi="宋体" w:eastAsia="宋体" w:cs="宋体"/>
          <w:sz w:val="24"/>
          <w:szCs w:val="24"/>
        </w:rPr>
        <w:t>获取招标文件，</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"http://www.binhai.gov.cn/）获取招标文件，并于2023年12月" </w:instrText>
      </w:r>
      <w:r>
        <w:rPr>
          <w:rFonts w:hint="eastAsia" w:ascii="宋体" w:hAnsi="宋体" w:eastAsia="宋体" w:cs="宋体"/>
          <w:color w:val="000000" w:themeColor="text1"/>
          <w:sz w:val="24"/>
          <w:szCs w:val="24"/>
          <w14:textFill>
            <w14:solidFill>
              <w14:schemeClr w14:val="tx1"/>
            </w14:solidFill>
          </w14:textFill>
        </w:rPr>
        <w:fldChar w:fldCharType="separate"/>
      </w:r>
      <w:r>
        <w:rPr>
          <w:rStyle w:val="249"/>
          <w:rFonts w:hint="eastAsia" w:ascii="宋体" w:hAnsi="宋体" w:eastAsia="宋体" w:cs="宋体"/>
          <w:color w:val="000000" w:themeColor="text1"/>
          <w:sz w:val="24"/>
          <w:szCs w:val="24"/>
          <w14:textFill>
            <w14:solidFill>
              <w14:schemeClr w14:val="tx1"/>
            </w14:solidFill>
          </w14:textFill>
        </w:rPr>
        <w:t>并于2024</w:t>
      </w:r>
      <w:r>
        <w:rPr>
          <w:rStyle w:val="249"/>
          <w:rFonts w:hint="eastAsia" w:ascii="宋体" w:hAnsi="宋体" w:eastAsia="宋体" w:cs="宋体"/>
          <w:bCs/>
          <w:color w:val="000000" w:themeColor="text1"/>
          <w:sz w:val="24"/>
          <w:szCs w:val="24"/>
          <w14:textFill>
            <w14:solidFill>
              <w14:schemeClr w14:val="tx1"/>
            </w14:solidFill>
          </w14:textFill>
        </w:rPr>
        <w:t>年</w:t>
      </w:r>
      <w:r>
        <w:rPr>
          <w:rStyle w:val="249"/>
          <w:rFonts w:hint="eastAsia" w:ascii="宋体" w:hAnsi="宋体" w:eastAsia="宋体" w:cs="宋体"/>
          <w:bCs/>
          <w:color w:val="000000" w:themeColor="text1"/>
          <w:sz w:val="24"/>
          <w:szCs w:val="24"/>
          <w:lang w:val="en-US" w:eastAsia="zh-CN"/>
          <w14:textFill>
            <w14:solidFill>
              <w14:schemeClr w14:val="tx1"/>
            </w14:solidFill>
          </w14:textFill>
        </w:rPr>
        <w:t>4</w:t>
      </w:r>
      <w:r>
        <w:rPr>
          <w:rStyle w:val="249"/>
          <w:rFonts w:hint="eastAsia" w:ascii="宋体" w:hAnsi="宋体" w:eastAsia="宋体" w:cs="宋体"/>
          <w:bCs/>
          <w:color w:val="000000" w:themeColor="text1"/>
          <w:sz w:val="24"/>
          <w:szCs w:val="24"/>
          <w14:textFill>
            <w14:solidFill>
              <w14:schemeClr w14:val="tx1"/>
            </w14:solidFill>
          </w14:textFill>
        </w:rPr>
        <w:t>月</w:t>
      </w:r>
      <w:r>
        <w:rPr>
          <w:rStyle w:val="249"/>
          <w:rFonts w:hint="eastAsia" w:ascii="宋体" w:hAnsi="宋体" w:eastAsia="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u w:val="single"/>
          <w:lang w:val="en-US" w:eastAsia="zh-CN"/>
          <w14:textFill>
            <w14:solidFill>
              <w14:schemeClr w14:val="tx1"/>
            </w14:solidFill>
          </w14:textFill>
        </w:rPr>
        <w:t>26</w:t>
      </w:r>
      <w:r>
        <w:rPr>
          <w:rFonts w:hint="eastAsia" w:ascii="宋体" w:hAnsi="宋体" w:eastAsia="宋体" w:cs="宋体"/>
          <w:bCs/>
          <w:color w:val="000000" w:themeColor="text1"/>
          <w:sz w:val="24"/>
          <w:szCs w:val="24"/>
          <w:u w:val="single"/>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hint="eastAsia" w:ascii="宋体" w:hAnsi="宋体" w:eastAsia="宋体" w:cs="宋体"/>
          <w:bCs/>
          <w:color w:val="000000" w:themeColor="text1"/>
          <w:sz w:val="24"/>
          <w:szCs w:val="24"/>
          <w:u w:val="single"/>
          <w14:textFill>
            <w14:solidFill>
              <w14:schemeClr w14:val="tx1"/>
            </w14:solidFill>
          </w14:textFill>
        </w:rPr>
        <w:t>点00分00秒（</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p>
      <w:pPr>
        <w:pStyle w:val="196"/>
        <w:keepLines w:val="0"/>
        <w:pageBreakBefore w:val="0"/>
        <w:tabs>
          <w:tab w:val="left" w:pos="0"/>
          <w:tab w:val="left" w:pos="3165"/>
          <w:tab w:val="center" w:pos="4153"/>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bookmarkStart w:id="11" w:name="_Toc28359079"/>
      <w:bookmarkStart w:id="12" w:name="_Toc35393790"/>
      <w:bookmarkStart w:id="13" w:name="_Toc35393621"/>
      <w:bookmarkStart w:id="14" w:name="_Toc28359002"/>
      <w:bookmarkStart w:id="15" w:name="_Hlk24379207"/>
      <w:r>
        <w:rPr>
          <w:rFonts w:hint="eastAsia" w:ascii="宋体" w:hAnsi="宋体" w:eastAsia="宋体" w:cs="宋体"/>
          <w:sz w:val="24"/>
          <w:szCs w:val="24"/>
        </w:rPr>
        <w:t>一、项目基本情况</w:t>
      </w:r>
      <w:bookmarkEnd w:id="11"/>
      <w:bookmarkEnd w:id="12"/>
      <w:bookmarkEnd w:id="13"/>
      <w:bookmarkEnd w:id="14"/>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u w:val="single"/>
          <w:lang w:eastAsia="zh-CN"/>
        </w:rPr>
      </w:pPr>
      <w:r>
        <w:rPr>
          <w:rFonts w:hint="eastAsia" w:ascii="宋体" w:hAnsi="宋体" w:eastAsia="宋体" w:cs="宋体"/>
          <w:sz w:val="24"/>
          <w:szCs w:val="24"/>
        </w:rPr>
        <w:t>1.项目编号：</w:t>
      </w:r>
      <w:r>
        <w:rPr>
          <w:rFonts w:hint="eastAsia" w:ascii="宋体" w:hAnsi="宋体" w:cs="宋体"/>
          <w:color w:val="000000" w:themeColor="text1"/>
          <w:sz w:val="24"/>
          <w:szCs w:val="24"/>
          <w:lang w:eastAsia="zh-CN"/>
          <w14:textFill>
            <w14:solidFill>
              <w14:schemeClr w14:val="tx1"/>
            </w14:solidFill>
          </w14:textFill>
        </w:rPr>
        <w:t>JSZC-320922-SWGC-G2024-0056</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2.项目名称：</w:t>
      </w:r>
      <w:bookmarkEnd w:id="15"/>
      <w:r>
        <w:rPr>
          <w:rFonts w:hint="eastAsia" w:ascii="宋体" w:hAnsi="宋体" w:eastAsia="宋体" w:cs="宋体"/>
          <w:sz w:val="24"/>
          <w:szCs w:val="24"/>
        </w:rPr>
        <w:t>2024年度食品安全监督抽检工作</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3.预算金额：总价人民币26</w:t>
      </w:r>
      <w:r>
        <w:rPr>
          <w:rFonts w:hint="eastAsia" w:ascii="宋体" w:hAnsi="宋体" w:eastAsia="宋体" w:cs="宋体"/>
          <w:sz w:val="24"/>
          <w:szCs w:val="24"/>
          <w:lang w:val="en-US" w:eastAsia="zh-CN"/>
        </w:rPr>
        <w:t>5</w:t>
      </w:r>
      <w:r>
        <w:rPr>
          <w:rFonts w:hint="eastAsia" w:ascii="宋体" w:hAnsi="宋体" w:eastAsia="宋体" w:cs="宋体"/>
          <w:sz w:val="24"/>
          <w:szCs w:val="24"/>
        </w:rPr>
        <w:t>万元；包件一：</w:t>
      </w:r>
      <w:r>
        <w:rPr>
          <w:rFonts w:hint="eastAsia" w:ascii="宋体" w:hAnsi="宋体" w:cs="宋体"/>
          <w:sz w:val="24"/>
          <w:szCs w:val="24"/>
          <w:lang w:val="en-US" w:eastAsia="zh-CN"/>
        </w:rPr>
        <w:t>71</w:t>
      </w:r>
      <w:r>
        <w:rPr>
          <w:rFonts w:hint="eastAsia" w:ascii="宋体" w:hAnsi="宋体" w:eastAsia="宋体" w:cs="宋体"/>
          <w:sz w:val="24"/>
          <w:szCs w:val="24"/>
        </w:rPr>
        <w:t>万元；包件</w:t>
      </w:r>
      <w:r>
        <w:rPr>
          <w:rFonts w:hint="eastAsia" w:ascii="宋体" w:hAnsi="宋体" w:eastAsia="宋体" w:cs="宋体"/>
          <w:sz w:val="24"/>
          <w:szCs w:val="24"/>
          <w:lang w:val="en-US" w:eastAsia="zh-CN"/>
        </w:rPr>
        <w:t>二</w:t>
      </w:r>
      <w:r>
        <w:rPr>
          <w:rFonts w:hint="eastAsia" w:ascii="宋体" w:hAnsi="宋体" w:eastAsia="宋体" w:cs="宋体"/>
          <w:sz w:val="24"/>
          <w:szCs w:val="24"/>
        </w:rPr>
        <w:t>：7</w:t>
      </w:r>
      <w:r>
        <w:rPr>
          <w:rFonts w:hint="eastAsia" w:ascii="宋体" w:hAnsi="宋体" w:cs="宋体"/>
          <w:sz w:val="24"/>
          <w:szCs w:val="24"/>
          <w:lang w:val="en-US" w:eastAsia="zh-CN"/>
        </w:rPr>
        <w:t>1</w:t>
      </w:r>
      <w:r>
        <w:rPr>
          <w:rFonts w:hint="eastAsia" w:ascii="宋体" w:hAnsi="宋体" w:eastAsia="宋体" w:cs="宋体"/>
          <w:sz w:val="24"/>
          <w:szCs w:val="24"/>
        </w:rPr>
        <w:t>万元；包件三：</w:t>
      </w:r>
      <w:r>
        <w:rPr>
          <w:rFonts w:hint="eastAsia" w:ascii="宋体" w:hAnsi="宋体" w:cs="宋体"/>
          <w:sz w:val="24"/>
          <w:szCs w:val="24"/>
          <w:lang w:val="en-US" w:eastAsia="zh-CN"/>
        </w:rPr>
        <w:t>63</w:t>
      </w:r>
      <w:r>
        <w:rPr>
          <w:rFonts w:hint="eastAsia" w:ascii="宋体" w:hAnsi="宋体" w:eastAsia="宋体" w:cs="宋体"/>
          <w:sz w:val="24"/>
          <w:szCs w:val="24"/>
        </w:rPr>
        <w:t>万元；包件一四：</w:t>
      </w:r>
      <w:r>
        <w:rPr>
          <w:rFonts w:hint="eastAsia" w:ascii="宋体" w:hAnsi="宋体" w:cs="宋体"/>
          <w:sz w:val="24"/>
          <w:szCs w:val="24"/>
          <w:lang w:val="en-US" w:eastAsia="zh-CN"/>
        </w:rPr>
        <w:t>60</w:t>
      </w:r>
      <w:r>
        <w:rPr>
          <w:rFonts w:hint="eastAsia" w:ascii="宋体" w:hAnsi="宋体" w:eastAsia="宋体" w:cs="宋体"/>
          <w:sz w:val="24"/>
          <w:szCs w:val="24"/>
        </w:rPr>
        <w:t>万元；</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4.最高限价：总价人民币26</w:t>
      </w:r>
      <w:r>
        <w:rPr>
          <w:rFonts w:hint="eastAsia" w:ascii="宋体" w:hAnsi="宋体" w:eastAsia="宋体" w:cs="宋体"/>
          <w:sz w:val="24"/>
          <w:szCs w:val="24"/>
          <w:lang w:val="en-US" w:eastAsia="zh-CN"/>
        </w:rPr>
        <w:t>5</w:t>
      </w:r>
      <w:r>
        <w:rPr>
          <w:rFonts w:hint="eastAsia" w:ascii="宋体" w:hAnsi="宋体" w:eastAsia="宋体" w:cs="宋体"/>
          <w:sz w:val="24"/>
          <w:szCs w:val="24"/>
        </w:rPr>
        <w:t>万元；包件一：</w:t>
      </w:r>
      <w:r>
        <w:rPr>
          <w:rFonts w:hint="eastAsia" w:ascii="宋体" w:hAnsi="宋体" w:cs="宋体"/>
          <w:sz w:val="24"/>
          <w:szCs w:val="24"/>
          <w:lang w:val="en-US" w:eastAsia="zh-CN"/>
        </w:rPr>
        <w:t>71</w:t>
      </w:r>
      <w:r>
        <w:rPr>
          <w:rFonts w:hint="eastAsia" w:ascii="宋体" w:hAnsi="宋体" w:eastAsia="宋体" w:cs="宋体"/>
          <w:sz w:val="24"/>
          <w:szCs w:val="24"/>
        </w:rPr>
        <w:t>万元；包件</w:t>
      </w:r>
      <w:r>
        <w:rPr>
          <w:rFonts w:hint="eastAsia" w:ascii="宋体" w:hAnsi="宋体" w:eastAsia="宋体" w:cs="宋体"/>
          <w:sz w:val="24"/>
          <w:szCs w:val="24"/>
          <w:lang w:val="en-US" w:eastAsia="zh-CN"/>
        </w:rPr>
        <w:t>二</w:t>
      </w:r>
      <w:r>
        <w:rPr>
          <w:rFonts w:hint="eastAsia" w:ascii="宋体" w:hAnsi="宋体" w:eastAsia="宋体" w:cs="宋体"/>
          <w:sz w:val="24"/>
          <w:szCs w:val="24"/>
        </w:rPr>
        <w:t>：</w:t>
      </w:r>
      <w:r>
        <w:rPr>
          <w:rFonts w:hint="eastAsia" w:ascii="宋体" w:hAnsi="宋体" w:cs="宋体"/>
          <w:sz w:val="24"/>
          <w:szCs w:val="24"/>
          <w:lang w:val="en-US" w:eastAsia="zh-CN"/>
        </w:rPr>
        <w:t>71</w:t>
      </w:r>
      <w:r>
        <w:rPr>
          <w:rFonts w:hint="eastAsia" w:ascii="宋体" w:hAnsi="宋体" w:eastAsia="宋体" w:cs="宋体"/>
          <w:sz w:val="24"/>
          <w:szCs w:val="24"/>
        </w:rPr>
        <w:t>万元；包件三：</w:t>
      </w:r>
      <w:r>
        <w:rPr>
          <w:rFonts w:hint="eastAsia" w:ascii="宋体" w:hAnsi="宋体" w:cs="宋体"/>
          <w:sz w:val="24"/>
          <w:szCs w:val="24"/>
          <w:lang w:val="en-US" w:eastAsia="zh-CN"/>
        </w:rPr>
        <w:t>63</w:t>
      </w:r>
      <w:r>
        <w:rPr>
          <w:rFonts w:hint="eastAsia" w:ascii="宋体" w:hAnsi="宋体" w:eastAsia="宋体" w:cs="宋体"/>
          <w:sz w:val="24"/>
          <w:szCs w:val="24"/>
        </w:rPr>
        <w:t>万元；包件一四：</w:t>
      </w:r>
      <w:r>
        <w:rPr>
          <w:rFonts w:hint="eastAsia" w:ascii="宋体" w:hAnsi="宋体" w:cs="宋体"/>
          <w:sz w:val="24"/>
          <w:szCs w:val="24"/>
          <w:lang w:val="en-US" w:eastAsia="zh-CN"/>
        </w:rPr>
        <w:t>60</w:t>
      </w:r>
      <w:r>
        <w:rPr>
          <w:rFonts w:hint="eastAsia" w:ascii="宋体" w:hAnsi="宋体" w:eastAsia="宋体" w:cs="宋体"/>
          <w:sz w:val="24"/>
          <w:szCs w:val="24"/>
        </w:rPr>
        <w:t>万元；</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5.采购需求：</w:t>
      </w:r>
      <w:r>
        <w:rPr>
          <w:rFonts w:hint="eastAsia" w:ascii="宋体" w:hAnsi="宋体" w:eastAsia="宋体" w:cs="宋体"/>
          <w:sz w:val="24"/>
          <w:szCs w:val="24"/>
          <w:lang w:eastAsia="zh-CN"/>
        </w:rPr>
        <w:t>滨海县市场监督管理局</w:t>
      </w:r>
      <w:r>
        <w:rPr>
          <w:rFonts w:hint="eastAsia" w:ascii="宋体" w:hAnsi="宋体" w:eastAsia="宋体" w:cs="宋体"/>
          <w:sz w:val="24"/>
          <w:szCs w:val="24"/>
        </w:rPr>
        <w:t>的2024年度食品安全监督抽检工作，共4100批次</w:t>
      </w:r>
      <w:r>
        <w:rPr>
          <w:rFonts w:hint="eastAsia" w:ascii="宋体" w:hAnsi="宋体" w:eastAsia="宋体" w:cs="宋体"/>
          <w:sz w:val="24"/>
          <w:szCs w:val="24"/>
          <w:lang w:eastAsia="zh-CN"/>
        </w:rPr>
        <w:t>，</w:t>
      </w:r>
      <w:r>
        <w:rPr>
          <w:rFonts w:hint="eastAsia" w:ascii="宋体" w:hAnsi="宋体" w:eastAsia="宋体" w:cs="宋体"/>
          <w:sz w:val="24"/>
          <w:szCs w:val="24"/>
        </w:rPr>
        <w:t xml:space="preserve">详见采购文件第四章项目需求。 </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bookmarkStart w:id="16" w:name="_Toc35393622"/>
      <w:bookmarkStart w:id="17" w:name="_Toc28359080"/>
      <w:bookmarkStart w:id="18" w:name="_Toc28359003"/>
      <w:bookmarkStart w:id="19" w:name="_Toc35393791"/>
      <w:r>
        <w:rPr>
          <w:rFonts w:hint="eastAsia" w:ascii="宋体" w:hAnsi="宋体" w:eastAsia="宋体" w:cs="宋体"/>
          <w:sz w:val="24"/>
          <w:szCs w:val="24"/>
        </w:rPr>
        <w:t>6.项目地点：采购人指定地点。</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7.服务期限：</w:t>
      </w:r>
      <w:r>
        <w:rPr>
          <w:rFonts w:hint="eastAsia" w:ascii="宋体" w:hAnsi="宋体" w:eastAsia="宋体" w:cs="宋体"/>
          <w:sz w:val="24"/>
          <w:szCs w:val="24"/>
          <w:lang w:val="en-US" w:eastAsia="zh-CN"/>
        </w:rPr>
        <w:t>合同签订后</w:t>
      </w:r>
      <w:r>
        <w:rPr>
          <w:rFonts w:hint="eastAsia" w:ascii="宋体" w:hAnsi="宋体" w:cs="宋体"/>
          <w:sz w:val="24"/>
          <w:szCs w:val="24"/>
          <w:lang w:val="en-US" w:eastAsia="zh-CN"/>
        </w:rPr>
        <w:t>截止2025年</w:t>
      </w:r>
      <w:r>
        <w:rPr>
          <w:rFonts w:hint="eastAsia" w:ascii="宋体" w:hAnsi="宋体" w:eastAsia="宋体" w:cs="宋体"/>
          <w:sz w:val="24"/>
          <w:szCs w:val="24"/>
          <w:lang w:val="en-US" w:eastAsia="zh-CN"/>
        </w:rPr>
        <w:t>3月</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eastAsia="zh-CN"/>
        </w:rPr>
      </w:pPr>
      <w:r>
        <w:rPr>
          <w:rFonts w:hint="eastAsia" w:ascii="宋体" w:hAnsi="宋体" w:eastAsia="宋体" w:cs="宋体"/>
          <w:sz w:val="24"/>
          <w:szCs w:val="24"/>
        </w:rPr>
        <w:t>8.服务标准：</w:t>
      </w:r>
      <w:r>
        <w:rPr>
          <w:rFonts w:hint="eastAsia" w:ascii="宋体" w:hAnsi="宋体" w:eastAsia="宋体" w:cs="宋体"/>
          <w:kern w:val="0"/>
          <w:sz w:val="24"/>
          <w:szCs w:val="24"/>
          <w:lang w:val="en-US" w:eastAsia="zh-CN"/>
        </w:rPr>
        <w:t>合格</w:t>
      </w:r>
    </w:p>
    <w:p>
      <w:pPr>
        <w:pStyle w:val="37"/>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包件</w:t>
      </w:r>
      <w:r>
        <w:rPr>
          <w:rFonts w:hint="eastAsia" w:ascii="宋体" w:hAnsi="宋体" w:eastAsia="宋体" w:cs="宋体"/>
          <w:sz w:val="24"/>
          <w:szCs w:val="24"/>
        </w:rPr>
        <w:t>划分：本项目共分为四个包件。</w:t>
      </w:r>
    </w:p>
    <w:tbl>
      <w:tblPr>
        <w:tblStyle w:val="39"/>
        <w:tblpPr w:leftFromText="180" w:rightFromText="180" w:vertAnchor="text" w:horzAnchor="page" w:tblpX="1639" w:tblpY="1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0"/>
        <w:gridCol w:w="3689"/>
        <w:gridCol w:w="3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173"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标段</w:t>
            </w:r>
          </w:p>
        </w:tc>
        <w:tc>
          <w:tcPr>
            <w:tcW w:w="2012"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分配地点</w:t>
            </w:r>
          </w:p>
        </w:tc>
        <w:tc>
          <w:tcPr>
            <w:tcW w:w="1814"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批次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173"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w:t>
            </w:r>
            <w:r>
              <w:rPr>
                <w:rFonts w:hint="eastAsia" w:ascii="宋体" w:hAnsi="宋体" w:eastAsia="宋体" w:cs="宋体"/>
                <w:b/>
                <w:color w:val="000000"/>
                <w:kern w:val="0"/>
                <w:sz w:val="24"/>
                <w:szCs w:val="24"/>
              </w:rPr>
              <w:t>一</w:t>
            </w:r>
          </w:p>
        </w:tc>
        <w:tc>
          <w:tcPr>
            <w:tcW w:w="2012"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城南分局+</w:t>
            </w:r>
            <w:r>
              <w:rPr>
                <w:rFonts w:hint="eastAsia" w:ascii="宋体" w:hAnsi="宋体" w:eastAsia="宋体" w:cs="宋体"/>
                <w:sz w:val="24"/>
                <w:szCs w:val="24"/>
                <w:lang w:val="en-US" w:eastAsia="zh-CN"/>
              </w:rPr>
              <w:t>界牌</w:t>
            </w:r>
            <w:r>
              <w:rPr>
                <w:rFonts w:hint="eastAsia" w:ascii="宋体" w:hAnsi="宋体" w:eastAsia="宋体" w:cs="宋体"/>
                <w:sz w:val="24"/>
                <w:szCs w:val="24"/>
              </w:rPr>
              <w:t>分局</w:t>
            </w:r>
          </w:p>
        </w:tc>
        <w:tc>
          <w:tcPr>
            <w:tcW w:w="1814"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eastAsia="宋体" w:cs="宋体"/>
                <w:sz w:val="24"/>
                <w:szCs w:val="24"/>
                <w:lang w:val="en-US" w:eastAsia="zh-CN"/>
              </w:rPr>
              <w:t>1100</w:t>
            </w:r>
            <w:r>
              <w:rPr>
                <w:rFonts w:hint="eastAsia" w:ascii="宋体" w:hAnsi="宋体" w:eastAsia="宋体" w:cs="宋体"/>
                <w:sz w:val="24"/>
                <w:szCs w:val="24"/>
              </w:rPr>
              <w:t>批次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173"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包件二</w:t>
            </w:r>
          </w:p>
        </w:tc>
        <w:tc>
          <w:tcPr>
            <w:tcW w:w="2012"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城中分局+</w:t>
            </w:r>
            <w:r>
              <w:rPr>
                <w:rFonts w:hint="eastAsia" w:ascii="宋体" w:hAnsi="宋体" w:eastAsia="宋体" w:cs="宋体"/>
                <w:sz w:val="24"/>
                <w:szCs w:val="24"/>
                <w:lang w:val="en-US" w:eastAsia="zh-CN"/>
              </w:rPr>
              <w:t>正红</w:t>
            </w:r>
            <w:r>
              <w:rPr>
                <w:rFonts w:hint="eastAsia" w:ascii="宋体" w:hAnsi="宋体" w:eastAsia="宋体" w:cs="宋体"/>
                <w:sz w:val="24"/>
                <w:szCs w:val="24"/>
              </w:rPr>
              <w:t>分局</w:t>
            </w:r>
          </w:p>
        </w:tc>
        <w:tc>
          <w:tcPr>
            <w:tcW w:w="1814"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eastAsia="宋体" w:cs="宋体"/>
                <w:sz w:val="24"/>
                <w:szCs w:val="24"/>
                <w:lang w:val="en-US" w:eastAsia="zh-CN"/>
              </w:rPr>
              <w:t>1100</w:t>
            </w:r>
            <w:r>
              <w:rPr>
                <w:rFonts w:hint="eastAsia" w:ascii="宋体" w:hAnsi="宋体" w:eastAsia="宋体" w:cs="宋体"/>
                <w:sz w:val="24"/>
                <w:szCs w:val="24"/>
              </w:rPr>
              <w:t>批次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173"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包件三</w:t>
            </w:r>
          </w:p>
        </w:tc>
        <w:tc>
          <w:tcPr>
            <w:tcW w:w="2012"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开发区分局+</w:t>
            </w:r>
            <w:r>
              <w:rPr>
                <w:rFonts w:hint="eastAsia" w:ascii="宋体" w:hAnsi="宋体" w:eastAsia="宋体" w:cs="宋体"/>
                <w:sz w:val="24"/>
                <w:szCs w:val="24"/>
                <w:lang w:val="en-US" w:eastAsia="zh-CN"/>
              </w:rPr>
              <w:t>八滩</w:t>
            </w:r>
            <w:r>
              <w:rPr>
                <w:rFonts w:hint="eastAsia" w:ascii="宋体" w:hAnsi="宋体" w:eastAsia="宋体" w:cs="宋体"/>
                <w:sz w:val="24"/>
                <w:szCs w:val="24"/>
              </w:rPr>
              <w:t>分局+</w:t>
            </w:r>
            <w:r>
              <w:rPr>
                <w:rFonts w:hint="eastAsia" w:ascii="宋体" w:hAnsi="宋体" w:eastAsia="宋体" w:cs="宋体"/>
                <w:sz w:val="24"/>
                <w:szCs w:val="24"/>
                <w:lang w:val="en-US" w:eastAsia="zh-CN"/>
              </w:rPr>
              <w:t>沿海工业园</w:t>
            </w:r>
            <w:r>
              <w:rPr>
                <w:rFonts w:hint="eastAsia" w:ascii="宋体" w:hAnsi="宋体" w:eastAsia="宋体" w:cs="宋体"/>
                <w:sz w:val="24"/>
                <w:szCs w:val="24"/>
              </w:rPr>
              <w:t>分局</w:t>
            </w:r>
          </w:p>
        </w:tc>
        <w:tc>
          <w:tcPr>
            <w:tcW w:w="1814"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eastAsia="宋体" w:cs="宋体"/>
                <w:sz w:val="24"/>
                <w:szCs w:val="24"/>
                <w:lang w:val="en-US" w:eastAsia="zh-CN"/>
              </w:rPr>
              <w:t>970</w:t>
            </w:r>
            <w:r>
              <w:rPr>
                <w:rFonts w:hint="eastAsia" w:ascii="宋体" w:hAnsi="宋体" w:eastAsia="宋体" w:cs="宋体"/>
                <w:sz w:val="24"/>
                <w:szCs w:val="24"/>
              </w:rPr>
              <w:t>批次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173"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包件四</w:t>
            </w:r>
          </w:p>
        </w:tc>
        <w:tc>
          <w:tcPr>
            <w:tcW w:w="2012"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五汛分局+</w:t>
            </w:r>
            <w:r>
              <w:rPr>
                <w:rFonts w:hint="eastAsia" w:ascii="宋体" w:hAnsi="宋体" w:eastAsia="宋体" w:cs="宋体"/>
                <w:sz w:val="24"/>
                <w:szCs w:val="24"/>
                <w:lang w:val="en-US" w:eastAsia="zh-CN"/>
              </w:rPr>
              <w:t>滨淮</w:t>
            </w:r>
            <w:r>
              <w:rPr>
                <w:rFonts w:hint="eastAsia" w:ascii="宋体" w:hAnsi="宋体" w:eastAsia="宋体" w:cs="宋体"/>
                <w:sz w:val="24"/>
                <w:szCs w:val="24"/>
              </w:rPr>
              <w:t>分局+</w:t>
            </w:r>
            <w:r>
              <w:rPr>
                <w:rFonts w:hint="eastAsia" w:ascii="宋体" w:hAnsi="宋体" w:eastAsia="宋体" w:cs="宋体"/>
                <w:sz w:val="24"/>
                <w:szCs w:val="24"/>
                <w:lang w:val="en-US" w:eastAsia="zh-CN"/>
              </w:rPr>
              <w:t>陈涛</w:t>
            </w:r>
            <w:r>
              <w:rPr>
                <w:rFonts w:hint="eastAsia" w:ascii="宋体" w:hAnsi="宋体" w:eastAsia="宋体" w:cs="宋体"/>
                <w:sz w:val="24"/>
                <w:szCs w:val="24"/>
              </w:rPr>
              <w:t>分局</w:t>
            </w:r>
          </w:p>
        </w:tc>
        <w:tc>
          <w:tcPr>
            <w:tcW w:w="1814" w:type="pct"/>
            <w:noWrap w:val="0"/>
            <w:vAlign w:val="center"/>
          </w:tcPr>
          <w:p>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eastAsia="宋体" w:cs="宋体"/>
                <w:sz w:val="24"/>
                <w:szCs w:val="24"/>
                <w:lang w:val="en-US" w:eastAsia="zh-CN"/>
              </w:rPr>
              <w:t>930</w:t>
            </w:r>
            <w:r>
              <w:rPr>
                <w:rFonts w:hint="eastAsia" w:ascii="宋体" w:hAnsi="宋体" w:eastAsia="宋体" w:cs="宋体"/>
                <w:sz w:val="24"/>
                <w:szCs w:val="24"/>
              </w:rPr>
              <w:t>批次</w:t>
            </w:r>
          </w:p>
        </w:tc>
      </w:tr>
    </w:tbl>
    <w:p>
      <w:pPr>
        <w:pStyle w:val="37"/>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FF0000"/>
          <w:sz w:val="24"/>
          <w:szCs w:val="24"/>
          <w:u w:val="single"/>
        </w:rPr>
      </w:pPr>
      <w:r>
        <w:rPr>
          <w:rFonts w:hint="eastAsia" w:ascii="宋体" w:hAnsi="宋体" w:eastAsia="宋体" w:cs="宋体"/>
          <w:b/>
          <w:color w:val="FF0000"/>
          <w:sz w:val="24"/>
          <w:szCs w:val="24"/>
          <w:u w:val="single"/>
        </w:rPr>
        <w:t>注：</w:t>
      </w:r>
      <w:r>
        <w:rPr>
          <w:rFonts w:hint="eastAsia" w:ascii="宋体" w:hAnsi="宋体" w:eastAsia="宋体" w:cs="宋体"/>
          <w:sz w:val="24"/>
          <w:szCs w:val="24"/>
        </w:rPr>
        <w:t>开、评、定标顺序为先开包件一，后开包件二、再开包件三、最后开包件四。本项目包件</w:t>
      </w:r>
      <w:r>
        <w:rPr>
          <w:rFonts w:hint="eastAsia" w:ascii="宋体" w:hAnsi="宋体" w:eastAsia="宋体" w:cs="宋体"/>
          <w:sz w:val="24"/>
          <w:szCs w:val="24"/>
          <w:lang w:val="en-US" w:eastAsia="zh-CN"/>
        </w:rPr>
        <w:t>一至</w:t>
      </w:r>
      <w:r>
        <w:rPr>
          <w:rFonts w:hint="eastAsia" w:ascii="宋体" w:hAnsi="宋体" w:eastAsia="宋体" w:cs="宋体"/>
          <w:sz w:val="24"/>
          <w:szCs w:val="24"/>
        </w:rPr>
        <w:t>包件</w:t>
      </w:r>
      <w:r>
        <w:rPr>
          <w:rFonts w:hint="eastAsia" w:ascii="宋体" w:hAnsi="宋体" w:eastAsia="宋体" w:cs="宋体"/>
          <w:sz w:val="24"/>
          <w:szCs w:val="24"/>
          <w:lang w:val="en-US" w:eastAsia="zh-CN"/>
        </w:rPr>
        <w:t>四</w:t>
      </w:r>
      <w:r>
        <w:rPr>
          <w:rFonts w:hint="eastAsia" w:ascii="宋体" w:hAnsi="宋体" w:eastAsia="宋体" w:cs="宋体"/>
          <w:sz w:val="24"/>
          <w:szCs w:val="24"/>
        </w:rPr>
        <w:t>供应商仅能成交其中一个包件，供应商在前一包中被推荐为第一成交人后，仍然参加后续包件的评审，但不再在后续包件中被推荐为中标候选人。</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二、申请人的资格要求：</w:t>
      </w:r>
      <w:bookmarkEnd w:id="16"/>
      <w:bookmarkEnd w:id="17"/>
      <w:bookmarkEnd w:id="18"/>
      <w:bookmarkEnd w:id="19"/>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(2)上一年度的财务报表（成立不满一年不需提供）</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(3)依法缴纳税收和社会保障资金的相关材料；</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(4)具备履行合同所必需的设备和专业技术能力的书面声明；</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(5)参加政府采购活动前3年内在经营活动中没有重大违法记录的书面声明；</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本项目（是/否）属于专门面向中小企业采购的项目：</w:t>
      </w:r>
      <w:r>
        <w:rPr>
          <w:rFonts w:hint="eastAsia" w:ascii="宋体" w:hAnsi="宋体" w:eastAsia="宋体" w:cs="宋体"/>
          <w:sz w:val="24"/>
          <w:szCs w:val="24"/>
          <w:u w:val="single"/>
        </w:rPr>
        <w:t>否</w:t>
      </w:r>
      <w:r>
        <w:rPr>
          <w:rFonts w:hint="eastAsia" w:ascii="宋体" w:hAnsi="宋体" w:eastAsia="宋体" w:cs="宋体"/>
          <w:sz w:val="24"/>
          <w:szCs w:val="24"/>
        </w:rPr>
        <w:t>。</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（注：如属于专门面向中小企业采购的项目,供应商应为中小微企业、监狱企业、残疾人福利性单位)</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（1）未被“信用中国”网站（www.creditchina.gov.cn）列入失信被执行人、重大税收违法失信主体、政府采购严重失信行为记录名单。</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（2）单位负责人为同一人或者存在直接控股、管理关系的不同供应商，不得参加同一合同项下的政府采购活动。</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3）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4</w:t>
      </w:r>
      <w:r>
        <w:rPr>
          <w:rFonts w:hint="eastAsia" w:ascii="宋体" w:hAnsi="宋体" w:eastAsia="宋体" w:cs="宋体"/>
          <w:sz w:val="24"/>
          <w:szCs w:val="24"/>
        </w:rPr>
        <w:t>）本项目</w:t>
      </w:r>
      <w:r>
        <w:rPr>
          <w:rFonts w:hint="eastAsia" w:ascii="宋体" w:hAnsi="宋体" w:eastAsia="宋体" w:cs="宋体"/>
          <w:sz w:val="24"/>
          <w:szCs w:val="24"/>
          <w:u w:val="single"/>
        </w:rPr>
        <w:t>不接受</w:t>
      </w:r>
      <w:r>
        <w:rPr>
          <w:rFonts w:hint="eastAsia" w:ascii="宋体" w:hAnsi="宋体" w:eastAsia="宋体" w:cs="宋体"/>
          <w:sz w:val="24"/>
          <w:szCs w:val="24"/>
        </w:rPr>
        <w:t>联合体投标。</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三、获取招标文件</w:t>
      </w:r>
      <w:bookmarkEnd w:id="7"/>
      <w:bookmarkEnd w:id="8"/>
      <w:bookmarkEnd w:id="9"/>
      <w:bookmarkEnd w:id="10"/>
      <w:bookmarkStart w:id="20" w:name="_Toc28359084"/>
      <w:bookmarkStart w:id="21" w:name="_Toc35393794"/>
      <w:bookmarkStart w:id="22" w:name="_Toc28359007"/>
      <w:bookmarkStart w:id="23" w:name="_Toc35393625"/>
    </w:p>
    <w:p>
      <w:pPr>
        <w:keepLines w:val="0"/>
        <w:pageBreakBefore w:val="0"/>
        <w:kinsoku/>
        <w:wordWrap/>
        <w:overflowPunct/>
        <w:topLinePunct w:val="0"/>
        <w:autoSpaceDE/>
        <w:autoSpaceDN/>
        <w:bidi w:val="0"/>
        <w:adjustRightInd/>
        <w:snapToGrid/>
        <w:spacing w:line="360" w:lineRule="auto"/>
        <w:ind w:firstLine="540"/>
        <w:textAlignment w:val="auto"/>
        <w:rPr>
          <w:rFonts w:hint="eastAsia" w:ascii="宋体" w:hAnsi="宋体" w:eastAsia="宋体" w:cs="宋体"/>
          <w:sz w:val="24"/>
          <w:szCs w:val="24"/>
        </w:rPr>
      </w:pPr>
      <w:r>
        <w:rPr>
          <w:rFonts w:hint="eastAsia" w:ascii="宋体" w:hAnsi="宋体" w:eastAsia="宋体" w:cs="宋体"/>
          <w:sz w:val="24"/>
          <w:szCs w:val="24"/>
        </w:rPr>
        <w:t>1.时</w:t>
      </w:r>
      <w:r>
        <w:rPr>
          <w:rFonts w:hint="eastAsia" w:ascii="宋体" w:hAnsi="宋体" w:eastAsia="宋体" w:cs="宋体"/>
          <w:color w:val="000000" w:themeColor="text1"/>
          <w:sz w:val="24"/>
          <w:szCs w:val="24"/>
          <w14:textFill>
            <w14:solidFill>
              <w14:schemeClr w14:val="tx1"/>
            </w14:solidFill>
          </w14:textFill>
        </w:rPr>
        <w:t>间：2024年</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3</w:t>
      </w:r>
      <w:bookmarkStart w:id="189" w:name="_GoBack"/>
      <w:bookmarkEnd w:id="189"/>
      <w:r>
        <w:rPr>
          <w:rFonts w:hint="eastAsia" w:ascii="宋体" w:hAnsi="宋体" w:eastAsia="宋体" w:cs="宋体"/>
          <w:color w:val="000000" w:themeColor="text1"/>
          <w:sz w:val="24"/>
          <w:szCs w:val="24"/>
          <w14:textFill>
            <w14:solidFill>
              <w14:schemeClr w14:val="tx1"/>
            </w14:solidFill>
          </w14:textFill>
        </w:rPr>
        <w:t>日8：30至2024年</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日18：00。（北京时间，法定节假日除外）。</w:t>
      </w:r>
    </w:p>
    <w:p>
      <w:pPr>
        <w:keepLines w:val="0"/>
        <w:pageBreakBefore w:val="0"/>
        <w:kinsoku/>
        <w:wordWrap/>
        <w:overflowPunct/>
        <w:topLinePunct w:val="0"/>
        <w:autoSpaceDE/>
        <w:autoSpaceDN/>
        <w:bidi w:val="0"/>
        <w:adjustRightInd/>
        <w:snapToGrid/>
        <w:spacing w:line="360" w:lineRule="auto"/>
        <w:ind w:firstLine="540"/>
        <w:textAlignment w:val="auto"/>
        <w:rPr>
          <w:rFonts w:hint="eastAsia" w:ascii="宋体" w:hAnsi="宋体" w:eastAsia="宋体" w:cs="宋体"/>
          <w:sz w:val="24"/>
          <w:szCs w:val="24"/>
        </w:rPr>
      </w:pPr>
      <w:r>
        <w:rPr>
          <w:rFonts w:hint="eastAsia" w:ascii="宋体" w:hAnsi="宋体" w:eastAsia="宋体" w:cs="宋体"/>
          <w:sz w:val="24"/>
          <w:szCs w:val="24"/>
        </w:rPr>
        <w:t>2、获取方式：投标人代表或授权委托人凭【单位介绍信或授权委托书(须加盖单位公章,注明投标人代表或授权委托人姓名、手机号码、电子邮箱)、营业执照、投标人代表(或授权委托人)身份证】原件的电子扫描或截图件,通过电子邮件的方式在上述规定时间发至邮箱</w:t>
      </w:r>
      <w:r>
        <w:rPr>
          <w:rFonts w:hint="eastAsia" w:ascii="宋体" w:hAnsi="宋体" w:eastAsia="宋体" w:cs="宋体"/>
          <w:sz w:val="24"/>
          <w:szCs w:val="24"/>
          <w:lang w:eastAsia="zh-CN"/>
        </w:rPr>
        <w:t>2403182858</w:t>
      </w:r>
      <w:r>
        <w:rPr>
          <w:rFonts w:hint="eastAsia" w:ascii="宋体" w:hAnsi="宋体" w:eastAsia="宋体" w:cs="宋体"/>
          <w:sz w:val="24"/>
          <w:szCs w:val="24"/>
        </w:rPr>
        <w:t>@qq.com,方可获取招标文件。发送电子邮件后请即刻电话告知代理公司(联系人：</w:t>
      </w:r>
      <w:r>
        <w:rPr>
          <w:rFonts w:hint="eastAsia" w:ascii="宋体" w:hAnsi="宋体" w:eastAsia="宋体" w:cs="宋体"/>
          <w:sz w:val="24"/>
          <w:szCs w:val="24"/>
          <w:lang w:val="en-US" w:eastAsia="zh-CN"/>
        </w:rPr>
        <w:t>李先生</w:t>
      </w:r>
      <w:r>
        <w:rPr>
          <w:rFonts w:hint="eastAsia" w:ascii="宋体" w:hAnsi="宋体" w:eastAsia="宋体" w:cs="宋体"/>
          <w:sz w:val="24"/>
          <w:szCs w:val="24"/>
        </w:rPr>
        <w:t>；联系方式:152619</w:t>
      </w:r>
      <w:r>
        <w:rPr>
          <w:rFonts w:hint="eastAsia" w:ascii="宋体" w:hAnsi="宋体" w:eastAsia="宋体" w:cs="宋体"/>
          <w:sz w:val="24"/>
          <w:szCs w:val="24"/>
          <w:lang w:val="en-US" w:eastAsia="zh-CN"/>
        </w:rPr>
        <w:t>86968</w:t>
      </w:r>
      <w:r>
        <w:rPr>
          <w:rFonts w:hint="eastAsia" w:ascii="宋体" w:hAnsi="宋体" w:eastAsia="宋体" w:cs="宋体"/>
          <w:sz w:val="24"/>
          <w:szCs w:val="24"/>
        </w:rPr>
        <w:t xml:space="preserve">)查收并确认,因电子邮件发送失败等原因造成代理公司未收到电子邮件的,责任由投标人自负。未能成功获取招标文件的潜在投标人投标无效。 </w:t>
      </w:r>
    </w:p>
    <w:p>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四、提交投标文件截止时间、开标时间和地点</w:t>
      </w:r>
    </w:p>
    <w:p>
      <w:pPr>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000000" w:themeColor="text1"/>
          <w:sz w:val="24"/>
          <w:szCs w:val="24"/>
          <w:highlight w:val="green"/>
          <w:u w:val="single"/>
          <w14:textFill>
            <w14:solidFill>
              <w14:schemeClr w14:val="tx1"/>
            </w14:solidFill>
          </w14:textFill>
        </w:rPr>
      </w:pPr>
      <w:r>
        <w:rPr>
          <w:rFonts w:hint="eastAsia" w:ascii="宋体" w:hAnsi="宋体" w:eastAsia="宋体" w:cs="宋体"/>
          <w:bCs/>
          <w:sz w:val="24"/>
          <w:szCs w:val="24"/>
        </w:rPr>
        <w:t>1.</w:t>
      </w:r>
      <w:r>
        <w:rPr>
          <w:rFonts w:hint="eastAsia" w:ascii="宋体" w:hAnsi="宋体" w:eastAsia="宋体" w:cs="宋体"/>
          <w:sz w:val="24"/>
          <w:szCs w:val="24"/>
        </w:rPr>
        <w:t>提交投标文件截止时间、开标时间均为：</w:t>
      </w:r>
      <w:r>
        <w:rPr>
          <w:rFonts w:hint="eastAsia" w:ascii="宋体" w:hAnsi="宋体" w:eastAsia="宋体" w:cs="宋体"/>
          <w:bCs/>
          <w:color w:val="000000" w:themeColor="text1"/>
          <w:sz w:val="24"/>
          <w:szCs w:val="24"/>
          <w:highlight w:val="white"/>
          <w:u w:val="single"/>
          <w14:textFill>
            <w14:solidFill>
              <w14:schemeClr w14:val="tx1"/>
            </w14:solidFill>
          </w14:textFill>
        </w:rPr>
        <w:t>2024年</w:t>
      </w:r>
      <w:r>
        <w:rPr>
          <w:rFonts w:hint="eastAsia" w:ascii="宋体" w:hAnsi="宋体" w:eastAsia="宋体" w:cs="宋体"/>
          <w:bCs/>
          <w:color w:val="000000" w:themeColor="text1"/>
          <w:sz w:val="24"/>
          <w:szCs w:val="24"/>
          <w:highlight w:val="white"/>
          <w:u w:val="single"/>
          <w:lang w:val="en-US" w:eastAsia="zh-CN"/>
          <w14:textFill>
            <w14:solidFill>
              <w14:schemeClr w14:val="tx1"/>
            </w14:solidFill>
          </w14:textFill>
        </w:rPr>
        <w:t>4</w:t>
      </w:r>
      <w:r>
        <w:rPr>
          <w:rFonts w:hint="eastAsia" w:ascii="宋体" w:hAnsi="宋体" w:eastAsia="宋体" w:cs="宋体"/>
          <w:bCs/>
          <w:color w:val="000000" w:themeColor="text1"/>
          <w:sz w:val="24"/>
          <w:szCs w:val="24"/>
          <w:highlight w:val="white"/>
          <w:u w:val="single"/>
          <w14:textFill>
            <w14:solidFill>
              <w14:schemeClr w14:val="tx1"/>
            </w14:solidFill>
          </w14:textFill>
        </w:rPr>
        <w:t>月</w:t>
      </w:r>
      <w:r>
        <w:rPr>
          <w:rFonts w:hint="eastAsia" w:ascii="宋体" w:hAnsi="宋体" w:cs="宋体"/>
          <w:bCs/>
          <w:color w:val="000000" w:themeColor="text1"/>
          <w:sz w:val="24"/>
          <w:szCs w:val="24"/>
          <w:highlight w:val="white"/>
          <w:u w:val="single"/>
          <w:lang w:val="en-US" w:eastAsia="zh-CN"/>
          <w14:textFill>
            <w14:solidFill>
              <w14:schemeClr w14:val="tx1"/>
            </w14:solidFill>
          </w14:textFill>
        </w:rPr>
        <w:t>26</w:t>
      </w:r>
      <w:r>
        <w:rPr>
          <w:rFonts w:hint="eastAsia" w:ascii="宋体" w:hAnsi="宋体" w:eastAsia="宋体" w:cs="宋体"/>
          <w:bCs/>
          <w:color w:val="000000" w:themeColor="text1"/>
          <w:sz w:val="24"/>
          <w:szCs w:val="24"/>
          <w:highlight w:val="white"/>
          <w:u w:val="single"/>
          <w14:textFill>
            <w14:solidFill>
              <w14:schemeClr w14:val="tx1"/>
            </w14:solidFill>
          </w14:textFill>
        </w:rPr>
        <w:t>日</w:t>
      </w:r>
      <w:r>
        <w:rPr>
          <w:rFonts w:hint="eastAsia" w:ascii="宋体" w:hAnsi="宋体" w:cs="宋体"/>
          <w:bCs/>
          <w:color w:val="000000" w:themeColor="text1"/>
          <w:sz w:val="24"/>
          <w:szCs w:val="24"/>
          <w:highlight w:val="white"/>
          <w:u w:val="single"/>
          <w:lang w:val="en-US" w:eastAsia="zh-CN"/>
          <w14:textFill>
            <w14:solidFill>
              <w14:schemeClr w14:val="tx1"/>
            </w14:solidFill>
          </w14:textFill>
        </w:rPr>
        <w:t>9</w:t>
      </w:r>
      <w:r>
        <w:rPr>
          <w:rFonts w:hint="eastAsia" w:ascii="宋体" w:hAnsi="宋体" w:eastAsia="宋体" w:cs="宋体"/>
          <w:bCs/>
          <w:color w:val="000000" w:themeColor="text1"/>
          <w:sz w:val="24"/>
          <w:szCs w:val="24"/>
          <w:highlight w:val="white"/>
          <w:u w:val="single"/>
          <w14:textFill>
            <w14:solidFill>
              <w14:schemeClr w14:val="tx1"/>
            </w14:solidFill>
          </w14:textFill>
        </w:rPr>
        <w:t>点00分00秒</w:t>
      </w:r>
      <w:r>
        <w:rPr>
          <w:rFonts w:hint="eastAsia" w:ascii="宋体" w:hAnsi="宋体" w:eastAsia="宋体" w:cs="宋体"/>
          <w:bCs/>
          <w:color w:val="000000" w:themeColor="text1"/>
          <w:sz w:val="24"/>
          <w:szCs w:val="24"/>
          <w14:textFill>
            <w14:solidFill>
              <w14:schemeClr w14:val="tx1"/>
            </w14:solidFill>
          </w14:textFill>
        </w:rPr>
        <w:t>（北京时间）</w:t>
      </w:r>
    </w:p>
    <w:p>
      <w:pPr>
        <w:keepLines w:val="0"/>
        <w:pageBreakBefore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2.地点：</w:t>
      </w:r>
      <w:r>
        <w:rPr>
          <w:rFonts w:hint="eastAsia" w:ascii="宋体" w:hAnsi="宋体" w:eastAsia="宋体" w:cs="宋体"/>
          <w:color w:val="000000" w:themeColor="text1"/>
          <w:sz w:val="24"/>
          <w:szCs w:val="24"/>
          <w:lang w:val="en-US" w:eastAsia="zh-CN"/>
          <w14:textFill>
            <w14:solidFill>
              <w14:schemeClr w14:val="tx1"/>
            </w14:solidFill>
          </w14:textFill>
        </w:rPr>
        <w:t>滨海县坎北楼宇经济园6楼</w:t>
      </w:r>
      <w:r>
        <w:rPr>
          <w:rFonts w:hint="eastAsia" w:ascii="宋体" w:hAnsi="宋体" w:eastAsia="宋体" w:cs="宋体"/>
          <w:color w:val="000000" w:themeColor="text1"/>
          <w:sz w:val="24"/>
          <w:szCs w:val="24"/>
          <w14:textFill>
            <w14:solidFill>
              <w14:schemeClr w14:val="tx1"/>
            </w14:solidFill>
          </w14:textFill>
        </w:rPr>
        <w:t>。</w:t>
      </w:r>
    </w:p>
    <w:p>
      <w:pPr>
        <w:keepLines w:val="0"/>
        <w:pageBreakBefore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五、公告期限</w:t>
      </w:r>
      <w:bookmarkEnd w:id="20"/>
      <w:bookmarkEnd w:id="21"/>
      <w:bookmarkEnd w:id="22"/>
      <w:bookmarkEnd w:id="23"/>
      <w:bookmarkStart w:id="24" w:name="_Toc35393626"/>
      <w:bookmarkStart w:id="25" w:name="_Toc35393795"/>
    </w:p>
    <w:p>
      <w:pPr>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自本公告发布之日起5个工作日。</w:t>
      </w:r>
    </w:p>
    <w:p>
      <w:pPr>
        <w:pStyle w:val="196"/>
        <w:keepLines w:val="0"/>
        <w:pageBreakBefore w:val="0"/>
        <w:tabs>
          <w:tab w:val="left" w:pos="0"/>
          <w:tab w:val="left" w:pos="3165"/>
          <w:tab w:val="center" w:pos="4153"/>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六、其他补充事宜</w:t>
      </w:r>
      <w:bookmarkEnd w:id="24"/>
      <w:bookmarkEnd w:id="25"/>
    </w:p>
    <w:p>
      <w:pPr>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1.各投标人在投标截止时间前应当每天都上网查询，以便获取更新的澄清、修改、补充内容。凡涉及到该项目的补充说明和修改，均以江苏政府采购网上的更正或补充通知为准。</w:t>
      </w:r>
    </w:p>
    <w:p>
      <w:pPr>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2.投标人如在投标过程中存在以下行为，将被列入不良行为记录名单。</w:t>
      </w:r>
    </w:p>
    <w:p>
      <w:pPr>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2.1提供虚假材料谋取中标成交的或采取不正当手段诋毁、排挤其他供应商的；</w:t>
      </w:r>
    </w:p>
    <w:p>
      <w:pPr>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2.2投标人递交无竞争力投标文件的。</w:t>
      </w:r>
    </w:p>
    <w:p>
      <w:pPr>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3.投标人存在串通投标、以他人名义投标、弄虚作假等违法违规行为，或者无正当理由放弃投标、中标资格，造成项目招标失败的，不得参加该项目重新招标的投标。</w:t>
      </w:r>
    </w:p>
    <w:p>
      <w:pPr>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4.因供应商的系统环境、操作等原因导致报名、开评标过程中出现问题由供应商自行承担负责。</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5.本项目不收取投标保证金，不收取质量保证金。</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6.本项目落实小微型企业扶持政府采购政策（详见招标文件）。</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.付款方式：</w:t>
      </w:r>
    </w:p>
    <w:p>
      <w:pPr>
        <w:tabs>
          <w:tab w:val="left" w:pos="900"/>
        </w:tabs>
        <w:spacing w:after="145" w:afterLines="50"/>
        <w:ind w:firstLine="480" w:firstLineChars="200"/>
        <w:rPr>
          <w:rFonts w:hint="eastAsia" w:ascii="宋体" w:hAnsi="宋体" w:cs="宋体"/>
          <w:color w:val="auto"/>
          <w:sz w:val="24"/>
          <w:szCs w:val="24"/>
          <w:highlight w:val="none"/>
          <w:lang w:val="zh-CN"/>
        </w:rPr>
      </w:pPr>
      <w:bookmarkStart w:id="26" w:name="_Toc35393796"/>
      <w:bookmarkStart w:id="27" w:name="_Toc35393627"/>
      <w:bookmarkStart w:id="28" w:name="_Toc28359008"/>
      <w:bookmarkStart w:id="29" w:name="_Toc28359085"/>
      <w:r>
        <w:rPr>
          <w:rFonts w:hint="default" w:ascii="宋体" w:hAnsi="宋体" w:cs="宋体"/>
          <w:color w:val="auto"/>
          <w:sz w:val="24"/>
          <w:szCs w:val="24"/>
          <w:highlight w:val="none"/>
          <w:lang w:val="en-US" w:eastAsia="zh-CN"/>
        </w:rPr>
        <w:t>合同签订之日起30个工作日内，采购人向供应商支付合同价款的30%作为项目预付款。</w:t>
      </w:r>
      <w:r>
        <w:rPr>
          <w:rFonts w:hint="eastAsia" w:ascii="宋体" w:hAnsi="宋体" w:cs="宋体"/>
          <w:color w:val="auto"/>
          <w:sz w:val="24"/>
          <w:szCs w:val="24"/>
          <w:highlight w:val="none"/>
          <w:lang w:val="zh-CN"/>
        </w:rPr>
        <w:t>（中标人须提供合同总价</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val="zh-CN"/>
        </w:rPr>
        <w:t>0%的银行保函）。</w:t>
      </w:r>
    </w:p>
    <w:p>
      <w:pPr>
        <w:spacing w:line="320" w:lineRule="exact"/>
        <w:ind w:firstLine="482" w:firstLineChars="200"/>
        <w:jc w:val="left"/>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4</w:t>
      </w:r>
      <w:r>
        <w:rPr>
          <w:rFonts w:hint="eastAsia" w:ascii="宋体" w:hAnsi="宋体" w:cs="宋体"/>
          <w:b/>
          <w:bCs/>
          <w:color w:val="auto"/>
          <w:sz w:val="24"/>
          <w:szCs w:val="24"/>
          <w:highlight w:val="none"/>
          <w:u w:val="single"/>
          <w:lang w:bidi="ar"/>
        </w:rPr>
        <w:t>年抽检任务（共2712批次）结算方法：中标人在完成抽样检验并出具检测报告后，招标人于202</w:t>
      </w:r>
      <w:r>
        <w:rPr>
          <w:rFonts w:hint="eastAsia" w:ascii="宋体" w:hAnsi="宋体" w:cs="宋体"/>
          <w:b/>
          <w:bCs/>
          <w:color w:val="auto"/>
          <w:sz w:val="24"/>
          <w:szCs w:val="24"/>
          <w:highlight w:val="none"/>
          <w:u w:val="single"/>
          <w:lang w:val="en-US" w:eastAsia="zh-CN" w:bidi="ar"/>
        </w:rPr>
        <w:t>4</w:t>
      </w:r>
      <w:r>
        <w:rPr>
          <w:rFonts w:hint="eastAsia" w:ascii="宋体" w:hAnsi="宋体" w:cs="宋体"/>
          <w:b/>
          <w:bCs/>
          <w:color w:val="auto"/>
          <w:sz w:val="24"/>
          <w:szCs w:val="24"/>
          <w:highlight w:val="none"/>
          <w:u w:val="single"/>
          <w:lang w:bidi="ar"/>
        </w:rPr>
        <w:t>年12月30日前根据已完成抽检任务数，按照参数结算的方式（参数的最高限价*中标人报价折扣率）</w:t>
      </w:r>
      <w:r>
        <w:rPr>
          <w:rFonts w:hint="eastAsia" w:ascii="宋体" w:hAnsi="宋体" w:cs="宋体"/>
          <w:b/>
          <w:bCs/>
          <w:color w:val="auto"/>
          <w:sz w:val="24"/>
          <w:szCs w:val="24"/>
          <w:highlight w:val="none"/>
          <w:u w:val="single"/>
          <w:lang w:val="en-US" w:eastAsia="zh-CN" w:bidi="ar"/>
        </w:rPr>
        <w:t>经过甲方考核核算后</w:t>
      </w:r>
      <w:r>
        <w:rPr>
          <w:rFonts w:hint="eastAsia" w:ascii="宋体" w:hAnsi="宋体" w:cs="宋体"/>
          <w:b/>
          <w:bCs/>
          <w:color w:val="auto"/>
          <w:sz w:val="24"/>
          <w:szCs w:val="24"/>
          <w:highlight w:val="none"/>
          <w:u w:val="single"/>
          <w:lang w:bidi="ar"/>
        </w:rPr>
        <w:t>一次性结清</w:t>
      </w:r>
      <w:r>
        <w:rPr>
          <w:rFonts w:hint="eastAsia" w:ascii="宋体" w:hAnsi="宋体" w:cs="宋体"/>
          <w:b/>
          <w:bCs/>
          <w:color w:val="auto"/>
          <w:sz w:val="24"/>
          <w:szCs w:val="24"/>
          <w:highlight w:val="none"/>
          <w:u w:val="single"/>
          <w:lang w:val="en-US" w:eastAsia="zh-CN" w:bidi="ar"/>
        </w:rPr>
        <w:t>(本次结算款项包含此前所</w:t>
      </w:r>
      <w:r>
        <w:rPr>
          <w:rFonts w:hint="default" w:ascii="宋体" w:hAnsi="宋体" w:cs="宋体"/>
          <w:b/>
          <w:bCs/>
          <w:color w:val="auto"/>
          <w:sz w:val="24"/>
          <w:szCs w:val="24"/>
          <w:highlight w:val="none"/>
          <w:u w:val="single"/>
          <w:lang w:val="en-US" w:eastAsia="zh-CN" w:bidi="ar"/>
        </w:rPr>
        <w:t>支付</w:t>
      </w:r>
      <w:r>
        <w:rPr>
          <w:rFonts w:hint="eastAsia" w:ascii="宋体" w:hAnsi="宋体" w:cs="宋体"/>
          <w:b/>
          <w:bCs/>
          <w:color w:val="auto"/>
          <w:sz w:val="24"/>
          <w:szCs w:val="24"/>
          <w:highlight w:val="none"/>
          <w:u w:val="single"/>
          <w:lang w:val="en-US" w:eastAsia="zh-CN" w:bidi="ar"/>
        </w:rPr>
        <w:t>的</w:t>
      </w:r>
      <w:r>
        <w:rPr>
          <w:rFonts w:hint="default" w:ascii="宋体" w:hAnsi="宋体" w:cs="宋体"/>
          <w:b/>
          <w:bCs/>
          <w:color w:val="auto"/>
          <w:sz w:val="24"/>
          <w:szCs w:val="24"/>
          <w:highlight w:val="none"/>
          <w:u w:val="single"/>
          <w:lang w:val="en-US" w:eastAsia="zh-CN" w:bidi="ar"/>
        </w:rPr>
        <w:t>合同价款的30%项目预付款</w:t>
      </w:r>
      <w:r>
        <w:rPr>
          <w:rFonts w:hint="eastAsia" w:ascii="宋体" w:hAnsi="宋体" w:cs="宋体"/>
          <w:b/>
          <w:bCs/>
          <w:color w:val="auto"/>
          <w:sz w:val="24"/>
          <w:szCs w:val="24"/>
          <w:highlight w:val="none"/>
          <w:u w:val="single"/>
          <w:lang w:val="en-US" w:eastAsia="zh-CN" w:bidi="ar"/>
        </w:rPr>
        <w:t>）</w:t>
      </w:r>
      <w:r>
        <w:rPr>
          <w:rFonts w:hint="eastAsia" w:ascii="宋体" w:hAnsi="宋体" w:cs="宋体"/>
          <w:b/>
          <w:bCs/>
          <w:color w:val="auto"/>
          <w:sz w:val="24"/>
          <w:szCs w:val="24"/>
          <w:highlight w:val="none"/>
          <w:u w:val="single"/>
          <w:lang w:bidi="ar"/>
        </w:rPr>
        <w:t>；</w:t>
      </w:r>
    </w:p>
    <w:p>
      <w:pPr>
        <w:ind w:firstLine="482" w:firstLineChars="200"/>
        <w:rPr>
          <w:rFonts w:hint="default"/>
          <w:color w:val="auto"/>
          <w:sz w:val="24"/>
          <w:szCs w:val="24"/>
          <w:highlight w:val="none"/>
          <w:lang w:val="en-US" w:eastAsia="zh-CN"/>
        </w:rPr>
      </w:pP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年一季度抽检任务（共1388批次）结算方法：待中标人完成所有抽样检验任务数后，招标人按照参数结算的方式（参数的最高限价*中标人报价折扣率）完成省市</w:t>
      </w:r>
      <w:r>
        <w:rPr>
          <w:rFonts w:hint="eastAsia" w:ascii="宋体" w:hAnsi="宋体" w:cs="宋体"/>
          <w:b/>
          <w:bCs/>
          <w:color w:val="auto"/>
          <w:sz w:val="24"/>
          <w:szCs w:val="24"/>
          <w:highlight w:val="none"/>
          <w:u w:val="single"/>
          <w:lang w:val="en-US" w:eastAsia="zh-CN" w:bidi="ar"/>
        </w:rPr>
        <w:t>县</w:t>
      </w: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4</w:t>
      </w:r>
      <w:r>
        <w:rPr>
          <w:rFonts w:hint="eastAsia" w:ascii="宋体" w:hAnsi="宋体" w:cs="宋体"/>
          <w:b/>
          <w:bCs/>
          <w:color w:val="auto"/>
          <w:sz w:val="24"/>
          <w:szCs w:val="24"/>
          <w:highlight w:val="none"/>
          <w:u w:val="single"/>
          <w:lang w:bidi="ar"/>
        </w:rPr>
        <w:t>年度监督抽检考核指标及对中标人</w:t>
      </w:r>
      <w:r>
        <w:rPr>
          <w:rFonts w:hint="eastAsia" w:ascii="宋体" w:hAnsi="宋体" w:cs="宋体"/>
          <w:b/>
          <w:bCs/>
          <w:color w:val="auto"/>
          <w:sz w:val="24"/>
          <w:szCs w:val="24"/>
          <w:highlight w:val="none"/>
          <w:u w:val="single"/>
          <w:lang w:val="en-US" w:eastAsia="zh-CN" w:bidi="ar"/>
        </w:rPr>
        <w:t>综合</w:t>
      </w:r>
      <w:r>
        <w:rPr>
          <w:rFonts w:hint="eastAsia" w:ascii="宋体" w:hAnsi="宋体" w:cs="宋体"/>
          <w:b/>
          <w:bCs/>
          <w:color w:val="auto"/>
          <w:sz w:val="24"/>
          <w:szCs w:val="24"/>
          <w:highlight w:val="none"/>
          <w:u w:val="single"/>
          <w:lang w:bidi="ar"/>
        </w:rPr>
        <w:t>考核后按</w:t>
      </w:r>
      <w:r>
        <w:rPr>
          <w:rFonts w:hint="eastAsia" w:ascii="宋体" w:hAnsi="宋体" w:cs="宋体"/>
          <w:b/>
          <w:bCs/>
          <w:color w:val="auto"/>
          <w:sz w:val="24"/>
          <w:szCs w:val="24"/>
          <w:highlight w:val="none"/>
          <w:u w:val="single"/>
          <w:lang w:val="en-US" w:eastAsia="zh-CN" w:bidi="ar"/>
        </w:rPr>
        <w:t>结算</w:t>
      </w:r>
      <w:r>
        <w:rPr>
          <w:rFonts w:hint="eastAsia" w:ascii="宋体" w:hAnsi="宋体" w:cs="宋体"/>
          <w:b/>
          <w:bCs/>
          <w:color w:val="auto"/>
          <w:sz w:val="24"/>
          <w:szCs w:val="24"/>
          <w:highlight w:val="none"/>
          <w:u w:val="single"/>
          <w:lang w:bidi="ar"/>
        </w:rPr>
        <w:t>价一次性结清。</w:t>
      </w:r>
    </w:p>
    <w:p>
      <w:pPr>
        <w:spacing w:line="320" w:lineRule="exact"/>
        <w:ind w:firstLine="482" w:firstLineChars="200"/>
        <w:jc w:val="left"/>
        <w:rPr>
          <w:rFonts w:hint="eastAsia" w:ascii="宋体" w:hAnsi="宋体" w:cs="宋体"/>
          <w:b/>
          <w:bCs/>
          <w:color w:val="auto"/>
          <w:sz w:val="24"/>
          <w:szCs w:val="24"/>
          <w:highlight w:val="none"/>
          <w:u w:val="single"/>
          <w:lang w:bidi="ar"/>
        </w:rPr>
      </w:pPr>
    </w:p>
    <w:p>
      <w:pPr>
        <w:spacing w:line="320" w:lineRule="exact"/>
        <w:ind w:firstLine="482" w:firstLineChars="200"/>
        <w:jc w:val="left"/>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注：1.（均无息。考核指标具体实施细则由招标人详细考核方案为准，结算时，投标人须提供税务发票）。</w:t>
      </w:r>
    </w:p>
    <w:p>
      <w:pPr>
        <w:spacing w:line="320" w:lineRule="exact"/>
        <w:ind w:firstLine="48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auto"/>
          <w:sz w:val="24"/>
          <w:szCs w:val="24"/>
          <w:highlight w:val="none"/>
          <w:u w:val="single"/>
          <w:lang w:bidi="ar"/>
        </w:rPr>
        <w:t>2.具体结算方式为：甲方和乙方双方确认的检验项目及数量×乙方的投标单价（乙方的投标单价是指中标人折扣率*招标人限定的检验项目最高限价【详见招标文件第</w:t>
      </w:r>
      <w:r>
        <w:rPr>
          <w:rFonts w:hint="eastAsia" w:ascii="宋体" w:hAnsi="宋体" w:cs="宋体"/>
          <w:b/>
          <w:bCs/>
          <w:color w:val="0070C0"/>
          <w:sz w:val="24"/>
          <w:szCs w:val="24"/>
          <w:highlight w:val="none"/>
          <w:u w:val="single"/>
          <w:lang w:val="en-US" w:eastAsia="zh-CN" w:bidi="ar"/>
        </w:rPr>
        <w:t>32</w:t>
      </w:r>
      <w:r>
        <w:rPr>
          <w:rFonts w:hint="eastAsia" w:ascii="宋体" w:hAnsi="宋体" w:cs="宋体"/>
          <w:b/>
          <w:bCs/>
          <w:color w:val="auto"/>
          <w:sz w:val="24"/>
          <w:szCs w:val="24"/>
          <w:highlight w:val="none"/>
          <w:u w:val="single"/>
          <w:lang w:bidi="ar"/>
        </w:rPr>
        <w:t>页检测内容及最高限价表】）</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26"/>
      <w:bookmarkEnd w:id="27"/>
      <w:bookmarkEnd w:id="28"/>
      <w:bookmarkEnd w:id="29"/>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bookmarkStart w:id="30" w:name="_Toc28359096"/>
      <w:bookmarkStart w:id="31" w:name="_Toc35393806"/>
      <w:bookmarkStart w:id="32" w:name="_Toc28359019"/>
      <w:bookmarkStart w:id="33" w:name="_Toc35393637"/>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采购人信息</w:t>
      </w:r>
      <w:bookmarkEnd w:id="30"/>
      <w:bookmarkEnd w:id="31"/>
      <w:bookmarkEnd w:id="32"/>
      <w:bookmarkEnd w:id="33"/>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滨海县市场监督管理局</w:t>
      </w:r>
      <w:r>
        <w:rPr>
          <w:rFonts w:hint="eastAsia" w:ascii="宋体" w:hAnsi="宋体" w:eastAsia="宋体" w:cs="宋体"/>
          <w:sz w:val="24"/>
          <w:szCs w:val="24"/>
          <w:lang w:val="en-US" w:eastAsia="zh-CN"/>
        </w:rPr>
        <w:t xml:space="preserve">  </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lang w:val="en-US" w:eastAsia="zh-CN"/>
        </w:rPr>
        <w:t xml:space="preserve">王女士 </w:t>
      </w:r>
      <w:r>
        <w:rPr>
          <w:rFonts w:hint="eastAsia" w:ascii="宋体" w:hAnsi="宋体" w:eastAsia="宋体" w:cs="宋体"/>
          <w:sz w:val="24"/>
          <w:szCs w:val="24"/>
        </w:rPr>
        <w:t xml:space="preserve">             联系</w:t>
      </w:r>
      <w:r>
        <w:rPr>
          <w:rFonts w:hint="eastAsia" w:ascii="宋体" w:hAnsi="宋体" w:eastAsia="宋体" w:cs="宋体"/>
          <w:sz w:val="24"/>
          <w:szCs w:val="24"/>
          <w:lang w:val="en-US" w:eastAsia="zh-CN"/>
        </w:rPr>
        <w:t>电话</w:t>
      </w:r>
      <w:r>
        <w:rPr>
          <w:rFonts w:hint="eastAsia" w:ascii="宋体" w:hAnsi="宋体" w:eastAsia="宋体" w:cs="宋体"/>
          <w:sz w:val="24"/>
          <w:szCs w:val="24"/>
        </w:rPr>
        <w:t>：15861918352</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2、采购代理机构信息</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    称：</w:t>
      </w:r>
      <w:r>
        <w:rPr>
          <w:rFonts w:hint="eastAsia" w:ascii="宋体" w:hAnsi="宋体" w:eastAsia="宋体" w:cs="宋体"/>
          <w:sz w:val="24"/>
          <w:szCs w:val="24"/>
        </w:rPr>
        <w:t>江苏苏维工程管理有限公司</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　　址：江苏省扬州市邗江区翠岗路48号</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 系 人： 李先生               联系电话：15261986968</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"mailto:952143072@qq.com"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2403182858@qq.com</w:t>
      </w:r>
      <w:r>
        <w:rPr>
          <w:rFonts w:hint="eastAsia" w:ascii="宋体" w:hAnsi="宋体" w:eastAsia="宋体" w:cs="宋体"/>
          <w:sz w:val="24"/>
          <w:szCs w:val="24"/>
          <w:lang w:val="en-US" w:eastAsia="zh-CN"/>
        </w:rPr>
        <w:fldChar w:fldCharType="end"/>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项目联系方式</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项目联系人：李先生</w:t>
      </w:r>
    </w:p>
    <w:p>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手机号码：</w:t>
      </w:r>
      <w:r>
        <w:rPr>
          <w:rFonts w:hint="eastAsia" w:ascii="宋体" w:hAnsi="宋体" w:eastAsia="宋体" w:cs="宋体"/>
          <w:sz w:val="24"/>
          <w:szCs w:val="24"/>
          <w:lang w:val="en-US" w:eastAsia="zh-CN"/>
        </w:rPr>
        <w:t>15261986968</w:t>
      </w:r>
    </w:p>
    <w:p>
      <w:pPr>
        <w:pStyle w:val="197"/>
        <w:spacing w:line="420" w:lineRule="auto"/>
        <w:ind w:firstLine="883"/>
        <w:rPr>
          <w:rFonts w:hint="eastAsia" w:ascii="黑体" w:eastAsia="黑体"/>
        </w:rPr>
      </w:pPr>
    </w:p>
    <w:p>
      <w:pPr>
        <w:pStyle w:val="197"/>
        <w:spacing w:line="420" w:lineRule="auto"/>
        <w:ind w:firstLine="883"/>
        <w:rPr>
          <w:rFonts w:hint="eastAsia" w:ascii="黑体" w:eastAsia="黑体"/>
        </w:rPr>
      </w:pPr>
    </w:p>
    <w:p>
      <w:pPr>
        <w:pStyle w:val="197"/>
        <w:spacing w:line="420" w:lineRule="auto"/>
        <w:ind w:firstLine="883"/>
        <w:rPr>
          <w:rFonts w:hint="eastAsia" w:ascii="黑体" w:eastAsia="黑体"/>
        </w:rPr>
      </w:pPr>
    </w:p>
    <w:p>
      <w:pPr>
        <w:rPr>
          <w:rFonts w:hint="eastAsia" w:ascii="黑体" w:eastAsia="黑体"/>
        </w:rPr>
      </w:pPr>
    </w:p>
    <w:p>
      <w:pPr>
        <w:pStyle w:val="316"/>
        <w:rPr>
          <w:rFonts w:hint="eastAsia" w:ascii="黑体" w:eastAsia="黑体"/>
        </w:rPr>
      </w:pPr>
    </w:p>
    <w:p>
      <w:pPr>
        <w:pStyle w:val="316"/>
        <w:rPr>
          <w:rFonts w:hint="eastAsia" w:ascii="黑体" w:eastAsia="黑体"/>
        </w:rPr>
      </w:pPr>
    </w:p>
    <w:p>
      <w:pPr>
        <w:pStyle w:val="316"/>
        <w:rPr>
          <w:rFonts w:hint="eastAsia" w:ascii="黑体" w:eastAsia="黑体"/>
        </w:rPr>
      </w:pPr>
    </w:p>
    <w:p>
      <w:pPr>
        <w:pStyle w:val="316"/>
        <w:rPr>
          <w:rFonts w:hint="eastAsia" w:ascii="黑体" w:eastAsia="黑体"/>
        </w:rPr>
      </w:pPr>
    </w:p>
    <w:p>
      <w:pPr>
        <w:pStyle w:val="316"/>
        <w:rPr>
          <w:rFonts w:hint="eastAsia" w:ascii="黑体" w:eastAsia="黑体"/>
        </w:rPr>
      </w:pPr>
    </w:p>
    <w:p>
      <w:pPr>
        <w:pStyle w:val="316"/>
        <w:rPr>
          <w:rFonts w:hint="eastAsia" w:ascii="黑体" w:eastAsia="黑体"/>
        </w:rPr>
      </w:pPr>
    </w:p>
    <w:p>
      <w:pPr>
        <w:pStyle w:val="316"/>
        <w:rPr>
          <w:rFonts w:hint="eastAsia" w:ascii="黑体" w:eastAsia="黑体"/>
        </w:rPr>
      </w:pPr>
    </w:p>
    <w:p>
      <w:pPr>
        <w:pStyle w:val="197"/>
        <w:spacing w:line="420" w:lineRule="auto"/>
        <w:jc w:val="center"/>
        <w:rPr>
          <w:rFonts w:ascii="黑体" w:eastAsia="黑体"/>
          <w:b w:val="0"/>
          <w:bCs w:val="0"/>
        </w:rPr>
      </w:pPr>
      <w:r>
        <w:rPr>
          <w:rFonts w:hint="eastAsia" w:ascii="黑体" w:eastAsia="黑体"/>
        </w:rPr>
        <w:t xml:space="preserve">第二章  </w:t>
      </w:r>
      <w:bookmarkEnd w:id="1"/>
      <w:bookmarkEnd w:id="2"/>
      <w:bookmarkEnd w:id="3"/>
      <w:bookmarkEnd w:id="4"/>
      <w:bookmarkEnd w:id="5"/>
      <w:bookmarkEnd w:id="6"/>
      <w:bookmarkStart w:id="34" w:name="_Toc20823274"/>
      <w:bookmarkStart w:id="35" w:name="_Toc120614213"/>
      <w:bookmarkStart w:id="36" w:name="_Toc513029202"/>
      <w:bookmarkStart w:id="37" w:name="_Toc16938518"/>
      <w:r>
        <w:rPr>
          <w:rFonts w:hint="eastAsia" w:ascii="黑体" w:eastAsia="黑体"/>
        </w:rPr>
        <w:t>投标人须知</w:t>
      </w:r>
      <w:bookmarkEnd w:id="34"/>
      <w:bookmarkEnd w:id="35"/>
      <w:bookmarkEnd w:id="36"/>
      <w:bookmarkEnd w:id="37"/>
    </w:p>
    <w:p>
      <w:pPr>
        <w:pStyle w:val="2"/>
        <w:spacing w:before="145" w:after="145" w:line="440" w:lineRule="exact"/>
        <w:ind w:firstLine="321"/>
      </w:pPr>
      <w:bookmarkStart w:id="38" w:name="_Toc20823275"/>
      <w:bookmarkStart w:id="39" w:name="_Toc513029203"/>
      <w:bookmarkStart w:id="40" w:name="_Toc120614214"/>
      <w:bookmarkStart w:id="41" w:name="_Toc16938519"/>
      <w:bookmarkStart w:id="42" w:name="_Toc120614221"/>
      <w:bookmarkStart w:id="43" w:name="_Toc479757207"/>
      <w:bookmarkStart w:id="44" w:name="_Toc20823314"/>
      <w:bookmarkStart w:id="45" w:name="_Toc513029242"/>
      <w:bookmarkStart w:id="46" w:name="_Toc16938558"/>
      <w:r>
        <w:rPr>
          <w:rFonts w:hint="eastAsia"/>
        </w:rPr>
        <w:t>一、总则</w:t>
      </w:r>
      <w:bookmarkEnd w:id="38"/>
      <w:bookmarkEnd w:id="39"/>
      <w:bookmarkEnd w:id="40"/>
      <w:bookmarkEnd w:id="41"/>
    </w:p>
    <w:p>
      <w:pPr>
        <w:pStyle w:val="5"/>
        <w:spacing w:before="0" w:after="0" w:line="440" w:lineRule="exact"/>
        <w:ind w:firstLine="420"/>
        <w:rPr>
          <w:b w:val="0"/>
          <w:bCs w:val="0"/>
        </w:rPr>
      </w:pPr>
      <w:bookmarkStart w:id="47" w:name="_Hlt16619475"/>
      <w:bookmarkEnd w:id="47"/>
      <w:bookmarkStart w:id="48" w:name="_Toc458694821"/>
      <w:bookmarkStart w:id="49" w:name="_Toc16938520"/>
      <w:bookmarkStart w:id="50" w:name="_Toc513029204"/>
      <w:bookmarkStart w:id="51" w:name="_Toc20823276"/>
      <w:r>
        <w:rPr>
          <w:rFonts w:hint="eastAsia"/>
          <w:b w:val="0"/>
          <w:bCs w:val="0"/>
        </w:rPr>
        <w:t>1</w:t>
      </w:r>
      <w:bookmarkEnd w:id="48"/>
      <w:r>
        <w:rPr>
          <w:rFonts w:hint="eastAsia"/>
          <w:b w:val="0"/>
          <w:bCs w:val="0"/>
        </w:rPr>
        <w:t>、招标方式</w:t>
      </w:r>
      <w:bookmarkEnd w:id="49"/>
      <w:bookmarkEnd w:id="50"/>
      <w:bookmarkEnd w:id="51"/>
    </w:p>
    <w:p>
      <w:pPr>
        <w:spacing w:line="440" w:lineRule="exact"/>
        <w:ind w:firstLine="480"/>
        <w:rPr>
          <w:rFonts w:ascii="宋体" w:hAnsi="宋体"/>
          <w:sz w:val="24"/>
        </w:rPr>
      </w:pPr>
      <w:r>
        <w:rPr>
          <w:rFonts w:hint="eastAsia" w:ascii="宋体" w:hAnsi="宋体"/>
          <w:sz w:val="24"/>
        </w:rPr>
        <w:t>1.1 本次招标采取公开招标方式，本招标文件仅适用于招标公告中所述项目。</w:t>
      </w:r>
    </w:p>
    <w:p>
      <w:pPr>
        <w:pStyle w:val="5"/>
        <w:spacing w:before="0" w:after="0" w:line="440" w:lineRule="exact"/>
        <w:ind w:firstLine="420"/>
        <w:rPr>
          <w:b w:val="0"/>
          <w:bCs w:val="0"/>
        </w:rPr>
      </w:pPr>
      <w:bookmarkStart w:id="52" w:name="_Toc20823277"/>
      <w:bookmarkStart w:id="53" w:name="_Toc513029205"/>
      <w:bookmarkStart w:id="54" w:name="_Toc16938521"/>
      <w:r>
        <w:rPr>
          <w:rFonts w:hint="eastAsia"/>
          <w:b w:val="0"/>
          <w:bCs w:val="0"/>
        </w:rPr>
        <w:t>2、合格的投标人</w:t>
      </w:r>
      <w:bookmarkEnd w:id="52"/>
      <w:bookmarkEnd w:id="53"/>
      <w:bookmarkEnd w:id="54"/>
    </w:p>
    <w:p>
      <w:pPr>
        <w:spacing w:line="440" w:lineRule="exact"/>
        <w:ind w:firstLine="480"/>
        <w:rPr>
          <w:rFonts w:ascii="宋体" w:hAnsi="宋体"/>
          <w:sz w:val="24"/>
          <w:szCs w:val="24"/>
        </w:rPr>
      </w:pPr>
      <w:r>
        <w:rPr>
          <w:rFonts w:hint="eastAsia" w:ascii="宋体" w:hAnsi="宋体"/>
          <w:sz w:val="24"/>
          <w:szCs w:val="24"/>
        </w:rPr>
        <w:t>2.1满足招标公告中供应商的资格要求的规定。</w:t>
      </w:r>
    </w:p>
    <w:p>
      <w:pPr>
        <w:spacing w:line="440" w:lineRule="exact"/>
        <w:ind w:firstLine="480"/>
        <w:rPr>
          <w:rFonts w:ascii="宋体" w:hAnsi="宋体"/>
          <w:sz w:val="24"/>
          <w:szCs w:val="24"/>
        </w:rPr>
      </w:pPr>
      <w:r>
        <w:rPr>
          <w:rFonts w:hint="eastAsia" w:ascii="宋体" w:hAnsi="宋体"/>
          <w:sz w:val="24"/>
          <w:szCs w:val="24"/>
        </w:rPr>
        <w:t>2.2 满足本文件实质性条款的规定。</w:t>
      </w:r>
    </w:p>
    <w:p>
      <w:pPr>
        <w:pStyle w:val="5"/>
        <w:spacing w:before="0" w:after="0" w:line="440" w:lineRule="exact"/>
        <w:ind w:firstLine="420"/>
        <w:rPr>
          <w:b w:val="0"/>
          <w:bCs w:val="0"/>
        </w:rPr>
      </w:pPr>
      <w:bookmarkStart w:id="55" w:name="_Toc20823278"/>
      <w:bookmarkStart w:id="56" w:name="_Toc16938522"/>
      <w:bookmarkStart w:id="57" w:name="_Toc513029206"/>
      <w:r>
        <w:rPr>
          <w:rFonts w:hint="eastAsia"/>
          <w:b w:val="0"/>
          <w:bCs w:val="0"/>
        </w:rPr>
        <w:t>3、适用法律</w:t>
      </w:r>
      <w:bookmarkEnd w:id="55"/>
      <w:bookmarkEnd w:id="56"/>
      <w:bookmarkEnd w:id="57"/>
    </w:p>
    <w:p>
      <w:pPr>
        <w:spacing w:line="440" w:lineRule="exact"/>
        <w:ind w:firstLine="48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pPr>
        <w:pStyle w:val="5"/>
        <w:spacing w:before="0" w:after="0" w:line="440" w:lineRule="exact"/>
        <w:ind w:firstLine="420"/>
        <w:rPr>
          <w:b w:val="0"/>
          <w:bCs w:val="0"/>
        </w:rPr>
      </w:pPr>
      <w:bookmarkStart w:id="58" w:name="_Toc16938523"/>
      <w:bookmarkStart w:id="59" w:name="_Toc513029207"/>
      <w:bookmarkStart w:id="60" w:name="_Toc462564067"/>
      <w:bookmarkStart w:id="61" w:name="_Toc20823279"/>
      <w:r>
        <w:rPr>
          <w:rFonts w:hint="eastAsia"/>
          <w:b w:val="0"/>
          <w:bCs w:val="0"/>
        </w:rPr>
        <w:t>4、投标费用</w:t>
      </w:r>
      <w:bookmarkEnd w:id="58"/>
      <w:bookmarkEnd w:id="59"/>
      <w:bookmarkEnd w:id="60"/>
      <w:bookmarkEnd w:id="61"/>
    </w:p>
    <w:p>
      <w:pPr>
        <w:spacing w:line="440" w:lineRule="exact"/>
        <w:ind w:firstLine="480"/>
        <w:rPr>
          <w:rFonts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投标人应自行承担所有与参加投标有关的费用，无论投标过程中的做法和结果如何，采购人在任何情况下均无义务和责任承担这些费用。</w:t>
      </w:r>
    </w:p>
    <w:p>
      <w:pPr>
        <w:spacing w:line="440" w:lineRule="exact"/>
        <w:ind w:firstLine="480"/>
        <w:rPr>
          <w:rFonts w:ascii="宋体" w:hAnsi="宋体"/>
          <w:sz w:val="24"/>
          <w:szCs w:val="24"/>
        </w:rPr>
      </w:pPr>
      <w:r>
        <w:rPr>
          <w:rFonts w:hint="eastAsia" w:ascii="宋体" w:hAnsi="宋体"/>
          <w:sz w:val="24"/>
        </w:rPr>
        <w:t>4.2</w:t>
      </w:r>
      <w:r>
        <w:rPr>
          <w:rFonts w:hint="eastAsia" w:ascii="宋体" w:hAnsi="宋体" w:cs="宋体"/>
          <w:sz w:val="24"/>
          <w:szCs w:val="24"/>
        </w:rPr>
        <w:t>本次招标不收取标书工本费。</w:t>
      </w:r>
    </w:p>
    <w:p>
      <w:pPr>
        <w:pStyle w:val="5"/>
        <w:spacing w:before="0" w:after="0" w:line="440" w:lineRule="exact"/>
        <w:ind w:firstLine="452"/>
        <w:rPr>
          <w:rFonts w:ascii="黑体" w:hAnsi="宋体"/>
          <w:b w:val="0"/>
          <w:bCs w:val="0"/>
        </w:rPr>
      </w:pPr>
      <w:r>
        <w:rPr>
          <w:rFonts w:hint="eastAsia" w:ascii="宋体" w:hAnsi="宋体"/>
          <w:sz w:val="30"/>
        </w:rPr>
        <w:t>5、</w:t>
      </w:r>
      <w:r>
        <w:rPr>
          <w:rFonts w:hint="eastAsia" w:ascii="黑体" w:hAnsi="宋体"/>
          <w:b w:val="0"/>
          <w:bCs w:val="0"/>
        </w:rPr>
        <w:t>招标文件的约束力</w:t>
      </w:r>
    </w:p>
    <w:p>
      <w:pPr>
        <w:spacing w:line="440" w:lineRule="exact"/>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p>
    <w:p>
      <w:pPr>
        <w:pStyle w:val="5"/>
        <w:spacing w:before="0" w:after="0" w:line="440" w:lineRule="exact"/>
        <w:ind w:firstLine="420"/>
        <w:rPr>
          <w:rFonts w:ascii="黑体" w:hAnsi="宋体"/>
          <w:b w:val="0"/>
          <w:bCs w:val="0"/>
        </w:rPr>
      </w:pPr>
      <w:r>
        <w:rPr>
          <w:rFonts w:hint="eastAsia" w:ascii="黑体" w:hAnsi="宋体"/>
          <w:b w:val="0"/>
          <w:bCs w:val="0"/>
        </w:rPr>
        <w:t>6、招标文件的解释</w:t>
      </w:r>
    </w:p>
    <w:p>
      <w:pPr>
        <w:spacing w:line="440" w:lineRule="exact"/>
        <w:ind w:firstLine="480"/>
        <w:rPr>
          <w:rFonts w:ascii="宋体" w:hAnsi="宋体"/>
          <w:bCs/>
          <w:sz w:val="24"/>
          <w:szCs w:val="24"/>
        </w:rPr>
      </w:pPr>
      <w:r>
        <w:rPr>
          <w:rFonts w:hint="eastAsia" w:ascii="宋体" w:hAnsi="宋体"/>
          <w:bCs/>
          <w:sz w:val="24"/>
          <w:szCs w:val="24"/>
        </w:rPr>
        <w:t>6.1 本招标文件由</w:t>
      </w:r>
      <w:r>
        <w:rPr>
          <w:rFonts w:hint="eastAsia" w:ascii="宋体" w:hAnsi="宋体"/>
          <w:bCs/>
          <w:sz w:val="24"/>
        </w:rPr>
        <w:t>采购人</w:t>
      </w:r>
      <w:r>
        <w:rPr>
          <w:rFonts w:hint="eastAsia" w:ascii="宋体" w:hAnsi="宋体"/>
          <w:bCs/>
          <w:sz w:val="24"/>
          <w:szCs w:val="24"/>
        </w:rPr>
        <w:t>负责解释。</w:t>
      </w:r>
    </w:p>
    <w:p>
      <w:pPr>
        <w:pStyle w:val="2"/>
        <w:spacing w:before="145" w:after="145" w:line="440" w:lineRule="exact"/>
        <w:ind w:firstLine="321"/>
      </w:pPr>
      <w:bookmarkStart w:id="62" w:name="_Toc16938525"/>
      <w:bookmarkStart w:id="63" w:name="_Toc513029209"/>
      <w:bookmarkStart w:id="64" w:name="_Toc20823281"/>
      <w:bookmarkStart w:id="65" w:name="_Toc120614215"/>
      <w:r>
        <w:rPr>
          <w:rFonts w:hint="eastAsia"/>
        </w:rPr>
        <w:t>二、招标文件</w:t>
      </w:r>
      <w:bookmarkEnd w:id="62"/>
      <w:bookmarkEnd w:id="63"/>
      <w:bookmarkEnd w:id="64"/>
      <w:bookmarkEnd w:id="65"/>
    </w:p>
    <w:p>
      <w:pPr>
        <w:pStyle w:val="5"/>
        <w:spacing w:before="0" w:after="0" w:line="440" w:lineRule="exact"/>
        <w:ind w:firstLine="420"/>
        <w:rPr>
          <w:b w:val="0"/>
          <w:bCs w:val="0"/>
        </w:rPr>
      </w:pPr>
      <w:bookmarkStart w:id="66" w:name="_Toc16938526"/>
      <w:bookmarkStart w:id="67" w:name="_Toc20823282"/>
      <w:bookmarkStart w:id="68" w:name="_Toc513029210"/>
      <w:r>
        <w:rPr>
          <w:rFonts w:hint="eastAsia"/>
          <w:b w:val="0"/>
          <w:bCs w:val="0"/>
        </w:rPr>
        <w:t>7、招标文件构成</w:t>
      </w:r>
      <w:bookmarkEnd w:id="66"/>
      <w:bookmarkEnd w:id="67"/>
      <w:bookmarkEnd w:id="68"/>
    </w:p>
    <w:p>
      <w:pPr>
        <w:spacing w:line="440" w:lineRule="exact"/>
        <w:ind w:firstLine="480"/>
        <w:rPr>
          <w:rFonts w:ascii="宋体" w:hAnsi="宋体"/>
          <w:sz w:val="24"/>
        </w:rPr>
      </w:pPr>
      <w:r>
        <w:rPr>
          <w:rFonts w:hint="eastAsia" w:ascii="宋体" w:hAnsi="宋体"/>
          <w:bCs/>
          <w:sz w:val="24"/>
        </w:rPr>
        <w:t>7.1</w:t>
      </w:r>
      <w:r>
        <w:rPr>
          <w:rFonts w:hint="eastAsia" w:ascii="宋体" w:hAnsi="宋体"/>
          <w:sz w:val="24"/>
        </w:rPr>
        <w:t xml:space="preserve"> 招标文件有以下部分组成：</w:t>
      </w:r>
    </w:p>
    <w:p>
      <w:pPr>
        <w:spacing w:line="440" w:lineRule="exact"/>
        <w:ind w:firstLine="360"/>
        <w:rPr>
          <w:rFonts w:ascii="宋体" w:hAnsi="宋体"/>
          <w:sz w:val="24"/>
          <w:szCs w:val="24"/>
        </w:rPr>
      </w:pPr>
      <w:r>
        <w:rPr>
          <w:rFonts w:hint="eastAsia" w:ascii="宋体" w:hAnsi="宋体"/>
          <w:sz w:val="24"/>
          <w:szCs w:val="24"/>
        </w:rPr>
        <w:t>（1）招标公告</w:t>
      </w:r>
    </w:p>
    <w:p>
      <w:pPr>
        <w:spacing w:line="440" w:lineRule="exact"/>
        <w:ind w:firstLine="360"/>
        <w:rPr>
          <w:rFonts w:ascii="宋体" w:hAnsi="宋体"/>
          <w:sz w:val="24"/>
          <w:szCs w:val="24"/>
        </w:rPr>
      </w:pPr>
      <w:r>
        <w:rPr>
          <w:rFonts w:hint="eastAsia" w:ascii="宋体" w:hAnsi="宋体"/>
          <w:sz w:val="24"/>
          <w:szCs w:val="24"/>
        </w:rPr>
        <w:t>（2）投标人须知</w:t>
      </w:r>
    </w:p>
    <w:p>
      <w:pPr>
        <w:spacing w:line="440" w:lineRule="exact"/>
        <w:ind w:firstLine="360"/>
        <w:rPr>
          <w:rFonts w:ascii="宋体" w:hAnsi="宋体"/>
          <w:sz w:val="24"/>
          <w:szCs w:val="24"/>
        </w:rPr>
      </w:pPr>
      <w:r>
        <w:rPr>
          <w:rFonts w:hint="eastAsia" w:ascii="宋体" w:hAnsi="宋体"/>
          <w:sz w:val="24"/>
          <w:szCs w:val="24"/>
        </w:rPr>
        <w:t>（3）合同条款及格式</w:t>
      </w:r>
    </w:p>
    <w:p>
      <w:pPr>
        <w:spacing w:line="440" w:lineRule="exact"/>
        <w:ind w:firstLine="360"/>
        <w:rPr>
          <w:rFonts w:ascii="宋体" w:hAnsi="宋体"/>
          <w:sz w:val="24"/>
          <w:szCs w:val="24"/>
        </w:rPr>
      </w:pPr>
      <w:r>
        <w:rPr>
          <w:rFonts w:hint="eastAsia" w:ascii="宋体" w:hAnsi="宋体"/>
          <w:sz w:val="24"/>
          <w:szCs w:val="24"/>
        </w:rPr>
        <w:t>（4）项目需求</w:t>
      </w:r>
    </w:p>
    <w:p>
      <w:pPr>
        <w:spacing w:line="440" w:lineRule="exact"/>
        <w:ind w:firstLine="360"/>
        <w:rPr>
          <w:sz w:val="24"/>
          <w:szCs w:val="24"/>
        </w:rPr>
      </w:pPr>
      <w:r>
        <w:rPr>
          <w:rFonts w:hint="eastAsia" w:ascii="宋体" w:hAnsi="宋体"/>
          <w:sz w:val="24"/>
          <w:szCs w:val="24"/>
        </w:rPr>
        <w:t>（5）</w:t>
      </w:r>
      <w:r>
        <w:rPr>
          <w:rFonts w:hint="eastAsia" w:hAnsi="宋体"/>
          <w:sz w:val="24"/>
          <w:szCs w:val="24"/>
        </w:rPr>
        <w:t>评标方法与评标标准</w:t>
      </w:r>
    </w:p>
    <w:p>
      <w:pPr>
        <w:spacing w:line="440" w:lineRule="exact"/>
        <w:ind w:firstLine="360"/>
        <w:rPr>
          <w:highlight w:val="green"/>
        </w:rPr>
      </w:pPr>
      <w:r>
        <w:rPr>
          <w:rFonts w:hint="eastAsia" w:ascii="宋体" w:hAnsi="宋体"/>
          <w:sz w:val="24"/>
          <w:szCs w:val="24"/>
        </w:rPr>
        <w:t>（6）投标文件格式</w:t>
      </w:r>
    </w:p>
    <w:p>
      <w:pPr>
        <w:spacing w:line="440" w:lineRule="exact"/>
        <w:ind w:firstLine="480"/>
        <w:rPr>
          <w:rFonts w:ascii="宋体" w:hAnsi="宋体"/>
          <w:sz w:val="24"/>
        </w:rPr>
      </w:pPr>
      <w:r>
        <w:rPr>
          <w:rFonts w:hint="eastAsia" w:ascii="宋体" w:hAnsi="宋体"/>
          <w:sz w:val="24"/>
        </w:rPr>
        <w:t>请仔细检查招标文件是否齐全，如有缺漏请立即与采购人联系解决。</w:t>
      </w:r>
    </w:p>
    <w:p>
      <w:pPr>
        <w:spacing w:line="440" w:lineRule="exact"/>
        <w:ind w:firstLine="480"/>
        <w:rPr>
          <w:rFonts w:ascii="宋体" w:hAnsi="宋体"/>
          <w:sz w:val="24"/>
        </w:rPr>
      </w:pPr>
      <w:r>
        <w:rPr>
          <w:rFonts w:hint="eastAsia" w:ascii="宋体" w:hAnsi="宋体"/>
          <w:bCs/>
          <w:sz w:val="24"/>
        </w:rPr>
        <w:t>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5"/>
        <w:spacing w:before="0" w:after="0" w:line="440" w:lineRule="exact"/>
        <w:ind w:firstLine="420"/>
        <w:rPr>
          <w:b w:val="0"/>
          <w:bCs w:val="0"/>
        </w:rPr>
      </w:pPr>
      <w:bookmarkStart w:id="69" w:name="_Toc462564070"/>
      <w:bookmarkStart w:id="70" w:name="_Toc513029211"/>
      <w:bookmarkStart w:id="71" w:name="_Toc20823283"/>
      <w:bookmarkStart w:id="72" w:name="_Toc16938527"/>
      <w:r>
        <w:rPr>
          <w:rFonts w:hint="eastAsia"/>
          <w:b w:val="0"/>
          <w:bCs w:val="0"/>
        </w:rPr>
        <w:t>8、招标文件的</w:t>
      </w:r>
      <w:bookmarkEnd w:id="69"/>
      <w:bookmarkEnd w:id="70"/>
      <w:bookmarkEnd w:id="71"/>
      <w:bookmarkEnd w:id="72"/>
      <w:r>
        <w:rPr>
          <w:rFonts w:hint="eastAsia"/>
          <w:b w:val="0"/>
          <w:bCs w:val="0"/>
        </w:rPr>
        <w:t>询问</w:t>
      </w:r>
    </w:p>
    <w:p>
      <w:pPr>
        <w:spacing w:line="440" w:lineRule="exact"/>
        <w:ind w:firstLine="480"/>
        <w:rPr>
          <w:rFonts w:ascii="宋体" w:hAnsi="宋体"/>
          <w:sz w:val="24"/>
        </w:rPr>
      </w:pPr>
      <w:r>
        <w:rPr>
          <w:rFonts w:hint="eastAsia" w:ascii="宋体" w:hAnsi="宋体"/>
          <w:bCs/>
          <w:sz w:val="24"/>
        </w:rPr>
        <w:t>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按招标公告中的通讯地址，向采购人提出。</w:t>
      </w:r>
    </w:p>
    <w:p>
      <w:pPr>
        <w:spacing w:line="440" w:lineRule="exact"/>
        <w:ind w:firstLine="480"/>
        <w:rPr>
          <w:rFonts w:ascii="宋体" w:hAnsi="宋体"/>
          <w:bCs/>
          <w:sz w:val="24"/>
        </w:rPr>
      </w:pPr>
      <w:r>
        <w:rPr>
          <w:rFonts w:hint="eastAsia" w:ascii="宋体" w:hAnsi="宋体"/>
          <w:bCs/>
          <w:sz w:val="24"/>
        </w:rPr>
        <w:t>8.2针对“苏采云”系统有关的询问，投标人应联系系统开发公司，采购人不负责答复。</w:t>
      </w:r>
    </w:p>
    <w:p>
      <w:pPr>
        <w:pStyle w:val="5"/>
        <w:spacing w:before="0" w:after="0" w:line="440" w:lineRule="exact"/>
        <w:ind w:firstLine="420"/>
        <w:rPr>
          <w:b w:val="0"/>
          <w:bCs w:val="0"/>
        </w:rPr>
      </w:pPr>
      <w:bookmarkStart w:id="73" w:name="_Toc513029212"/>
      <w:bookmarkStart w:id="74" w:name="_Toc20823284"/>
      <w:bookmarkStart w:id="75" w:name="_Toc16938528"/>
      <w:bookmarkStart w:id="76" w:name="_Toc462564071"/>
      <w:r>
        <w:rPr>
          <w:rFonts w:hint="eastAsia"/>
          <w:b w:val="0"/>
          <w:bCs w:val="0"/>
        </w:rPr>
        <w:t>9、招标文件的修改</w:t>
      </w:r>
      <w:bookmarkEnd w:id="73"/>
      <w:bookmarkEnd w:id="74"/>
      <w:bookmarkEnd w:id="75"/>
      <w:bookmarkEnd w:id="76"/>
    </w:p>
    <w:p>
      <w:pPr>
        <w:spacing w:line="440" w:lineRule="exact"/>
        <w:ind w:firstLine="480"/>
        <w:rPr>
          <w:rFonts w:ascii="宋体" w:hAnsi="宋体"/>
          <w:sz w:val="24"/>
        </w:rPr>
      </w:pPr>
      <w:r>
        <w:rPr>
          <w:rFonts w:hint="eastAsia" w:ascii="宋体" w:hAnsi="宋体"/>
          <w:bCs/>
          <w:sz w:val="24"/>
        </w:rPr>
        <w:t>9.1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w:t>
      </w:r>
      <w:r>
        <w:rPr>
          <w:rFonts w:hint="eastAsia" w:ascii="宋体" w:hAnsi="宋体"/>
          <w:bCs/>
          <w:sz w:val="24"/>
        </w:rPr>
        <w:t>采购人</w:t>
      </w:r>
      <w:r>
        <w:rPr>
          <w:rFonts w:hint="eastAsia" w:ascii="宋体" w:hAnsi="宋体"/>
          <w:sz w:val="24"/>
        </w:rPr>
        <w:t>可以对招标文件进行修改。</w:t>
      </w:r>
    </w:p>
    <w:p>
      <w:pPr>
        <w:spacing w:line="440" w:lineRule="exact"/>
        <w:ind w:firstLine="480"/>
        <w:rPr>
          <w:rFonts w:ascii="宋体" w:hAnsi="Arial"/>
          <w:sz w:val="28"/>
        </w:rPr>
      </w:pPr>
      <w:r>
        <w:rPr>
          <w:rFonts w:hint="eastAsia" w:ascii="宋体" w:hAnsi="宋体"/>
          <w:bCs/>
          <w:sz w:val="24"/>
        </w:rPr>
        <w:t>9.2</w:t>
      </w:r>
      <w:r>
        <w:rPr>
          <w:rFonts w:hint="eastAsia" w:ascii="宋体" w:hAnsi="宋体"/>
          <w:sz w:val="24"/>
        </w:rPr>
        <w:t xml:space="preserve"> 采购人</w:t>
      </w:r>
      <w:r>
        <w:rPr>
          <w:rFonts w:hint="eastAsia" w:ascii="宋体" w:hAnsi="宋体"/>
          <w:sz w:val="24"/>
          <w:szCs w:val="24"/>
        </w:rPr>
        <w:t>有权依法</w:t>
      </w:r>
      <w:r>
        <w:rPr>
          <w:rFonts w:hint="eastAsia" w:ascii="宋体" w:hAnsi="宋体"/>
          <w:sz w:val="24"/>
        </w:rPr>
        <w:t>推迟投标截止日期和开标日期。</w:t>
      </w:r>
    </w:p>
    <w:p>
      <w:pPr>
        <w:spacing w:line="440" w:lineRule="exact"/>
        <w:ind w:firstLine="480"/>
        <w:rPr>
          <w:rFonts w:ascii="宋体" w:hAnsi="宋体"/>
          <w:sz w:val="24"/>
        </w:rPr>
      </w:pPr>
      <w:r>
        <w:rPr>
          <w:rFonts w:hint="eastAsia" w:ascii="宋体" w:hAnsi="宋体"/>
          <w:bCs/>
          <w:sz w:val="24"/>
        </w:rPr>
        <w:t>9.3</w:t>
      </w:r>
      <w:r>
        <w:rPr>
          <w:rFonts w:hint="eastAsia" w:ascii="宋体" w:hAnsi="宋体"/>
          <w:sz w:val="24"/>
        </w:rPr>
        <w:t>招标文件的修改将在</w:t>
      </w:r>
      <w:r>
        <w:rPr>
          <w:rFonts w:hint="eastAsia" w:ascii="宋体" w:hAnsi="宋体"/>
          <w:bCs/>
          <w:sz w:val="24"/>
        </w:rPr>
        <w:t>江苏政府采购网、</w:t>
      </w:r>
      <w:r>
        <w:rPr>
          <w:rFonts w:hint="eastAsia" w:ascii="宋体" w:hAnsi="宋体"/>
          <w:sz w:val="24"/>
        </w:rPr>
        <w:t>盐城市政府采购网</w:t>
      </w:r>
      <w:r>
        <w:rPr>
          <w:rFonts w:hint="eastAsia" w:ascii="宋体" w:hAnsi="宋体"/>
          <w:bCs/>
          <w:sz w:val="24"/>
        </w:rPr>
        <w:t>、滨海县人民政府网</w:t>
      </w:r>
      <w:r>
        <w:rPr>
          <w:rFonts w:hint="eastAsia" w:ascii="宋体" w:hAnsi="宋体"/>
          <w:sz w:val="24"/>
        </w:rPr>
        <w:t>公布，</w:t>
      </w:r>
      <w:r>
        <w:rPr>
          <w:rFonts w:hint="eastAsia" w:ascii="宋体" w:hAnsi="宋体"/>
          <w:sz w:val="24"/>
          <w:szCs w:val="24"/>
        </w:rPr>
        <w:t>补充文件将作为招标文件的组成部分，</w:t>
      </w:r>
      <w:r>
        <w:rPr>
          <w:rFonts w:hint="eastAsia" w:ascii="宋体" w:hAnsi="宋体"/>
          <w:sz w:val="24"/>
        </w:rPr>
        <w:t>并对投标人具有约束力。</w:t>
      </w:r>
    </w:p>
    <w:p>
      <w:pPr>
        <w:pStyle w:val="2"/>
        <w:spacing w:before="145" w:after="145" w:line="440" w:lineRule="exact"/>
        <w:ind w:firstLine="321"/>
      </w:pPr>
      <w:bookmarkStart w:id="77" w:name="_Toc120614216"/>
      <w:bookmarkStart w:id="78" w:name="_Toc16938529"/>
      <w:bookmarkStart w:id="79" w:name="_Toc462564072"/>
      <w:bookmarkStart w:id="80" w:name="_Toc20823285"/>
      <w:bookmarkStart w:id="81" w:name="_Toc513029213"/>
      <w:r>
        <w:rPr>
          <w:rFonts w:hint="eastAsia"/>
        </w:rPr>
        <w:t>三、投标文件的编制</w:t>
      </w:r>
      <w:bookmarkEnd w:id="77"/>
      <w:bookmarkEnd w:id="78"/>
      <w:bookmarkEnd w:id="79"/>
      <w:bookmarkEnd w:id="80"/>
      <w:bookmarkEnd w:id="81"/>
    </w:p>
    <w:p>
      <w:pPr>
        <w:pStyle w:val="5"/>
        <w:spacing w:before="0" w:after="0" w:line="440" w:lineRule="exact"/>
        <w:ind w:firstLine="420"/>
        <w:rPr>
          <w:bCs w:val="0"/>
        </w:rPr>
      </w:pPr>
      <w:bookmarkStart w:id="82" w:name="_Toc462564073"/>
      <w:bookmarkStart w:id="83" w:name="_Toc513029214"/>
      <w:bookmarkStart w:id="84" w:name="_Toc16938530"/>
      <w:bookmarkStart w:id="85" w:name="_Toc20823286"/>
      <w:r>
        <w:rPr>
          <w:rFonts w:hint="eastAsia"/>
          <w:b w:val="0"/>
          <w:bCs w:val="0"/>
        </w:rPr>
        <w:t>10、投标文件的语言及度量衡单位</w:t>
      </w:r>
      <w:bookmarkEnd w:id="82"/>
      <w:bookmarkEnd w:id="83"/>
      <w:bookmarkEnd w:id="84"/>
      <w:bookmarkEnd w:id="85"/>
    </w:p>
    <w:p>
      <w:pPr>
        <w:spacing w:line="440" w:lineRule="exact"/>
        <w:ind w:firstLine="480"/>
        <w:rPr>
          <w:rFonts w:ascii="宋体" w:hAnsi="宋体"/>
          <w:sz w:val="24"/>
        </w:rPr>
      </w:pPr>
      <w:r>
        <w:rPr>
          <w:rFonts w:hint="eastAsia" w:ascii="宋体" w:hAnsi="宋体"/>
          <w:bCs/>
          <w:sz w:val="24"/>
        </w:rPr>
        <w:t>10.1</w:t>
      </w:r>
      <w:r>
        <w:rPr>
          <w:rFonts w:hint="eastAsia" w:ascii="宋体" w:hAnsi="宋体"/>
          <w:sz w:val="24"/>
        </w:rPr>
        <w:t>.投标人提交的投标文件以及投标人与采购人就有关投标的所有来往通知、函件和文件均应使用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。如投标文件中包含外文内容的，应主动提供简体中文译本。</w:t>
      </w:r>
    </w:p>
    <w:p>
      <w:pPr>
        <w:spacing w:line="440" w:lineRule="exact"/>
        <w:ind w:firstLine="480"/>
        <w:rPr>
          <w:rFonts w:ascii="宋体" w:hAnsi="宋体"/>
          <w:sz w:val="24"/>
        </w:rPr>
      </w:pPr>
      <w:r>
        <w:rPr>
          <w:rFonts w:hint="eastAsia" w:ascii="宋体" w:hAnsi="宋体"/>
          <w:bCs/>
          <w:sz w:val="24"/>
        </w:rPr>
        <w:t>10.2</w:t>
      </w:r>
      <w:r>
        <w:rPr>
          <w:rFonts w:hint="eastAsia" w:ascii="宋体" w:hAnsi="宋体"/>
          <w:sz w:val="24"/>
        </w:rPr>
        <w:t>.除技术性能另有规定外，投标文件所使用的度量衡单位，均须采用国家法定计量单位。</w:t>
      </w:r>
    </w:p>
    <w:p>
      <w:pPr>
        <w:pStyle w:val="5"/>
        <w:spacing w:before="0" w:after="0" w:line="440" w:lineRule="exact"/>
        <w:ind w:firstLine="420"/>
        <w:rPr>
          <w:b w:val="0"/>
          <w:bCs w:val="0"/>
        </w:rPr>
      </w:pPr>
      <w:bookmarkStart w:id="86" w:name="_Toc462564074"/>
      <w:bookmarkStart w:id="87" w:name="_Toc20823287"/>
      <w:bookmarkStart w:id="88" w:name="_Toc513029215"/>
      <w:bookmarkStart w:id="89" w:name="_Toc16938531"/>
      <w:r>
        <w:rPr>
          <w:rFonts w:hint="eastAsia"/>
          <w:b w:val="0"/>
          <w:bCs w:val="0"/>
        </w:rPr>
        <w:t>11、投标文件构成</w:t>
      </w:r>
      <w:bookmarkEnd w:id="86"/>
      <w:bookmarkEnd w:id="87"/>
      <w:bookmarkEnd w:id="88"/>
      <w:bookmarkEnd w:id="89"/>
    </w:p>
    <w:p>
      <w:pPr>
        <w:spacing w:line="440" w:lineRule="exact"/>
        <w:ind w:firstLine="480"/>
        <w:rPr>
          <w:rFonts w:ascii="宋体" w:hAnsi="宋体"/>
          <w:bCs/>
          <w:sz w:val="24"/>
        </w:rPr>
      </w:pPr>
      <w:bookmarkStart w:id="90" w:name="_Toc513029216"/>
      <w:bookmarkStart w:id="91" w:name="_Toc14577357"/>
      <w:bookmarkStart w:id="92" w:name="_Toc49090509"/>
      <w:bookmarkStart w:id="93" w:name="_Toc49090507"/>
      <w:bookmarkStart w:id="94" w:name="_Toc14577354"/>
      <w:bookmarkStart w:id="95" w:name="_Toc513029219"/>
      <w:r>
        <w:rPr>
          <w:rFonts w:hint="eastAsia" w:ascii="宋体" w:hAnsi="宋体"/>
          <w:bCs/>
          <w:sz w:val="24"/>
        </w:rPr>
        <w:t>11.1法人授权书</w:t>
      </w:r>
      <w:r>
        <w:rPr>
          <w:rFonts w:hint="eastAsia" w:ascii="宋体" w:hAnsi="宋体"/>
          <w:sz w:val="24"/>
          <w:szCs w:val="24"/>
        </w:rPr>
        <w:t>（格式附后）</w:t>
      </w:r>
    </w:p>
    <w:p>
      <w:pPr>
        <w:spacing w:line="440" w:lineRule="exact"/>
        <w:ind w:firstLine="480"/>
        <w:rPr>
          <w:rFonts w:ascii="宋体" w:hAnsi="宋体"/>
          <w:bCs/>
          <w:sz w:val="24"/>
        </w:rPr>
      </w:pPr>
      <w:r>
        <w:rPr>
          <w:rFonts w:hint="eastAsia" w:ascii="宋体" w:hAnsi="宋体"/>
          <w:bCs/>
          <w:sz w:val="24"/>
        </w:rPr>
        <w:t>11.2投标函</w:t>
      </w:r>
      <w:r>
        <w:rPr>
          <w:rFonts w:hint="eastAsia" w:ascii="宋体" w:hAnsi="宋体"/>
          <w:sz w:val="24"/>
          <w:szCs w:val="24"/>
        </w:rPr>
        <w:t>（格式附后）</w:t>
      </w:r>
    </w:p>
    <w:p>
      <w:pPr>
        <w:spacing w:line="440" w:lineRule="exact"/>
        <w:ind w:firstLine="480"/>
        <w:rPr>
          <w:rFonts w:ascii="宋体" w:hAnsi="宋体"/>
          <w:bCs/>
          <w:sz w:val="24"/>
        </w:rPr>
      </w:pPr>
      <w:r>
        <w:rPr>
          <w:rFonts w:hint="eastAsia" w:ascii="宋体" w:hAnsi="宋体"/>
          <w:bCs/>
          <w:sz w:val="24"/>
        </w:rPr>
        <w:t>11.3开标一览表</w:t>
      </w:r>
      <w:r>
        <w:rPr>
          <w:rFonts w:hint="eastAsia" w:ascii="宋体" w:hAnsi="宋体"/>
          <w:sz w:val="24"/>
          <w:szCs w:val="24"/>
        </w:rPr>
        <w:t>（格式附后）</w:t>
      </w:r>
    </w:p>
    <w:p>
      <w:pPr>
        <w:spacing w:line="440" w:lineRule="exact"/>
        <w:ind w:firstLine="480"/>
        <w:rPr>
          <w:rFonts w:ascii="宋体" w:hAnsi="宋体"/>
          <w:bCs/>
          <w:sz w:val="24"/>
        </w:rPr>
      </w:pPr>
      <w:r>
        <w:rPr>
          <w:rFonts w:hint="eastAsia" w:ascii="宋体" w:hAnsi="宋体"/>
          <w:bCs/>
          <w:sz w:val="24"/>
        </w:rPr>
        <w:t>11.4资格证明文件</w:t>
      </w:r>
    </w:p>
    <w:p>
      <w:pPr>
        <w:spacing w:line="440" w:lineRule="exact"/>
        <w:ind w:firstLine="480"/>
        <w:rPr>
          <w:rFonts w:ascii="宋体" w:hAnsi="宋体"/>
          <w:bCs/>
          <w:sz w:val="24"/>
        </w:rPr>
      </w:pPr>
      <w:r>
        <w:rPr>
          <w:rFonts w:hint="eastAsia" w:ascii="宋体" w:hAnsi="宋体"/>
          <w:bCs/>
          <w:sz w:val="24"/>
        </w:rPr>
        <w:t>（1）法人或者其他组织的营业执照等证明文件，自然人的身份证明</w:t>
      </w:r>
    </w:p>
    <w:p>
      <w:pPr>
        <w:spacing w:line="440" w:lineRule="exact"/>
        <w:ind w:firstLine="480"/>
        <w:rPr>
          <w:rFonts w:ascii="宋体" w:hAnsi="宋体"/>
          <w:bCs/>
          <w:sz w:val="24"/>
        </w:rPr>
      </w:pPr>
      <w:r>
        <w:rPr>
          <w:rFonts w:hint="eastAsia" w:ascii="宋体" w:hAnsi="宋体"/>
          <w:bCs/>
          <w:sz w:val="24"/>
        </w:rPr>
        <w:t>（2）上一年度财务状况报表（成立不满一年不需提供）</w:t>
      </w:r>
    </w:p>
    <w:p>
      <w:pPr>
        <w:spacing w:line="440" w:lineRule="exact"/>
        <w:ind w:firstLine="480"/>
        <w:rPr>
          <w:rFonts w:hint="eastAsia" w:ascii="宋体" w:hAnsi="宋体"/>
          <w:bCs/>
          <w:sz w:val="24"/>
        </w:rPr>
      </w:pPr>
      <w:r>
        <w:rPr>
          <w:rFonts w:hint="eastAsia" w:ascii="宋体" w:hAnsi="宋体"/>
          <w:bCs/>
          <w:sz w:val="24"/>
        </w:rPr>
        <w:t>（3）依法缴纳税收和社会保障资金的相关材料</w:t>
      </w:r>
    </w:p>
    <w:p>
      <w:pPr>
        <w:spacing w:line="440" w:lineRule="exact"/>
        <w:ind w:firstLine="480"/>
        <w:rPr>
          <w:rFonts w:ascii="宋体" w:hAnsi="宋体"/>
          <w:bCs/>
          <w:sz w:val="24"/>
        </w:rPr>
      </w:pPr>
      <w:r>
        <w:rPr>
          <w:rFonts w:hint="eastAsia" w:ascii="宋体" w:hAnsi="宋体"/>
          <w:bCs/>
          <w:sz w:val="24"/>
        </w:rPr>
        <w:t>（</w:t>
      </w:r>
      <w:r>
        <w:rPr>
          <w:rFonts w:hint="eastAsia" w:ascii="宋体" w:hAnsi="宋体"/>
          <w:bCs/>
          <w:sz w:val="24"/>
          <w:lang w:val="en-US" w:eastAsia="zh-CN"/>
        </w:rPr>
        <w:t>4</w:t>
      </w:r>
      <w:r>
        <w:rPr>
          <w:rFonts w:hint="eastAsia" w:ascii="宋体" w:hAnsi="宋体"/>
          <w:bCs/>
          <w:sz w:val="24"/>
        </w:rPr>
        <w:t>）</w:t>
      </w:r>
      <w:r>
        <w:rPr>
          <w:rFonts w:hint="eastAsia" w:ascii="宋体" w:hAnsi="宋体"/>
          <w:bCs/>
          <w:sz w:val="24"/>
          <w:lang w:val="en-US" w:eastAsia="zh-CN"/>
        </w:rPr>
        <w:t>有</w:t>
      </w:r>
      <w:r>
        <w:rPr>
          <w:rFonts w:hint="eastAsia" w:ascii="宋体" w:hAnsi="宋体" w:eastAsia="宋体" w:cs="宋体"/>
          <w:sz w:val="24"/>
          <w:szCs w:val="24"/>
        </w:rPr>
        <w:t>效的计量认证CMA证书</w:t>
      </w:r>
    </w:p>
    <w:p>
      <w:pPr>
        <w:spacing w:line="44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5</w:t>
      </w:r>
      <w:r>
        <w:rPr>
          <w:rFonts w:hint="eastAsia" w:asciiTheme="minorEastAsia" w:hAnsiTheme="minorEastAsia" w:eastAsiaTheme="minorEastAsia"/>
          <w:bCs/>
          <w:sz w:val="24"/>
        </w:rPr>
        <w:t>）具备履行合同所必需的设备和专业技术能力证明材料（格式附后）</w:t>
      </w:r>
    </w:p>
    <w:p>
      <w:pPr>
        <w:spacing w:line="44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6</w:t>
      </w:r>
      <w:r>
        <w:rPr>
          <w:rFonts w:hint="eastAsia" w:asciiTheme="minorEastAsia" w:hAnsiTheme="minorEastAsia" w:eastAsiaTheme="minorEastAsia"/>
          <w:bCs/>
          <w:sz w:val="24"/>
        </w:rPr>
        <w:t>）参加政府采购活动前3年内在经营活动中没有重大违法记录的书面声明（格式附后）</w:t>
      </w:r>
    </w:p>
    <w:p>
      <w:pPr>
        <w:adjustRightInd w:val="0"/>
        <w:snapToGrid w:val="0"/>
        <w:spacing w:line="440" w:lineRule="exact"/>
        <w:ind w:firstLine="480" w:firstLineChars="200"/>
        <w:rPr>
          <w:rFonts w:asciiTheme="minorEastAsia" w:hAnsiTheme="minorEastAsia" w:eastAsiaTheme="minorEastAsia"/>
        </w:rPr>
      </w:pPr>
      <w:r>
        <w:rPr>
          <w:rFonts w:cs="宋体" w:asciiTheme="minorEastAsia" w:hAnsiTheme="minorEastAsia" w:eastAsiaTheme="minorEastAsia"/>
          <w:sz w:val="24"/>
        </w:rPr>
        <w:t>（</w:t>
      </w:r>
      <w:r>
        <w:rPr>
          <w:rFonts w:hint="eastAsia" w:cs="宋体" w:asciiTheme="minorEastAsia" w:hAnsiTheme="minorEastAsia" w:eastAsiaTheme="minorEastAsia"/>
          <w:sz w:val="24"/>
          <w:lang w:val="en-US" w:eastAsia="zh-CN"/>
        </w:rPr>
        <w:t>7</w:t>
      </w:r>
      <w:r>
        <w:rPr>
          <w:rFonts w:cs="宋体" w:asciiTheme="minorEastAsia" w:hAnsiTheme="minorEastAsia" w:eastAsiaTheme="minorEastAsia"/>
          <w:sz w:val="24"/>
        </w:rPr>
        <w:t>）未</w:t>
      </w:r>
      <w:r>
        <w:rPr>
          <w:rFonts w:cs="宋体" w:asciiTheme="minorEastAsia" w:hAnsiTheme="minorEastAsia" w:eastAsiaTheme="minorEastAsia"/>
          <w:color w:val="000000"/>
          <w:sz w:val="24"/>
        </w:rPr>
        <w:t>被“信用中国”网站（www.creditchina.gov.cn）列入失信被执行人、重大税收违法案件当事人名单、政府采购严重失信行为记录名单网站查询截图。</w:t>
      </w:r>
    </w:p>
    <w:p>
      <w:pPr>
        <w:pBdr>
          <w:top w:val="none" w:color="000000" w:sz="0" w:space="0"/>
          <w:left w:val="none" w:color="000000" w:sz="0" w:space="0"/>
          <w:bottom w:val="none" w:color="000000" w:sz="0" w:space="0"/>
          <w:right w:val="none" w:color="000000" w:sz="0" w:space="0"/>
        </w:pBdr>
        <w:spacing w:line="440" w:lineRule="exact"/>
        <w:ind w:firstLine="480"/>
        <w:rPr>
          <w:rFonts w:asciiTheme="minorEastAsia" w:hAnsiTheme="minorEastAsia" w:eastAsiaTheme="minorEastAsia"/>
        </w:rPr>
      </w:pPr>
      <w:r>
        <w:rPr>
          <w:rFonts w:cs="宋体" w:asciiTheme="minorEastAsia" w:hAnsiTheme="minorEastAsia" w:eastAsiaTheme="minorEastAsia"/>
          <w:color w:val="000000"/>
          <w:sz w:val="24"/>
        </w:rPr>
        <w:t>（</w:t>
      </w:r>
      <w:r>
        <w:rPr>
          <w:rFonts w:hint="eastAsia" w:cs="宋体" w:asciiTheme="minorEastAsia" w:hAnsiTheme="minorEastAsia" w:eastAsiaTheme="minorEastAsia"/>
          <w:color w:val="000000"/>
          <w:sz w:val="24"/>
          <w:lang w:val="en-US" w:eastAsia="zh-CN"/>
        </w:rPr>
        <w:t>8</w:t>
      </w:r>
      <w:r>
        <w:rPr>
          <w:rFonts w:cs="宋体" w:asciiTheme="minorEastAsia" w:hAnsiTheme="minorEastAsia" w:eastAsiaTheme="minorEastAsia"/>
          <w:color w:val="000000"/>
          <w:sz w:val="24"/>
        </w:rPr>
        <w:t>）投标人认为需要提供的其他资格要求材料</w:t>
      </w:r>
    </w:p>
    <w:p>
      <w:pPr>
        <w:spacing w:line="44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11.5盐城市政府采购事前信用承诺书（格式附后）</w:t>
      </w:r>
    </w:p>
    <w:p>
      <w:pPr>
        <w:pBdr>
          <w:top w:val="none" w:color="000000" w:sz="0" w:space="0"/>
          <w:left w:val="none" w:color="000000" w:sz="0" w:space="0"/>
          <w:bottom w:val="none" w:color="000000" w:sz="0" w:space="0"/>
          <w:right w:val="none" w:color="000000" w:sz="0" w:space="0"/>
        </w:pBdr>
        <w:spacing w:line="440" w:lineRule="exact"/>
        <w:ind w:firstLine="480"/>
        <w:rPr>
          <w:rFonts w:asciiTheme="minorEastAsia" w:hAnsiTheme="minorEastAsia" w:eastAsiaTheme="minorEastAsia"/>
        </w:rPr>
      </w:pPr>
      <w:r>
        <w:rPr>
          <w:rFonts w:hint="eastAsia" w:ascii="宋体" w:hAnsi="宋体"/>
          <w:bCs/>
          <w:sz w:val="24"/>
        </w:rPr>
        <w:t>11.6</w:t>
      </w:r>
      <w:r>
        <w:rPr>
          <w:rFonts w:cs="宋体" w:asciiTheme="minorEastAsia" w:hAnsiTheme="minorEastAsia" w:eastAsiaTheme="minorEastAsia"/>
          <w:color w:val="000000"/>
          <w:sz w:val="24"/>
        </w:rPr>
        <w:t>中小企业声明函（如为专门面向中小企业的项目，格式附后）</w:t>
      </w:r>
    </w:p>
    <w:p>
      <w:pPr>
        <w:spacing w:line="440" w:lineRule="exact"/>
        <w:ind w:firstLine="480"/>
        <w:rPr>
          <w:rFonts w:ascii="宋体" w:hAnsi="宋体"/>
          <w:bCs/>
          <w:sz w:val="24"/>
        </w:rPr>
      </w:pPr>
      <w:r>
        <w:rPr>
          <w:rFonts w:hint="eastAsia" w:ascii="宋体" w:hAnsi="宋体"/>
          <w:bCs/>
          <w:sz w:val="24"/>
        </w:rPr>
        <w:t>11.7 综合评分法要求提供供评委打分材料（详见综合评分表中）</w:t>
      </w:r>
    </w:p>
    <w:p>
      <w:pPr>
        <w:spacing w:line="440" w:lineRule="exact"/>
        <w:ind w:firstLine="480"/>
        <w:rPr>
          <w:rFonts w:ascii="宋体" w:hAnsi="宋体"/>
          <w:bCs/>
          <w:sz w:val="24"/>
        </w:rPr>
      </w:pPr>
      <w:r>
        <w:rPr>
          <w:rFonts w:hint="eastAsia" w:ascii="宋体" w:hAnsi="宋体"/>
          <w:bCs/>
          <w:sz w:val="24"/>
        </w:rPr>
        <w:t>特别提醒：项目需求响应材料：</w:t>
      </w:r>
    </w:p>
    <w:p>
      <w:pPr>
        <w:spacing w:line="440" w:lineRule="exact"/>
        <w:ind w:firstLine="480"/>
        <w:rPr>
          <w:rFonts w:ascii="宋体" w:hAnsi="宋体"/>
          <w:bCs/>
          <w:sz w:val="24"/>
        </w:rPr>
      </w:pPr>
      <w:r>
        <w:rPr>
          <w:rFonts w:hint="eastAsia" w:ascii="宋体" w:hAnsi="宋体"/>
          <w:bCs/>
          <w:sz w:val="24"/>
        </w:rPr>
        <w:t>（1）招标文件第四章项目需求中要求提供的相关材料</w:t>
      </w:r>
    </w:p>
    <w:p>
      <w:pPr>
        <w:spacing w:line="440" w:lineRule="exact"/>
        <w:ind w:firstLine="480"/>
        <w:rPr>
          <w:rFonts w:ascii="宋体" w:hAnsi="宋体"/>
          <w:bCs/>
          <w:sz w:val="24"/>
        </w:rPr>
      </w:pPr>
      <w:r>
        <w:rPr>
          <w:rFonts w:hint="eastAsia" w:ascii="宋体" w:hAnsi="宋体"/>
          <w:bCs/>
          <w:sz w:val="24"/>
        </w:rPr>
        <w:t>（2）投标人认为有必要提供的其他相关技术参数材料</w:t>
      </w:r>
    </w:p>
    <w:p>
      <w:pPr>
        <w:pStyle w:val="5"/>
        <w:spacing w:before="0" w:after="0" w:line="440" w:lineRule="exact"/>
        <w:ind w:firstLine="480"/>
        <w:rPr>
          <w:rFonts w:ascii="宋体" w:hAnsi="宋体" w:eastAsia="宋体" w:cs="Times New Roman"/>
          <w:b w:val="0"/>
          <w:sz w:val="24"/>
          <w:szCs w:val="21"/>
        </w:rPr>
      </w:pPr>
      <w:r>
        <w:rPr>
          <w:rFonts w:hint="eastAsia" w:ascii="宋体" w:hAnsi="宋体" w:eastAsia="宋体" w:cs="Times New Roman"/>
          <w:b w:val="0"/>
          <w:sz w:val="24"/>
          <w:szCs w:val="21"/>
        </w:rPr>
        <w:t>11.8 投标人认为有必要提供的其他材料</w:t>
      </w:r>
    </w:p>
    <w:bookmarkEnd w:id="90"/>
    <w:bookmarkEnd w:id="91"/>
    <w:bookmarkEnd w:id="92"/>
    <w:bookmarkEnd w:id="93"/>
    <w:bookmarkEnd w:id="94"/>
    <w:bookmarkEnd w:id="95"/>
    <w:p>
      <w:pPr>
        <w:pStyle w:val="5"/>
        <w:spacing w:before="0" w:after="0" w:line="440" w:lineRule="exact"/>
        <w:ind w:firstLine="420"/>
        <w:rPr>
          <w:b w:val="0"/>
          <w:bCs w:val="0"/>
        </w:rPr>
      </w:pPr>
      <w:bookmarkStart w:id="96" w:name="_Toc14577355"/>
      <w:bookmarkStart w:id="97" w:name="_Toc49090508"/>
      <w:r>
        <w:rPr>
          <w:rFonts w:hint="eastAsia"/>
          <w:b w:val="0"/>
          <w:bCs w:val="0"/>
        </w:rPr>
        <w:t>12、</w:t>
      </w:r>
      <w:bookmarkEnd w:id="96"/>
      <w:bookmarkEnd w:id="97"/>
      <w:r>
        <w:rPr>
          <w:rFonts w:hint="eastAsia"/>
          <w:b w:val="0"/>
          <w:bCs w:val="0"/>
        </w:rPr>
        <w:t>投标报价要求</w:t>
      </w:r>
    </w:p>
    <w:p>
      <w:pPr>
        <w:spacing w:line="440" w:lineRule="exact"/>
        <w:ind w:firstLine="480"/>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bCs/>
          <w:sz w:val="24"/>
        </w:rPr>
        <w:t>12.1</w:t>
      </w:r>
      <w:r>
        <w:rPr>
          <w:rFonts w:hint="eastAsia" w:ascii="宋体" w:hAnsi="宋体"/>
          <w:sz w:val="24"/>
        </w:rPr>
        <w:t>投</w:t>
      </w:r>
      <w:bookmarkStart w:id="98" w:name="_Hlt26954840"/>
      <w:bookmarkEnd w:id="98"/>
      <w:r>
        <w:rPr>
          <w:rFonts w:hint="eastAsia" w:ascii="宋体" w:hAnsi="宋体"/>
          <w:sz w:val="24"/>
        </w:rPr>
        <w:t>标人应按照招标文件规定格式填报</w:t>
      </w:r>
      <w:bookmarkStart w:id="99" w:name="_Hlt26670399"/>
      <w:bookmarkEnd w:id="99"/>
      <w:r>
        <w:rPr>
          <w:rFonts w:hint="eastAsia" w:ascii="宋体" w:hAnsi="宋体"/>
          <w:sz w:val="24"/>
        </w:rPr>
        <w:t>投标报价明细表。每项货物和服务等只允许有一个报价，任何有选择的报价将不予接受(如有备选配件，备选配件的报价不属于选择的报价)。</w:t>
      </w:r>
    </w:p>
    <w:p>
      <w:pPr>
        <w:spacing w:line="44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12.2</w:t>
      </w:r>
      <w:r>
        <w:rPr>
          <w:rFonts w:hint="eastAsia" w:ascii="宋体" w:hAnsi="宋体"/>
          <w:color w:val="000000" w:themeColor="text1"/>
          <w:sz w:val="24"/>
          <w14:textFill>
            <w14:solidFill>
              <w14:schemeClr w14:val="tx1"/>
            </w14:solidFill>
          </w14:textFill>
        </w:rPr>
        <w:t xml:space="preserve"> 标的物</w:t>
      </w:r>
    </w:p>
    <w:p>
      <w:pPr>
        <w:spacing w:line="500" w:lineRule="exact"/>
        <w:ind w:firstLine="480" w:firstLineChars="200"/>
        <w:rPr>
          <w:rFonts w:hint="eastAsia" w:ascii="宋体" w:hAnsi="宋体"/>
          <w:bCs/>
          <w:sz w:val="24"/>
        </w:rPr>
      </w:pPr>
      <w:r>
        <w:rPr>
          <w:rFonts w:hint="eastAsia" w:ascii="宋体" w:hAnsi="宋体"/>
          <w:bCs/>
          <w:sz w:val="24"/>
        </w:rPr>
        <w:t>采购人</w:t>
      </w:r>
      <w:r>
        <w:rPr>
          <w:rFonts w:hint="eastAsia" w:ascii="宋体" w:hAnsi="宋体"/>
          <w:bCs/>
          <w:sz w:val="24"/>
          <w:lang w:val="en-US" w:eastAsia="zh-CN"/>
        </w:rPr>
        <w:t>所需货物</w:t>
      </w:r>
      <w:r>
        <w:rPr>
          <w:rFonts w:hint="eastAsia" w:ascii="宋体" w:hAnsi="宋体" w:eastAsia="宋体"/>
          <w:bCs/>
          <w:sz w:val="24"/>
          <w:lang w:val="en-US" w:eastAsia="zh-CN"/>
        </w:rPr>
        <w:t>或服务的采购、抽样、检验、培训、考核、结果验证、应急处置、数据统计及质量分析等服务。</w:t>
      </w:r>
    </w:p>
    <w:p>
      <w:pPr>
        <w:spacing w:line="440" w:lineRule="exact"/>
        <w:ind w:firstLine="480"/>
        <w:rPr>
          <w:rFonts w:ascii="宋体" w:hAnsi="宋体"/>
          <w:bCs/>
          <w:sz w:val="24"/>
        </w:rPr>
      </w:pPr>
      <w:r>
        <w:rPr>
          <w:rFonts w:hint="eastAsia" w:ascii="宋体" w:hAnsi="宋体"/>
          <w:sz w:val="24"/>
        </w:rPr>
        <w:t>12.3</w:t>
      </w:r>
      <w:r>
        <w:rPr>
          <w:rFonts w:hint="eastAsia" w:ascii="宋体" w:hAnsi="宋体"/>
          <w:bCs/>
          <w:sz w:val="24"/>
        </w:rPr>
        <w:t>有关费用处理</w:t>
      </w:r>
    </w:p>
    <w:p>
      <w:pPr>
        <w:spacing w:line="440" w:lineRule="exact"/>
        <w:ind w:firstLine="480"/>
        <w:rPr>
          <w:rFonts w:ascii="宋体" w:hAnsi="宋体" w:cs="楷体"/>
          <w:sz w:val="24"/>
          <w:szCs w:val="24"/>
        </w:rPr>
      </w:pPr>
      <w:r>
        <w:rPr>
          <w:rFonts w:hint="eastAsia" w:ascii="宋体" w:hAnsi="宋体"/>
          <w:sz w:val="24"/>
        </w:rPr>
        <w:t>招标报价采用总承包方式，投标人的报价应</w:t>
      </w:r>
      <w:r>
        <w:rPr>
          <w:rFonts w:hint="eastAsia" w:ascii="宋体" w:hAnsi="宋体" w:cs="楷体"/>
          <w:sz w:val="24"/>
          <w:szCs w:val="24"/>
        </w:rPr>
        <w:t>包括运营服务的所需的一切费用，包括但不限于</w:t>
      </w:r>
      <w:r>
        <w:rPr>
          <w:rFonts w:hint="eastAsia" w:ascii="宋体" w:hAnsi="宋体" w:eastAsia="宋体" w:cs="楷体"/>
          <w:sz w:val="24"/>
          <w:szCs w:val="24"/>
        </w:rPr>
        <w:t>：采购、抽样、检验、人工</w:t>
      </w:r>
      <w:r>
        <w:rPr>
          <w:rFonts w:hint="eastAsia" w:ascii="宋体" w:hAnsi="宋体" w:cs="楷体"/>
          <w:sz w:val="24"/>
          <w:szCs w:val="24"/>
        </w:rPr>
        <w:t>费、交通费、办公费、水电费、房租费、物业费、维修费、网络通讯费、投标费用、第三方咨询费、管理费、税金、利润、各类风险费、不可预见费及其他一切相关费用，同时，报价也应包含合同履行过程中可能发生的一切意外风险赔偿金，招标文件中另有规定的除外。</w:t>
      </w:r>
    </w:p>
    <w:p>
      <w:pPr>
        <w:spacing w:line="520" w:lineRule="exact"/>
        <w:ind w:firstLine="480" w:firstLineChars="200"/>
        <w:rPr>
          <w:rFonts w:ascii="宋体" w:hAnsi="宋体" w:cs="宋体"/>
          <w:sz w:val="24"/>
        </w:rPr>
      </w:pPr>
      <w:r>
        <w:rPr>
          <w:rFonts w:hint="eastAsia" w:ascii="宋体" w:hAnsi="宋体" w:cs="宋体"/>
          <w:sz w:val="24"/>
        </w:rPr>
        <w:t>招标人约定由中标人在领取中标通知书前向采购代理机构一次性代为支付采购代理服务费：</w:t>
      </w:r>
      <w:r>
        <w:rPr>
          <w:rFonts w:hint="eastAsia" w:ascii="宋体" w:hAnsi="宋体" w:eastAsia="宋体" w:cs="宋体"/>
          <w:sz w:val="24"/>
          <w:u w:val="single"/>
          <w:lang w:val="en-US" w:eastAsia="zh-CN"/>
        </w:rPr>
        <w:t>参照《江苏省招标代理服务收费的指导意见》（苏招协[2022]002号）的取费标准计取代理服务</w:t>
      </w:r>
      <w:r>
        <w:rPr>
          <w:rFonts w:hint="eastAsia" w:ascii="宋体" w:hAnsi="宋体" w:cs="宋体"/>
          <w:sz w:val="24"/>
          <w:u w:val="single"/>
        </w:rPr>
        <w:t>费</w:t>
      </w:r>
      <w:r>
        <w:rPr>
          <w:rFonts w:hint="eastAsia" w:ascii="宋体" w:hAnsi="宋体" w:cs="宋体"/>
          <w:sz w:val="24"/>
          <w:u w:val="single"/>
          <w:lang w:val="en-US" w:eastAsia="zh-CN"/>
        </w:rPr>
        <w:t>包件1：10000</w:t>
      </w:r>
      <w:r>
        <w:rPr>
          <w:rFonts w:hint="eastAsia" w:ascii="宋体" w:hAnsi="宋体" w:cs="宋体"/>
          <w:sz w:val="24"/>
          <w:u w:val="single"/>
        </w:rPr>
        <w:t>元</w:t>
      </w:r>
      <w:r>
        <w:rPr>
          <w:rFonts w:hint="eastAsia" w:ascii="宋体" w:hAnsi="宋体" w:cs="宋体"/>
          <w:sz w:val="24"/>
          <w:u w:val="single"/>
          <w:lang w:eastAsia="zh-CN"/>
        </w:rPr>
        <w:t>；</w:t>
      </w:r>
      <w:r>
        <w:rPr>
          <w:rFonts w:hint="eastAsia" w:ascii="宋体" w:hAnsi="宋体" w:cs="宋体"/>
          <w:sz w:val="24"/>
          <w:u w:val="single"/>
          <w:lang w:val="en-US" w:eastAsia="zh-CN"/>
        </w:rPr>
        <w:t>包件2：10000元；包件3：9000</w:t>
      </w:r>
      <w:r>
        <w:rPr>
          <w:rFonts w:hint="eastAsia" w:ascii="宋体" w:hAnsi="宋体" w:cs="宋体"/>
          <w:sz w:val="24"/>
          <w:u w:val="single"/>
        </w:rPr>
        <w:t>元</w:t>
      </w:r>
      <w:r>
        <w:rPr>
          <w:rFonts w:hint="eastAsia" w:ascii="宋体" w:hAnsi="宋体" w:cs="宋体"/>
          <w:sz w:val="24"/>
          <w:u w:val="single"/>
          <w:lang w:eastAsia="zh-CN"/>
        </w:rPr>
        <w:t>；</w:t>
      </w:r>
      <w:r>
        <w:rPr>
          <w:rFonts w:hint="eastAsia" w:ascii="宋体" w:hAnsi="宋体" w:cs="宋体"/>
          <w:sz w:val="24"/>
          <w:u w:val="single"/>
          <w:lang w:val="en-US" w:eastAsia="zh-CN"/>
        </w:rPr>
        <w:t>包件4：9000元</w:t>
      </w:r>
      <w:r>
        <w:rPr>
          <w:rFonts w:hint="eastAsia" w:ascii="宋体" w:hAnsi="宋体" w:cs="宋体"/>
          <w:sz w:val="24"/>
        </w:rPr>
        <w:t>。 投标人须将此费用纳入投标报价中，招标人不另行支付。</w:t>
      </w:r>
    </w:p>
    <w:p>
      <w:pPr>
        <w:spacing w:line="440" w:lineRule="exact"/>
        <w:ind w:firstLine="480"/>
        <w:rPr>
          <w:rFonts w:ascii="宋体" w:hAnsi="宋体"/>
          <w:bCs/>
          <w:sz w:val="24"/>
        </w:rPr>
      </w:pPr>
      <w:r>
        <w:rPr>
          <w:rFonts w:hint="eastAsia" w:ascii="宋体" w:hAnsi="宋体"/>
          <w:sz w:val="24"/>
        </w:rPr>
        <w:t>12.4</w:t>
      </w:r>
      <w:r>
        <w:rPr>
          <w:rFonts w:hint="eastAsia" w:ascii="宋体" w:hAnsi="宋体"/>
          <w:bCs/>
          <w:sz w:val="24"/>
        </w:rPr>
        <w:t>其它费用处理</w:t>
      </w:r>
    </w:p>
    <w:p>
      <w:pPr>
        <w:spacing w:line="440" w:lineRule="exact"/>
        <w:ind w:firstLine="480"/>
        <w:rPr>
          <w:rFonts w:ascii="宋体" w:hAnsi="宋体"/>
          <w:bCs/>
          <w:sz w:val="24"/>
        </w:rPr>
      </w:pPr>
      <w:r>
        <w:rPr>
          <w:rFonts w:hint="eastAsia" w:ascii="宋体" w:hAnsi="宋体"/>
          <w:bCs/>
          <w:sz w:val="24"/>
        </w:rPr>
        <w:t>招标文件未列明，而投标人认为必需的费用也需列入报价。</w:t>
      </w:r>
    </w:p>
    <w:p>
      <w:pPr>
        <w:tabs>
          <w:tab w:val="left" w:pos="1035"/>
        </w:tabs>
        <w:spacing w:line="440" w:lineRule="exact"/>
        <w:ind w:firstLine="420"/>
        <w:rPr>
          <w:rFonts w:ascii="Arial" w:hAnsi="Arial" w:eastAsia="黑体" w:cs="Arial"/>
          <w:sz w:val="28"/>
          <w:szCs w:val="28"/>
        </w:rPr>
      </w:pPr>
      <w:r>
        <w:rPr>
          <w:rFonts w:hint="eastAsia" w:ascii="Arial" w:hAnsi="Arial" w:eastAsia="黑体" w:cs="Arial"/>
          <w:sz w:val="28"/>
          <w:szCs w:val="28"/>
        </w:rPr>
        <w:t>13、投标货币</w:t>
      </w:r>
    </w:p>
    <w:p>
      <w:pPr>
        <w:spacing w:line="440" w:lineRule="exact"/>
        <w:ind w:firstLine="480"/>
        <w:rPr>
          <w:rFonts w:ascii="宋体" w:hAnsi="Arial" w:cs="宋体"/>
          <w:sz w:val="24"/>
          <w:lang w:val="zh-CN"/>
        </w:rPr>
      </w:pPr>
      <w:bookmarkStart w:id="100" w:name="_Toc49090510"/>
      <w:bookmarkStart w:id="101" w:name="_Toc14577359"/>
      <w:r>
        <w:rPr>
          <w:rFonts w:hint="eastAsia" w:ascii="宋体" w:hAnsi="宋体"/>
          <w:sz w:val="24"/>
          <w:szCs w:val="24"/>
        </w:rPr>
        <w:t>13.1</w:t>
      </w:r>
      <w:r>
        <w:rPr>
          <w:rFonts w:hint="eastAsia" w:ascii="宋体" w:hAnsi="宋体"/>
          <w:bCs/>
          <w:sz w:val="24"/>
        </w:rPr>
        <w:t>投标文件中的货物单价和总价无特殊规定的采用人民币报价，以元为单位标注。</w:t>
      </w:r>
      <w:r>
        <w:rPr>
          <w:rFonts w:hint="eastAsia" w:ascii="宋体" w:hAnsi="宋体"/>
          <w:sz w:val="24"/>
        </w:rPr>
        <w:t>招标文件中另有规定的按规定执行。</w:t>
      </w:r>
    </w:p>
    <w:p>
      <w:pPr>
        <w:pStyle w:val="5"/>
        <w:spacing w:before="0" w:after="0" w:line="440" w:lineRule="exact"/>
        <w:ind w:firstLine="360"/>
        <w:rPr>
          <w:b w:val="0"/>
          <w:bCs w:val="0"/>
        </w:rPr>
      </w:pPr>
      <w:r>
        <w:rPr>
          <w:rFonts w:hint="eastAsia"/>
          <w:b w:val="0"/>
          <w:bCs w:val="0"/>
        </w:rPr>
        <w:t>14、投标函和开标一览表</w:t>
      </w:r>
    </w:p>
    <w:p>
      <w:pPr>
        <w:spacing w:line="440" w:lineRule="exact"/>
        <w:ind w:firstLine="480"/>
        <w:rPr>
          <w:rFonts w:ascii="宋体" w:hAnsi="宋体"/>
          <w:sz w:val="24"/>
        </w:rPr>
      </w:pPr>
      <w:r>
        <w:rPr>
          <w:rFonts w:hint="eastAsia" w:ascii="宋体" w:hAnsi="宋体"/>
          <w:bCs/>
          <w:sz w:val="24"/>
        </w:rPr>
        <w:t>14.1.</w:t>
      </w:r>
      <w:r>
        <w:rPr>
          <w:rFonts w:hint="eastAsia" w:ascii="宋体" w:hAnsi="宋体"/>
          <w:sz w:val="24"/>
        </w:rPr>
        <w:t>投标人应按照招标文件中提供的格式完整、正确填写投标函、开标一览表。</w:t>
      </w:r>
    </w:p>
    <w:bookmarkEnd w:id="100"/>
    <w:bookmarkEnd w:id="101"/>
    <w:p>
      <w:pPr>
        <w:pStyle w:val="5"/>
        <w:spacing w:before="0" w:after="0" w:line="440" w:lineRule="exact"/>
        <w:ind w:firstLine="420"/>
        <w:rPr>
          <w:b w:val="0"/>
          <w:bCs w:val="0"/>
        </w:rPr>
      </w:pPr>
      <w:bookmarkStart w:id="102" w:name="_Hlt26954850"/>
      <w:bookmarkEnd w:id="102"/>
      <w:bookmarkStart w:id="103" w:name="_Hlt26954734"/>
      <w:bookmarkEnd w:id="103"/>
      <w:bookmarkStart w:id="104" w:name="_Hlt26670489"/>
      <w:bookmarkEnd w:id="104"/>
      <w:bookmarkStart w:id="105" w:name="_Toc49090511"/>
      <w:bookmarkStart w:id="106" w:name="_Toc14577360"/>
      <w:r>
        <w:rPr>
          <w:rFonts w:hint="eastAsia"/>
          <w:b w:val="0"/>
          <w:bCs w:val="0"/>
        </w:rPr>
        <w:t>15、投标有效期</w:t>
      </w:r>
      <w:bookmarkEnd w:id="105"/>
      <w:bookmarkEnd w:id="106"/>
    </w:p>
    <w:p>
      <w:pPr>
        <w:spacing w:line="440" w:lineRule="exact"/>
        <w:ind w:firstLine="480"/>
        <w:rPr>
          <w:rFonts w:ascii="宋体" w:hAnsi="宋体"/>
          <w:bCs/>
          <w:sz w:val="24"/>
        </w:rPr>
      </w:pPr>
      <w:r>
        <w:rPr>
          <w:rFonts w:hint="eastAsia" w:ascii="宋体" w:hAnsi="宋体"/>
          <w:sz w:val="24"/>
        </w:rPr>
        <w:t>15.1</w:t>
      </w:r>
      <w:r>
        <w:rPr>
          <w:rFonts w:hint="eastAsia" w:ascii="宋体" w:hAnsi="宋体"/>
          <w:bCs/>
          <w:sz w:val="24"/>
        </w:rPr>
        <w:t>.投标有效期为开标之日后</w:t>
      </w:r>
      <w:r>
        <w:rPr>
          <w:rFonts w:hint="eastAsia" w:ascii="仿宋_GB2312" w:hAnsi="仿宋_GB2312"/>
          <w:b/>
          <w:sz w:val="24"/>
          <w:u w:val="single"/>
        </w:rPr>
        <w:t>九十（90）天</w:t>
      </w:r>
      <w:r>
        <w:rPr>
          <w:rFonts w:hint="eastAsia" w:ascii="宋体" w:hAnsi="宋体"/>
          <w:bCs/>
          <w:sz w:val="24"/>
        </w:rPr>
        <w:t>。投标有效期比规定短的将被视为非响应性投标而予以拒绝。</w:t>
      </w:r>
    </w:p>
    <w:p>
      <w:pPr>
        <w:spacing w:line="440" w:lineRule="exact"/>
        <w:ind w:firstLine="480"/>
        <w:rPr>
          <w:rFonts w:hint="eastAsia" w:ascii="宋体" w:hAnsi="宋体"/>
          <w:bCs/>
          <w:sz w:val="24"/>
        </w:rPr>
      </w:pPr>
      <w:r>
        <w:rPr>
          <w:rFonts w:hint="eastAsia" w:ascii="宋体" w:hAnsi="宋体"/>
          <w:sz w:val="24"/>
        </w:rPr>
        <w:t>15.2</w:t>
      </w:r>
      <w:r>
        <w:rPr>
          <w:rFonts w:hint="eastAsia" w:ascii="宋体" w:hAnsi="宋体"/>
          <w:bCs/>
          <w:sz w:val="24"/>
        </w:rPr>
        <w:t>.在特殊情况下，采购人于原投标有效期满之前，可向投标人提出延长投标有效期的要求。这种要求与答复均应采用书面形式。投标人可以拒绝采购人的这一要求而放弃投标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p>
    <w:p>
      <w:pPr>
        <w:pStyle w:val="2"/>
        <w:spacing w:before="145" w:beforeLines="50" w:after="145" w:afterLines="50" w:line="420" w:lineRule="auto"/>
        <w:ind w:firstLine="300" w:firstLineChars="100"/>
      </w:pPr>
      <w:bookmarkStart w:id="107" w:name="_Toc513029224"/>
      <w:bookmarkStart w:id="108" w:name="_Toc16938540"/>
      <w:bookmarkStart w:id="109" w:name="_Toc20823296"/>
      <w:bookmarkStart w:id="110" w:name="_Toc120614217"/>
      <w:r>
        <w:rPr>
          <w:rFonts w:hint="eastAsia"/>
        </w:rPr>
        <w:t>四、投标文件的编制与递交</w:t>
      </w:r>
      <w:bookmarkEnd w:id="107"/>
      <w:bookmarkEnd w:id="108"/>
      <w:bookmarkEnd w:id="109"/>
      <w:bookmarkEnd w:id="110"/>
    </w:p>
    <w:p>
      <w:pPr>
        <w:pStyle w:val="5"/>
        <w:spacing w:before="0" w:after="0" w:line="420" w:lineRule="auto"/>
        <w:ind w:firstLine="390" w:firstLineChars="150"/>
        <w:rPr>
          <w:rFonts w:hint="eastAsia" w:ascii="黑体"/>
          <w:b w:val="0"/>
          <w:bCs w:val="0"/>
        </w:rPr>
      </w:pPr>
      <w:bookmarkStart w:id="111" w:name="_Hlt26954852"/>
      <w:bookmarkEnd w:id="111"/>
      <w:bookmarkStart w:id="112" w:name="_Hlt26954739"/>
      <w:bookmarkEnd w:id="112"/>
      <w:bookmarkStart w:id="113" w:name="_Toc20823297"/>
      <w:bookmarkStart w:id="114" w:name="_Toc513029225"/>
      <w:bookmarkStart w:id="115" w:name="_Toc462564084"/>
      <w:bookmarkStart w:id="116" w:name="_Toc16938541"/>
      <w:r>
        <w:rPr>
          <w:rFonts w:hint="eastAsia" w:ascii="黑体"/>
          <w:b w:val="0"/>
          <w:bCs w:val="0"/>
        </w:rPr>
        <w:t>16、</w:t>
      </w:r>
      <w:bookmarkEnd w:id="113"/>
      <w:bookmarkEnd w:id="114"/>
      <w:bookmarkEnd w:id="115"/>
      <w:bookmarkEnd w:id="116"/>
      <w:r>
        <w:rPr>
          <w:rFonts w:hint="eastAsia" w:ascii="黑体"/>
          <w:b w:val="0"/>
          <w:bCs w:val="0"/>
        </w:rPr>
        <w:t>投标文件的编制与递交</w:t>
      </w:r>
    </w:p>
    <w:p>
      <w:pPr>
        <w:spacing w:line="420" w:lineRule="auto"/>
        <w:ind w:firstLine="482"/>
        <w:rPr>
          <w:rFonts w:ascii="宋体" w:hAnsi="宋体"/>
          <w:b/>
          <w:bCs/>
          <w:color w:val="000000"/>
          <w:sz w:val="24"/>
        </w:rPr>
      </w:pPr>
      <w:bookmarkStart w:id="117" w:name="_Toc20823298"/>
      <w:bookmarkStart w:id="118" w:name="_Toc513029226"/>
      <w:bookmarkStart w:id="119" w:name="_Toc16938542"/>
      <w:r>
        <w:rPr>
          <w:rFonts w:hint="eastAsia" w:ascii="宋体" w:hAnsi="宋体"/>
          <w:b/>
          <w:bCs/>
          <w:color w:val="000000"/>
          <w:sz w:val="24"/>
        </w:rPr>
        <w:t>16.1投标文件的编制要求</w:t>
      </w:r>
    </w:p>
    <w:p>
      <w:pPr>
        <w:widowControl/>
        <w:spacing w:line="420" w:lineRule="auto"/>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6.1.1投标人应仔细阅读招标文件的所有内容，按招标文件的要求提供投标文件，并保证所提供的全部资料的真实性，以使其投标对招标文件作出实质性响应，否则，其投标可能被拒绝。</w:t>
      </w:r>
    </w:p>
    <w:p>
      <w:pPr>
        <w:widowControl/>
        <w:tabs>
          <w:tab w:val="left" w:pos="7665"/>
        </w:tabs>
        <w:spacing w:line="420" w:lineRule="auto"/>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6.1.2无论投标过程中的做法和结果如何，投标人自行承担所有与参加投标有关的全部费用</w:t>
      </w:r>
      <w:r>
        <w:rPr>
          <w:rFonts w:hint="eastAsia" w:ascii="宋体" w:hAnsi="宋体"/>
          <w:color w:val="000000"/>
          <w:sz w:val="24"/>
        </w:rPr>
        <w:t>。</w:t>
      </w:r>
    </w:p>
    <w:p>
      <w:pPr>
        <w:widowControl/>
        <w:spacing w:line="420" w:lineRule="auto"/>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 xml:space="preserve">6.2投标语言及计量单位 </w:t>
      </w:r>
      <w:r>
        <w:rPr>
          <w:rFonts w:hint="eastAsia" w:ascii="宋体" w:hAnsi="宋体"/>
          <w:color w:val="000000"/>
          <w:sz w:val="24"/>
        </w:rPr>
        <w:t>。</w:t>
      </w:r>
      <w:r>
        <w:rPr>
          <w:rFonts w:ascii="宋体" w:hAnsi="宋体"/>
          <w:color w:val="000000"/>
          <w:sz w:val="24"/>
        </w:rPr>
        <w:t xml:space="preserve"> </w:t>
      </w:r>
    </w:p>
    <w:p>
      <w:pPr>
        <w:widowControl/>
        <w:spacing w:line="420" w:lineRule="auto"/>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6.2.1投标文件以及投标人与采购单位就有关投标事宜的所有来往函电均应使用简体中文书写。</w:t>
      </w:r>
    </w:p>
    <w:p>
      <w:pPr>
        <w:widowControl/>
        <w:spacing w:line="420" w:lineRule="auto"/>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6.2.2关于投标计量单位，招标文件已有明确规定的，使用招标文件规定的计量单位；招标文件没有规定的，应采用中华人民共和国法定计量单位。</w:t>
      </w:r>
    </w:p>
    <w:p>
      <w:pPr>
        <w:widowControl/>
        <w:spacing w:line="420" w:lineRule="auto"/>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pPr>
        <w:widowControl/>
        <w:spacing w:line="420" w:lineRule="auto"/>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6.2.4翻译的中文文件与外文文件如果出现差异和矛盾时，以中文为准。但不能故意错误翻译，否则，投标人的投标文件将作为无效投标处理。</w:t>
      </w:r>
    </w:p>
    <w:p>
      <w:pPr>
        <w:widowControl/>
        <w:spacing w:line="420" w:lineRule="auto"/>
        <w:ind w:firstLine="480"/>
        <w:jc w:val="left"/>
        <w:rPr>
          <w:rFonts w:ascii="宋体" w:hAnsi="宋体"/>
          <w:color w:val="000000"/>
          <w:sz w:val="24"/>
        </w:rPr>
      </w:pPr>
      <w:r>
        <w:rPr>
          <w:rFonts w:hint="eastAsia" w:ascii="宋体" w:hAnsi="宋体"/>
          <w:color w:val="000000"/>
          <w:sz w:val="24"/>
        </w:rPr>
        <w:t>1</w:t>
      </w:r>
      <w:r>
        <w:rPr>
          <w:rFonts w:ascii="宋体" w:hAnsi="宋体"/>
          <w:color w:val="000000"/>
          <w:sz w:val="24"/>
        </w:rPr>
        <w:t>6.3投标文件其他要求</w:t>
      </w:r>
    </w:p>
    <w:p>
      <w:pPr>
        <w:widowControl/>
        <w:spacing w:line="420" w:lineRule="auto"/>
        <w:ind w:firstLine="480"/>
        <w:jc w:val="left"/>
        <w:rPr>
          <w:rFonts w:ascii="宋体" w:hAnsi="宋体"/>
          <w:color w:val="000000"/>
          <w:sz w:val="24"/>
        </w:rPr>
      </w:pPr>
      <w:r>
        <w:rPr>
          <w:rFonts w:hint="eastAsia" w:ascii="宋体" w:hAnsi="宋体"/>
          <w:color w:val="000000"/>
          <w:sz w:val="24"/>
        </w:rPr>
        <w:t>16</w:t>
      </w:r>
      <w:r>
        <w:rPr>
          <w:rFonts w:ascii="宋体" w:hAnsi="宋体"/>
          <w:color w:val="000000"/>
          <w:sz w:val="24"/>
        </w:rPr>
        <w:t>.3.</w:t>
      </w:r>
      <w:r>
        <w:rPr>
          <w:rFonts w:hint="eastAsia" w:ascii="宋体" w:hAnsi="宋体"/>
          <w:color w:val="000000"/>
          <w:sz w:val="24"/>
        </w:rPr>
        <w:t>1</w:t>
      </w:r>
      <w:r>
        <w:rPr>
          <w:rFonts w:ascii="宋体" w:hAnsi="宋体"/>
          <w:color w:val="000000"/>
          <w:sz w:val="24"/>
        </w:rPr>
        <w:t>投标人应当对招标文件提出的实质性要求和条件作出实质性响应，并在电子投标系统逐条应答。</w:t>
      </w:r>
    </w:p>
    <w:p>
      <w:pPr>
        <w:spacing w:line="420" w:lineRule="auto"/>
        <w:ind w:firstLine="480"/>
        <w:rPr>
          <w:rFonts w:ascii="宋体" w:hAnsi="宋体"/>
          <w:color w:val="000000"/>
          <w:sz w:val="24"/>
        </w:rPr>
      </w:pPr>
      <w:r>
        <w:rPr>
          <w:rFonts w:hint="eastAsia" w:ascii="宋体" w:hAnsi="宋体"/>
          <w:color w:val="000000"/>
          <w:sz w:val="24"/>
        </w:rPr>
        <w:t>1</w:t>
      </w:r>
      <w:r>
        <w:rPr>
          <w:rFonts w:ascii="宋体" w:hAnsi="宋体"/>
          <w:color w:val="000000"/>
          <w:sz w:val="24"/>
        </w:rPr>
        <w:t>6.</w:t>
      </w:r>
      <w:r>
        <w:rPr>
          <w:rFonts w:hint="eastAsia" w:ascii="宋体" w:hAnsi="宋体"/>
          <w:color w:val="000000"/>
          <w:sz w:val="24"/>
        </w:rPr>
        <w:t>3.2</w:t>
      </w:r>
      <w:r>
        <w:rPr>
          <w:rFonts w:ascii="宋体" w:hAnsi="宋体"/>
          <w:color w:val="000000"/>
          <w:sz w:val="24"/>
        </w:rPr>
        <w:t>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w:t>
      </w:r>
    </w:p>
    <w:p>
      <w:pPr>
        <w:pStyle w:val="5"/>
        <w:spacing w:before="0" w:after="0" w:line="420" w:lineRule="auto"/>
        <w:ind w:firstLine="360" w:firstLineChars="150"/>
        <w:rPr>
          <w:rFonts w:hint="eastAsia" w:ascii="宋体" w:hAnsi="宋体" w:eastAsia="宋体"/>
          <w:b w:val="0"/>
          <w:bCs w:val="0"/>
          <w:color w:val="000000"/>
          <w:sz w:val="24"/>
          <w:szCs w:val="21"/>
        </w:rPr>
      </w:pPr>
      <w:r>
        <w:rPr>
          <w:rFonts w:hint="eastAsia" w:ascii="宋体" w:hAnsi="宋体" w:eastAsia="宋体"/>
          <w:b w:val="0"/>
          <w:bCs w:val="0"/>
          <w:color w:val="000000"/>
          <w:sz w:val="24"/>
          <w:szCs w:val="21"/>
        </w:rPr>
        <w:t>16.3.3投标文件正本一份、副本</w:t>
      </w:r>
      <w:r>
        <w:rPr>
          <w:rFonts w:hint="eastAsia" w:ascii="宋体" w:hAnsi="宋体" w:eastAsia="宋体"/>
          <w:b w:val="0"/>
          <w:bCs w:val="0"/>
          <w:color w:val="000000"/>
          <w:sz w:val="24"/>
          <w:szCs w:val="21"/>
          <w:lang w:val="en-US" w:eastAsia="zh-CN"/>
        </w:rPr>
        <w:t>肆</w:t>
      </w:r>
      <w:r>
        <w:rPr>
          <w:rFonts w:hint="eastAsia" w:ascii="宋体" w:hAnsi="宋体" w:eastAsia="宋体"/>
          <w:b w:val="0"/>
          <w:bCs w:val="0"/>
          <w:color w:val="000000"/>
          <w:sz w:val="24"/>
          <w:szCs w:val="21"/>
        </w:rPr>
        <w:t>份。</w:t>
      </w:r>
    </w:p>
    <w:p>
      <w:pPr>
        <w:pStyle w:val="5"/>
        <w:spacing w:before="0" w:after="0" w:line="420" w:lineRule="auto"/>
        <w:ind w:firstLine="390" w:firstLineChars="150"/>
        <w:rPr>
          <w:rFonts w:hint="eastAsia"/>
          <w:b w:val="0"/>
          <w:bCs w:val="0"/>
        </w:rPr>
      </w:pPr>
      <w:r>
        <w:rPr>
          <w:rFonts w:hint="eastAsia"/>
          <w:b w:val="0"/>
          <w:bCs w:val="0"/>
        </w:rPr>
        <w:t>17、投标截止日期</w:t>
      </w:r>
      <w:bookmarkEnd w:id="117"/>
      <w:bookmarkEnd w:id="118"/>
      <w:bookmarkEnd w:id="119"/>
    </w:p>
    <w:p>
      <w:pPr>
        <w:spacing w:line="420" w:lineRule="auto"/>
        <w:ind w:firstLine="480" w:firstLineChars="200"/>
        <w:rPr>
          <w:rFonts w:hint="eastAsia" w:ascii="宋体" w:hAnsi="宋体"/>
          <w:bCs/>
          <w:sz w:val="24"/>
        </w:rPr>
      </w:pPr>
      <w:r>
        <w:rPr>
          <w:rFonts w:hint="eastAsia" w:ascii="宋体" w:hAnsi="宋体"/>
          <w:sz w:val="24"/>
        </w:rPr>
        <w:t>17.1</w:t>
      </w:r>
      <w:r>
        <w:rPr>
          <w:rFonts w:hint="eastAsia" w:ascii="宋体" w:hAnsi="宋体"/>
          <w:bCs/>
          <w:sz w:val="24"/>
        </w:rPr>
        <w:t xml:space="preserve"> 采购人（或采购代理机构）有权通过修改招标文件酌情延长投标截止日期，在此情况下，投标人的所有权利和义务以及投标人受制的截止日期均应以延长后新的截止日期为准。</w:t>
      </w:r>
    </w:p>
    <w:p>
      <w:pPr>
        <w:pStyle w:val="5"/>
        <w:spacing w:before="0" w:after="0" w:line="420" w:lineRule="auto"/>
        <w:ind w:firstLine="390" w:firstLineChars="150"/>
        <w:rPr>
          <w:rFonts w:hint="eastAsia"/>
          <w:b w:val="0"/>
          <w:bCs w:val="0"/>
        </w:rPr>
      </w:pPr>
      <w:bookmarkStart w:id="120" w:name="_Toc513029227"/>
      <w:bookmarkStart w:id="121" w:name="_Toc20823299"/>
      <w:bookmarkStart w:id="122" w:name="_Toc16938543"/>
      <w:r>
        <w:rPr>
          <w:rFonts w:hint="eastAsia"/>
          <w:b w:val="0"/>
          <w:bCs w:val="0"/>
        </w:rPr>
        <w:t>18、迟交的投标文件</w:t>
      </w:r>
      <w:bookmarkEnd w:id="120"/>
      <w:bookmarkEnd w:id="121"/>
      <w:bookmarkEnd w:id="122"/>
    </w:p>
    <w:p>
      <w:pPr>
        <w:spacing w:line="420" w:lineRule="auto"/>
        <w:ind w:firstLine="480" w:firstLineChars="200"/>
        <w:rPr>
          <w:rFonts w:ascii="宋体" w:hAnsi="宋体"/>
          <w:bCs/>
          <w:sz w:val="24"/>
        </w:rPr>
      </w:pPr>
      <w:r>
        <w:rPr>
          <w:rFonts w:hint="eastAsia" w:ascii="宋体" w:hAnsi="宋体"/>
          <w:sz w:val="24"/>
        </w:rPr>
        <w:t>18.1</w:t>
      </w:r>
      <w:r>
        <w:rPr>
          <w:rFonts w:hint="eastAsia" w:ascii="宋体" w:hAnsi="宋体"/>
          <w:bCs/>
          <w:sz w:val="24"/>
        </w:rPr>
        <w:t>采购人（或采购代理机构）拒绝接收在其规定的投标截止时间后递交的任何投标文件。</w:t>
      </w:r>
    </w:p>
    <w:p>
      <w:pPr>
        <w:pStyle w:val="5"/>
        <w:spacing w:before="0" w:after="0" w:line="420" w:lineRule="auto"/>
        <w:ind w:firstLine="390" w:firstLineChars="150"/>
        <w:rPr>
          <w:rFonts w:hint="eastAsia"/>
          <w:b w:val="0"/>
          <w:bCs w:val="0"/>
        </w:rPr>
      </w:pPr>
      <w:bookmarkStart w:id="123" w:name="_Toc16938544"/>
      <w:bookmarkStart w:id="124" w:name="_Toc20823300"/>
      <w:bookmarkStart w:id="125" w:name="_Toc513029228"/>
      <w:r>
        <w:rPr>
          <w:rFonts w:hint="eastAsia"/>
          <w:b w:val="0"/>
          <w:bCs w:val="0"/>
        </w:rPr>
        <w:t>19、投标文件的修改和撤回</w:t>
      </w:r>
      <w:bookmarkEnd w:id="123"/>
      <w:bookmarkEnd w:id="124"/>
      <w:bookmarkEnd w:id="125"/>
    </w:p>
    <w:p>
      <w:pPr>
        <w:widowControl/>
        <w:spacing w:line="480" w:lineRule="exact"/>
        <w:ind w:firstLine="480"/>
        <w:jc w:val="left"/>
        <w:rPr>
          <w:rFonts w:ascii="宋体" w:hAnsi="宋体"/>
          <w:color w:val="000000"/>
          <w:sz w:val="24"/>
        </w:rPr>
      </w:pPr>
      <w:bookmarkStart w:id="126" w:name="_Toc513029229"/>
      <w:bookmarkStart w:id="127" w:name="_Toc16938545"/>
      <w:bookmarkStart w:id="128" w:name="_Toc20823301"/>
      <w:bookmarkStart w:id="129" w:name="_Toc120614218"/>
      <w:r>
        <w:rPr>
          <w:rFonts w:ascii="宋体" w:hAnsi="宋体"/>
          <w:color w:val="000000"/>
          <w:sz w:val="24"/>
        </w:rPr>
        <w:t>1</w:t>
      </w:r>
      <w:r>
        <w:rPr>
          <w:rFonts w:hint="eastAsia" w:ascii="宋体" w:hAnsi="宋体"/>
          <w:color w:val="000000"/>
          <w:sz w:val="24"/>
        </w:rPr>
        <w:t>9</w:t>
      </w:r>
      <w:r>
        <w:rPr>
          <w:rFonts w:ascii="宋体" w:hAnsi="宋体"/>
          <w:color w:val="000000"/>
          <w:sz w:val="24"/>
        </w:rPr>
        <w:t>.1投标文件的撤回</w:t>
      </w:r>
    </w:p>
    <w:p>
      <w:pPr>
        <w:widowControl/>
        <w:spacing w:line="420" w:lineRule="auto"/>
        <w:ind w:firstLine="482"/>
        <w:jc w:val="left"/>
        <w:rPr>
          <w:rFonts w:ascii="宋体" w:hAnsi="宋体"/>
          <w:color w:val="000000"/>
          <w:sz w:val="24"/>
        </w:rPr>
      </w:pPr>
      <w:r>
        <w:rPr>
          <w:rFonts w:ascii="宋体" w:hAnsi="宋体"/>
          <w:color w:val="000000"/>
          <w:sz w:val="24"/>
        </w:rPr>
        <w:t>1</w:t>
      </w:r>
      <w:r>
        <w:rPr>
          <w:rFonts w:hint="eastAsia" w:ascii="宋体" w:hAnsi="宋体"/>
          <w:color w:val="000000"/>
          <w:sz w:val="24"/>
        </w:rPr>
        <w:t>9</w:t>
      </w:r>
      <w:r>
        <w:rPr>
          <w:rFonts w:ascii="宋体" w:hAnsi="宋体"/>
          <w:color w:val="000000"/>
          <w:sz w:val="24"/>
        </w:rPr>
        <w:t>.1.1投标文件的撤回</w:t>
      </w:r>
    </w:p>
    <w:p>
      <w:pPr>
        <w:widowControl/>
        <w:spacing w:line="420" w:lineRule="auto"/>
        <w:ind w:firstLine="482"/>
        <w:jc w:val="left"/>
        <w:rPr>
          <w:rFonts w:ascii="宋体" w:hAnsi="宋体"/>
          <w:color w:val="000000"/>
          <w:sz w:val="24"/>
        </w:rPr>
      </w:pPr>
      <w:r>
        <w:rPr>
          <w:rFonts w:hint="eastAsia" w:ascii="宋体" w:hAnsi="宋体"/>
          <w:color w:val="000000"/>
          <w:sz w:val="24"/>
        </w:rPr>
        <w:t>投标人可在投标截止时间前，撤回其投标文件。</w:t>
      </w:r>
    </w:p>
    <w:p>
      <w:pPr>
        <w:widowControl/>
        <w:spacing w:line="420" w:lineRule="auto"/>
        <w:ind w:firstLine="482"/>
        <w:jc w:val="left"/>
        <w:rPr>
          <w:rFonts w:ascii="宋体" w:hAnsi="宋体"/>
          <w:color w:val="000000"/>
          <w:sz w:val="24"/>
        </w:rPr>
      </w:pPr>
      <w:r>
        <w:rPr>
          <w:rFonts w:ascii="宋体" w:hAnsi="宋体"/>
          <w:color w:val="000000"/>
          <w:sz w:val="24"/>
        </w:rPr>
        <w:t>1</w:t>
      </w:r>
      <w:r>
        <w:rPr>
          <w:rFonts w:hint="eastAsia" w:ascii="宋体" w:hAnsi="宋体"/>
          <w:color w:val="000000"/>
          <w:sz w:val="24"/>
        </w:rPr>
        <w:t>9</w:t>
      </w:r>
      <w:r>
        <w:rPr>
          <w:rFonts w:ascii="宋体" w:hAnsi="宋体"/>
          <w:color w:val="000000"/>
          <w:sz w:val="24"/>
        </w:rPr>
        <w:t>.1.2投标人撤回投标文件，则认为其不再参与本项目投标活动。</w:t>
      </w:r>
    </w:p>
    <w:p>
      <w:pPr>
        <w:widowControl/>
        <w:spacing w:line="420" w:lineRule="auto"/>
        <w:ind w:firstLine="482"/>
        <w:jc w:val="left"/>
        <w:rPr>
          <w:rFonts w:ascii="宋体" w:hAnsi="宋体"/>
          <w:color w:val="000000"/>
          <w:sz w:val="24"/>
        </w:rPr>
      </w:pPr>
      <w:r>
        <w:rPr>
          <w:rFonts w:ascii="宋体" w:hAnsi="宋体"/>
          <w:color w:val="000000"/>
          <w:sz w:val="24"/>
        </w:rPr>
        <w:t>1</w:t>
      </w:r>
      <w:r>
        <w:rPr>
          <w:rFonts w:hint="eastAsia" w:ascii="宋体" w:hAnsi="宋体"/>
          <w:color w:val="000000"/>
          <w:sz w:val="24"/>
        </w:rPr>
        <w:t>9</w:t>
      </w:r>
      <w:r>
        <w:rPr>
          <w:rFonts w:ascii="宋体" w:hAnsi="宋体"/>
          <w:color w:val="000000"/>
          <w:sz w:val="24"/>
        </w:rPr>
        <w:t>.2 投标文件的修改</w:t>
      </w:r>
    </w:p>
    <w:p>
      <w:pPr>
        <w:widowControl/>
        <w:spacing w:line="420" w:lineRule="auto"/>
        <w:ind w:firstLine="482"/>
        <w:jc w:val="left"/>
        <w:rPr>
          <w:rFonts w:ascii="宋体" w:hAnsi="宋体"/>
          <w:color w:val="000000"/>
          <w:sz w:val="24"/>
        </w:rPr>
      </w:pPr>
      <w:r>
        <w:rPr>
          <w:rFonts w:hint="eastAsia" w:ascii="宋体" w:hAnsi="宋体"/>
          <w:color w:val="000000"/>
          <w:sz w:val="24"/>
        </w:rPr>
        <w:t>投标人可在投标截止时间前，对其投标文件进行修改。</w:t>
      </w:r>
    </w:p>
    <w:p>
      <w:pPr>
        <w:widowControl/>
        <w:spacing w:line="420" w:lineRule="auto"/>
        <w:ind w:firstLine="482"/>
        <w:jc w:val="left"/>
        <w:rPr>
          <w:rFonts w:ascii="宋体" w:hAnsi="宋体"/>
          <w:color w:val="000000"/>
          <w:sz w:val="24"/>
        </w:rPr>
      </w:pPr>
      <w:r>
        <w:rPr>
          <w:rFonts w:ascii="宋体" w:hAnsi="宋体"/>
          <w:color w:val="000000"/>
          <w:sz w:val="24"/>
        </w:rPr>
        <w:t>1</w:t>
      </w:r>
      <w:r>
        <w:rPr>
          <w:rFonts w:hint="eastAsia" w:ascii="宋体" w:hAnsi="宋体"/>
          <w:color w:val="000000"/>
          <w:sz w:val="24"/>
        </w:rPr>
        <w:t>9</w:t>
      </w:r>
      <w:r>
        <w:rPr>
          <w:rFonts w:ascii="宋体" w:hAnsi="宋体"/>
          <w:color w:val="000000"/>
          <w:sz w:val="24"/>
        </w:rPr>
        <w:t>.3 在投标截止时间之后，投标人不得对其投标文件作任何修改。</w:t>
      </w:r>
    </w:p>
    <w:p>
      <w:pPr>
        <w:widowControl/>
        <w:spacing w:line="420" w:lineRule="auto"/>
        <w:ind w:firstLine="482"/>
        <w:jc w:val="left"/>
        <w:rPr>
          <w:rFonts w:ascii="宋体" w:hAnsi="宋体"/>
          <w:color w:val="000000"/>
          <w:sz w:val="24"/>
        </w:rPr>
      </w:pPr>
      <w:r>
        <w:rPr>
          <w:rFonts w:ascii="宋体" w:hAnsi="宋体"/>
          <w:color w:val="000000"/>
          <w:sz w:val="24"/>
        </w:rPr>
        <w:t>1</w:t>
      </w:r>
      <w:r>
        <w:rPr>
          <w:rFonts w:hint="eastAsia" w:ascii="宋体" w:hAnsi="宋体"/>
          <w:color w:val="000000"/>
          <w:sz w:val="24"/>
        </w:rPr>
        <w:t>9</w:t>
      </w:r>
      <w:r>
        <w:rPr>
          <w:rFonts w:ascii="宋体" w:hAnsi="宋体"/>
          <w:color w:val="000000"/>
          <w:sz w:val="24"/>
        </w:rPr>
        <w:t>.4 在投标截止时间至招标文件中规定的投标有效期满之间的这段时间内，投标人不得撤回其投标。</w:t>
      </w:r>
    </w:p>
    <w:p>
      <w:pPr>
        <w:pStyle w:val="2"/>
        <w:spacing w:before="145" w:beforeLines="50" w:after="145" w:afterLines="50" w:line="420" w:lineRule="auto"/>
        <w:ind w:firstLine="300" w:firstLineChars="100"/>
        <w:rPr>
          <w:rFonts w:hint="eastAsia"/>
        </w:rPr>
      </w:pPr>
      <w:r>
        <w:rPr>
          <w:rFonts w:hint="eastAsia"/>
        </w:rPr>
        <w:t>五、开标与评标</w:t>
      </w:r>
      <w:bookmarkEnd w:id="126"/>
      <w:bookmarkEnd w:id="127"/>
      <w:bookmarkEnd w:id="128"/>
      <w:bookmarkEnd w:id="129"/>
    </w:p>
    <w:p>
      <w:pPr>
        <w:pStyle w:val="5"/>
        <w:spacing w:before="0" w:after="0" w:line="420" w:lineRule="auto"/>
        <w:ind w:firstLine="390" w:firstLineChars="150"/>
        <w:rPr>
          <w:rFonts w:hint="eastAsia"/>
          <w:b w:val="0"/>
          <w:bCs w:val="0"/>
        </w:rPr>
      </w:pPr>
      <w:bookmarkStart w:id="130" w:name="_Toc513029230"/>
      <w:bookmarkStart w:id="131" w:name="_Toc16938546"/>
      <w:bookmarkStart w:id="132" w:name="_Toc20823302"/>
      <w:r>
        <w:rPr>
          <w:rFonts w:hint="eastAsia"/>
          <w:b w:val="0"/>
          <w:bCs w:val="0"/>
        </w:rPr>
        <w:t>20、开标</w:t>
      </w:r>
      <w:bookmarkEnd w:id="130"/>
      <w:bookmarkEnd w:id="131"/>
      <w:bookmarkEnd w:id="132"/>
    </w:p>
    <w:p>
      <w:pPr>
        <w:widowControl/>
        <w:spacing w:line="420" w:lineRule="auto"/>
        <w:ind w:firstLine="472"/>
        <w:jc w:val="left"/>
        <w:rPr>
          <w:rFonts w:ascii="宋体" w:hAnsi="宋体"/>
          <w:color w:val="000000"/>
          <w:sz w:val="24"/>
          <w:lang w:val="zh-CN"/>
        </w:rPr>
      </w:pPr>
      <w:bookmarkStart w:id="133" w:name="_Toc16938547"/>
      <w:bookmarkStart w:id="134" w:name="_Toc20823303"/>
      <w:bookmarkStart w:id="135" w:name="_Toc513029231"/>
      <w:r>
        <w:rPr>
          <w:rFonts w:hint="eastAsia" w:ascii="宋体" w:hAnsi="宋体"/>
          <w:color w:val="000000"/>
          <w:spacing w:val="-2"/>
          <w:sz w:val="24"/>
        </w:rPr>
        <w:t>20</w:t>
      </w:r>
      <w:r>
        <w:rPr>
          <w:rFonts w:ascii="宋体" w:hAnsi="宋体"/>
          <w:color w:val="000000"/>
          <w:spacing w:val="-2"/>
          <w:sz w:val="24"/>
        </w:rPr>
        <w:t>.</w:t>
      </w:r>
      <w:r>
        <w:rPr>
          <w:rFonts w:hint="eastAsia" w:ascii="宋体" w:hAnsi="宋体"/>
          <w:color w:val="000000"/>
          <w:spacing w:val="-2"/>
          <w:sz w:val="24"/>
        </w:rPr>
        <w:t>1</w:t>
      </w:r>
      <w:r>
        <w:rPr>
          <w:rFonts w:ascii="宋体" w:hAnsi="宋体"/>
          <w:color w:val="000000"/>
          <w:spacing w:val="-2"/>
          <w:sz w:val="24"/>
        </w:rPr>
        <w:t>开标时，《开标一览表》</w:t>
      </w:r>
      <w:r>
        <w:rPr>
          <w:rFonts w:ascii="宋体" w:hAnsi="宋体"/>
          <w:color w:val="000000"/>
          <w:sz w:val="24"/>
          <w:lang w:val="zh-CN"/>
        </w:rPr>
        <w:t>（报价表）内容与投标文件中相应内容不一致的，以《开标一览表》（报价表）为准。</w:t>
      </w:r>
    </w:p>
    <w:p>
      <w:pPr>
        <w:widowControl/>
        <w:spacing w:line="420" w:lineRule="auto"/>
        <w:ind w:firstLine="480"/>
        <w:jc w:val="left"/>
        <w:rPr>
          <w:rFonts w:ascii="宋体" w:hAnsi="宋体"/>
          <w:color w:val="000000"/>
          <w:sz w:val="24"/>
          <w:lang w:val="zh-CN"/>
        </w:rPr>
      </w:pPr>
      <w:r>
        <w:rPr>
          <w:rFonts w:hint="eastAsia" w:ascii="宋体" w:hAnsi="宋体"/>
          <w:color w:val="000000"/>
          <w:sz w:val="24"/>
        </w:rPr>
        <w:t>20</w:t>
      </w:r>
      <w:r>
        <w:rPr>
          <w:rFonts w:ascii="宋体" w:hAnsi="宋体"/>
          <w:color w:val="000000"/>
          <w:sz w:val="24"/>
          <w:lang w:val="zh-CN"/>
        </w:rPr>
        <w:t>.</w:t>
      </w:r>
      <w:r>
        <w:rPr>
          <w:rFonts w:hint="eastAsia" w:ascii="宋体" w:hAnsi="宋体"/>
          <w:color w:val="000000"/>
          <w:sz w:val="24"/>
        </w:rPr>
        <w:t>2</w:t>
      </w:r>
      <w:r>
        <w:rPr>
          <w:rFonts w:ascii="宋体" w:hAnsi="宋体"/>
          <w:color w:val="000000"/>
          <w:sz w:val="24"/>
        </w:rPr>
        <w:t xml:space="preserve"> </w:t>
      </w:r>
      <w:r>
        <w:rPr>
          <w:rFonts w:ascii="宋体" w:hAnsi="宋体"/>
          <w:color w:val="000000"/>
          <w:sz w:val="24"/>
          <w:lang w:val="zh-CN"/>
        </w:rPr>
        <w:t>投标文件、《开标一览表》（报价表）中报价的大写金额与小写金额不一致的，以大写金额为准。</w:t>
      </w:r>
    </w:p>
    <w:p>
      <w:pPr>
        <w:widowControl/>
        <w:spacing w:line="420" w:lineRule="auto"/>
        <w:ind w:firstLine="480"/>
        <w:jc w:val="left"/>
        <w:rPr>
          <w:rFonts w:ascii="宋体" w:hAnsi="宋体"/>
          <w:color w:val="000000"/>
          <w:sz w:val="24"/>
          <w:lang w:val="zh-CN"/>
        </w:rPr>
      </w:pPr>
      <w:r>
        <w:rPr>
          <w:rFonts w:hint="eastAsia" w:ascii="宋体" w:hAnsi="宋体"/>
          <w:color w:val="000000"/>
          <w:sz w:val="24"/>
        </w:rPr>
        <w:t>20</w:t>
      </w:r>
      <w:r>
        <w:rPr>
          <w:rFonts w:ascii="宋体" w:hAnsi="宋体"/>
          <w:color w:val="000000"/>
          <w:sz w:val="24"/>
          <w:lang w:val="zh-CN"/>
        </w:rPr>
        <w:t>.</w:t>
      </w:r>
      <w:r>
        <w:rPr>
          <w:rFonts w:hint="eastAsia" w:ascii="宋体" w:hAnsi="宋体"/>
          <w:color w:val="000000"/>
          <w:sz w:val="24"/>
        </w:rPr>
        <w:t>3</w:t>
      </w:r>
      <w:r>
        <w:rPr>
          <w:rFonts w:ascii="宋体" w:hAnsi="宋体"/>
          <w:color w:val="000000"/>
          <w:sz w:val="24"/>
        </w:rPr>
        <w:t xml:space="preserve"> </w:t>
      </w:r>
      <w:r>
        <w:rPr>
          <w:rFonts w:ascii="宋体" w:hAnsi="宋体"/>
          <w:color w:val="000000"/>
          <w:sz w:val="24"/>
          <w:lang w:val="zh-CN"/>
        </w:rPr>
        <w:t>单价金额小数点或者百分比有明显错位的，以《开标一览表》（报价表）的总价为准，并修改单价；</w:t>
      </w:r>
    </w:p>
    <w:p>
      <w:pPr>
        <w:widowControl/>
        <w:spacing w:line="420" w:lineRule="auto"/>
        <w:ind w:firstLine="480"/>
        <w:jc w:val="left"/>
        <w:rPr>
          <w:rFonts w:ascii="宋体" w:hAnsi="宋体"/>
          <w:color w:val="000000"/>
          <w:sz w:val="24"/>
          <w:lang w:val="zh-CN"/>
        </w:rPr>
      </w:pPr>
      <w:r>
        <w:rPr>
          <w:rFonts w:hint="eastAsia" w:ascii="宋体" w:hAnsi="宋体"/>
          <w:color w:val="000000"/>
          <w:sz w:val="24"/>
        </w:rPr>
        <w:t>20</w:t>
      </w:r>
      <w:r>
        <w:rPr>
          <w:rFonts w:ascii="宋体" w:hAnsi="宋体"/>
          <w:color w:val="000000"/>
          <w:sz w:val="24"/>
          <w:lang w:val="zh-CN"/>
        </w:rPr>
        <w:t>.</w:t>
      </w:r>
      <w:r>
        <w:rPr>
          <w:rFonts w:hint="eastAsia" w:ascii="宋体" w:hAnsi="宋体"/>
          <w:color w:val="000000"/>
          <w:sz w:val="24"/>
          <w:lang w:val="zh-CN"/>
        </w:rPr>
        <w:t>4</w:t>
      </w:r>
      <w:r>
        <w:rPr>
          <w:rFonts w:ascii="宋体" w:hAnsi="宋体"/>
          <w:color w:val="000000"/>
          <w:sz w:val="24"/>
        </w:rPr>
        <w:t xml:space="preserve"> </w:t>
      </w:r>
      <w:r>
        <w:rPr>
          <w:rFonts w:ascii="宋体" w:hAnsi="宋体"/>
          <w:color w:val="000000"/>
          <w:sz w:val="24"/>
          <w:lang w:val="zh-CN"/>
        </w:rPr>
        <w:t>总价金额与按单价汇总金额不一致的，以单价金额计算结果为准；</w:t>
      </w:r>
    </w:p>
    <w:p>
      <w:pPr>
        <w:widowControl/>
        <w:spacing w:line="420" w:lineRule="auto"/>
        <w:ind w:firstLine="480"/>
        <w:jc w:val="left"/>
        <w:rPr>
          <w:rFonts w:ascii="宋体" w:hAnsi="宋体"/>
          <w:color w:val="000000"/>
          <w:sz w:val="24"/>
          <w:lang w:val="zh-CN"/>
        </w:rPr>
      </w:pPr>
      <w:r>
        <w:rPr>
          <w:rFonts w:hint="eastAsia" w:ascii="宋体" w:hAnsi="宋体"/>
          <w:color w:val="000000"/>
          <w:sz w:val="24"/>
        </w:rPr>
        <w:t>20</w:t>
      </w:r>
      <w:r>
        <w:rPr>
          <w:rFonts w:ascii="宋体" w:hAnsi="宋体"/>
          <w:color w:val="000000"/>
          <w:sz w:val="24"/>
          <w:lang w:val="zh-CN"/>
        </w:rPr>
        <w:t>.</w:t>
      </w:r>
      <w:r>
        <w:rPr>
          <w:rFonts w:hint="eastAsia" w:ascii="宋体" w:hAnsi="宋体"/>
          <w:color w:val="000000"/>
          <w:sz w:val="24"/>
          <w:lang w:val="zh-CN"/>
        </w:rPr>
        <w:t>5</w:t>
      </w:r>
      <w:r>
        <w:rPr>
          <w:rFonts w:ascii="宋体" w:hAnsi="宋体"/>
          <w:color w:val="000000"/>
          <w:sz w:val="24"/>
          <w:lang w:val="zh-CN"/>
        </w:rPr>
        <w:t>修正后的报价由法定代表人</w:t>
      </w:r>
      <w:r>
        <w:rPr>
          <w:rFonts w:ascii="宋体" w:hAnsi="宋体"/>
          <w:color w:val="000000"/>
          <w:sz w:val="24"/>
        </w:rPr>
        <w:t>/单位负责人</w:t>
      </w:r>
      <w:r>
        <w:rPr>
          <w:rFonts w:ascii="宋体" w:hAnsi="宋体"/>
          <w:color w:val="000000"/>
          <w:sz w:val="24"/>
          <w:lang w:val="zh-CN"/>
        </w:rPr>
        <w:t>或其授权的代表签字确认后产生约束力，投标人不确认的，投标无效。</w:t>
      </w:r>
    </w:p>
    <w:p>
      <w:pPr>
        <w:widowControl/>
        <w:spacing w:line="420" w:lineRule="auto"/>
        <w:ind w:firstLine="480"/>
        <w:jc w:val="left"/>
        <w:rPr>
          <w:rFonts w:ascii="宋体" w:hAnsi="宋体"/>
          <w:color w:val="000000"/>
          <w:sz w:val="24"/>
          <w:lang w:val="zh-CN"/>
        </w:rPr>
      </w:pPr>
      <w:r>
        <w:rPr>
          <w:rFonts w:hint="eastAsia" w:ascii="宋体" w:hAnsi="宋体"/>
          <w:color w:val="000000"/>
          <w:sz w:val="24"/>
        </w:rPr>
        <w:t>20</w:t>
      </w:r>
      <w:r>
        <w:rPr>
          <w:rFonts w:ascii="宋体" w:hAnsi="宋体"/>
          <w:color w:val="000000"/>
          <w:sz w:val="24"/>
          <w:lang w:val="zh-CN"/>
        </w:rPr>
        <w:t>.</w:t>
      </w:r>
      <w:r>
        <w:rPr>
          <w:rFonts w:hint="eastAsia" w:ascii="宋体" w:hAnsi="宋体"/>
          <w:color w:val="000000"/>
          <w:sz w:val="24"/>
          <w:lang w:val="zh-CN"/>
        </w:rPr>
        <w:t>6</w:t>
      </w:r>
      <w:r>
        <w:rPr>
          <w:rFonts w:ascii="宋体" w:hAnsi="宋体"/>
          <w:color w:val="000000"/>
          <w:sz w:val="24"/>
        </w:rPr>
        <w:t xml:space="preserve"> </w:t>
      </w:r>
      <w:r>
        <w:rPr>
          <w:rFonts w:ascii="宋体" w:hAnsi="宋体"/>
          <w:color w:val="000000"/>
          <w:sz w:val="24"/>
          <w:lang w:val="zh-CN"/>
        </w:rPr>
        <w:t>对不同文字文本投标文件的解释发生异议的，以中文文本为准。</w:t>
      </w:r>
    </w:p>
    <w:p>
      <w:pPr>
        <w:spacing w:line="420" w:lineRule="auto"/>
        <w:ind w:firstLine="424" w:firstLineChars="177"/>
        <w:rPr>
          <w:rFonts w:hint="eastAsia" w:ascii="宋体" w:hAnsi="宋体"/>
          <w:sz w:val="24"/>
        </w:rPr>
      </w:pPr>
      <w:r>
        <w:rPr>
          <w:rFonts w:hint="eastAsia" w:ascii="宋体" w:hAnsi="宋体"/>
          <w:sz w:val="24"/>
        </w:rPr>
        <w:t>20.7</w:t>
      </w:r>
      <w:r>
        <w:rPr>
          <w:rFonts w:ascii="宋体" w:hAnsi="宋体"/>
          <w:sz w:val="24"/>
        </w:rPr>
        <w:t xml:space="preserve"> </w:t>
      </w:r>
      <w:r>
        <w:rPr>
          <w:rFonts w:hint="eastAsia" w:ascii="宋体" w:hAnsi="宋体"/>
          <w:bCs/>
          <w:sz w:val="24"/>
        </w:rPr>
        <w:t>投标人未参加开标的，视同认可开标结果。</w:t>
      </w:r>
    </w:p>
    <w:p>
      <w:pPr>
        <w:pStyle w:val="5"/>
        <w:spacing w:before="0" w:after="0" w:line="420" w:lineRule="auto"/>
        <w:ind w:firstLine="390" w:firstLineChars="150"/>
        <w:rPr>
          <w:rFonts w:hint="eastAsia"/>
          <w:b w:val="0"/>
          <w:bCs w:val="0"/>
        </w:rPr>
      </w:pPr>
      <w:r>
        <w:rPr>
          <w:rFonts w:hint="eastAsia"/>
          <w:b w:val="0"/>
          <w:bCs w:val="0"/>
        </w:rPr>
        <w:t>21、资格审查</w:t>
      </w:r>
    </w:p>
    <w:p>
      <w:pPr>
        <w:spacing w:line="420" w:lineRule="auto"/>
        <w:ind w:firstLine="480" w:firstLineChars="200"/>
        <w:rPr>
          <w:rFonts w:hint="eastAsia" w:ascii="宋体" w:hAnsi="宋体"/>
          <w:bCs/>
          <w:sz w:val="24"/>
        </w:rPr>
      </w:pPr>
      <w:r>
        <w:rPr>
          <w:rFonts w:hint="eastAsia" w:ascii="宋体" w:hAnsi="宋体"/>
          <w:sz w:val="24"/>
          <w:szCs w:val="24"/>
        </w:rPr>
        <w:t>21.1</w:t>
      </w:r>
      <w:r>
        <w:rPr>
          <w:rFonts w:hint="eastAsia" w:ascii="宋体" w:hAnsi="宋体"/>
          <w:bCs/>
          <w:sz w:val="24"/>
        </w:rPr>
        <w:t>依据法律法规和招标文件的约定，</w:t>
      </w:r>
      <w:r>
        <w:rPr>
          <w:rFonts w:ascii="宋体" w:hAnsi="宋体"/>
          <w:bCs/>
          <w:sz w:val="24"/>
        </w:rPr>
        <w:t>开标结束后，</w:t>
      </w:r>
      <w:r>
        <w:rPr>
          <w:rFonts w:hint="eastAsia" w:ascii="宋体" w:hAnsi="宋体"/>
          <w:bCs/>
          <w:sz w:val="24"/>
        </w:rPr>
        <w:t>由采购人对投标文件中的资格证明文件进行审查。资格审查的结论，采购人以书面形式向评委会进行反馈。未通过资格审查的投标人，由采购人告知未通过资格审查的原因。</w:t>
      </w:r>
    </w:p>
    <w:p>
      <w:pPr>
        <w:spacing w:line="420" w:lineRule="auto"/>
        <w:ind w:firstLine="480" w:firstLineChars="200"/>
        <w:rPr>
          <w:rFonts w:hint="eastAsia" w:ascii="宋体" w:hAnsi="宋体"/>
          <w:bCs/>
          <w:sz w:val="24"/>
        </w:rPr>
      </w:pPr>
      <w:r>
        <w:rPr>
          <w:rFonts w:hint="eastAsia" w:ascii="宋体" w:hAnsi="宋体"/>
          <w:bCs/>
          <w:sz w:val="24"/>
        </w:rPr>
        <w:t>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p>
    <w:p>
      <w:pPr>
        <w:spacing w:line="420" w:lineRule="auto"/>
        <w:ind w:firstLine="480" w:firstLineChars="200"/>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接受联合体的项目，两个以上的自然人、法人或者其他组织组成一个联合体，以一个供应商的身份共同参加政府采购活动的,联合体成员存在不良信用记录的，视同联合体存在不良信用记录。</w:t>
      </w:r>
    </w:p>
    <w:p>
      <w:pPr>
        <w:widowControl/>
        <w:spacing w:line="420" w:lineRule="auto"/>
        <w:jc w:val="left"/>
        <w:textAlignment w:val="baseline"/>
        <w:rPr>
          <w:rFonts w:ascii="宋体" w:hAnsi="宋体"/>
          <w:sz w:val="24"/>
          <w:szCs w:val="24"/>
        </w:rPr>
      </w:pPr>
      <w:r>
        <w:rPr>
          <w:rFonts w:ascii="宋体" w:hAnsi="宋体"/>
          <w:sz w:val="24"/>
          <w:szCs w:val="24"/>
        </w:rPr>
        <w:t>　　合格投标人不足3家的，不得评标。</w:t>
      </w:r>
    </w:p>
    <w:p>
      <w:pPr>
        <w:pStyle w:val="5"/>
        <w:spacing w:before="0" w:after="0" w:line="420" w:lineRule="auto"/>
        <w:ind w:firstLine="390" w:firstLineChars="150"/>
        <w:rPr>
          <w:rFonts w:hint="eastAsia"/>
          <w:b w:val="0"/>
          <w:bCs w:val="0"/>
        </w:rPr>
      </w:pPr>
      <w:r>
        <w:rPr>
          <w:rFonts w:hint="eastAsia"/>
          <w:b w:val="0"/>
          <w:bCs w:val="0"/>
        </w:rPr>
        <w:t>22、评标委员会</w:t>
      </w:r>
    </w:p>
    <w:p>
      <w:pPr>
        <w:spacing w:line="42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资格审查通过后，</w:t>
      </w:r>
      <w:r>
        <w:rPr>
          <w:rFonts w:hint="eastAsia" w:ascii="宋体" w:hAnsi="宋体"/>
          <w:bCs/>
          <w:sz w:val="24"/>
        </w:rPr>
        <w:t>采购人</w:t>
      </w:r>
      <w:r>
        <w:rPr>
          <w:rFonts w:hint="eastAsia" w:ascii="宋体" w:hAnsi="宋体" w:cs="宋体"/>
          <w:bCs/>
          <w:sz w:val="24"/>
        </w:rPr>
        <w:t>（或采购代理机构）</w:t>
      </w:r>
      <w:r>
        <w:rPr>
          <w:rFonts w:hint="eastAsia" w:ascii="宋体" w:hAnsi="宋体"/>
          <w:sz w:val="24"/>
          <w:szCs w:val="24"/>
        </w:rPr>
        <w:t>将组织评标委员会（以下简称评委会）进行评标。</w:t>
      </w:r>
    </w:p>
    <w:p>
      <w:pPr>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p>
    <w:p>
      <w:pPr>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p>
    <w:p>
      <w:pPr>
        <w:pStyle w:val="5"/>
        <w:spacing w:before="0" w:after="0" w:line="420" w:lineRule="auto"/>
        <w:ind w:firstLine="390" w:firstLineChars="150"/>
        <w:rPr>
          <w:rFonts w:hint="eastAsia" w:ascii="黑体"/>
          <w:b w:val="0"/>
          <w:bCs w:val="0"/>
        </w:rPr>
      </w:pPr>
      <w:r>
        <w:rPr>
          <w:rFonts w:hint="eastAsia" w:ascii="黑体"/>
          <w:b w:val="0"/>
          <w:bCs w:val="0"/>
        </w:rPr>
        <w:t>23、评标过程的保密与公正</w:t>
      </w:r>
    </w:p>
    <w:bookmarkEnd w:id="133"/>
    <w:bookmarkEnd w:id="134"/>
    <w:bookmarkEnd w:id="135"/>
    <w:p>
      <w:pPr>
        <w:spacing w:line="420" w:lineRule="auto"/>
        <w:ind w:firstLine="480" w:firstLineChars="200"/>
        <w:rPr>
          <w:rFonts w:hint="eastAsia" w:ascii="宋体" w:hAnsi="宋体"/>
          <w:bCs/>
          <w:sz w:val="24"/>
        </w:rPr>
      </w:pPr>
      <w:r>
        <w:rPr>
          <w:rFonts w:hint="eastAsia" w:ascii="宋体" w:hAnsi="宋体"/>
          <w:sz w:val="24"/>
        </w:rPr>
        <w:t>23.1</w:t>
      </w:r>
      <w:r>
        <w:rPr>
          <w:rFonts w:hint="eastAsia" w:ascii="宋体" w:hAnsi="宋体"/>
          <w:bCs/>
          <w:sz w:val="24"/>
        </w:rPr>
        <w:t>公开开标后，直至签订合同之日止，凡是与审查、澄清、评价和比较投标的有关资料以及授标建议等，采购人、评委、采购代理机构均不得向投标人或与评标无关的其他人员透露。</w:t>
      </w:r>
    </w:p>
    <w:p>
      <w:pPr>
        <w:spacing w:line="420" w:lineRule="auto"/>
        <w:ind w:firstLine="480" w:firstLineChars="200"/>
        <w:rPr>
          <w:rFonts w:hint="eastAsia"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pPr>
        <w:spacing w:line="420" w:lineRule="auto"/>
        <w:ind w:firstLine="480" w:firstLineChars="200"/>
        <w:rPr>
          <w:rFonts w:hint="eastAsia" w:ascii="宋体" w:hAnsi="宋体"/>
          <w:sz w:val="24"/>
          <w:szCs w:val="24"/>
        </w:rPr>
      </w:pPr>
      <w:r>
        <w:rPr>
          <w:rFonts w:hint="eastAsia" w:ascii="宋体" w:hAnsi="宋体"/>
          <w:sz w:val="24"/>
        </w:rPr>
        <w:t>23.3</w:t>
      </w:r>
      <w:r>
        <w:rPr>
          <w:rFonts w:hint="eastAsia" w:ascii="宋体" w:hAnsi="宋体"/>
          <w:sz w:val="24"/>
          <w:szCs w:val="24"/>
        </w:rPr>
        <w:t>在评标期间，</w:t>
      </w:r>
      <w:r>
        <w:rPr>
          <w:rFonts w:hint="eastAsia" w:ascii="宋体" w:hAnsi="宋体"/>
          <w:bCs/>
          <w:sz w:val="24"/>
        </w:rPr>
        <w:t>采购人（或采购代理机构）</w:t>
      </w:r>
      <w:r>
        <w:rPr>
          <w:rFonts w:hint="eastAsia" w:ascii="宋体" w:hAnsi="宋体"/>
          <w:sz w:val="24"/>
          <w:szCs w:val="24"/>
        </w:rPr>
        <w:t>将设专门人员与投标人联系。</w:t>
      </w:r>
    </w:p>
    <w:p>
      <w:pPr>
        <w:spacing w:line="420" w:lineRule="auto"/>
        <w:ind w:firstLine="480" w:firstLineChars="200"/>
        <w:rPr>
          <w:rFonts w:hint="eastAsia" w:ascii="宋体" w:hAnsi="宋体"/>
          <w:sz w:val="24"/>
          <w:szCs w:val="24"/>
        </w:rPr>
      </w:pPr>
      <w:r>
        <w:rPr>
          <w:rFonts w:hint="eastAsia" w:ascii="宋体" w:hAnsi="宋体"/>
          <w:sz w:val="24"/>
          <w:szCs w:val="24"/>
        </w:rPr>
        <w:t xml:space="preserve">23.4 </w:t>
      </w:r>
      <w:r>
        <w:rPr>
          <w:rFonts w:hint="eastAsia" w:ascii="宋体" w:hAnsi="宋体"/>
          <w:bCs/>
          <w:sz w:val="24"/>
        </w:rPr>
        <w:t>采购人、采购代理机构</w:t>
      </w:r>
      <w:r>
        <w:rPr>
          <w:rFonts w:hint="eastAsia" w:ascii="宋体" w:hAnsi="宋体"/>
          <w:sz w:val="24"/>
          <w:szCs w:val="24"/>
        </w:rPr>
        <w:t>和评标委员会不向落标的投标人解释未中标原因，也不公布评标过程中的相关细节。</w:t>
      </w:r>
    </w:p>
    <w:p>
      <w:pPr>
        <w:spacing w:line="420" w:lineRule="auto"/>
        <w:ind w:firstLine="480" w:firstLineChars="200"/>
        <w:rPr>
          <w:rFonts w:hint="eastAsia" w:ascii="宋体" w:hAnsi="宋体"/>
          <w:sz w:val="24"/>
          <w:szCs w:val="24"/>
        </w:rPr>
      </w:pPr>
      <w:r>
        <w:rPr>
          <w:rFonts w:hint="eastAsia" w:ascii="宋体" w:hAnsi="宋体"/>
          <w:sz w:val="24"/>
          <w:szCs w:val="24"/>
        </w:rPr>
        <w:t>23.5 本项目采用</w:t>
      </w:r>
      <w:r>
        <w:rPr>
          <w:rFonts w:hint="eastAsia" w:ascii="宋体" w:hAnsi="宋体"/>
          <w:sz w:val="24"/>
          <w:szCs w:val="24"/>
          <w:lang w:val="en-US" w:eastAsia="zh-CN"/>
        </w:rPr>
        <w:t>综合评分</w:t>
      </w:r>
      <w:r>
        <w:rPr>
          <w:rFonts w:hint="eastAsia" w:ascii="宋体" w:hAnsi="宋体"/>
          <w:sz w:val="24"/>
          <w:szCs w:val="24"/>
        </w:rPr>
        <w:t>法，未中标的投标人如需了解自己的评审得分及排序情况，可向采购人提出申请。</w:t>
      </w:r>
    </w:p>
    <w:p>
      <w:pPr>
        <w:pStyle w:val="5"/>
        <w:spacing w:before="0" w:after="0" w:line="420" w:lineRule="auto"/>
        <w:ind w:firstLine="390" w:firstLineChars="150"/>
        <w:rPr>
          <w:rFonts w:hint="eastAsia"/>
          <w:b w:val="0"/>
          <w:bCs w:val="0"/>
        </w:rPr>
      </w:pPr>
      <w:bookmarkStart w:id="136" w:name="_Toc16938548"/>
      <w:bookmarkStart w:id="137" w:name="_Toc20823304"/>
      <w:bookmarkStart w:id="138" w:name="_Toc513029232"/>
      <w:r>
        <w:rPr>
          <w:rFonts w:hint="eastAsia"/>
          <w:b w:val="0"/>
          <w:bCs w:val="0"/>
        </w:rPr>
        <w:t>24、投标的澄清</w:t>
      </w:r>
      <w:bookmarkEnd w:id="136"/>
      <w:bookmarkEnd w:id="137"/>
      <w:bookmarkEnd w:id="138"/>
    </w:p>
    <w:p>
      <w:pPr>
        <w:spacing w:line="420" w:lineRule="auto"/>
        <w:ind w:firstLine="480" w:firstLineChars="200"/>
        <w:rPr>
          <w:rFonts w:hint="eastAsia" w:ascii="宋体" w:hAnsi="宋体"/>
          <w:sz w:val="24"/>
          <w:szCs w:val="24"/>
        </w:rPr>
      </w:pPr>
      <w:r>
        <w:rPr>
          <w:rFonts w:hint="eastAsia" w:ascii="宋体" w:hAnsi="宋体"/>
          <w:sz w:val="24"/>
          <w:szCs w:val="24"/>
        </w:rPr>
        <w:t>24.1评标期间，为有助于对投标文件的审查、评价和比较，评委会有权以书面形式要求投标人对其投标文件进行澄清，但并非对每个投标人都作澄清要求。</w:t>
      </w:r>
    </w:p>
    <w:p>
      <w:pPr>
        <w:spacing w:line="420" w:lineRule="auto"/>
        <w:ind w:firstLine="480" w:firstLineChars="200"/>
        <w:rPr>
          <w:rFonts w:hint="eastAsia" w:ascii="宋体" w:hAnsi="宋体"/>
          <w:sz w:val="24"/>
          <w:szCs w:val="24"/>
        </w:rPr>
      </w:pPr>
      <w:r>
        <w:rPr>
          <w:rFonts w:hint="eastAsia" w:ascii="宋体" w:hAnsi="宋体"/>
          <w:sz w:val="24"/>
          <w:szCs w:val="24"/>
        </w:rPr>
        <w:t>24.2接到评委会澄清要求的投标人应派人按评委会通知的时间和地点做出书面澄清，书面澄清的内容须由投标人法人或授权代表签署，并作为投标文件的补充部分，但投标的价格和实质性的内容不得做任何更改。</w:t>
      </w:r>
    </w:p>
    <w:p>
      <w:pPr>
        <w:spacing w:line="420" w:lineRule="auto"/>
        <w:rPr>
          <w:rFonts w:hint="eastAsia" w:ascii="宋体" w:hAnsi="宋体"/>
          <w:sz w:val="24"/>
          <w:szCs w:val="24"/>
        </w:rPr>
      </w:pPr>
      <w:r>
        <w:rPr>
          <w:rFonts w:hint="eastAsia" w:ascii="宋体" w:hAnsi="宋体"/>
          <w:sz w:val="24"/>
          <w:szCs w:val="24"/>
        </w:rPr>
        <w:t xml:space="preserve">    24.3 接到评委会澄清要求的投标人如未按规定做出澄清，其风险由投标人自行承担。</w:t>
      </w:r>
    </w:p>
    <w:p>
      <w:pPr>
        <w:pStyle w:val="5"/>
        <w:spacing w:before="0" w:after="0" w:line="420" w:lineRule="auto"/>
        <w:ind w:firstLine="390" w:firstLineChars="150"/>
        <w:rPr>
          <w:rFonts w:hint="eastAsia"/>
          <w:b w:val="0"/>
          <w:bCs w:val="0"/>
        </w:rPr>
      </w:pPr>
      <w:bookmarkStart w:id="139" w:name="_Toc16938549"/>
      <w:bookmarkStart w:id="140" w:name="_Toc20823305"/>
      <w:bookmarkStart w:id="141" w:name="_Toc513029233"/>
      <w:r>
        <w:rPr>
          <w:rFonts w:hint="eastAsia"/>
          <w:b w:val="0"/>
          <w:bCs w:val="0"/>
        </w:rPr>
        <w:t>25、对投标文件的评审</w:t>
      </w:r>
      <w:bookmarkEnd w:id="139"/>
      <w:bookmarkEnd w:id="140"/>
      <w:bookmarkEnd w:id="141"/>
    </w:p>
    <w:p>
      <w:pPr>
        <w:spacing w:line="420" w:lineRule="auto"/>
        <w:ind w:firstLine="480" w:firstLineChars="200"/>
        <w:rPr>
          <w:rFonts w:hint="eastAsia" w:ascii="宋体" w:hAnsi="宋体"/>
          <w:bCs/>
          <w:sz w:val="24"/>
        </w:rPr>
      </w:pPr>
      <w:r>
        <w:rPr>
          <w:rFonts w:hint="eastAsia" w:ascii="宋体" w:hAnsi="宋体"/>
          <w:sz w:val="24"/>
        </w:rPr>
        <w:t>25.1</w:t>
      </w:r>
      <w:r>
        <w:rPr>
          <w:rFonts w:hint="eastAsia" w:ascii="宋体" w:hAnsi="宋体"/>
          <w:bCs/>
          <w:sz w:val="24"/>
        </w:rPr>
        <w:t>符合性检查：依据招标文件的规定，从投标文件的有效性、完整性和对招标文件的响应程度进行审查，以确定是否对招标文件的实质性要求作出响应。</w:t>
      </w:r>
    </w:p>
    <w:p>
      <w:pPr>
        <w:spacing w:line="420" w:lineRule="auto"/>
        <w:ind w:firstLine="480" w:firstLineChars="200"/>
        <w:rPr>
          <w:rFonts w:hint="eastAsia" w:ascii="宋体" w:hAnsi="宋体"/>
          <w:sz w:val="24"/>
          <w:szCs w:val="24"/>
        </w:rPr>
      </w:pPr>
      <w:r>
        <w:rPr>
          <w:rFonts w:hint="eastAsia" w:ascii="宋体" w:hAnsi="宋体"/>
          <w:sz w:val="24"/>
        </w:rPr>
        <w:t>25.2</w:t>
      </w:r>
      <w:r>
        <w:rPr>
          <w:rFonts w:hint="eastAsia" w:ascii="宋体" w:hAnsi="宋体"/>
          <w:sz w:val="24"/>
          <w:szCs w:val="24"/>
        </w:rPr>
        <w:t>在详细评标之前，评委会将首先审查每份投标文件是否实质性响应了招标文件的要求。实质性响应的投标应该是与招标文件要求的全部条款、条件和规格相符，没有重大偏离或保留的投标。</w:t>
      </w:r>
    </w:p>
    <w:p>
      <w:pPr>
        <w:spacing w:line="420" w:lineRule="auto"/>
        <w:ind w:firstLine="480" w:firstLineChars="200"/>
        <w:rPr>
          <w:rFonts w:hint="eastAsia" w:ascii="宋体" w:hAnsi="宋体"/>
          <w:bCs/>
          <w:sz w:val="24"/>
        </w:rPr>
      </w:pPr>
      <w:r>
        <w:rPr>
          <w:rFonts w:hint="eastAsia" w:ascii="宋体" w:hAnsi="宋体"/>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rPr>
        <w:t>评委决定投标文件的响应性只根据投标文件本身的内容，而不寻求外部的证据。</w:t>
      </w:r>
    </w:p>
    <w:p>
      <w:pPr>
        <w:spacing w:line="420" w:lineRule="auto"/>
        <w:ind w:firstLine="480" w:firstLineChars="200"/>
        <w:rPr>
          <w:rFonts w:hint="eastAsia" w:ascii="宋体" w:hAnsi="宋体"/>
          <w:bCs/>
          <w:sz w:val="24"/>
        </w:rPr>
      </w:pPr>
      <w:r>
        <w:rPr>
          <w:rFonts w:hint="eastAsia" w:ascii="宋体" w:hAnsi="宋体"/>
          <w:sz w:val="24"/>
        </w:rPr>
        <w:t>25.3</w:t>
      </w:r>
      <w:r>
        <w:rPr>
          <w:rFonts w:hint="eastAsia" w:ascii="宋体" w:hAnsi="宋体"/>
          <w:bCs/>
          <w:sz w:val="24"/>
        </w:rPr>
        <w:t>如果投标文件实质上没有响应招标文件的要求，评委会将按无效投标处理，投标人不得通过修改或撤销不合要求的偏离或保留而使其投标成为实质性响应的投标。</w:t>
      </w:r>
    </w:p>
    <w:p>
      <w:pPr>
        <w:spacing w:line="420" w:lineRule="auto"/>
        <w:ind w:firstLine="480" w:firstLineChars="200"/>
        <w:rPr>
          <w:rFonts w:hint="eastAsia" w:ascii="宋体" w:hAnsi="宋体"/>
          <w:bCs/>
          <w:sz w:val="24"/>
        </w:rPr>
      </w:pPr>
      <w:r>
        <w:rPr>
          <w:rFonts w:hint="eastAsia" w:ascii="宋体" w:hAnsi="宋体"/>
          <w:sz w:val="24"/>
        </w:rPr>
        <w:t>25.4</w:t>
      </w:r>
      <w:r>
        <w:rPr>
          <w:rFonts w:hint="eastAsia" w:ascii="宋体" w:hAnsi="宋体"/>
          <w:bCs/>
          <w:sz w:val="24"/>
        </w:rPr>
        <w:t>评委会将对确定为实质性响应的投标进行进一步审核，看其是否有计算上或累加上的算术错误，修正错误的原则如下：</w:t>
      </w:r>
    </w:p>
    <w:p>
      <w:pPr>
        <w:spacing w:line="420" w:lineRule="auto"/>
        <w:ind w:firstLine="480" w:firstLineChars="200"/>
        <w:rPr>
          <w:rFonts w:ascii="宋体" w:hAnsi="宋体"/>
          <w:bCs/>
          <w:sz w:val="24"/>
        </w:rPr>
      </w:pPr>
      <w:r>
        <w:rPr>
          <w:rFonts w:hint="eastAsia" w:ascii="宋体" w:hAnsi="宋体"/>
          <w:bCs/>
          <w:sz w:val="24"/>
        </w:rPr>
        <w:t>（1）投标文件中开标一览表内容与投标文件中相应内容不一致的，以开标一览表为准。</w:t>
      </w:r>
    </w:p>
    <w:p>
      <w:pPr>
        <w:spacing w:line="420" w:lineRule="auto"/>
        <w:ind w:firstLine="480" w:firstLineChars="200"/>
        <w:rPr>
          <w:rFonts w:ascii="宋体" w:hAnsi="宋体"/>
          <w:bCs/>
          <w:sz w:val="24"/>
        </w:rPr>
      </w:pPr>
      <w:r>
        <w:rPr>
          <w:rFonts w:hint="eastAsia" w:ascii="宋体" w:hAnsi="宋体"/>
          <w:bCs/>
          <w:sz w:val="24"/>
        </w:rPr>
        <w:t>（2）大写金额和小写金额不一致的，以大写金额为准。</w:t>
      </w:r>
    </w:p>
    <w:p>
      <w:pPr>
        <w:spacing w:line="420" w:lineRule="auto"/>
        <w:ind w:firstLine="480" w:firstLineChars="200"/>
        <w:rPr>
          <w:rFonts w:ascii="宋体" w:hAnsi="宋体"/>
          <w:bCs/>
          <w:sz w:val="24"/>
        </w:rPr>
      </w:pPr>
      <w:r>
        <w:rPr>
          <w:rFonts w:hint="eastAsia" w:ascii="宋体" w:hAnsi="宋体"/>
          <w:bCs/>
          <w:sz w:val="24"/>
        </w:rPr>
        <w:t>（3）单价金额小数点或者百分比有明显错位的，以开标一览表的总价为准，并修改单价。</w:t>
      </w:r>
    </w:p>
    <w:p>
      <w:pPr>
        <w:spacing w:line="420" w:lineRule="auto"/>
        <w:ind w:firstLine="480" w:firstLineChars="200"/>
        <w:rPr>
          <w:rFonts w:hint="eastAsia" w:ascii="宋体" w:hAnsi="宋体"/>
          <w:bCs/>
          <w:sz w:val="24"/>
        </w:rPr>
      </w:pPr>
      <w:r>
        <w:rPr>
          <w:rFonts w:hint="eastAsia" w:ascii="宋体" w:hAnsi="宋体"/>
          <w:bCs/>
          <w:sz w:val="24"/>
        </w:rPr>
        <w:t>（4）总价金额与按单价汇总金额不一致的，以单价金额计算结果为准。</w:t>
      </w:r>
    </w:p>
    <w:p>
      <w:pPr>
        <w:spacing w:line="420" w:lineRule="auto"/>
        <w:ind w:firstLine="480" w:firstLineChars="200"/>
        <w:rPr>
          <w:rFonts w:hint="eastAsia" w:ascii="宋体" w:hAnsi="宋体"/>
          <w:bCs/>
          <w:sz w:val="24"/>
          <w:highlight w:val="magenta"/>
        </w:rPr>
      </w:pPr>
      <w:r>
        <w:rPr>
          <w:rFonts w:hint="eastAsia" w:ascii="宋体" w:hAnsi="宋体"/>
          <w:bCs/>
          <w:sz w:val="24"/>
        </w:rPr>
        <w:t>同时出现两种以上错误的，按照前款规定的顺序修正。</w:t>
      </w:r>
    </w:p>
    <w:p>
      <w:pPr>
        <w:spacing w:line="420" w:lineRule="auto"/>
        <w:ind w:firstLine="480" w:firstLineChars="200"/>
        <w:rPr>
          <w:rFonts w:ascii="宋体" w:hAnsi="宋体"/>
          <w:bCs/>
          <w:sz w:val="24"/>
        </w:rPr>
      </w:pPr>
      <w:r>
        <w:rPr>
          <w:rFonts w:hint="eastAsia" w:ascii="宋体" w:hAnsi="宋体"/>
          <w:sz w:val="24"/>
        </w:rPr>
        <w:t>25.5</w:t>
      </w:r>
      <w:r>
        <w:rPr>
          <w:rFonts w:hint="eastAsia" w:ascii="宋体" w:hAnsi="宋体"/>
          <w:bCs/>
          <w:sz w:val="24"/>
        </w:rPr>
        <w:t>评委会将按上述修正错误的方法调整投标文件中的投标报价，调整后的价格应对投标人具有约束力。如果投标人不接受修正后的价格，则其投标将被拒绝。</w:t>
      </w:r>
    </w:p>
    <w:p>
      <w:pPr>
        <w:spacing w:line="420" w:lineRule="auto"/>
        <w:ind w:firstLine="480" w:firstLineChars="200"/>
        <w:rPr>
          <w:rFonts w:hint="eastAsia" w:ascii="宋体" w:hAnsi="宋体"/>
          <w:bCs/>
          <w:sz w:val="24"/>
        </w:rPr>
      </w:pPr>
      <w:r>
        <w:rPr>
          <w:rFonts w:hint="eastAsia" w:ascii="宋体" w:hAnsi="宋体"/>
          <w:sz w:val="24"/>
        </w:rPr>
        <w:t>25.6</w:t>
      </w:r>
      <w:r>
        <w:rPr>
          <w:rFonts w:hint="eastAsia" w:ascii="宋体" w:hAnsi="宋体"/>
          <w:bCs/>
          <w:sz w:val="24"/>
        </w:rPr>
        <w:t>评委会将允许修正投标文件中不构成重大偏离的、微小的、非正规的、不一致的或不规则的地方，但这些修改不能影响任何投标人相应的名次排列。</w:t>
      </w:r>
    </w:p>
    <w:p>
      <w:pPr>
        <w:spacing w:line="420" w:lineRule="auto"/>
        <w:ind w:firstLine="480" w:firstLineChars="200"/>
        <w:rPr>
          <w:rFonts w:ascii="宋体" w:hAnsi="宋体"/>
          <w:sz w:val="24"/>
        </w:rPr>
      </w:pPr>
      <w:r>
        <w:rPr>
          <w:rFonts w:hint="eastAsia" w:ascii="宋体" w:hAnsi="宋体"/>
          <w:sz w:val="24"/>
        </w:rPr>
        <w:t>25.7</w:t>
      </w:r>
      <w:r>
        <w:rPr>
          <w:rFonts w:ascii="宋体" w:hAnsi="宋体"/>
          <w:b/>
          <w:sz w:val="24"/>
        </w:rPr>
        <w:t>采用最低评标价法的采购项目，</w:t>
      </w:r>
      <w:r>
        <w:rPr>
          <w:rFonts w:ascii="宋体" w:hAnsi="宋体"/>
          <w:sz w:val="24"/>
        </w:rPr>
        <w:t>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spacing w:line="420" w:lineRule="auto"/>
        <w:ind w:firstLine="482" w:firstLineChars="200"/>
        <w:rPr>
          <w:rFonts w:hint="eastAsia" w:ascii="宋体" w:hAnsi="宋体"/>
          <w:sz w:val="24"/>
        </w:rPr>
      </w:pPr>
      <w:r>
        <w:rPr>
          <w:rFonts w:ascii="宋体" w:hAnsi="宋体"/>
          <w:b/>
          <w:sz w:val="24"/>
        </w:rPr>
        <w:t>使用综合评分法的采购项目，</w:t>
      </w:r>
      <w:r>
        <w:rPr>
          <w:rFonts w:ascii="宋体" w:hAnsi="宋体"/>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5"/>
        <w:spacing w:before="0" w:after="0" w:line="420" w:lineRule="auto"/>
        <w:ind w:firstLine="390" w:firstLineChars="150"/>
        <w:rPr>
          <w:rFonts w:hint="eastAsia"/>
          <w:b w:val="0"/>
          <w:bCs w:val="0"/>
        </w:rPr>
      </w:pPr>
      <w:bookmarkStart w:id="142" w:name="_Toc513029234"/>
      <w:bookmarkStart w:id="143" w:name="_Toc20823306"/>
      <w:bookmarkStart w:id="144" w:name="_Toc16938550"/>
      <w:r>
        <w:rPr>
          <w:rFonts w:hint="eastAsia"/>
          <w:b w:val="0"/>
          <w:bCs w:val="0"/>
        </w:rPr>
        <w:t>26、</w:t>
      </w:r>
      <w:bookmarkEnd w:id="142"/>
      <w:bookmarkEnd w:id="143"/>
      <w:bookmarkEnd w:id="144"/>
      <w:r>
        <w:rPr>
          <w:rFonts w:hint="eastAsia"/>
          <w:b w:val="0"/>
          <w:bCs w:val="0"/>
        </w:rPr>
        <w:t>无效投标条款和废标条款</w:t>
      </w:r>
    </w:p>
    <w:p>
      <w:pPr>
        <w:spacing w:line="420" w:lineRule="auto"/>
        <w:ind w:left="479" w:leftChars="228"/>
        <w:rPr>
          <w:rFonts w:hint="eastAsia" w:ascii="宋体" w:hAnsi="宋体"/>
          <w:bCs/>
          <w:sz w:val="24"/>
        </w:rPr>
      </w:pPr>
      <w:bookmarkStart w:id="145" w:name="_Toc16938551"/>
      <w:bookmarkStart w:id="146" w:name="_Toc20823307"/>
      <w:bookmarkStart w:id="147" w:name="_Toc513029235"/>
      <w:r>
        <w:rPr>
          <w:rFonts w:hint="eastAsia" w:ascii="宋体" w:hAnsi="宋体"/>
          <w:bCs/>
          <w:sz w:val="24"/>
        </w:rPr>
        <w:t>26.1无效投标条款</w:t>
      </w:r>
    </w:p>
    <w:p>
      <w:pPr>
        <w:spacing w:line="420" w:lineRule="auto"/>
        <w:ind w:firstLine="480" w:firstLineChars="200"/>
        <w:rPr>
          <w:rFonts w:ascii="宋体" w:hAnsi="宋体"/>
          <w:bCs/>
          <w:sz w:val="24"/>
        </w:rPr>
      </w:pPr>
      <w:r>
        <w:rPr>
          <w:rFonts w:hint="eastAsia" w:ascii="宋体" w:hAnsi="宋体"/>
          <w:bCs/>
          <w:sz w:val="24"/>
        </w:rPr>
        <w:t>26.1.1投标人未按照招标文件要求递交投标文件的；</w:t>
      </w:r>
    </w:p>
    <w:p>
      <w:pPr>
        <w:spacing w:line="420" w:lineRule="auto"/>
        <w:ind w:left="479" w:leftChars="228"/>
        <w:rPr>
          <w:rFonts w:hint="eastAsia" w:ascii="宋体" w:hAnsi="宋体"/>
          <w:bCs/>
          <w:sz w:val="24"/>
        </w:rPr>
      </w:pPr>
      <w:r>
        <w:rPr>
          <w:rFonts w:hint="eastAsia" w:ascii="宋体" w:hAnsi="宋体"/>
          <w:bCs/>
          <w:sz w:val="24"/>
        </w:rPr>
        <w:t>26.1.2投标人在报价时采用选择性报价；</w:t>
      </w:r>
    </w:p>
    <w:p>
      <w:pPr>
        <w:spacing w:line="420" w:lineRule="auto"/>
        <w:ind w:left="479" w:leftChars="228"/>
        <w:rPr>
          <w:rFonts w:hint="eastAsia" w:ascii="宋体" w:hAnsi="宋体"/>
          <w:bCs/>
          <w:sz w:val="24"/>
        </w:rPr>
      </w:pPr>
      <w:r>
        <w:rPr>
          <w:rFonts w:hint="eastAsia" w:ascii="宋体" w:hAnsi="宋体"/>
          <w:bCs/>
          <w:sz w:val="24"/>
        </w:rPr>
        <w:t>26.1.3投标人不具备招标文件中规定资格要求的；</w:t>
      </w:r>
    </w:p>
    <w:p>
      <w:pPr>
        <w:spacing w:line="420" w:lineRule="auto"/>
        <w:ind w:firstLine="480" w:firstLineChars="200"/>
        <w:rPr>
          <w:rFonts w:hint="eastAsia" w:ascii="宋体" w:hAnsi="宋体"/>
          <w:bCs/>
          <w:sz w:val="24"/>
        </w:rPr>
      </w:pPr>
      <w:r>
        <w:rPr>
          <w:rFonts w:hint="eastAsia" w:ascii="宋体" w:hAnsi="宋体"/>
          <w:bCs/>
          <w:sz w:val="24"/>
        </w:rPr>
        <w:t>26.1.4投标人的报价超过了采购预算或最高限价的；</w:t>
      </w:r>
    </w:p>
    <w:p>
      <w:pPr>
        <w:spacing w:line="420" w:lineRule="auto"/>
        <w:ind w:firstLine="480" w:firstLineChars="200"/>
        <w:rPr>
          <w:rFonts w:hint="eastAsia" w:ascii="宋体" w:hAnsi="宋体"/>
          <w:bCs/>
          <w:i/>
          <w:sz w:val="24"/>
          <w:u w:val="single"/>
        </w:rPr>
      </w:pPr>
      <w:r>
        <w:rPr>
          <w:rFonts w:hint="eastAsia" w:ascii="宋体" w:hAnsi="宋体"/>
          <w:bCs/>
          <w:sz w:val="24"/>
        </w:rPr>
        <w:t>26.1.5未通过符合性检查的；</w:t>
      </w:r>
    </w:p>
    <w:p>
      <w:pPr>
        <w:spacing w:line="420" w:lineRule="auto"/>
        <w:ind w:firstLine="360" w:firstLineChars="150"/>
        <w:rPr>
          <w:rFonts w:hint="eastAsia" w:ascii="宋体" w:hAnsi="宋体"/>
          <w:bCs/>
          <w:sz w:val="24"/>
        </w:rPr>
      </w:pPr>
      <w:r>
        <w:rPr>
          <w:rFonts w:hint="eastAsia" w:ascii="宋体" w:hAnsi="宋体"/>
          <w:bCs/>
          <w:sz w:val="24"/>
        </w:rPr>
        <w:t xml:space="preserve"> 26.1.6不符合招标文件中规定的其他实质性要求和条件的；</w:t>
      </w:r>
    </w:p>
    <w:p>
      <w:pPr>
        <w:spacing w:line="420" w:lineRule="auto"/>
        <w:ind w:firstLine="480" w:firstLineChars="200"/>
        <w:rPr>
          <w:rFonts w:hint="eastAsia" w:ascii="宋体" w:hAnsi="宋体"/>
          <w:bCs/>
          <w:sz w:val="24"/>
        </w:rPr>
      </w:pPr>
      <w:r>
        <w:rPr>
          <w:rFonts w:hint="eastAsia" w:ascii="宋体" w:hAnsi="宋体"/>
          <w:bCs/>
          <w:sz w:val="24"/>
        </w:rPr>
        <w:t>26.1.7投标人串通投标；</w:t>
      </w:r>
    </w:p>
    <w:p>
      <w:pPr>
        <w:spacing w:line="420" w:lineRule="auto"/>
        <w:ind w:firstLine="480" w:firstLineChars="200"/>
        <w:rPr>
          <w:rFonts w:hint="eastAsia" w:ascii="宋体" w:hAnsi="宋体"/>
          <w:bCs/>
          <w:sz w:val="24"/>
        </w:rPr>
      </w:pPr>
      <w:r>
        <w:rPr>
          <w:rFonts w:hint="eastAsia" w:ascii="宋体" w:hAnsi="宋体"/>
          <w:bCs/>
          <w:sz w:val="24"/>
        </w:rPr>
        <w:t>26.1.8投标文件含有采购人不能接受的附加条件的。</w:t>
      </w:r>
    </w:p>
    <w:p>
      <w:pPr>
        <w:spacing w:line="420" w:lineRule="auto"/>
        <w:ind w:firstLine="480" w:firstLineChars="200"/>
        <w:rPr>
          <w:rFonts w:ascii="宋体" w:hAnsi="宋体"/>
          <w:bCs/>
          <w:sz w:val="24"/>
        </w:rPr>
      </w:pPr>
      <w:r>
        <w:rPr>
          <w:rFonts w:hint="eastAsia" w:ascii="宋体" w:hAnsi="宋体"/>
          <w:bCs/>
          <w:sz w:val="24"/>
        </w:rPr>
        <w:t>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420" w:lineRule="auto"/>
        <w:ind w:firstLine="480" w:firstLineChars="200"/>
        <w:rPr>
          <w:rFonts w:ascii="宋体" w:hAnsi="宋体"/>
          <w:bCs/>
          <w:sz w:val="24"/>
        </w:rPr>
      </w:pPr>
      <w:r>
        <w:rPr>
          <w:rFonts w:hint="eastAsia" w:ascii="宋体" w:hAnsi="宋体"/>
          <w:bCs/>
          <w:sz w:val="24"/>
        </w:rPr>
        <w:t>26.</w:t>
      </w:r>
      <w:r>
        <w:rPr>
          <w:rFonts w:ascii="宋体" w:hAnsi="宋体"/>
          <w:bCs/>
          <w:sz w:val="24"/>
        </w:rPr>
        <w:t>1.11</w:t>
      </w:r>
      <w:r>
        <w:rPr>
          <w:rFonts w:hint="eastAsia" w:ascii="宋体" w:hAnsi="宋体"/>
          <w:bCs/>
          <w:sz w:val="24"/>
        </w:rPr>
        <w:t>投标文件未按招标文件要求签署、盖章的。</w:t>
      </w:r>
    </w:p>
    <w:p>
      <w:pPr>
        <w:spacing w:line="420" w:lineRule="auto"/>
        <w:ind w:firstLine="480" w:firstLineChars="200"/>
        <w:rPr>
          <w:rFonts w:ascii="宋体" w:hAnsi="宋体"/>
          <w:bCs/>
          <w:sz w:val="24"/>
        </w:rPr>
      </w:pPr>
      <w:r>
        <w:rPr>
          <w:rFonts w:hint="eastAsia" w:ascii="宋体" w:hAnsi="宋体"/>
          <w:bCs/>
          <w:sz w:val="24"/>
        </w:rPr>
        <w:t>26.1.1</w:t>
      </w:r>
      <w:r>
        <w:rPr>
          <w:rFonts w:ascii="宋体" w:hAnsi="宋体"/>
          <w:bCs/>
          <w:sz w:val="24"/>
        </w:rPr>
        <w:t>2</w:t>
      </w:r>
      <w:r>
        <w:rPr>
          <w:rFonts w:hint="eastAsia" w:ascii="宋体" w:hAnsi="宋体"/>
          <w:bCs/>
          <w:sz w:val="24"/>
        </w:rPr>
        <w:t>其他法律、法规及本招标文件规定的属无效投标的情形。</w:t>
      </w:r>
    </w:p>
    <w:p>
      <w:pPr>
        <w:spacing w:line="420" w:lineRule="auto"/>
        <w:ind w:left="479" w:leftChars="228"/>
        <w:rPr>
          <w:rFonts w:hint="eastAsia" w:ascii="宋体" w:hAnsi="宋体"/>
          <w:bCs/>
          <w:sz w:val="24"/>
        </w:rPr>
      </w:pPr>
      <w:r>
        <w:rPr>
          <w:rFonts w:hint="eastAsia" w:ascii="宋体" w:hAnsi="宋体"/>
          <w:bCs/>
          <w:sz w:val="24"/>
        </w:rPr>
        <w:t xml:space="preserve">26.2废标条款：                                                                                                                                                                                                                                                                                                                                                                                                                                                                                                                                                                                                                                                                                                                                                                                                                                                                                                                                                                                                                                                                                                                                                                                                                                                                                                                                                                                                                                                                         </w:t>
      </w:r>
    </w:p>
    <w:p>
      <w:pPr>
        <w:spacing w:line="420" w:lineRule="auto"/>
        <w:ind w:left="479" w:leftChars="228"/>
        <w:rPr>
          <w:rFonts w:hint="eastAsia" w:ascii="宋体" w:hAnsi="宋体"/>
          <w:bCs/>
          <w:sz w:val="24"/>
        </w:rPr>
      </w:pPr>
      <w:r>
        <w:rPr>
          <w:rFonts w:hint="eastAsia" w:ascii="宋体" w:hAnsi="宋体"/>
          <w:bCs/>
          <w:sz w:val="24"/>
        </w:rPr>
        <w:t>26.2.1符合专业条件的供应商或者对招标文件作实质响应的供应商不足三家的；26.2.2出现影响采购公正的违法、违规行为的；</w:t>
      </w:r>
    </w:p>
    <w:p>
      <w:pPr>
        <w:spacing w:line="420" w:lineRule="auto"/>
        <w:ind w:left="479" w:leftChars="228"/>
        <w:rPr>
          <w:rFonts w:hint="eastAsia" w:ascii="宋体" w:hAnsi="宋体"/>
          <w:bCs/>
          <w:sz w:val="24"/>
        </w:rPr>
      </w:pPr>
      <w:r>
        <w:rPr>
          <w:rFonts w:hint="eastAsia" w:ascii="宋体" w:hAnsi="宋体"/>
          <w:bCs/>
          <w:sz w:val="24"/>
        </w:rPr>
        <w:t>26.2.3因重大变故，采购任务取消的；</w:t>
      </w:r>
    </w:p>
    <w:p>
      <w:pPr>
        <w:spacing w:line="420" w:lineRule="auto"/>
        <w:ind w:left="479" w:leftChars="228"/>
        <w:rPr>
          <w:rFonts w:ascii="宋体" w:hAnsi="宋体"/>
          <w:bCs/>
          <w:sz w:val="24"/>
        </w:rPr>
      </w:pPr>
      <w:r>
        <w:rPr>
          <w:rFonts w:hint="eastAsia" w:ascii="宋体" w:hAnsi="宋体"/>
          <w:bCs/>
          <w:sz w:val="24"/>
        </w:rPr>
        <w:t>26.2.4评标委员会认定招标文件存在歧义、重大缺陷导致评审工作无法进行。</w:t>
      </w:r>
    </w:p>
    <w:p>
      <w:pPr>
        <w:spacing w:line="420" w:lineRule="auto"/>
        <w:ind w:left="479" w:leftChars="228"/>
        <w:rPr>
          <w:rFonts w:hint="eastAsia" w:ascii="宋体" w:hAnsi="宋体"/>
          <w:bCs/>
          <w:sz w:val="24"/>
        </w:rPr>
      </w:pPr>
      <w:r>
        <w:rPr>
          <w:rFonts w:hint="eastAsia" w:ascii="宋体" w:hAnsi="宋体"/>
          <w:bCs/>
          <w:sz w:val="24"/>
        </w:rPr>
        <w:t>26.3 投标截止时间结束后参加投标的供应商不足三家的处理：</w:t>
      </w:r>
    </w:p>
    <w:p>
      <w:pPr>
        <w:spacing w:line="420" w:lineRule="auto"/>
        <w:ind w:firstLine="480" w:firstLineChars="200"/>
        <w:rPr>
          <w:rFonts w:hint="eastAsia"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26.3.1如出现投标截止时间结束后参加投标的供应商或者在评标期间对招标文件做出实质响应的供应商不足三家情况，按财政部第八十七号令第四十三条的规定执行。</w:t>
      </w:r>
    </w:p>
    <w:p>
      <w:pPr>
        <w:pStyle w:val="2"/>
        <w:spacing w:before="145" w:beforeLines="50" w:after="145" w:afterLines="50" w:line="420" w:lineRule="auto"/>
        <w:ind w:firstLine="300" w:firstLineChars="100"/>
        <w:rPr>
          <w:rFonts w:hint="eastAsia"/>
        </w:rPr>
      </w:pPr>
      <w:bookmarkStart w:id="148" w:name="_Toc120614219"/>
      <w:r>
        <w:rPr>
          <w:rFonts w:hint="eastAsia"/>
        </w:rPr>
        <w:t>六、</w:t>
      </w:r>
      <w:bookmarkEnd w:id="145"/>
      <w:bookmarkEnd w:id="146"/>
      <w:bookmarkEnd w:id="147"/>
      <w:r>
        <w:rPr>
          <w:rFonts w:hint="eastAsia"/>
        </w:rPr>
        <w:t>定标</w:t>
      </w:r>
      <w:bookmarkEnd w:id="148"/>
    </w:p>
    <w:p>
      <w:pPr>
        <w:pStyle w:val="5"/>
        <w:spacing w:before="0" w:after="0" w:line="420" w:lineRule="auto"/>
        <w:ind w:firstLine="450" w:firstLineChars="150"/>
        <w:rPr>
          <w:rFonts w:hint="eastAsia" w:ascii="黑体" w:hAnsi="宋体"/>
          <w:b w:val="0"/>
          <w:sz w:val="30"/>
          <w:szCs w:val="30"/>
        </w:rPr>
      </w:pPr>
      <w:bookmarkStart w:id="149" w:name="_Toc513029238"/>
      <w:bookmarkStart w:id="150" w:name="_Toc20823310"/>
      <w:bookmarkStart w:id="151" w:name="_Toc16938554"/>
      <w:r>
        <w:rPr>
          <w:rFonts w:hint="eastAsia" w:ascii="黑体" w:hAnsi="宋体"/>
          <w:b w:val="0"/>
          <w:sz w:val="30"/>
          <w:szCs w:val="30"/>
        </w:rPr>
        <w:t>27、</w:t>
      </w:r>
      <w:bookmarkEnd w:id="149"/>
      <w:r>
        <w:rPr>
          <w:rFonts w:hint="eastAsia" w:ascii="黑体" w:hAnsi="宋体"/>
          <w:b w:val="0"/>
          <w:sz w:val="30"/>
          <w:szCs w:val="30"/>
        </w:rPr>
        <w:t>确定</w:t>
      </w:r>
      <w:bookmarkEnd w:id="150"/>
      <w:bookmarkEnd w:id="151"/>
      <w:r>
        <w:rPr>
          <w:rFonts w:hint="eastAsia" w:ascii="黑体" w:hAnsi="宋体"/>
          <w:b w:val="0"/>
          <w:sz w:val="30"/>
          <w:szCs w:val="30"/>
        </w:rPr>
        <w:t>中标单位</w:t>
      </w:r>
    </w:p>
    <w:p>
      <w:pPr>
        <w:spacing w:line="420" w:lineRule="auto"/>
        <w:ind w:firstLine="480" w:firstLineChars="200"/>
        <w:rPr>
          <w:rFonts w:hint="eastAsia" w:ascii="宋体" w:hAnsi="宋体"/>
          <w:bCs/>
          <w:sz w:val="24"/>
        </w:rPr>
      </w:pPr>
      <w:r>
        <w:rPr>
          <w:rFonts w:hint="eastAsia" w:ascii="宋体" w:hAnsi="宋体"/>
          <w:bCs/>
          <w:sz w:val="24"/>
        </w:rPr>
        <w:t>27.1评委会根据本招标文件规定评标方法与评标标准向采购人推荐出中标候选人。</w:t>
      </w:r>
    </w:p>
    <w:p>
      <w:pPr>
        <w:spacing w:line="420" w:lineRule="auto"/>
        <w:ind w:firstLine="480" w:firstLineChars="200"/>
        <w:rPr>
          <w:rFonts w:hint="eastAsia" w:ascii="宋体" w:hAnsi="宋体"/>
          <w:bCs/>
          <w:sz w:val="24"/>
        </w:rPr>
      </w:pPr>
      <w:r>
        <w:rPr>
          <w:rFonts w:hint="eastAsia" w:ascii="宋体" w:hAnsi="宋体"/>
          <w:bCs/>
          <w:sz w:val="24"/>
        </w:rPr>
        <w:t>27.2 采购人应根据评委会推荐的中标候选人确定中标供应商。</w:t>
      </w:r>
    </w:p>
    <w:p>
      <w:pPr>
        <w:spacing w:line="420" w:lineRule="auto"/>
        <w:ind w:firstLine="480" w:firstLineChars="200"/>
        <w:rPr>
          <w:rFonts w:hint="eastAsia" w:ascii="宋体" w:hAnsi="宋体"/>
          <w:sz w:val="24"/>
          <w:szCs w:val="24"/>
        </w:rPr>
      </w:pPr>
      <w:r>
        <w:rPr>
          <w:rFonts w:hint="eastAsia" w:ascii="宋体" w:hAnsi="宋体"/>
          <w:bCs/>
          <w:sz w:val="24"/>
          <w:szCs w:val="24"/>
        </w:rPr>
        <w:t>27.3</w:t>
      </w:r>
      <w:r>
        <w:rPr>
          <w:rFonts w:hint="eastAsia" w:ascii="宋体" w:hAnsi="宋体"/>
          <w:sz w:val="24"/>
          <w:szCs w:val="24"/>
        </w:rPr>
        <w:t>采购人或采购代理机构将在“江苏政府采购网、盐城市政府采购网、</w:t>
      </w:r>
      <w:r>
        <w:rPr>
          <w:rFonts w:hint="eastAsia" w:ascii="宋体" w:hAnsi="宋体" w:cs="宋体"/>
          <w:sz w:val="24"/>
          <w:szCs w:val="24"/>
        </w:rPr>
        <w:t>滨海县人民政府网</w:t>
      </w:r>
      <w:r>
        <w:rPr>
          <w:rFonts w:hint="eastAsia" w:ascii="宋体" w:hAnsi="宋体"/>
          <w:sz w:val="24"/>
          <w:szCs w:val="24"/>
        </w:rPr>
        <w:t>”发布中标公告，公告期限为1个工作日。</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27.4若有充分证据证明，中标供应商出现下列情况之一的，一经查实，将被取消中标资格：</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27.4.1提供虚假材料谋取中标的；</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27.4.2向采购人、采购代理机构行贿或者提供其他不正当利益的；</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27.4.3恶意竞争，投标总报价明显低于其自身合理成本且又无法提供证明的；</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27.4.4属于本文件规定的无效条件，但在评标过程中又未被评委会发现的；</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27.4.5与采购人或者其他供应商恶意串通的；</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27.4.6采取不正当手段诋毁、排挤其他供应商的；</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27.4.7不符合法律、法规的规定的。</w:t>
      </w:r>
      <w:bookmarkStart w:id="152" w:name="_Toc200451960"/>
    </w:p>
    <w:p>
      <w:pPr>
        <w:snapToGrid w:val="0"/>
        <w:spacing w:line="420" w:lineRule="auto"/>
        <w:ind w:firstLine="480" w:firstLineChars="200"/>
        <w:rPr>
          <w:rFonts w:ascii="宋体" w:hAnsi="宋体"/>
          <w:sz w:val="24"/>
          <w:szCs w:val="24"/>
        </w:rPr>
      </w:pPr>
      <w:r>
        <w:rPr>
          <w:rFonts w:hint="eastAsia" w:ascii="宋体" w:hAnsi="宋体"/>
          <w:sz w:val="24"/>
          <w:szCs w:val="24"/>
        </w:rPr>
        <w:t>27.5.</w:t>
      </w:r>
      <w:r>
        <w:rPr>
          <w:rFonts w:hint="eastAsia"/>
        </w:rPr>
        <w:t xml:space="preserve"> </w:t>
      </w:r>
      <w:r>
        <w:rPr>
          <w:rFonts w:hAnsi="宋体" w:cs="宋体"/>
          <w:kern w:val="0"/>
          <w:sz w:val="24"/>
          <w:szCs w:val="24"/>
        </w:rPr>
        <w:t>有下列情形之一的，</w:t>
      </w:r>
      <w:r>
        <w:rPr>
          <w:rFonts w:hint="eastAsia" w:hAnsi="宋体" w:cs="宋体"/>
          <w:kern w:val="0"/>
          <w:sz w:val="24"/>
          <w:szCs w:val="24"/>
        </w:rPr>
        <w:t>视为投标人</w:t>
      </w:r>
      <w:r>
        <w:rPr>
          <w:rFonts w:hAnsi="宋体" w:cs="宋体"/>
          <w:kern w:val="0"/>
          <w:sz w:val="24"/>
          <w:szCs w:val="24"/>
        </w:rPr>
        <w:t>串通</w:t>
      </w:r>
      <w:r>
        <w:rPr>
          <w:rFonts w:hint="eastAsia" w:hAnsi="宋体" w:cs="宋体"/>
          <w:kern w:val="0"/>
          <w:sz w:val="24"/>
          <w:szCs w:val="24"/>
        </w:rPr>
        <w:t>投标，投标无效：</w:t>
      </w:r>
    </w:p>
    <w:p>
      <w:pPr>
        <w:snapToGrid w:val="0"/>
        <w:spacing w:line="420" w:lineRule="auto"/>
        <w:ind w:firstLine="480" w:firstLineChars="200"/>
        <w:rPr>
          <w:rFonts w:ascii="宋体" w:hAnsi="宋体"/>
          <w:sz w:val="24"/>
          <w:szCs w:val="24"/>
        </w:rPr>
      </w:pPr>
      <w:r>
        <w:rPr>
          <w:rFonts w:hint="eastAsia" w:ascii="宋体" w:hAnsi="宋体"/>
          <w:sz w:val="24"/>
          <w:szCs w:val="24"/>
        </w:rPr>
        <w:t>27.5.1不同投标人的投标文件由同一单位或者个人编制。</w:t>
      </w:r>
    </w:p>
    <w:p>
      <w:pPr>
        <w:snapToGrid w:val="0"/>
        <w:spacing w:line="420" w:lineRule="auto"/>
        <w:ind w:firstLine="480" w:firstLineChars="200"/>
        <w:rPr>
          <w:rFonts w:ascii="宋体" w:hAnsi="宋体"/>
          <w:sz w:val="24"/>
          <w:szCs w:val="24"/>
        </w:rPr>
      </w:pPr>
      <w:r>
        <w:rPr>
          <w:rFonts w:hint="eastAsia" w:ascii="宋体" w:hAnsi="宋体"/>
          <w:sz w:val="24"/>
          <w:szCs w:val="24"/>
        </w:rPr>
        <w:t>27.5.2不同投标人委托同一单位或者个人办理投标事宜。</w:t>
      </w:r>
    </w:p>
    <w:p>
      <w:pPr>
        <w:snapToGrid w:val="0"/>
        <w:spacing w:line="420" w:lineRule="auto"/>
        <w:ind w:firstLine="480" w:firstLineChars="200"/>
        <w:rPr>
          <w:rFonts w:ascii="宋体" w:hAnsi="宋体"/>
          <w:sz w:val="24"/>
          <w:szCs w:val="24"/>
        </w:rPr>
      </w:pPr>
      <w:r>
        <w:rPr>
          <w:rFonts w:hint="eastAsia" w:ascii="宋体" w:hAnsi="宋体"/>
          <w:sz w:val="24"/>
          <w:szCs w:val="24"/>
        </w:rPr>
        <w:t>27.5.3 不同投标人的投标文件载明的项目管理成员或者联系人员为同一人。</w:t>
      </w:r>
    </w:p>
    <w:p>
      <w:pPr>
        <w:snapToGrid w:val="0"/>
        <w:spacing w:line="420" w:lineRule="auto"/>
        <w:ind w:firstLine="480" w:firstLineChars="200"/>
        <w:rPr>
          <w:rFonts w:ascii="宋体" w:hAnsi="宋体"/>
          <w:sz w:val="24"/>
          <w:szCs w:val="24"/>
        </w:rPr>
      </w:pPr>
      <w:r>
        <w:rPr>
          <w:rFonts w:hint="eastAsia" w:ascii="宋体" w:hAnsi="宋体"/>
          <w:sz w:val="24"/>
          <w:szCs w:val="24"/>
        </w:rPr>
        <w:t>27.5.4不同投标人的投标文件异常一致或者投标报价呈规律性差异。</w:t>
      </w:r>
    </w:p>
    <w:p>
      <w:pPr>
        <w:snapToGrid w:val="0"/>
        <w:spacing w:line="420" w:lineRule="auto"/>
        <w:ind w:firstLine="480" w:firstLineChars="200"/>
        <w:rPr>
          <w:rFonts w:ascii="宋体" w:hAnsi="宋体"/>
          <w:sz w:val="24"/>
          <w:szCs w:val="24"/>
        </w:rPr>
      </w:pPr>
      <w:r>
        <w:rPr>
          <w:rFonts w:hint="eastAsia" w:ascii="宋体" w:hAnsi="宋体"/>
          <w:sz w:val="24"/>
          <w:szCs w:val="24"/>
        </w:rPr>
        <w:t>27.5.5不同投标人的投标文件相互混装。</w:t>
      </w:r>
    </w:p>
    <w:p>
      <w:pPr>
        <w:pStyle w:val="5"/>
        <w:tabs>
          <w:tab w:val="left" w:pos="4120"/>
        </w:tabs>
        <w:spacing w:before="0" w:after="0" w:line="420" w:lineRule="auto"/>
        <w:ind w:firstLine="450" w:firstLineChars="150"/>
        <w:rPr>
          <w:rFonts w:hint="eastAsia" w:ascii="黑体" w:hAnsi="宋体"/>
          <w:b w:val="0"/>
          <w:sz w:val="30"/>
          <w:szCs w:val="30"/>
        </w:rPr>
      </w:pPr>
      <w:r>
        <w:rPr>
          <w:rFonts w:hint="eastAsia" w:ascii="黑体" w:hAnsi="宋体"/>
          <w:b w:val="0"/>
          <w:sz w:val="30"/>
          <w:szCs w:val="30"/>
        </w:rPr>
        <w:t>28、质疑处理</w:t>
      </w:r>
      <w:bookmarkEnd w:id="152"/>
      <w:r>
        <w:rPr>
          <w:rFonts w:ascii="黑体" w:hAnsi="宋体"/>
          <w:b w:val="0"/>
          <w:sz w:val="30"/>
          <w:szCs w:val="30"/>
        </w:rPr>
        <w:tab/>
      </w:r>
    </w:p>
    <w:p>
      <w:pPr>
        <w:snapToGrid w:val="0"/>
        <w:spacing w:line="420" w:lineRule="auto"/>
        <w:ind w:firstLine="480" w:firstLineChars="200"/>
        <w:rPr>
          <w:rFonts w:hint="eastAsia" w:ascii="宋体" w:hAnsi="宋体"/>
          <w:sz w:val="24"/>
          <w:szCs w:val="24"/>
        </w:rPr>
      </w:pPr>
      <w:r>
        <w:rPr>
          <w:rFonts w:hint="eastAsia" w:ascii="宋体" w:hAnsi="宋体"/>
          <w:sz w:val="24"/>
          <w:szCs w:val="24"/>
        </w:rPr>
        <w:t>28.1参加投标供应商认为招标文件、采购过程和中标结果使自己的权益受到损害的，可以在知道或应知其权益受到损害之日起七个工作日内，以书面形式根据下述29.9条向采购人或采购代理机构提出质疑。上述应知其权益受到损害之日，是指：</w:t>
      </w:r>
    </w:p>
    <w:p>
      <w:pPr>
        <w:snapToGrid w:val="0"/>
        <w:spacing w:line="420" w:lineRule="auto"/>
        <w:ind w:firstLine="480" w:firstLineChars="200"/>
        <w:rPr>
          <w:rFonts w:hint="eastAsia" w:hAnsi="宋体" w:cs="宋体"/>
          <w:kern w:val="0"/>
          <w:sz w:val="24"/>
          <w:szCs w:val="24"/>
        </w:rPr>
      </w:pPr>
      <w:r>
        <w:rPr>
          <w:rFonts w:hint="eastAsia" w:ascii="宋体" w:hAnsi="宋体"/>
          <w:sz w:val="24"/>
          <w:szCs w:val="24"/>
        </w:rPr>
        <w:t>28.1.1</w:t>
      </w:r>
      <w:r>
        <w:rPr>
          <w:rFonts w:hAnsi="宋体" w:cs="宋体"/>
          <w:kern w:val="0"/>
          <w:sz w:val="24"/>
          <w:szCs w:val="24"/>
        </w:rPr>
        <w:t>对可以质疑的</w:t>
      </w:r>
      <w:r>
        <w:rPr>
          <w:rFonts w:hint="eastAsia" w:hAnsi="宋体" w:cs="宋体"/>
          <w:kern w:val="0"/>
          <w:sz w:val="24"/>
          <w:szCs w:val="24"/>
        </w:rPr>
        <w:t>招标</w:t>
      </w:r>
      <w:r>
        <w:rPr>
          <w:rFonts w:hAnsi="宋体" w:cs="宋体"/>
          <w:kern w:val="0"/>
          <w:sz w:val="24"/>
          <w:szCs w:val="24"/>
        </w:rPr>
        <w:t>文件提出质疑的，为收到</w:t>
      </w:r>
      <w:r>
        <w:rPr>
          <w:rFonts w:hint="eastAsia" w:hAnsi="宋体" w:cs="宋体"/>
          <w:kern w:val="0"/>
          <w:sz w:val="24"/>
          <w:szCs w:val="24"/>
        </w:rPr>
        <w:t>招标</w:t>
      </w:r>
      <w:r>
        <w:rPr>
          <w:rFonts w:hAnsi="宋体" w:cs="宋体"/>
          <w:kern w:val="0"/>
          <w:sz w:val="24"/>
          <w:szCs w:val="24"/>
        </w:rPr>
        <w:t>文件之日或者</w:t>
      </w:r>
      <w:r>
        <w:rPr>
          <w:rFonts w:hint="eastAsia" w:hAnsi="宋体" w:cs="宋体"/>
          <w:kern w:val="0"/>
          <w:sz w:val="24"/>
          <w:szCs w:val="24"/>
        </w:rPr>
        <w:t>招标</w:t>
      </w:r>
      <w:r>
        <w:rPr>
          <w:rFonts w:hAnsi="宋体" w:cs="宋体"/>
          <w:kern w:val="0"/>
          <w:sz w:val="24"/>
          <w:szCs w:val="24"/>
        </w:rPr>
        <w:t>文件公告期限届满之日；</w:t>
      </w:r>
    </w:p>
    <w:p>
      <w:pPr>
        <w:snapToGrid w:val="0"/>
        <w:spacing w:line="420" w:lineRule="auto"/>
        <w:ind w:firstLine="480" w:firstLineChars="200"/>
        <w:rPr>
          <w:rFonts w:hint="eastAsia" w:hAnsi="宋体" w:cs="宋体"/>
          <w:kern w:val="0"/>
          <w:sz w:val="24"/>
          <w:szCs w:val="24"/>
        </w:rPr>
      </w:pPr>
      <w:r>
        <w:rPr>
          <w:rFonts w:hint="eastAsia" w:ascii="宋体" w:hAnsi="宋体"/>
          <w:sz w:val="24"/>
          <w:szCs w:val="24"/>
        </w:rPr>
        <w:t>28.1.2</w:t>
      </w:r>
      <w:r>
        <w:rPr>
          <w:rFonts w:hAnsi="宋体" w:cs="宋体"/>
          <w:kern w:val="0"/>
          <w:sz w:val="24"/>
          <w:szCs w:val="24"/>
        </w:rPr>
        <w:t>对采购过程提出质疑的，为各采购程序环节结束之日；</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28.1.3</w:t>
      </w:r>
      <w:r>
        <w:rPr>
          <w:rFonts w:hAnsi="宋体" w:cs="宋体"/>
          <w:kern w:val="0"/>
          <w:sz w:val="24"/>
          <w:szCs w:val="24"/>
        </w:rPr>
        <w:t>对中标结果提出质疑的，为中标结果公告期限届满之日。</w:t>
      </w:r>
    </w:p>
    <w:p>
      <w:pPr>
        <w:snapToGrid w:val="0"/>
        <w:spacing w:line="420" w:lineRule="auto"/>
        <w:ind w:firstLine="472" w:firstLineChars="197"/>
        <w:rPr>
          <w:rFonts w:hint="eastAsia" w:ascii="宋体" w:hAnsi="宋体"/>
          <w:sz w:val="24"/>
          <w:szCs w:val="24"/>
        </w:rPr>
      </w:pPr>
      <w:r>
        <w:rPr>
          <w:rFonts w:hint="eastAsia" w:ascii="宋体" w:hAnsi="宋体"/>
          <w:sz w:val="24"/>
          <w:szCs w:val="24"/>
        </w:rPr>
        <w:t>28.2质疑必须按《政府采购法》、《政府采购法实施条例》及《江苏省政府采购供应商监督管理暂行办法》的相关规定提交，未按上述要求提交的质疑函（含传真、电子邮件等）采购人和采购代理机构有权不予受理。</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28.3未参加投标活动的供应商或在投标活动中自身权益未受到损害的供应商所提出的质疑不予受理。</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28.4质疑函应当包括下列内容：</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28.4.1质疑投标人的名称、地址、邮编、联系人、联系电话；</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28.4.2具体的质疑事项及明确的请求；</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28.4.3认为自己合法权益受到损害或可能受到损害的相关证据材料；</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28.4.4提起质疑的日期；</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28.4.5质疑函应当署名：质疑人为自然人的，应当由本人签字并附有效身份证</w:t>
      </w:r>
    </w:p>
    <w:p>
      <w:pPr>
        <w:snapToGrid w:val="0"/>
        <w:spacing w:line="420" w:lineRule="auto"/>
        <w:rPr>
          <w:rFonts w:hint="eastAsia" w:ascii="宋体" w:hAnsi="宋体"/>
          <w:sz w:val="24"/>
          <w:szCs w:val="24"/>
        </w:rPr>
      </w:pPr>
      <w:r>
        <w:rPr>
          <w:rFonts w:hint="eastAsia" w:ascii="宋体" w:hAnsi="宋体"/>
          <w:sz w:val="24"/>
          <w:szCs w:val="24"/>
        </w:rPr>
        <w:t>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28.5采购人或采购代理机构收到质疑函后，将对质疑的形式和内容进行审查，如质疑函内容、格式不符合规定，采购人或采购代理机构将告知质疑人进行补正。</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28.6质疑人应当在法定质疑期限内进行补正并重新提交质疑函，拒不补正或者在法定期限内未重新提交质疑函的，为无效质疑，采购人和采购代理机构将不予受理。</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28.7对于内容、格式符合规定的质疑函，采购人或采购代理机构应当在收到投标供应商的书面质疑后七个工作日内作出答复，并以书面形式通知质疑供应商和其他有关供应商，但答复的内容不得涉及商业秘密。</w:t>
      </w:r>
    </w:p>
    <w:p>
      <w:pPr>
        <w:snapToGrid w:val="0"/>
        <w:spacing w:line="420" w:lineRule="auto"/>
        <w:ind w:firstLine="468" w:firstLineChars="195"/>
        <w:rPr>
          <w:rFonts w:hint="eastAsia" w:ascii="宋体" w:hAnsi="宋体"/>
          <w:sz w:val="24"/>
          <w:szCs w:val="24"/>
        </w:rPr>
      </w:pPr>
      <w:r>
        <w:rPr>
          <w:rFonts w:hint="eastAsia" w:ascii="宋体" w:hAnsi="宋体"/>
          <w:sz w:val="24"/>
          <w:szCs w:val="24"/>
        </w:rPr>
        <w:t>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p>
    <w:p>
      <w:pPr>
        <w:snapToGrid w:val="0"/>
        <w:spacing w:line="420" w:lineRule="auto"/>
        <w:ind w:firstLine="470" w:firstLineChars="195"/>
        <w:rPr>
          <w:rFonts w:hint="eastAsia" w:ascii="宋体" w:hAnsi="宋体"/>
          <w:b/>
          <w:sz w:val="24"/>
          <w:szCs w:val="24"/>
        </w:rPr>
      </w:pPr>
      <w:r>
        <w:rPr>
          <w:rFonts w:hint="eastAsia" w:ascii="宋体" w:hAnsi="宋体"/>
          <w:b/>
          <w:sz w:val="24"/>
          <w:szCs w:val="24"/>
        </w:rPr>
        <w:t>28.9供应商（含潜在供应商）对采购方式、项目需求、供应商资格条件及审查结果、评标方法和评标标准、合同文本的询问、质疑等请向采购人</w:t>
      </w:r>
      <w:r>
        <w:rPr>
          <w:rFonts w:hint="eastAsia" w:ascii="宋体" w:hAnsi="宋体"/>
          <w:b/>
          <w:bCs/>
          <w:sz w:val="24"/>
          <w:szCs w:val="24"/>
        </w:rPr>
        <w:t>或采购代理机构</w:t>
      </w:r>
      <w:r>
        <w:rPr>
          <w:rFonts w:hint="eastAsia" w:ascii="宋体" w:hAnsi="宋体"/>
          <w:b/>
          <w:sz w:val="24"/>
          <w:szCs w:val="24"/>
        </w:rPr>
        <w:t>提出，由采购人</w:t>
      </w:r>
      <w:r>
        <w:rPr>
          <w:rFonts w:hint="eastAsia" w:ascii="宋体" w:hAnsi="宋体"/>
          <w:b/>
          <w:bCs/>
          <w:sz w:val="24"/>
          <w:szCs w:val="24"/>
        </w:rPr>
        <w:t>或采购代理机构</w:t>
      </w:r>
      <w:r>
        <w:rPr>
          <w:rFonts w:hint="eastAsia" w:ascii="宋体" w:hAnsi="宋体"/>
          <w:b/>
          <w:sz w:val="24"/>
          <w:szCs w:val="24"/>
        </w:rPr>
        <w:t>负责答复。</w:t>
      </w:r>
    </w:p>
    <w:p>
      <w:pPr>
        <w:pStyle w:val="5"/>
        <w:spacing w:before="0" w:after="0" w:line="420" w:lineRule="auto"/>
        <w:ind w:firstLine="450" w:firstLineChars="150"/>
        <w:rPr>
          <w:rFonts w:hint="eastAsia" w:ascii="黑体" w:hAnsi="宋体"/>
          <w:b w:val="0"/>
          <w:sz w:val="30"/>
          <w:szCs w:val="30"/>
        </w:rPr>
      </w:pPr>
      <w:r>
        <w:rPr>
          <w:rFonts w:hint="eastAsia" w:ascii="黑体" w:hAnsi="宋体"/>
          <w:b w:val="0"/>
          <w:sz w:val="30"/>
          <w:szCs w:val="30"/>
        </w:rPr>
        <w:t>29、中标通知书</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29.l</w:t>
      </w:r>
      <w:r>
        <w:rPr>
          <w:rFonts w:hint="eastAsia" w:ascii="宋体" w:hAnsi="宋体"/>
          <w:b/>
          <w:sz w:val="24"/>
          <w:szCs w:val="24"/>
        </w:rPr>
        <w:t xml:space="preserve"> </w:t>
      </w:r>
      <w:r>
        <w:rPr>
          <w:rFonts w:hint="eastAsia" w:ascii="宋体" w:hAnsi="宋体"/>
          <w:sz w:val="24"/>
          <w:szCs w:val="24"/>
        </w:rPr>
        <w:t>中标结果确定后，采购人或采购代理机构将向中标供应商发出中标通知书。</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29.2中标通知书将是合同的一个组成部分。对采购人和中标供应商均具有法律效力。中标通知书发出后，采购人改变中标结果的，或者中标供应商放弃中标项目的，应当依法承担法律责任。</w:t>
      </w:r>
    </w:p>
    <w:p>
      <w:pPr>
        <w:snapToGrid w:val="0"/>
        <w:spacing w:line="420" w:lineRule="auto"/>
        <w:ind w:firstLine="480" w:firstLineChars="200"/>
        <w:rPr>
          <w:rFonts w:hint="eastAsia" w:ascii="宋体" w:hAnsi="宋体"/>
          <w:sz w:val="24"/>
          <w:szCs w:val="24"/>
        </w:rPr>
      </w:pPr>
      <w:r>
        <w:rPr>
          <w:rFonts w:hint="eastAsia" w:ascii="宋体" w:hAnsi="宋体"/>
          <w:sz w:val="24"/>
          <w:szCs w:val="24"/>
        </w:rPr>
        <w:t>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p>
    <w:p>
      <w:pPr>
        <w:pStyle w:val="2"/>
        <w:spacing w:before="145" w:beforeLines="50" w:after="145" w:afterLines="50" w:line="420" w:lineRule="auto"/>
        <w:ind w:firstLine="300" w:firstLineChars="100"/>
        <w:rPr>
          <w:rFonts w:hint="eastAsia"/>
        </w:rPr>
      </w:pPr>
      <w:bookmarkStart w:id="153" w:name="_Toc120614220"/>
      <w:bookmarkStart w:id="154" w:name="_Toc513029236"/>
      <w:bookmarkStart w:id="155" w:name="_Toc16938552"/>
      <w:bookmarkStart w:id="156" w:name="_Toc20823308"/>
      <w:r>
        <w:rPr>
          <w:rFonts w:hint="eastAsia"/>
        </w:rPr>
        <w:t>七、合同</w:t>
      </w:r>
      <w:bookmarkEnd w:id="153"/>
      <w:r>
        <w:rPr>
          <w:rFonts w:hint="eastAsia"/>
        </w:rPr>
        <w:t>签订相关事项</w:t>
      </w:r>
    </w:p>
    <w:bookmarkEnd w:id="154"/>
    <w:bookmarkEnd w:id="155"/>
    <w:bookmarkEnd w:id="156"/>
    <w:p>
      <w:pPr>
        <w:pStyle w:val="5"/>
        <w:spacing w:before="0" w:after="0" w:line="420" w:lineRule="auto"/>
        <w:ind w:firstLine="450" w:firstLineChars="150"/>
        <w:rPr>
          <w:rFonts w:hint="eastAsia" w:ascii="黑体" w:hAnsi="宋体"/>
          <w:b w:val="0"/>
          <w:sz w:val="30"/>
          <w:szCs w:val="30"/>
        </w:rPr>
      </w:pPr>
      <w:bookmarkStart w:id="157" w:name="_Toc20823309"/>
      <w:bookmarkStart w:id="158" w:name="_Toc513029237"/>
      <w:bookmarkStart w:id="159" w:name="_Toc16938553"/>
      <w:r>
        <w:rPr>
          <w:rFonts w:hint="eastAsia" w:ascii="黑体" w:hAnsi="宋体"/>
          <w:b w:val="0"/>
          <w:sz w:val="30"/>
          <w:szCs w:val="30"/>
        </w:rPr>
        <w:t>30. 签订合同</w:t>
      </w:r>
    </w:p>
    <w:p>
      <w:pPr>
        <w:snapToGrid w:val="0"/>
        <w:spacing w:line="420" w:lineRule="auto"/>
        <w:ind w:firstLine="480" w:firstLineChars="200"/>
        <w:rPr>
          <w:rFonts w:hint="eastAsia" w:ascii="宋体" w:hAnsi="宋体"/>
          <w:sz w:val="24"/>
          <w:szCs w:val="24"/>
        </w:rPr>
      </w:pPr>
      <w:r>
        <w:rPr>
          <w:rFonts w:hint="eastAsia" w:ascii="宋体" w:hAnsi="宋体"/>
          <w:bCs/>
          <w:sz w:val="24"/>
          <w:szCs w:val="24"/>
        </w:rPr>
        <w:t>30</w:t>
      </w:r>
      <w:r>
        <w:rPr>
          <w:rFonts w:hint="eastAsia" w:ascii="宋体" w:hAnsi="宋体"/>
          <w:sz w:val="24"/>
          <w:szCs w:val="24"/>
        </w:rPr>
        <w:t>.l中标供应商应按中标通知书规定的时间、地点,按照招标文件确定的事项与采购人签订政府采购合同，且不得迟于中标通知书发出之日起十五日内，由此给采购人造成损失的，中标供应商还应承担赔偿责任。</w:t>
      </w:r>
    </w:p>
    <w:p>
      <w:pPr>
        <w:snapToGrid w:val="0"/>
        <w:spacing w:line="420" w:lineRule="auto"/>
        <w:ind w:firstLine="480" w:firstLineChars="200"/>
        <w:rPr>
          <w:rFonts w:hint="eastAsia" w:ascii="宋体" w:hAnsi="宋体"/>
          <w:sz w:val="24"/>
          <w:szCs w:val="24"/>
        </w:rPr>
      </w:pPr>
      <w:r>
        <w:rPr>
          <w:rFonts w:hint="eastAsia" w:ascii="宋体" w:hAnsi="宋体"/>
          <w:sz w:val="24"/>
          <w:szCs w:val="24"/>
        </w:rPr>
        <w:t>30.2</w:t>
      </w:r>
      <w:r>
        <w:rPr>
          <w:rFonts w:hint="eastAsia" w:ascii="宋体" w:hAnsi="宋体"/>
          <w:b/>
          <w:sz w:val="24"/>
          <w:szCs w:val="24"/>
        </w:rPr>
        <w:t xml:space="preserve"> </w:t>
      </w:r>
      <w:r>
        <w:rPr>
          <w:rFonts w:hint="eastAsia" w:ascii="宋体" w:hAnsi="宋体"/>
          <w:sz w:val="24"/>
          <w:szCs w:val="24"/>
        </w:rPr>
        <w:t>招标文件、中标供应商的投标文件及招标过程中有关澄清、承诺文件均应作为合同附件。</w:t>
      </w:r>
    </w:p>
    <w:p>
      <w:pPr>
        <w:snapToGrid w:val="0"/>
        <w:spacing w:line="420" w:lineRule="auto"/>
        <w:ind w:firstLine="480" w:firstLineChars="200"/>
        <w:rPr>
          <w:rFonts w:hint="eastAsia" w:ascii="宋体" w:hAnsi="宋体"/>
          <w:sz w:val="24"/>
          <w:szCs w:val="24"/>
        </w:rPr>
      </w:pPr>
      <w:r>
        <w:rPr>
          <w:rFonts w:hint="eastAsia" w:ascii="宋体" w:hAnsi="宋体"/>
          <w:sz w:val="24"/>
          <w:szCs w:val="24"/>
        </w:rPr>
        <w:t>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pPr>
        <w:snapToGrid w:val="0"/>
        <w:spacing w:line="420" w:lineRule="auto"/>
        <w:ind w:firstLine="482" w:firstLineChars="200"/>
        <w:rPr>
          <w:rFonts w:ascii="宋体" w:hAnsi="宋体"/>
          <w:b/>
          <w:bCs/>
          <w:sz w:val="24"/>
          <w:szCs w:val="24"/>
        </w:rPr>
      </w:pPr>
      <w:r>
        <w:rPr>
          <w:rFonts w:hint="eastAsia" w:ascii="宋体" w:hAnsi="宋体"/>
          <w:b/>
          <w:bCs/>
          <w:sz w:val="24"/>
          <w:szCs w:val="24"/>
        </w:rPr>
        <w:t>30.4中标或者成交后无正当理由拒不与采购人签订政府采购合同的，将被列入不良行为记录名单，在一至三年内禁止参加政府采购活动。</w:t>
      </w:r>
    </w:p>
    <w:p>
      <w:pPr>
        <w:pStyle w:val="5"/>
        <w:spacing w:before="0" w:after="0" w:line="420" w:lineRule="auto"/>
        <w:ind w:firstLine="450" w:firstLineChars="150"/>
        <w:rPr>
          <w:rFonts w:hint="eastAsia" w:ascii="黑体" w:hAnsi="宋体"/>
          <w:b w:val="0"/>
          <w:sz w:val="30"/>
          <w:szCs w:val="30"/>
        </w:rPr>
      </w:pPr>
      <w:r>
        <w:rPr>
          <w:rFonts w:hint="eastAsia" w:ascii="黑体" w:hAnsi="宋体"/>
          <w:b w:val="0"/>
          <w:sz w:val="30"/>
          <w:szCs w:val="30"/>
        </w:rPr>
        <w:t>31、货物和服务的追加、减少和添购。</w:t>
      </w:r>
    </w:p>
    <w:p>
      <w:pPr>
        <w:spacing w:line="420" w:lineRule="auto"/>
        <w:ind w:firstLine="480" w:firstLineChars="200"/>
        <w:rPr>
          <w:rFonts w:hint="eastAsia" w:ascii="宋体" w:hAnsi="宋体"/>
          <w:sz w:val="24"/>
          <w:szCs w:val="24"/>
        </w:rPr>
      </w:pPr>
      <w:r>
        <w:rPr>
          <w:rFonts w:hint="eastAsia" w:ascii="宋体" w:hAnsi="宋体"/>
          <w:sz w:val="24"/>
          <w:szCs w:val="24"/>
        </w:rPr>
        <w:t>31.1政府采购合同履行中，采购人需追加与合同标的相同的货物和服务的，在不改变合同其他条款的前提下，可以与中标供应商协商签订补充合同，但所有补充合同的采购金额不超过原合同金额10%。</w:t>
      </w:r>
    </w:p>
    <w:p>
      <w:pPr>
        <w:spacing w:line="420" w:lineRule="auto"/>
        <w:ind w:firstLine="600" w:firstLineChars="250"/>
        <w:rPr>
          <w:rFonts w:hint="eastAsia" w:ascii="宋体" w:hAnsi="宋体"/>
          <w:b/>
          <w:sz w:val="24"/>
          <w:szCs w:val="24"/>
        </w:rPr>
      </w:pPr>
      <w:r>
        <w:rPr>
          <w:rFonts w:hint="eastAsia" w:ascii="宋体" w:hAnsi="宋体"/>
          <w:sz w:val="24"/>
          <w:szCs w:val="24"/>
        </w:rPr>
        <w:t>31.2采购结束后，采购人若由于各种客观原因，必须对采购项目所牵涉的货物和服务进行适当的减少时，在双方协商一致的前提下，可以按照招标采购时的价格水平做相应的调减，并据此签订补充合同。</w:t>
      </w:r>
    </w:p>
    <w:bookmarkEnd w:id="157"/>
    <w:bookmarkEnd w:id="158"/>
    <w:bookmarkEnd w:id="159"/>
    <w:p>
      <w:pPr>
        <w:tabs>
          <w:tab w:val="left" w:pos="900"/>
        </w:tabs>
        <w:spacing w:after="145" w:afterLines="50" w:line="420" w:lineRule="auto"/>
        <w:ind w:firstLine="450" w:firstLineChars="150"/>
        <w:rPr>
          <w:rFonts w:hint="eastAsia" w:ascii="黑体" w:hAnsi="宋体" w:eastAsia="黑体"/>
          <w:bCs/>
          <w:sz w:val="30"/>
          <w:szCs w:val="30"/>
        </w:rPr>
      </w:pPr>
      <w:r>
        <w:rPr>
          <w:rFonts w:hint="eastAsia" w:ascii="黑体" w:hAnsi="宋体" w:eastAsia="黑体"/>
          <w:bCs/>
          <w:sz w:val="30"/>
          <w:szCs w:val="30"/>
        </w:rPr>
        <w:t>32、履约保证金</w:t>
      </w:r>
    </w:p>
    <w:p>
      <w:pPr>
        <w:tabs>
          <w:tab w:val="left" w:pos="900"/>
        </w:tabs>
        <w:spacing w:after="145" w:afterLines="50" w:line="420" w:lineRule="auto"/>
        <w:ind w:firstLine="480" w:firstLineChars="200"/>
        <w:rPr>
          <w:rFonts w:hint="eastAsia" w:ascii="宋体" w:hAnsi="宋体"/>
          <w:sz w:val="24"/>
        </w:rPr>
      </w:pPr>
      <w:r>
        <w:rPr>
          <w:rFonts w:hint="eastAsia" w:ascii="宋体" w:hAnsi="宋体"/>
          <w:sz w:val="24"/>
        </w:rPr>
        <w:t>32.1在签订合同前，中标供应商须向采购人交纳履约保证金（履约保证金的数额为合同金额的</w:t>
      </w:r>
      <w:r>
        <w:rPr>
          <w:rFonts w:hint="eastAsia" w:ascii="宋体" w:hAnsi="宋体"/>
          <w:sz w:val="24"/>
          <w:u w:val="single"/>
        </w:rPr>
        <w:t>10</w:t>
      </w:r>
      <w:r>
        <w:rPr>
          <w:rFonts w:hint="eastAsia" w:ascii="宋体" w:hAnsi="宋体"/>
          <w:sz w:val="24"/>
        </w:rPr>
        <w:t>%，以支票、汇票、本票或者金融机构、担保机构出具的保函等非现金形式提交）。</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32.2中标供应商</w:t>
      </w:r>
      <w:r>
        <w:rPr>
          <w:rFonts w:hint="eastAsia" w:ascii="宋体" w:hAnsi="宋体"/>
          <w:sz w:val="24"/>
          <w:lang w:val="zh-CN"/>
        </w:rPr>
        <w:t>若在签订采购合同</w:t>
      </w:r>
      <w:r>
        <w:rPr>
          <w:rFonts w:hint="eastAsia" w:ascii="宋体" w:hAnsi="宋体"/>
          <w:sz w:val="24"/>
        </w:rPr>
        <w:t>前</w:t>
      </w:r>
      <w:r>
        <w:rPr>
          <w:rFonts w:hint="eastAsia" w:ascii="宋体" w:hAnsi="宋体"/>
          <w:sz w:val="24"/>
          <w:lang w:val="zh-CN"/>
        </w:rPr>
        <w:t>向</w:t>
      </w:r>
      <w:r>
        <w:rPr>
          <w:rFonts w:hint="eastAsia" w:ascii="宋体" w:hAnsi="宋体"/>
          <w:sz w:val="24"/>
        </w:rPr>
        <w:t>采购</w:t>
      </w:r>
      <w:r>
        <w:rPr>
          <w:rFonts w:hint="eastAsia" w:ascii="宋体" w:hAnsi="宋体"/>
          <w:sz w:val="24"/>
          <w:lang w:val="zh-CN"/>
        </w:rPr>
        <w:t>人提交本单位有效期内的第三方信用报告，且信用评级在AA级及以上的，</w:t>
      </w:r>
      <w:r>
        <w:rPr>
          <w:rFonts w:hint="eastAsia" w:ascii="宋体" w:hAnsi="宋体"/>
          <w:sz w:val="24"/>
        </w:rPr>
        <w:t>中标供应商</w:t>
      </w:r>
      <w:r>
        <w:rPr>
          <w:rFonts w:hint="eastAsia" w:ascii="宋体" w:hAnsi="宋体"/>
          <w:sz w:val="24"/>
          <w:lang w:val="zh-CN"/>
        </w:rPr>
        <w:t>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32.3</w:t>
      </w:r>
      <w:r>
        <w:rPr>
          <w:rFonts w:hint="eastAsia" w:ascii="宋体" w:hAnsi="宋体"/>
          <w:sz w:val="24"/>
          <w:lang w:val="zh-CN"/>
        </w:rPr>
        <w:t>履约保证金用以约束</w:t>
      </w:r>
      <w:r>
        <w:rPr>
          <w:rFonts w:hint="eastAsia" w:ascii="宋体" w:hAnsi="宋体"/>
          <w:sz w:val="24"/>
        </w:rPr>
        <w:t>中标</w:t>
      </w:r>
      <w:r>
        <w:rPr>
          <w:rFonts w:hint="eastAsia" w:ascii="宋体" w:hAnsi="宋体"/>
          <w:sz w:val="24"/>
          <w:lang w:val="zh-CN"/>
        </w:rPr>
        <w:t>供应商在合同履行中的行为，弥补合同执行中由于</w:t>
      </w:r>
      <w:r>
        <w:rPr>
          <w:rFonts w:hint="eastAsia" w:ascii="宋体" w:hAnsi="宋体"/>
          <w:sz w:val="24"/>
        </w:rPr>
        <w:t>中标供应商</w:t>
      </w:r>
      <w:r>
        <w:rPr>
          <w:rFonts w:hint="eastAsia" w:ascii="宋体" w:hAnsi="宋体"/>
          <w:sz w:val="24"/>
          <w:lang w:val="zh-CN"/>
        </w:rPr>
        <w:t>自身行为可能给采购人带来的各种损失。</w:t>
      </w:r>
      <w:r>
        <w:rPr>
          <w:rFonts w:hint="eastAsia" w:ascii="宋体" w:hAnsi="宋体"/>
          <w:sz w:val="24"/>
        </w:rPr>
        <w:t>中标</w:t>
      </w:r>
      <w:r>
        <w:rPr>
          <w:rFonts w:hint="eastAsia" w:ascii="宋体" w:hAnsi="宋体"/>
          <w:sz w:val="24"/>
          <w:lang w:val="zh-CN"/>
        </w:rPr>
        <w:t>供应商</w:t>
      </w:r>
      <w:r>
        <w:rPr>
          <w:rFonts w:hint="eastAsia" w:ascii="宋体" w:hAnsi="宋体"/>
          <w:sz w:val="24"/>
        </w:rPr>
        <w:t>履行合同</w:t>
      </w:r>
      <w:r>
        <w:rPr>
          <w:rFonts w:hint="eastAsia" w:ascii="宋体" w:hAnsi="宋体"/>
          <w:sz w:val="24"/>
          <w:lang w:val="zh-CN"/>
        </w:rPr>
        <w:t>违约时，采购人按合同约定扣除全部或部分履约保证金。如违约给采购人造成的损失超过履约保证金的，还应当依法赔偿超过部分的损失。</w:t>
      </w:r>
    </w:p>
    <w:p>
      <w:pPr>
        <w:tabs>
          <w:tab w:val="left" w:pos="900"/>
        </w:tabs>
        <w:spacing w:after="145" w:afterLines="50" w:line="420" w:lineRule="auto"/>
        <w:ind w:firstLine="480" w:firstLineChars="200"/>
        <w:rPr>
          <w:rFonts w:hint="eastAsia" w:ascii="宋体" w:hAnsi="宋体" w:cs="宋体"/>
          <w:sz w:val="24"/>
        </w:rPr>
      </w:pPr>
      <w:r>
        <w:rPr>
          <w:rFonts w:hint="eastAsia" w:ascii="宋体" w:hAnsi="宋体" w:cs="宋体"/>
          <w:sz w:val="24"/>
        </w:rPr>
        <w:t>32.4履约保证金的退还：</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rPr>
        <w:t>32.4.1</w:t>
      </w:r>
      <w:r>
        <w:rPr>
          <w:rFonts w:hint="eastAsia" w:ascii="宋体" w:hAnsi="宋体" w:cs="宋体"/>
          <w:sz w:val="24"/>
          <w:lang w:val="zh-CN"/>
        </w:rPr>
        <w:t>方式：无息退还至投标人缴纳履约保证金的账户。</w:t>
      </w:r>
      <w:r>
        <w:rPr>
          <w:rFonts w:hint="eastAsia" w:ascii="宋体" w:hAnsi="宋体" w:cs="宋体"/>
          <w:sz w:val="24"/>
        </w:rPr>
        <w:t>如为</w:t>
      </w:r>
      <w:r>
        <w:rPr>
          <w:rFonts w:hint="eastAsia" w:ascii="宋体" w:hAnsi="宋体" w:cs="宋体"/>
          <w:sz w:val="24"/>
          <w:lang w:val="zh-CN"/>
        </w:rPr>
        <w:t>保函，在到期</w:t>
      </w:r>
      <w:r>
        <w:rPr>
          <w:rFonts w:hint="eastAsia" w:ascii="宋体" w:hAnsi="宋体" w:cs="宋体"/>
          <w:sz w:val="24"/>
        </w:rPr>
        <w:t>时</w:t>
      </w:r>
      <w:r>
        <w:rPr>
          <w:rFonts w:hint="eastAsia" w:ascii="宋体" w:hAnsi="宋体" w:cs="宋体"/>
          <w:sz w:val="24"/>
          <w:lang w:val="zh-CN"/>
        </w:rPr>
        <w:t>自行失效。</w:t>
      </w:r>
    </w:p>
    <w:p>
      <w:pPr>
        <w:tabs>
          <w:tab w:val="left" w:pos="900"/>
        </w:tabs>
        <w:spacing w:after="145" w:afterLines="50" w:line="420" w:lineRule="auto"/>
        <w:ind w:firstLine="480" w:firstLineChars="200"/>
        <w:rPr>
          <w:rFonts w:ascii="宋体" w:hAnsi="宋体" w:cs="宋体"/>
          <w:sz w:val="24"/>
        </w:rPr>
      </w:pPr>
      <w:r>
        <w:rPr>
          <w:rFonts w:hint="eastAsia" w:ascii="宋体" w:hAnsi="宋体" w:cs="宋体"/>
          <w:sz w:val="24"/>
        </w:rPr>
        <w:t>32.4.2</w:t>
      </w:r>
      <w:r>
        <w:rPr>
          <w:rFonts w:hint="eastAsia" w:ascii="宋体" w:hAnsi="宋体" w:cs="宋体"/>
          <w:sz w:val="24"/>
          <w:lang w:val="zh-CN"/>
        </w:rPr>
        <w:t>时间：</w:t>
      </w:r>
      <w:r>
        <w:rPr>
          <w:rFonts w:ascii="宋体" w:hAnsi="宋体" w:eastAsia="宋体" w:cs="宋体"/>
          <w:color w:val="0000FF"/>
          <w:sz w:val="24"/>
          <w:szCs w:val="24"/>
        </w:rPr>
        <w:t>验收合格且采购人收到发票后10个工作日内</w:t>
      </w:r>
      <w:r>
        <w:rPr>
          <w:rFonts w:hint="eastAsia" w:ascii="宋体" w:hAnsi="宋体" w:cs="宋体"/>
          <w:color w:val="0000FF"/>
          <w:sz w:val="24"/>
        </w:rPr>
        <w:t>。</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rPr>
        <w:t>32.4.3</w:t>
      </w:r>
      <w:r>
        <w:rPr>
          <w:rFonts w:hint="eastAsia" w:ascii="宋体" w:hAnsi="宋体" w:cs="宋体"/>
          <w:sz w:val="24"/>
          <w:lang w:val="zh-CN"/>
        </w:rPr>
        <w:t>条件：按合同要求全部履约完成并经采购人验收合格，且采购人收到中标人出具的发票。</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rPr>
        <w:t>32.4.4</w:t>
      </w:r>
      <w:r>
        <w:rPr>
          <w:rFonts w:hint="eastAsia" w:ascii="宋体" w:hAnsi="宋体" w:cs="宋体"/>
          <w:sz w:val="24"/>
          <w:lang w:val="zh-CN"/>
        </w:rPr>
        <w:t>不予退还情形：</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lang w:val="zh-CN"/>
        </w:rPr>
        <w:t>除不可抗力情况外，投标人出现下列情形之一的，</w:t>
      </w:r>
      <w:r>
        <w:rPr>
          <w:rFonts w:hint="eastAsia" w:ascii="宋体" w:hAnsi="宋体" w:cs="宋体"/>
          <w:sz w:val="24"/>
        </w:rPr>
        <w:t>其履约保证金，招标人</w:t>
      </w:r>
      <w:r>
        <w:rPr>
          <w:rFonts w:hint="eastAsia" w:ascii="宋体" w:hAnsi="宋体" w:cs="宋体"/>
          <w:sz w:val="24"/>
          <w:lang w:val="zh-CN"/>
        </w:rPr>
        <w:t>将视情节</w:t>
      </w:r>
      <w:r>
        <w:rPr>
          <w:rFonts w:hint="eastAsia" w:ascii="宋体" w:hAnsi="宋体" w:cs="宋体"/>
          <w:sz w:val="24"/>
        </w:rPr>
        <w:t>决定不予退还或部分不予退还。</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）中标人无正当理由拒绝签订合同的，或者在签订合同时向</w:t>
      </w:r>
      <w:r>
        <w:rPr>
          <w:rFonts w:hint="eastAsia" w:ascii="宋体" w:hAnsi="宋体" w:cs="宋体"/>
          <w:sz w:val="24"/>
        </w:rPr>
        <w:t>采购</w:t>
      </w:r>
      <w:r>
        <w:rPr>
          <w:rFonts w:hint="eastAsia" w:ascii="宋体" w:hAnsi="宋体" w:cs="宋体"/>
          <w:sz w:val="24"/>
          <w:lang w:val="zh-CN"/>
        </w:rPr>
        <w:t>人提出附加条件或者更改合同实质性内容要求的；</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）中标人不履行与</w:t>
      </w:r>
      <w:r>
        <w:rPr>
          <w:rFonts w:hint="eastAsia" w:ascii="宋体" w:hAnsi="宋体" w:cs="宋体"/>
          <w:sz w:val="24"/>
        </w:rPr>
        <w:t>采购</w:t>
      </w:r>
      <w:r>
        <w:rPr>
          <w:rFonts w:hint="eastAsia" w:ascii="宋体" w:hAnsi="宋体" w:cs="宋体"/>
          <w:sz w:val="24"/>
          <w:lang w:val="zh-CN"/>
        </w:rPr>
        <w:t>人订立的合同的；</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）中标人所供货物</w:t>
      </w:r>
      <w:r>
        <w:rPr>
          <w:rFonts w:hint="eastAsia" w:ascii="宋体" w:hAnsi="宋体" w:cs="宋体"/>
          <w:sz w:val="24"/>
        </w:rPr>
        <w:t>或服务</w:t>
      </w:r>
      <w:r>
        <w:rPr>
          <w:rFonts w:hint="eastAsia" w:ascii="宋体" w:hAnsi="宋体" w:cs="宋体"/>
          <w:sz w:val="24"/>
          <w:lang w:val="zh-CN"/>
        </w:rPr>
        <w:t>不符合招标文件规定要求的；</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w:t>
      </w:r>
      <w:r>
        <w:rPr>
          <w:rFonts w:hint="eastAsia" w:ascii="宋体" w:hAnsi="宋体" w:cs="宋体"/>
          <w:sz w:val="24"/>
        </w:rPr>
        <w:t>中标人</w:t>
      </w:r>
      <w:r>
        <w:rPr>
          <w:rFonts w:hint="eastAsia" w:ascii="宋体" w:hAnsi="宋体" w:cs="宋体"/>
          <w:sz w:val="24"/>
          <w:lang w:val="zh-CN"/>
        </w:rPr>
        <w:t>采取欺骗、弄虚作假方式投标的或与其它投标人串通投标的；</w:t>
      </w:r>
    </w:p>
    <w:p>
      <w:pPr>
        <w:pStyle w:val="18"/>
        <w:spacing w:line="420" w:lineRule="auto"/>
        <w:ind w:left="0" w:leftChars="0" w:right="1470" w:firstLine="480" w:firstLineChars="200"/>
        <w:rPr>
          <w:lang w:val="zh-CN"/>
        </w:rPr>
      </w:pPr>
      <w:r>
        <w:rPr>
          <w:rFonts w:ascii="宋体" w:hAnsi="宋体" w:cs="宋体"/>
          <w:sz w:val="24"/>
        </w:rPr>
        <w:t>（5）中标人将合同内容转包、违法分包的；</w:t>
      </w:r>
    </w:p>
    <w:p>
      <w:pPr>
        <w:tabs>
          <w:tab w:val="left" w:pos="900"/>
        </w:tabs>
        <w:spacing w:after="145" w:afterLines="50" w:line="420" w:lineRule="auto"/>
        <w:ind w:firstLine="480" w:firstLineChars="200"/>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rPr>
        <w:t>6</w:t>
      </w:r>
      <w:r>
        <w:rPr>
          <w:rFonts w:hint="eastAsia" w:ascii="宋体" w:hAnsi="宋体" w:cs="宋体"/>
          <w:sz w:val="24"/>
          <w:lang w:val="zh-CN"/>
        </w:rPr>
        <w:t>）</w:t>
      </w:r>
      <w:r>
        <w:rPr>
          <w:rFonts w:hint="eastAsia" w:ascii="宋体" w:hAnsi="宋体" w:cs="宋体"/>
          <w:sz w:val="24"/>
        </w:rPr>
        <w:t>中标</w:t>
      </w:r>
      <w:r>
        <w:rPr>
          <w:rFonts w:hint="eastAsia" w:ascii="宋体" w:hAnsi="宋体" w:cs="宋体"/>
          <w:sz w:val="24"/>
          <w:lang w:val="zh-CN"/>
        </w:rPr>
        <w:t>人故意捏造事实或伪造证明材料，进行虚假恶意投诉或反映的。</w:t>
      </w:r>
    </w:p>
    <w:p>
      <w:pPr>
        <w:tabs>
          <w:tab w:val="left" w:pos="900"/>
        </w:tabs>
        <w:spacing w:after="145" w:afterLines="50" w:line="420" w:lineRule="auto"/>
        <w:ind w:firstLine="480" w:firstLineChars="200"/>
        <w:rPr>
          <w:rFonts w:ascii="宋体" w:hAnsi="宋体" w:cs="宋体"/>
          <w:sz w:val="24"/>
        </w:rPr>
      </w:pPr>
      <w:r>
        <w:rPr>
          <w:rFonts w:hint="eastAsia" w:ascii="宋体" w:hAnsi="宋体" w:cs="宋体"/>
          <w:sz w:val="24"/>
        </w:rPr>
        <w:t>32.4.5</w:t>
      </w:r>
      <w:r>
        <w:rPr>
          <w:rFonts w:hint="eastAsia" w:ascii="宋体" w:hAnsi="宋体" w:cs="宋体"/>
          <w:sz w:val="24"/>
          <w:lang w:val="zh-CN"/>
        </w:rPr>
        <w:t>逾期退还的违约责任：</w:t>
      </w:r>
      <w:r>
        <w:rPr>
          <w:rFonts w:hint="eastAsia" w:ascii="宋体" w:hAnsi="宋体" w:cs="宋体"/>
          <w:sz w:val="24"/>
        </w:rPr>
        <w:t>采购人逾期无故未退还</w:t>
      </w:r>
      <w:r>
        <w:rPr>
          <w:rFonts w:hint="eastAsia" w:ascii="宋体" w:hAnsi="宋体" w:cs="宋体"/>
          <w:sz w:val="24"/>
          <w:lang w:val="zh-CN"/>
        </w:rPr>
        <w:t>履约保证金</w:t>
      </w:r>
      <w:r>
        <w:rPr>
          <w:rFonts w:hint="eastAsia" w:ascii="宋体" w:hAnsi="宋体" w:cs="宋体"/>
          <w:sz w:val="24"/>
        </w:rPr>
        <w:t>的，按中国人民银行同期贷款基准利率上浮20%后的利率支付超期资金占用费，但因供应商自身原因导致无法及时退还的除外。</w:t>
      </w:r>
    </w:p>
    <w:p>
      <w:pPr>
        <w:pStyle w:val="3"/>
        <w:spacing w:line="420" w:lineRule="auto"/>
        <w:ind w:firstLine="602" w:firstLineChars="200"/>
        <w:jc w:val="both"/>
        <w:rPr>
          <w:rFonts w:hint="eastAsia" w:ascii="黑体" w:hAnsi="宋体" w:eastAsia="宋体"/>
          <w:b/>
          <w:sz w:val="30"/>
          <w:szCs w:val="30"/>
        </w:rPr>
      </w:pPr>
      <w:r>
        <w:rPr>
          <w:rFonts w:hint="eastAsia" w:ascii="黑体" w:hAnsi="宋体" w:eastAsia="宋体"/>
          <w:b/>
          <w:sz w:val="30"/>
          <w:szCs w:val="30"/>
        </w:rPr>
        <w:t>33、有关说明</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33.1</w:t>
      </w:r>
      <w:r>
        <w:rPr>
          <w:rFonts w:hint="eastAsia" w:ascii="宋体" w:hAnsi="宋体"/>
          <w:sz w:val="24"/>
          <w:lang w:val="zh-CN"/>
        </w:rPr>
        <w:t>对</w:t>
      </w:r>
      <w:r>
        <w:rPr>
          <w:rFonts w:hint="eastAsia" w:ascii="宋体" w:hAnsi="宋体"/>
          <w:sz w:val="24"/>
        </w:rPr>
        <w:t>采购</w:t>
      </w:r>
      <w:r>
        <w:rPr>
          <w:rFonts w:hint="eastAsia" w:ascii="宋体" w:hAnsi="宋体"/>
          <w:sz w:val="24"/>
          <w:lang w:val="zh-CN"/>
        </w:rPr>
        <w:t>文件相关条款理解产生分歧时由招标人负责解释。</w:t>
      </w:r>
      <w:r>
        <w:rPr>
          <w:rFonts w:hint="eastAsia" w:ascii="宋体" w:hAnsi="宋体"/>
          <w:sz w:val="24"/>
        </w:rPr>
        <w:t>采购文件</w:t>
      </w:r>
      <w:r>
        <w:rPr>
          <w:rFonts w:hint="eastAsia" w:ascii="宋体" w:hAnsi="宋体"/>
          <w:sz w:val="24"/>
          <w:lang w:val="zh-CN"/>
        </w:rPr>
        <w:t>中未尽事宜遵照《中华人民共和国政府采购法》、《中华人民共和国政府采购法实施条例》等国家有关法律、法规及相关文件规定。</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33.2</w:t>
      </w:r>
      <w:r>
        <w:rPr>
          <w:rFonts w:hint="eastAsia" w:ascii="宋体" w:hAnsi="宋体"/>
          <w:sz w:val="24"/>
          <w:lang w:val="zh-CN"/>
        </w:rPr>
        <w:t>在合同执行期间，</w:t>
      </w:r>
      <w:r>
        <w:rPr>
          <w:rFonts w:hint="eastAsia" w:ascii="宋体" w:hAnsi="宋体"/>
          <w:sz w:val="24"/>
        </w:rPr>
        <w:t>非采购人原因引起的</w:t>
      </w:r>
      <w:r>
        <w:rPr>
          <w:rFonts w:hint="eastAsia" w:ascii="宋体" w:hAnsi="宋体"/>
          <w:sz w:val="24"/>
          <w:lang w:val="zh-CN"/>
        </w:rPr>
        <w:t>安全责任由</w:t>
      </w:r>
      <w:r>
        <w:rPr>
          <w:rFonts w:hint="eastAsia" w:ascii="宋体" w:hAnsi="宋体"/>
          <w:sz w:val="24"/>
        </w:rPr>
        <w:t>中标</w:t>
      </w:r>
      <w:r>
        <w:rPr>
          <w:rFonts w:hint="eastAsia" w:ascii="宋体" w:hAnsi="宋体"/>
          <w:sz w:val="24"/>
          <w:lang w:val="zh-CN"/>
        </w:rPr>
        <w:t>人负责。</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33.3</w:t>
      </w:r>
      <w:r>
        <w:rPr>
          <w:rFonts w:hint="eastAsia" w:ascii="宋体" w:hAnsi="宋体"/>
          <w:sz w:val="24"/>
          <w:lang w:val="zh-CN"/>
        </w:rPr>
        <w:t>投标单位因不良行为被下列部门取消或限制在全国、江苏省、盐城市、滨海县投标资格，并在不良行为记录公告期限内的，将被取消投标资格或者中标资格：</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lang w:val="zh-CN"/>
        </w:rPr>
        <w:t>（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lang w:val="zh-CN"/>
        </w:rPr>
        <w:t>上述行政主管部门和招标采购监管机构以外的不良行为记录公告，一律不作为取消或限制投标资格和中标资格的依据。</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33.4</w:t>
      </w:r>
      <w:r>
        <w:rPr>
          <w:rFonts w:hint="eastAsia" w:ascii="宋体" w:hAnsi="宋体"/>
          <w:sz w:val="24"/>
          <w:lang w:val="zh-CN"/>
        </w:rPr>
        <w:t>符合现行法律、法规、规章及相关招标管理文件明确限制投标情形的，将被取消投标资格或者中标资格。</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33.5</w:t>
      </w:r>
      <w:r>
        <w:rPr>
          <w:rFonts w:hint="eastAsia" w:ascii="宋体" w:hAnsi="宋体"/>
          <w:sz w:val="24"/>
          <w:lang w:val="zh-CN"/>
        </w:rPr>
        <w:t>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33.6</w:t>
      </w:r>
      <w:r>
        <w:rPr>
          <w:rFonts w:hint="eastAsia" w:ascii="宋体" w:hAnsi="宋体"/>
          <w:sz w:val="24"/>
          <w:lang w:val="zh-CN"/>
        </w:rPr>
        <w:t>投标人捏造事实、提供虚假材料或者以非法手段取得证明材料进行投诉的，一经查实，将记入不良行为记录名单档案，并视情节予以公示三个月至三年，公示期间，滨海县其他政府投资项目的招标人可以拒绝其参加投标。</w:t>
      </w:r>
    </w:p>
    <w:p>
      <w:pPr>
        <w:tabs>
          <w:tab w:val="left" w:pos="900"/>
        </w:tabs>
        <w:spacing w:after="145" w:afterLines="50" w:line="420" w:lineRule="auto"/>
        <w:ind w:firstLine="480" w:firstLineChars="200"/>
        <w:rPr>
          <w:rFonts w:hint="eastAsia" w:ascii="宋体" w:hAnsi="宋体"/>
          <w:sz w:val="24"/>
          <w:lang w:val="zh-CN"/>
        </w:rPr>
      </w:pPr>
      <w:r>
        <w:rPr>
          <w:rFonts w:hint="eastAsia" w:ascii="宋体" w:hAnsi="宋体"/>
          <w:sz w:val="24"/>
        </w:rPr>
        <w:t>33.7</w:t>
      </w:r>
      <w:r>
        <w:rPr>
          <w:rFonts w:hint="eastAsia" w:ascii="宋体" w:hAnsi="宋体"/>
          <w:sz w:val="24"/>
          <w:lang w:val="zh-CN"/>
        </w:rPr>
        <w:t>因处理投诉发生的第三方检验、检测、鉴定等费用，由提出申请的投标人先行垫付。投诉处理决定明确双方责任后，按照“谁过错谁负担”的原则由承担责任的一方负担；双方都有责任的，由双方合理分担。</w:t>
      </w:r>
    </w:p>
    <w:p>
      <w:pPr>
        <w:pStyle w:val="196"/>
        <w:keepNext w:val="0"/>
        <w:spacing w:line="420" w:lineRule="auto"/>
        <w:ind w:firstLine="600"/>
        <w:jc w:val="both"/>
        <w:rPr>
          <w:rFonts w:ascii="黑体" w:hAnsi="宋体" w:eastAsia="宋体"/>
          <w:b/>
          <w:strike/>
          <w:sz w:val="30"/>
          <w:szCs w:val="30"/>
        </w:rPr>
      </w:pPr>
    </w:p>
    <w:p>
      <w:pPr>
        <w:pStyle w:val="196"/>
        <w:keepNext w:val="0"/>
        <w:spacing w:line="420" w:lineRule="auto"/>
        <w:ind w:firstLine="422"/>
        <w:jc w:val="both"/>
        <w:rPr>
          <w:rFonts w:ascii="Times New Roman" w:eastAsia="宋体"/>
          <w:sz w:val="21"/>
          <w:szCs w:val="21"/>
        </w:rPr>
      </w:pPr>
    </w:p>
    <w:p>
      <w:pPr>
        <w:pStyle w:val="196"/>
        <w:keepNext w:val="0"/>
        <w:spacing w:line="420" w:lineRule="auto"/>
        <w:ind w:firstLine="883"/>
        <w:jc w:val="both"/>
        <w:rPr>
          <w:rFonts w:ascii="黑体" w:eastAsia="黑体"/>
          <w:bCs/>
          <w:sz w:val="44"/>
        </w:rPr>
      </w:pPr>
    </w:p>
    <w:p>
      <w:pPr>
        <w:pStyle w:val="196"/>
        <w:spacing w:line="420" w:lineRule="auto"/>
        <w:ind w:firstLine="883"/>
        <w:jc w:val="both"/>
        <w:rPr>
          <w:rFonts w:ascii="黑体" w:eastAsia="黑体"/>
          <w:bCs/>
          <w:sz w:val="44"/>
        </w:rPr>
        <w:sectPr>
          <w:headerReference r:id="rId3" w:type="default"/>
          <w:footerReference r:id="rId4" w:type="default"/>
          <w:pgSz w:w="11906" w:h="16838"/>
          <w:pgMar w:top="1418" w:right="1588" w:bottom="1418" w:left="1365" w:header="851" w:footer="907" w:gutter="0"/>
          <w:cols w:space="1701" w:num="1"/>
          <w:titlePg/>
          <w:docGrid w:linePitch="360" w:charSpace="0"/>
        </w:sectPr>
      </w:pPr>
    </w:p>
    <w:p>
      <w:pPr>
        <w:pStyle w:val="196"/>
        <w:spacing w:line="500" w:lineRule="exact"/>
        <w:ind w:firstLine="883"/>
        <w:rPr>
          <w:rFonts w:ascii="宋体" w:hAnsi="宋体"/>
          <w:sz w:val="24"/>
        </w:rPr>
      </w:pPr>
      <w:r>
        <w:rPr>
          <w:rFonts w:hint="eastAsia" w:ascii="黑体" w:eastAsia="黑体"/>
          <w:bCs/>
          <w:sz w:val="44"/>
        </w:rPr>
        <w:t>第三章  合同条款</w:t>
      </w:r>
      <w:bookmarkEnd w:id="42"/>
      <w:bookmarkEnd w:id="43"/>
      <w:bookmarkEnd w:id="44"/>
      <w:bookmarkEnd w:id="45"/>
      <w:bookmarkEnd w:id="46"/>
      <w:bookmarkStart w:id="160" w:name="_Hlt16619369"/>
      <w:bookmarkEnd w:id="160"/>
      <w:bookmarkStart w:id="161" w:name="_Hlt16619350"/>
      <w:bookmarkStart w:id="162" w:name="_Toc20823346"/>
      <w:bookmarkStart w:id="163" w:name="_Toc16938590"/>
      <w:bookmarkStart w:id="164" w:name="_Toc120614244"/>
      <w:bookmarkStart w:id="165" w:name="_Toc462564139"/>
      <w:bookmarkStart w:id="166" w:name="_Toc479757211"/>
    </w:p>
    <w:bookmarkEnd w:id="161"/>
    <w:bookmarkEnd w:id="162"/>
    <w:bookmarkEnd w:id="163"/>
    <w:bookmarkEnd w:id="164"/>
    <w:p>
      <w:pPr>
        <w:pStyle w:val="21"/>
        <w:snapToGrid w:val="0"/>
        <w:spacing w:before="120" w:after="120"/>
        <w:rPr>
          <w:rFonts w:hAnsi="宋体"/>
          <w:sz w:val="24"/>
          <w:szCs w:val="24"/>
          <w:highlight w:val="none"/>
        </w:rPr>
      </w:pPr>
      <w:bookmarkStart w:id="167" w:name="_Toc20823315"/>
      <w:bookmarkStart w:id="168" w:name="_Toc513029243"/>
      <w:bookmarkStart w:id="169" w:name="_Toc16938559"/>
      <w:bookmarkStart w:id="170" w:name="_Toc49090575"/>
      <w:bookmarkStart w:id="171" w:name="_Toc26554093"/>
      <w:bookmarkStart w:id="172" w:name="_Toc120614281"/>
      <w:r>
        <w:rPr>
          <w:rFonts w:hAnsi="宋体"/>
          <w:sz w:val="24"/>
          <w:szCs w:val="24"/>
          <w:highlight w:val="none"/>
        </w:rPr>
        <w:t>项目名称：</w:t>
      </w:r>
      <w:r>
        <w:rPr>
          <w:rFonts w:hint="eastAsia" w:hAnsi="宋体"/>
          <w:sz w:val="24"/>
          <w:szCs w:val="24"/>
          <w:highlight w:val="none"/>
        </w:rPr>
        <w:t>滨海县市场监督管理局202</w:t>
      </w:r>
      <w:r>
        <w:rPr>
          <w:rFonts w:hint="eastAsia" w:hAnsi="宋体"/>
          <w:sz w:val="24"/>
          <w:szCs w:val="24"/>
          <w:highlight w:val="none"/>
          <w:lang w:val="en-US" w:eastAsia="zh-CN"/>
        </w:rPr>
        <w:t>4</w:t>
      </w:r>
      <w:r>
        <w:rPr>
          <w:rFonts w:hint="eastAsia" w:hAnsi="宋体"/>
          <w:sz w:val="24"/>
          <w:szCs w:val="24"/>
          <w:highlight w:val="none"/>
        </w:rPr>
        <w:t xml:space="preserve">年食品安全监督抽检服务项目 </w:t>
      </w:r>
      <w:r>
        <w:rPr>
          <w:rFonts w:hAnsi="宋体"/>
          <w:sz w:val="24"/>
          <w:szCs w:val="24"/>
          <w:highlight w:val="none"/>
        </w:rPr>
        <w:t xml:space="preserve"> </w:t>
      </w:r>
    </w:p>
    <w:p>
      <w:pPr>
        <w:pStyle w:val="21"/>
        <w:snapToGrid w:val="0"/>
        <w:spacing w:before="120" w:after="120"/>
        <w:rPr>
          <w:rFonts w:hAnsi="宋体"/>
          <w:sz w:val="24"/>
          <w:szCs w:val="24"/>
          <w:highlight w:val="none"/>
        </w:rPr>
      </w:pPr>
      <w:r>
        <w:rPr>
          <w:rFonts w:hAnsi="宋体"/>
          <w:sz w:val="24"/>
          <w:szCs w:val="24"/>
          <w:highlight w:val="none"/>
        </w:rPr>
        <w:t>项目编号：</w:t>
      </w:r>
    </w:p>
    <w:p>
      <w:pPr>
        <w:pStyle w:val="21"/>
        <w:snapToGrid w:val="0"/>
        <w:spacing w:before="120" w:after="120"/>
        <w:rPr>
          <w:rFonts w:hAnsi="宋体"/>
          <w:sz w:val="24"/>
          <w:szCs w:val="24"/>
          <w:highlight w:val="none"/>
        </w:rPr>
      </w:pPr>
      <w:r>
        <w:rPr>
          <w:rFonts w:hAnsi="宋体"/>
          <w:sz w:val="24"/>
          <w:szCs w:val="24"/>
          <w:highlight w:val="none"/>
        </w:rPr>
        <w:t>甲方：（买方）</w:t>
      </w:r>
      <w:r>
        <w:rPr>
          <w:rFonts w:hint="eastAsia" w:hAnsi="宋体"/>
          <w:sz w:val="24"/>
          <w:szCs w:val="24"/>
          <w:highlight w:val="none"/>
        </w:rPr>
        <w:t>滨海县市场监督管理局</w:t>
      </w:r>
    </w:p>
    <w:p>
      <w:pPr>
        <w:pStyle w:val="21"/>
        <w:snapToGrid w:val="0"/>
        <w:spacing w:before="120" w:after="120"/>
        <w:rPr>
          <w:rFonts w:hint="eastAsia" w:hAnsi="宋体"/>
          <w:sz w:val="24"/>
          <w:szCs w:val="24"/>
          <w:highlight w:val="none"/>
        </w:rPr>
      </w:pPr>
      <w:r>
        <w:rPr>
          <w:rFonts w:hAnsi="宋体"/>
          <w:sz w:val="24"/>
          <w:szCs w:val="24"/>
          <w:highlight w:val="none"/>
        </w:rPr>
        <w:t>乙方：（卖方）_________</w:t>
      </w:r>
    </w:p>
    <w:p>
      <w:pPr>
        <w:pStyle w:val="21"/>
        <w:snapToGrid w:val="0"/>
        <w:spacing w:before="120" w:after="120"/>
        <w:ind w:firstLine="480" w:firstLineChars="200"/>
        <w:rPr>
          <w:rFonts w:hAnsi="宋体"/>
          <w:b/>
          <w:sz w:val="24"/>
          <w:szCs w:val="24"/>
          <w:highlight w:val="none"/>
        </w:rPr>
      </w:pPr>
      <w:r>
        <w:rPr>
          <w:rFonts w:hAnsi="宋体"/>
          <w:sz w:val="24"/>
          <w:szCs w:val="24"/>
          <w:highlight w:val="none"/>
        </w:rPr>
        <w:t>甲、乙双方根据</w:t>
      </w:r>
      <w:r>
        <w:rPr>
          <w:rFonts w:hint="eastAsia" w:hAnsi="宋体"/>
          <w:sz w:val="24"/>
          <w:szCs w:val="24"/>
          <w:highlight w:val="none"/>
        </w:rPr>
        <w:t>滨海县市场监督管理局202</w:t>
      </w:r>
      <w:r>
        <w:rPr>
          <w:rFonts w:hint="eastAsia" w:hAnsi="宋体"/>
          <w:sz w:val="24"/>
          <w:szCs w:val="24"/>
          <w:highlight w:val="none"/>
          <w:lang w:val="en-US" w:eastAsia="zh-CN"/>
        </w:rPr>
        <w:t>4</w:t>
      </w:r>
      <w:r>
        <w:rPr>
          <w:rFonts w:hint="eastAsia" w:hAnsi="宋体"/>
          <w:sz w:val="24"/>
          <w:szCs w:val="24"/>
          <w:highlight w:val="none"/>
        </w:rPr>
        <w:t>年食品安全监督抽检服务</w:t>
      </w:r>
      <w:r>
        <w:rPr>
          <w:rFonts w:hAnsi="宋体"/>
          <w:sz w:val="24"/>
          <w:szCs w:val="24"/>
          <w:highlight w:val="none"/>
        </w:rPr>
        <w:t>项目公开招标的结果，签署本合同。</w:t>
      </w:r>
    </w:p>
    <w:p>
      <w:pPr>
        <w:pStyle w:val="21"/>
        <w:snapToGrid w:val="0"/>
        <w:spacing w:before="120" w:after="120"/>
        <w:rPr>
          <w:rFonts w:hAnsi="宋体"/>
          <w:b/>
          <w:sz w:val="24"/>
          <w:szCs w:val="24"/>
          <w:highlight w:val="none"/>
        </w:rPr>
      </w:pPr>
      <w:r>
        <w:rPr>
          <w:rFonts w:hAnsi="宋体"/>
          <w:b/>
          <w:sz w:val="24"/>
          <w:szCs w:val="24"/>
          <w:highlight w:val="none"/>
        </w:rPr>
        <w:t>一、</w:t>
      </w:r>
      <w:r>
        <w:rPr>
          <w:rFonts w:hint="eastAsia" w:hAnsi="宋体"/>
          <w:b/>
          <w:sz w:val="24"/>
          <w:szCs w:val="24"/>
          <w:highlight w:val="none"/>
        </w:rPr>
        <w:t>标的物</w:t>
      </w:r>
      <w:r>
        <w:rPr>
          <w:rFonts w:hAnsi="宋体"/>
          <w:b/>
          <w:sz w:val="24"/>
          <w:szCs w:val="24"/>
          <w:highlight w:val="none"/>
        </w:rPr>
        <w:t>内容</w:t>
      </w:r>
    </w:p>
    <w:p>
      <w:pPr>
        <w:pStyle w:val="21"/>
        <w:snapToGrid w:val="0"/>
        <w:spacing w:before="120" w:after="120"/>
        <w:rPr>
          <w:rFonts w:hAnsi="宋体"/>
          <w:sz w:val="24"/>
          <w:szCs w:val="24"/>
          <w:highlight w:val="none"/>
        </w:rPr>
      </w:pPr>
      <w:r>
        <w:rPr>
          <w:rFonts w:hint="eastAsia" w:hAnsi="宋体"/>
          <w:iCs/>
          <w:sz w:val="24"/>
          <w:szCs w:val="24"/>
          <w:highlight w:val="none"/>
        </w:rPr>
        <w:t>详见中标供应商投标文件。</w:t>
      </w:r>
    </w:p>
    <w:p>
      <w:pPr>
        <w:pStyle w:val="21"/>
        <w:snapToGrid w:val="0"/>
        <w:spacing w:before="120" w:after="120"/>
        <w:rPr>
          <w:rFonts w:hAnsi="宋体"/>
          <w:b/>
          <w:sz w:val="24"/>
          <w:szCs w:val="24"/>
          <w:highlight w:val="none"/>
        </w:rPr>
      </w:pPr>
      <w:r>
        <w:rPr>
          <w:rFonts w:hAnsi="宋体"/>
          <w:b/>
          <w:sz w:val="24"/>
          <w:szCs w:val="24"/>
          <w:highlight w:val="none"/>
        </w:rPr>
        <w:t>二、合同金额</w:t>
      </w:r>
    </w:p>
    <w:p>
      <w:pPr>
        <w:rPr>
          <w:rFonts w:ascii="宋体" w:hAnsi="宋体"/>
          <w:bCs/>
          <w:sz w:val="24"/>
          <w:highlight w:val="none"/>
        </w:rPr>
      </w:pPr>
      <w:r>
        <w:rPr>
          <w:rFonts w:ascii="宋体" w:hAnsi="宋体"/>
          <w:bCs/>
          <w:sz w:val="24"/>
          <w:highlight w:val="none"/>
        </w:rPr>
        <w:t xml:space="preserve">2.1 </w:t>
      </w:r>
      <w:r>
        <w:rPr>
          <w:rFonts w:hint="eastAsia" w:ascii="宋体" w:hAnsi="宋体"/>
          <w:bCs/>
          <w:sz w:val="24"/>
          <w:highlight w:val="none"/>
        </w:rPr>
        <w:t>乙方中标第</w:t>
      </w:r>
      <w:r>
        <w:rPr>
          <w:rFonts w:hint="eastAsia" w:ascii="宋体" w:hAnsi="宋体"/>
          <w:bCs/>
          <w:sz w:val="24"/>
          <w:highlight w:val="none"/>
          <w:u w:val="single"/>
        </w:rPr>
        <w:t xml:space="preserve">      </w:t>
      </w:r>
      <w:r>
        <w:rPr>
          <w:rFonts w:hint="eastAsia" w:ascii="宋体" w:hAnsi="宋体"/>
          <w:bCs/>
          <w:sz w:val="24"/>
          <w:highlight w:val="none"/>
        </w:rPr>
        <w:t>标段项目，共</w:t>
      </w:r>
      <w:r>
        <w:rPr>
          <w:rFonts w:hint="eastAsia" w:ascii="宋体" w:hAnsi="宋体"/>
          <w:bCs/>
          <w:sz w:val="24"/>
          <w:highlight w:val="none"/>
          <w:u w:val="single"/>
        </w:rPr>
        <w:t xml:space="preserve">     </w:t>
      </w:r>
      <w:r>
        <w:rPr>
          <w:rFonts w:hint="eastAsia" w:ascii="宋体" w:hAnsi="宋体"/>
          <w:bCs/>
          <w:sz w:val="24"/>
          <w:highlight w:val="none"/>
        </w:rPr>
        <w:t>批次</w:t>
      </w:r>
      <w:r>
        <w:rPr>
          <w:rFonts w:hint="eastAsia" w:ascii="宋体" w:hAnsi="宋体"/>
          <w:bCs/>
          <w:sz w:val="24"/>
          <w:highlight w:val="none"/>
          <w:lang w:eastAsia="zh-CN"/>
        </w:rPr>
        <w:t>，</w:t>
      </w:r>
      <w:r>
        <w:rPr>
          <w:rFonts w:hint="eastAsia" w:ascii="宋体" w:hAnsi="宋体"/>
          <w:bCs/>
          <w:sz w:val="24"/>
        </w:rPr>
        <w:t>中标人折扣率为_______%</w:t>
      </w:r>
      <w:r>
        <w:rPr>
          <w:rFonts w:ascii="宋体" w:hAnsi="宋体"/>
          <w:bCs/>
          <w:sz w:val="24"/>
          <w:highlight w:val="none"/>
        </w:rPr>
        <w:t>。</w:t>
      </w:r>
    </w:p>
    <w:p>
      <w:pPr>
        <w:rPr>
          <w:rFonts w:hAnsi="宋体"/>
          <w:sz w:val="24"/>
          <w:szCs w:val="24"/>
          <w:highlight w:val="none"/>
        </w:rPr>
      </w:pPr>
      <w:r>
        <w:rPr>
          <w:rFonts w:hint="eastAsia" w:ascii="宋体" w:hAnsi="宋体"/>
          <w:sz w:val="24"/>
          <w:highlight w:val="none"/>
        </w:rPr>
        <w:t>2.2合同款包括所投产品</w:t>
      </w:r>
      <w:r>
        <w:rPr>
          <w:rFonts w:hint="eastAsia" w:ascii="宋体" w:hAnsi="宋体"/>
          <w:bCs/>
          <w:sz w:val="24"/>
          <w:highlight w:val="none"/>
        </w:rPr>
        <w:t>采购、抽样、检验、培训、考核、结果验证、应急处置、数据统计及质量分析</w:t>
      </w:r>
      <w:r>
        <w:rPr>
          <w:rFonts w:hint="eastAsia" w:ascii="宋体" w:hAnsi="宋体"/>
          <w:sz w:val="24"/>
          <w:highlight w:val="none"/>
        </w:rPr>
        <w:t>、税金、各类风险费、管理费、利润及其他有关的为完成本项目发生的所有费用，招标文件中另有规定的除外。</w:t>
      </w:r>
    </w:p>
    <w:p>
      <w:pPr>
        <w:pStyle w:val="21"/>
        <w:snapToGrid w:val="0"/>
        <w:spacing w:before="120" w:after="120"/>
        <w:rPr>
          <w:rFonts w:hAnsi="宋体"/>
          <w:b/>
          <w:sz w:val="24"/>
          <w:szCs w:val="24"/>
          <w:highlight w:val="none"/>
        </w:rPr>
      </w:pPr>
      <w:r>
        <w:rPr>
          <w:rFonts w:hAnsi="宋体"/>
          <w:b/>
          <w:sz w:val="24"/>
          <w:szCs w:val="24"/>
          <w:highlight w:val="none"/>
        </w:rPr>
        <w:t>三、技术资料</w:t>
      </w:r>
    </w:p>
    <w:p>
      <w:pPr>
        <w:rPr>
          <w:rFonts w:hint="eastAsia" w:ascii="宋体" w:hAnsi="宋体"/>
          <w:bCs/>
          <w:sz w:val="24"/>
          <w:highlight w:val="none"/>
        </w:rPr>
      </w:pPr>
      <w:r>
        <w:rPr>
          <w:rFonts w:ascii="宋体" w:hAnsi="宋体"/>
          <w:bCs/>
          <w:sz w:val="24"/>
          <w:highlight w:val="none"/>
        </w:rPr>
        <w:t>3.1乙方应按</w:t>
      </w:r>
      <w:r>
        <w:rPr>
          <w:rFonts w:hint="eastAsia" w:ascii="宋体" w:hAnsi="宋体"/>
          <w:bCs/>
          <w:sz w:val="24"/>
          <w:highlight w:val="none"/>
        </w:rPr>
        <w:t>相关法律法规及招标文件规定的要求在</w:t>
      </w:r>
      <w:r>
        <w:rPr>
          <w:rFonts w:hint="eastAsia" w:ascii="宋体" w:hAnsi="宋体"/>
          <w:bCs/>
          <w:sz w:val="24"/>
          <w:highlight w:val="none"/>
          <w:u w:val="single"/>
          <w:lang w:val="en-US" w:eastAsia="zh-CN"/>
        </w:rPr>
        <w:t>甲方规定时间内</w:t>
      </w:r>
      <w:r>
        <w:rPr>
          <w:rFonts w:ascii="宋体" w:hAnsi="宋体"/>
          <w:bCs/>
          <w:sz w:val="24"/>
          <w:highlight w:val="none"/>
        </w:rPr>
        <w:t>向甲方提供使用货物的有关技术资料。</w:t>
      </w:r>
    </w:p>
    <w:p>
      <w:pPr>
        <w:rPr>
          <w:rFonts w:ascii="宋体" w:hAnsi="宋体"/>
          <w:bCs/>
          <w:sz w:val="24"/>
          <w:highlight w:val="none"/>
        </w:rPr>
      </w:pPr>
      <w:r>
        <w:rPr>
          <w:rFonts w:ascii="宋体" w:hAnsi="宋体"/>
          <w:bCs/>
          <w:sz w:val="24"/>
          <w:highlight w:val="none"/>
        </w:rPr>
        <w:t>3.2 没有甲方事先书面同意，乙方不得将由甲方提供的有关合同或任何合同条文、规格、计划、图纸、样品或资料</w:t>
      </w:r>
      <w:r>
        <w:rPr>
          <w:rFonts w:hint="eastAsia" w:ascii="宋体" w:hAnsi="宋体"/>
          <w:bCs/>
          <w:sz w:val="24"/>
          <w:highlight w:val="none"/>
        </w:rPr>
        <w:t>等</w:t>
      </w:r>
      <w:r>
        <w:rPr>
          <w:rFonts w:ascii="宋体" w:hAnsi="宋体"/>
          <w:bCs/>
          <w:sz w:val="24"/>
          <w:highlight w:val="none"/>
        </w:rPr>
        <w:t>提供给与履行本合同无关的任何其他人。即使向履行本合同有关的人员提供，也应注意保密并限于履行合同的必需范围。</w:t>
      </w:r>
    </w:p>
    <w:p>
      <w:pPr>
        <w:pStyle w:val="21"/>
        <w:snapToGrid w:val="0"/>
        <w:spacing w:before="120" w:after="120"/>
        <w:ind w:left="412" w:hanging="412" w:hangingChars="171"/>
        <w:rPr>
          <w:rFonts w:hAnsi="宋体"/>
          <w:b/>
          <w:sz w:val="24"/>
          <w:szCs w:val="24"/>
          <w:highlight w:val="none"/>
        </w:rPr>
      </w:pPr>
      <w:r>
        <w:rPr>
          <w:rFonts w:hAnsi="宋体"/>
          <w:b/>
          <w:sz w:val="24"/>
          <w:szCs w:val="24"/>
          <w:highlight w:val="none"/>
        </w:rPr>
        <w:t>四、知识产权</w:t>
      </w:r>
    </w:p>
    <w:p>
      <w:pPr>
        <w:rPr>
          <w:rFonts w:hint="eastAsia" w:ascii="宋体" w:hAnsi="宋体"/>
          <w:sz w:val="24"/>
          <w:highlight w:val="none"/>
        </w:rPr>
      </w:pPr>
      <w:r>
        <w:rPr>
          <w:rFonts w:hAnsi="宋体"/>
          <w:sz w:val="24"/>
          <w:szCs w:val="24"/>
          <w:highlight w:val="none"/>
        </w:rPr>
        <w:t>4.1乙</w:t>
      </w:r>
      <w:r>
        <w:rPr>
          <w:rFonts w:hint="eastAsia" w:ascii="宋体" w:hAnsi="宋体"/>
          <w:sz w:val="24"/>
          <w:highlight w:val="none"/>
        </w:rPr>
        <w:t>方应保证甲方在使用、接受本合同货物和服务或其任何一部分时不受第三方提出侵犯其专利权、版权、商标权和工业设计权等知识产权的起诉。一旦出现侵权，由乙方负全部责任。</w:t>
      </w:r>
    </w:p>
    <w:p>
      <w:pPr>
        <w:pStyle w:val="21"/>
        <w:snapToGrid w:val="0"/>
        <w:spacing w:before="120" w:after="120"/>
        <w:rPr>
          <w:rFonts w:hAnsi="宋体"/>
          <w:sz w:val="24"/>
          <w:szCs w:val="24"/>
          <w:highlight w:val="none"/>
          <w:u w:val="single"/>
        </w:rPr>
      </w:pPr>
      <w:r>
        <w:rPr>
          <w:rFonts w:hAnsi="宋体"/>
          <w:b/>
          <w:sz w:val="24"/>
          <w:szCs w:val="24"/>
          <w:highlight w:val="none"/>
        </w:rPr>
        <w:t>五、产权担保</w:t>
      </w:r>
    </w:p>
    <w:p>
      <w:pPr>
        <w:pStyle w:val="21"/>
        <w:snapToGrid w:val="0"/>
        <w:spacing w:before="120" w:after="120"/>
        <w:ind w:left="408" w:hanging="408" w:hangingChars="170"/>
        <w:rPr>
          <w:rFonts w:hAnsi="宋体"/>
          <w:sz w:val="24"/>
          <w:szCs w:val="24"/>
          <w:highlight w:val="none"/>
          <w:u w:val="single"/>
        </w:rPr>
      </w:pPr>
      <w:r>
        <w:rPr>
          <w:rFonts w:hAnsi="宋体"/>
          <w:sz w:val="24"/>
          <w:szCs w:val="24"/>
          <w:highlight w:val="none"/>
        </w:rPr>
        <w:t>5.1 乙方保证所交付的货物的所有权完全属于乙方且无任何抵押、查封等产权瑕疵。</w:t>
      </w:r>
    </w:p>
    <w:p>
      <w:pPr>
        <w:pStyle w:val="21"/>
        <w:snapToGrid w:val="0"/>
        <w:spacing w:before="120" w:after="120"/>
        <w:ind w:left="410" w:hanging="410" w:hangingChars="170"/>
        <w:rPr>
          <w:rFonts w:hAnsi="宋体"/>
          <w:b/>
          <w:sz w:val="24"/>
          <w:szCs w:val="24"/>
          <w:highlight w:val="none"/>
        </w:rPr>
      </w:pPr>
      <w:r>
        <w:rPr>
          <w:rFonts w:hAnsi="宋体"/>
          <w:b/>
          <w:sz w:val="24"/>
          <w:szCs w:val="24"/>
          <w:highlight w:val="none"/>
        </w:rPr>
        <w:t>六、履约保证金</w:t>
      </w:r>
    </w:p>
    <w:p>
      <w:pPr>
        <w:tabs>
          <w:tab w:val="left" w:pos="900"/>
        </w:tabs>
        <w:spacing w:after="145" w:afterLines="50"/>
        <w:rPr>
          <w:rFonts w:hint="eastAsia" w:ascii="宋体" w:hAnsi="宋体"/>
          <w:sz w:val="24"/>
          <w:highlight w:val="none"/>
        </w:rPr>
      </w:pPr>
      <w:r>
        <w:rPr>
          <w:rFonts w:hint="eastAsia" w:ascii="宋体" w:hAnsi="宋体"/>
          <w:sz w:val="24"/>
          <w:highlight w:val="none"/>
        </w:rPr>
        <w:t>6.1签订合同前，乙方须向甲方交纳履约保证金（人民币：大写</w:t>
      </w:r>
      <w:r>
        <w:rPr>
          <w:rFonts w:hint="eastAsia" w:ascii="宋体" w:hAnsi="宋体"/>
          <w:sz w:val="24"/>
          <w:highlight w:val="none"/>
          <w:u w:val="single"/>
        </w:rPr>
        <w:t xml:space="preserve">           </w:t>
      </w:r>
      <w:r>
        <w:rPr>
          <w:rFonts w:ascii="Arial" w:hAnsi="Arial" w:cs="Arial"/>
          <w:sz w:val="24"/>
          <w:highlight w:val="none"/>
        </w:rPr>
        <w:t>¥</w:t>
      </w:r>
      <w:r>
        <w:rPr>
          <w:rFonts w:hint="eastAsia" w:ascii="宋体" w:hAnsi="宋体"/>
          <w:sz w:val="24"/>
          <w:highlight w:val="none"/>
          <w:u w:val="single"/>
        </w:rPr>
        <w:t xml:space="preserve">     </w:t>
      </w:r>
      <w:r>
        <w:rPr>
          <w:rFonts w:hint="eastAsia" w:ascii="宋体" w:hAnsi="宋体"/>
          <w:sz w:val="24"/>
          <w:highlight w:val="none"/>
        </w:rPr>
        <w:t>元，以支票、汇票、本票或者金融机构、担保机构出具的保函等非现金形式提交）。</w:t>
      </w:r>
    </w:p>
    <w:p>
      <w:pPr>
        <w:tabs>
          <w:tab w:val="left" w:pos="900"/>
        </w:tabs>
        <w:spacing w:after="145" w:afterLines="50"/>
        <w:rPr>
          <w:rFonts w:hint="eastAsia" w:ascii="宋体" w:hAnsi="宋体"/>
          <w:sz w:val="24"/>
          <w:highlight w:val="none"/>
          <w:lang w:val="zh-CN"/>
        </w:rPr>
      </w:pPr>
      <w:r>
        <w:rPr>
          <w:rFonts w:hint="eastAsia" w:ascii="宋体" w:hAnsi="宋体"/>
          <w:sz w:val="24"/>
          <w:highlight w:val="none"/>
        </w:rPr>
        <w:t>6.2乙方</w:t>
      </w:r>
      <w:r>
        <w:rPr>
          <w:rFonts w:hint="eastAsia" w:ascii="宋体" w:hAnsi="宋体"/>
          <w:sz w:val="24"/>
          <w:highlight w:val="none"/>
          <w:lang w:val="zh-CN"/>
        </w:rPr>
        <w:t>若在签订采购合同</w:t>
      </w:r>
      <w:r>
        <w:rPr>
          <w:rFonts w:hint="eastAsia" w:ascii="宋体" w:hAnsi="宋体"/>
          <w:sz w:val="24"/>
          <w:highlight w:val="none"/>
        </w:rPr>
        <w:t>前</w:t>
      </w:r>
      <w:r>
        <w:rPr>
          <w:rFonts w:hint="eastAsia" w:ascii="宋体" w:hAnsi="宋体"/>
          <w:sz w:val="24"/>
          <w:highlight w:val="none"/>
          <w:lang w:val="zh-CN"/>
        </w:rPr>
        <w:t>向</w:t>
      </w:r>
      <w:r>
        <w:rPr>
          <w:rFonts w:hint="eastAsia" w:ascii="宋体" w:hAnsi="宋体"/>
          <w:sz w:val="24"/>
          <w:highlight w:val="none"/>
        </w:rPr>
        <w:t>甲方</w:t>
      </w:r>
      <w:r>
        <w:rPr>
          <w:rFonts w:hint="eastAsia" w:ascii="宋体" w:hAnsi="宋体"/>
          <w:sz w:val="24"/>
          <w:highlight w:val="none"/>
          <w:lang w:val="zh-CN"/>
        </w:rPr>
        <w:t>提交本单位有效期内的第三方信用报告，且信用评级在AA级及以上的，</w:t>
      </w:r>
      <w:r>
        <w:rPr>
          <w:rFonts w:hint="eastAsia" w:ascii="宋体" w:hAnsi="宋体"/>
          <w:sz w:val="24"/>
          <w:highlight w:val="none"/>
        </w:rPr>
        <w:t>乙方</w:t>
      </w:r>
      <w:r>
        <w:rPr>
          <w:rFonts w:hint="eastAsia" w:ascii="宋体" w:hAnsi="宋体"/>
          <w:sz w:val="24"/>
          <w:highlight w:val="none"/>
          <w:lang w:val="zh-CN"/>
        </w:rPr>
        <w:t>可享受政府采购供应商履约保证金减免（即为全免）政策（具体减免政策请参见滨办通〔2021〕73号文件）。信用报告是指</w:t>
      </w:r>
      <w:r>
        <w:rPr>
          <w:rFonts w:hint="eastAsia" w:ascii="宋体" w:hAnsi="宋体"/>
          <w:sz w:val="24"/>
          <w:highlight w:val="none"/>
        </w:rPr>
        <w:t>乙方</w:t>
      </w:r>
      <w:r>
        <w:rPr>
          <w:rFonts w:hint="eastAsia" w:ascii="宋体" w:hAnsi="宋体"/>
          <w:sz w:val="24"/>
          <w:highlight w:val="none"/>
          <w:lang w:val="zh-CN"/>
        </w:rPr>
        <w:t>委托经信用管理部门备案的第三方信用服务机构，按照相关标准出具的综合性信用评价报告。办理第三方信用报告的具体事项请咨询滨海县信用办，联系电话：0515-68982013。</w:t>
      </w:r>
    </w:p>
    <w:p>
      <w:pPr>
        <w:tabs>
          <w:tab w:val="left" w:pos="900"/>
        </w:tabs>
        <w:spacing w:after="145" w:afterLines="50"/>
        <w:rPr>
          <w:rFonts w:hint="eastAsia" w:ascii="宋体" w:hAnsi="宋体"/>
          <w:sz w:val="24"/>
          <w:highlight w:val="none"/>
          <w:lang w:val="zh-CN"/>
        </w:rPr>
      </w:pPr>
      <w:r>
        <w:rPr>
          <w:rFonts w:hint="eastAsia" w:ascii="宋体" w:hAnsi="宋体"/>
          <w:sz w:val="24"/>
          <w:highlight w:val="none"/>
        </w:rPr>
        <w:t>6.3</w:t>
      </w:r>
      <w:r>
        <w:rPr>
          <w:rFonts w:hint="eastAsia" w:ascii="宋体" w:hAnsi="宋体"/>
          <w:sz w:val="24"/>
          <w:highlight w:val="none"/>
          <w:lang w:val="zh-CN"/>
        </w:rPr>
        <w:t>履约保证金用以约束</w:t>
      </w:r>
      <w:r>
        <w:rPr>
          <w:rFonts w:hint="eastAsia" w:ascii="宋体" w:hAnsi="宋体"/>
          <w:sz w:val="24"/>
          <w:highlight w:val="none"/>
        </w:rPr>
        <w:t>乙方</w:t>
      </w:r>
      <w:r>
        <w:rPr>
          <w:rFonts w:hint="eastAsia" w:ascii="宋体" w:hAnsi="宋体"/>
          <w:sz w:val="24"/>
          <w:highlight w:val="none"/>
          <w:lang w:val="zh-CN"/>
        </w:rPr>
        <w:t>在合同履行中的行为，弥补合同执行中由于</w:t>
      </w:r>
      <w:r>
        <w:rPr>
          <w:rFonts w:hint="eastAsia" w:ascii="宋体" w:hAnsi="宋体"/>
          <w:sz w:val="24"/>
          <w:highlight w:val="none"/>
        </w:rPr>
        <w:t>乙方</w:t>
      </w:r>
      <w:r>
        <w:rPr>
          <w:rFonts w:hint="eastAsia" w:ascii="宋体" w:hAnsi="宋体"/>
          <w:sz w:val="24"/>
          <w:highlight w:val="none"/>
          <w:lang w:val="zh-CN"/>
        </w:rPr>
        <w:t>自身行为可能给</w:t>
      </w:r>
      <w:r>
        <w:rPr>
          <w:rFonts w:hint="eastAsia" w:ascii="宋体" w:hAnsi="宋体"/>
          <w:sz w:val="24"/>
          <w:highlight w:val="none"/>
        </w:rPr>
        <w:t>甲方</w:t>
      </w:r>
      <w:r>
        <w:rPr>
          <w:rFonts w:hint="eastAsia" w:ascii="宋体" w:hAnsi="宋体"/>
          <w:sz w:val="24"/>
          <w:highlight w:val="none"/>
          <w:lang w:val="zh-CN"/>
        </w:rPr>
        <w:t>带来的各种损失。</w:t>
      </w:r>
      <w:r>
        <w:rPr>
          <w:rFonts w:hint="eastAsia" w:ascii="宋体" w:hAnsi="宋体"/>
          <w:sz w:val="24"/>
          <w:highlight w:val="none"/>
        </w:rPr>
        <w:t>乙方履行合同</w:t>
      </w:r>
      <w:r>
        <w:rPr>
          <w:rFonts w:hint="eastAsia" w:ascii="宋体" w:hAnsi="宋体"/>
          <w:sz w:val="24"/>
          <w:highlight w:val="none"/>
          <w:lang w:val="zh-CN"/>
        </w:rPr>
        <w:t>违约时，</w:t>
      </w:r>
      <w:r>
        <w:rPr>
          <w:rFonts w:hint="eastAsia" w:ascii="宋体" w:hAnsi="宋体"/>
          <w:sz w:val="24"/>
          <w:highlight w:val="none"/>
        </w:rPr>
        <w:t>甲方</w:t>
      </w:r>
      <w:r>
        <w:rPr>
          <w:rFonts w:hint="eastAsia" w:ascii="宋体" w:hAnsi="宋体"/>
          <w:sz w:val="24"/>
          <w:highlight w:val="none"/>
          <w:lang w:val="zh-CN"/>
        </w:rPr>
        <w:t>按合同约定扣除全部或部分履约保证金。如违约给</w:t>
      </w:r>
      <w:r>
        <w:rPr>
          <w:rFonts w:hint="eastAsia" w:ascii="宋体" w:hAnsi="宋体"/>
          <w:sz w:val="24"/>
          <w:highlight w:val="none"/>
        </w:rPr>
        <w:t>甲方</w:t>
      </w:r>
      <w:r>
        <w:rPr>
          <w:rFonts w:hint="eastAsia" w:ascii="宋体" w:hAnsi="宋体"/>
          <w:sz w:val="24"/>
          <w:highlight w:val="none"/>
          <w:lang w:val="zh-CN"/>
        </w:rPr>
        <w:t>造成的损失超过履约保证金的，还应当依法赔偿超过部分的损失。</w:t>
      </w:r>
    </w:p>
    <w:p>
      <w:pPr>
        <w:tabs>
          <w:tab w:val="left" w:pos="900"/>
        </w:tabs>
        <w:spacing w:after="145" w:afterLines="50"/>
        <w:rPr>
          <w:rFonts w:hint="eastAsia" w:ascii="宋体" w:hAnsi="宋体" w:cs="宋体"/>
          <w:sz w:val="24"/>
          <w:highlight w:val="none"/>
        </w:rPr>
      </w:pPr>
      <w:r>
        <w:rPr>
          <w:rFonts w:hint="eastAsia" w:ascii="宋体" w:hAnsi="宋体" w:cs="宋体"/>
          <w:sz w:val="24"/>
          <w:highlight w:val="none"/>
        </w:rPr>
        <w:t>6.4履约保证金的退还：</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rPr>
        <w:t>1.</w:t>
      </w:r>
      <w:r>
        <w:rPr>
          <w:rFonts w:hint="eastAsia" w:ascii="宋体" w:hAnsi="宋体" w:cs="宋体"/>
          <w:sz w:val="24"/>
          <w:highlight w:val="none"/>
          <w:lang w:val="zh-CN"/>
        </w:rPr>
        <w:t>方式：无息退还至投标人缴纳履约保证金的账户。</w:t>
      </w:r>
      <w:r>
        <w:rPr>
          <w:rFonts w:hint="eastAsia" w:ascii="宋体" w:hAnsi="宋体" w:cs="宋体"/>
          <w:sz w:val="24"/>
          <w:highlight w:val="none"/>
        </w:rPr>
        <w:t>如为</w:t>
      </w:r>
      <w:r>
        <w:rPr>
          <w:rFonts w:hint="eastAsia" w:ascii="宋体" w:hAnsi="宋体" w:cs="宋体"/>
          <w:sz w:val="24"/>
          <w:highlight w:val="none"/>
          <w:lang w:val="zh-CN"/>
        </w:rPr>
        <w:t>保函，在到期</w:t>
      </w:r>
      <w:r>
        <w:rPr>
          <w:rFonts w:hint="eastAsia" w:ascii="宋体" w:hAnsi="宋体" w:cs="宋体"/>
          <w:sz w:val="24"/>
          <w:highlight w:val="none"/>
        </w:rPr>
        <w:t>时</w:t>
      </w:r>
      <w:r>
        <w:rPr>
          <w:rFonts w:hint="eastAsia" w:ascii="宋体" w:hAnsi="宋体" w:cs="宋体"/>
          <w:sz w:val="24"/>
          <w:highlight w:val="none"/>
          <w:lang w:val="zh-CN"/>
        </w:rPr>
        <w:t>自行失效。</w:t>
      </w:r>
    </w:p>
    <w:p>
      <w:pPr>
        <w:tabs>
          <w:tab w:val="left" w:pos="900"/>
        </w:tabs>
        <w:spacing w:after="145" w:afterLines="50"/>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zh-CN"/>
        </w:rPr>
        <w:t>时间：验收合格且采购人收到发票后</w:t>
      </w:r>
      <w:r>
        <w:rPr>
          <w:rFonts w:hint="eastAsia" w:ascii="宋体" w:hAnsi="宋体" w:cs="宋体"/>
          <w:sz w:val="24"/>
          <w:highlight w:val="none"/>
        </w:rPr>
        <w:t>30日内。</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rPr>
        <w:t>3.</w:t>
      </w:r>
      <w:r>
        <w:rPr>
          <w:rFonts w:hint="eastAsia" w:ascii="宋体" w:hAnsi="宋体" w:cs="宋体"/>
          <w:sz w:val="24"/>
          <w:highlight w:val="none"/>
          <w:lang w:val="zh-CN"/>
        </w:rPr>
        <w:t>条件：按合同要求全部履约完成并经采购人验收合格，且采购人收到中标人出具的发票。</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rPr>
        <w:t>4.</w:t>
      </w:r>
      <w:r>
        <w:rPr>
          <w:rFonts w:hint="eastAsia" w:ascii="宋体" w:hAnsi="宋体" w:cs="宋体"/>
          <w:sz w:val="24"/>
          <w:highlight w:val="none"/>
          <w:lang w:val="zh-CN"/>
        </w:rPr>
        <w:t>不予退还情形：</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除不可抗力情况外，投标人出现下列情形之一的，</w:t>
      </w:r>
      <w:r>
        <w:rPr>
          <w:rFonts w:hint="eastAsia" w:ascii="宋体" w:hAnsi="宋体" w:cs="宋体"/>
          <w:sz w:val="24"/>
          <w:highlight w:val="none"/>
        </w:rPr>
        <w:t>其履约保证金，招标人</w:t>
      </w:r>
      <w:r>
        <w:rPr>
          <w:rFonts w:hint="eastAsia" w:ascii="宋体" w:hAnsi="宋体" w:cs="宋体"/>
          <w:sz w:val="24"/>
          <w:highlight w:val="none"/>
          <w:lang w:val="zh-CN"/>
        </w:rPr>
        <w:t>将视情节</w:t>
      </w:r>
      <w:r>
        <w:rPr>
          <w:rFonts w:hint="eastAsia" w:ascii="宋体" w:hAnsi="宋体" w:cs="宋体"/>
          <w:sz w:val="24"/>
          <w:highlight w:val="none"/>
        </w:rPr>
        <w:t>决定不予退还或部分不予退还。</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1</w:t>
      </w:r>
      <w:r>
        <w:rPr>
          <w:rFonts w:hint="eastAsia" w:ascii="宋体" w:hAnsi="宋体" w:cs="宋体"/>
          <w:sz w:val="24"/>
          <w:highlight w:val="none"/>
          <w:lang w:val="zh-CN"/>
        </w:rPr>
        <w:t>）中标人无正当理由拒绝签订合同的，或者在签订合同时向</w:t>
      </w:r>
      <w:r>
        <w:rPr>
          <w:rFonts w:hint="eastAsia" w:ascii="宋体" w:hAnsi="宋体" w:cs="宋体"/>
          <w:sz w:val="24"/>
          <w:highlight w:val="none"/>
        </w:rPr>
        <w:t>采购</w:t>
      </w:r>
      <w:r>
        <w:rPr>
          <w:rFonts w:hint="eastAsia" w:ascii="宋体" w:hAnsi="宋体" w:cs="宋体"/>
          <w:sz w:val="24"/>
          <w:highlight w:val="none"/>
          <w:lang w:val="zh-CN"/>
        </w:rPr>
        <w:t>人提出附加条件或者更改合同实质性内容要求的；</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）中标人不履行与</w:t>
      </w:r>
      <w:r>
        <w:rPr>
          <w:rFonts w:hint="eastAsia" w:ascii="宋体" w:hAnsi="宋体" w:cs="宋体"/>
          <w:sz w:val="24"/>
          <w:highlight w:val="none"/>
        </w:rPr>
        <w:t>采购</w:t>
      </w:r>
      <w:r>
        <w:rPr>
          <w:rFonts w:hint="eastAsia" w:ascii="宋体" w:hAnsi="宋体" w:cs="宋体"/>
          <w:sz w:val="24"/>
          <w:highlight w:val="none"/>
          <w:lang w:val="zh-CN"/>
        </w:rPr>
        <w:t>人订立的合同的；</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3</w:t>
      </w:r>
      <w:r>
        <w:rPr>
          <w:rFonts w:hint="eastAsia" w:ascii="宋体" w:hAnsi="宋体" w:cs="宋体"/>
          <w:sz w:val="24"/>
          <w:highlight w:val="none"/>
          <w:lang w:val="zh-CN"/>
        </w:rPr>
        <w:t>）中标人所供货物</w:t>
      </w:r>
      <w:r>
        <w:rPr>
          <w:rFonts w:hint="eastAsia" w:ascii="宋体" w:hAnsi="宋体" w:cs="宋体"/>
          <w:sz w:val="24"/>
          <w:highlight w:val="none"/>
        </w:rPr>
        <w:t>或服务</w:t>
      </w:r>
      <w:r>
        <w:rPr>
          <w:rFonts w:hint="eastAsia" w:ascii="宋体" w:hAnsi="宋体" w:cs="宋体"/>
          <w:sz w:val="24"/>
          <w:highlight w:val="none"/>
          <w:lang w:val="zh-CN"/>
        </w:rPr>
        <w:t>不符合招标文件规定要求的；</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4</w:t>
      </w:r>
      <w:r>
        <w:rPr>
          <w:rFonts w:hint="eastAsia" w:ascii="宋体" w:hAnsi="宋体" w:cs="宋体"/>
          <w:sz w:val="24"/>
          <w:highlight w:val="none"/>
          <w:lang w:val="zh-CN"/>
        </w:rPr>
        <w:t>）</w:t>
      </w:r>
      <w:r>
        <w:rPr>
          <w:rFonts w:hint="eastAsia" w:ascii="宋体" w:hAnsi="宋体" w:cs="宋体"/>
          <w:sz w:val="24"/>
          <w:highlight w:val="none"/>
        </w:rPr>
        <w:t>中标人</w:t>
      </w:r>
      <w:r>
        <w:rPr>
          <w:rFonts w:hint="eastAsia" w:ascii="宋体" w:hAnsi="宋体" w:cs="宋体"/>
          <w:sz w:val="24"/>
          <w:highlight w:val="none"/>
          <w:lang w:val="zh-CN"/>
        </w:rPr>
        <w:t>采取欺骗、弄虚作假方式投标的或与其它投标人串通投标的；</w:t>
      </w:r>
    </w:p>
    <w:p>
      <w:pPr>
        <w:pStyle w:val="18"/>
        <w:ind w:left="0" w:leftChars="0" w:right="1470"/>
        <w:rPr>
          <w:highlight w:val="none"/>
          <w:lang w:val="zh-CN"/>
        </w:rPr>
      </w:pPr>
      <w:r>
        <w:rPr>
          <w:rFonts w:ascii="宋体" w:hAnsi="宋体" w:cs="宋体"/>
          <w:sz w:val="24"/>
          <w:highlight w:val="none"/>
        </w:rPr>
        <w:t>（5）中标人将合同内容转包、违法分包的；</w:t>
      </w:r>
    </w:p>
    <w:p>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6</w:t>
      </w:r>
      <w:r>
        <w:rPr>
          <w:rFonts w:hint="eastAsia" w:ascii="宋体" w:hAnsi="宋体" w:cs="宋体"/>
          <w:sz w:val="24"/>
          <w:highlight w:val="none"/>
          <w:lang w:val="zh-CN"/>
        </w:rPr>
        <w:t>）</w:t>
      </w:r>
      <w:r>
        <w:rPr>
          <w:rFonts w:hint="eastAsia" w:ascii="宋体" w:hAnsi="宋体" w:cs="宋体"/>
          <w:sz w:val="24"/>
          <w:highlight w:val="none"/>
        </w:rPr>
        <w:t>中标</w:t>
      </w:r>
      <w:r>
        <w:rPr>
          <w:rFonts w:hint="eastAsia" w:ascii="宋体" w:hAnsi="宋体" w:cs="宋体"/>
          <w:sz w:val="24"/>
          <w:highlight w:val="none"/>
          <w:lang w:val="zh-CN"/>
        </w:rPr>
        <w:t>人故意捏造事实或伪造证明材料，进行虚假恶意投诉或反映的。</w:t>
      </w:r>
    </w:p>
    <w:p>
      <w:pPr>
        <w:tabs>
          <w:tab w:val="left" w:pos="900"/>
        </w:tabs>
        <w:spacing w:after="145" w:afterLines="50"/>
        <w:rPr>
          <w:rFonts w:hint="eastAsia" w:ascii="宋体" w:hAnsi="宋体"/>
          <w:sz w:val="24"/>
          <w:highlight w:val="none"/>
        </w:rPr>
      </w:pPr>
      <w:r>
        <w:rPr>
          <w:rFonts w:hint="eastAsia" w:ascii="宋体" w:hAnsi="宋体" w:cs="宋体"/>
          <w:sz w:val="24"/>
          <w:highlight w:val="none"/>
        </w:rPr>
        <w:t>5.</w:t>
      </w:r>
      <w:r>
        <w:rPr>
          <w:rFonts w:hint="eastAsia" w:ascii="宋体" w:hAnsi="宋体" w:cs="宋体"/>
          <w:sz w:val="24"/>
          <w:highlight w:val="none"/>
          <w:lang w:val="zh-CN"/>
        </w:rPr>
        <w:t>逾期退还的违约责任：</w:t>
      </w:r>
      <w:r>
        <w:rPr>
          <w:rFonts w:hint="eastAsia" w:ascii="宋体" w:hAnsi="宋体" w:cs="宋体"/>
          <w:sz w:val="24"/>
          <w:highlight w:val="none"/>
        </w:rPr>
        <w:t>采购人逾期无故未退还</w:t>
      </w:r>
      <w:r>
        <w:rPr>
          <w:rFonts w:hint="eastAsia" w:ascii="宋体" w:hAnsi="宋体" w:cs="宋体"/>
          <w:sz w:val="24"/>
          <w:highlight w:val="none"/>
          <w:lang w:val="zh-CN"/>
        </w:rPr>
        <w:t>履约保证金</w:t>
      </w:r>
      <w:r>
        <w:rPr>
          <w:rFonts w:hint="eastAsia" w:ascii="宋体" w:hAnsi="宋体" w:cs="宋体"/>
          <w:sz w:val="24"/>
          <w:highlight w:val="none"/>
        </w:rPr>
        <w:t>的，按中国人民银行同期贷款基准利率上浮20%后的利率支付超期资金占用费，但因供应商自身原因导致无法及时退还的除外。</w:t>
      </w:r>
    </w:p>
    <w:p>
      <w:pPr>
        <w:snapToGrid w:val="0"/>
        <w:spacing w:before="145" w:beforeLines="50" w:after="145" w:afterLines="50"/>
        <w:rPr>
          <w:rFonts w:ascii="宋体" w:hAnsi="宋体" w:eastAsia="仿宋_GB2312"/>
          <w:b/>
          <w:sz w:val="24"/>
          <w:szCs w:val="24"/>
          <w:highlight w:val="none"/>
        </w:rPr>
      </w:pPr>
      <w:r>
        <w:rPr>
          <w:rFonts w:hint="eastAsia" w:ascii="宋体" w:hAnsi="宋体"/>
          <w:b/>
          <w:sz w:val="24"/>
          <w:szCs w:val="24"/>
          <w:highlight w:val="none"/>
        </w:rPr>
        <w:t>七、转包或分包</w:t>
      </w:r>
    </w:p>
    <w:p>
      <w:pPr>
        <w:snapToGrid w:val="0"/>
        <w:spacing w:before="145" w:beforeLines="50" w:after="145" w:afterLines="50"/>
        <w:rPr>
          <w:rFonts w:ascii="宋体" w:hAnsi="宋体" w:eastAsia="仿宋_GB2312"/>
          <w:sz w:val="24"/>
          <w:szCs w:val="24"/>
          <w:highlight w:val="none"/>
        </w:rPr>
      </w:pPr>
      <w:r>
        <w:rPr>
          <w:rFonts w:ascii="宋体" w:hAnsi="宋体"/>
          <w:sz w:val="24"/>
          <w:szCs w:val="24"/>
          <w:highlight w:val="none"/>
        </w:rPr>
        <w:t>7.1</w:t>
      </w:r>
      <w:r>
        <w:rPr>
          <w:rFonts w:hint="eastAsia" w:ascii="宋体" w:hAnsi="宋体"/>
          <w:sz w:val="24"/>
          <w:szCs w:val="24"/>
          <w:highlight w:val="none"/>
        </w:rPr>
        <w:t>本合同范围的货物或服务，应由乙方直接供应，不得转让他人供应；</w:t>
      </w:r>
    </w:p>
    <w:p>
      <w:pPr>
        <w:snapToGrid w:val="0"/>
        <w:spacing w:before="145" w:beforeLines="50" w:after="145" w:afterLines="50"/>
        <w:rPr>
          <w:rFonts w:ascii="宋体" w:hAnsi="宋体" w:eastAsia="仿宋_GB2312"/>
          <w:sz w:val="24"/>
          <w:szCs w:val="24"/>
          <w:highlight w:val="none"/>
        </w:rPr>
      </w:pPr>
      <w:r>
        <w:rPr>
          <w:rFonts w:ascii="宋体" w:hAnsi="宋体"/>
          <w:sz w:val="24"/>
          <w:szCs w:val="24"/>
          <w:highlight w:val="none"/>
        </w:rPr>
        <w:t xml:space="preserve">7.2 </w:t>
      </w:r>
      <w:r>
        <w:rPr>
          <w:rFonts w:hint="eastAsia" w:ascii="宋体" w:hAnsi="宋体"/>
          <w:sz w:val="24"/>
          <w:szCs w:val="24"/>
          <w:highlight w:val="none"/>
        </w:rPr>
        <w:t>除非得到甲方的书面同意，乙方不得部分分包给他人供应。</w:t>
      </w:r>
    </w:p>
    <w:p>
      <w:pPr>
        <w:snapToGrid w:val="0"/>
        <w:spacing w:before="145" w:beforeLines="50" w:after="145" w:afterLines="50"/>
        <w:rPr>
          <w:rFonts w:ascii="宋体" w:hAnsi="宋体" w:eastAsia="仿宋_GB2312"/>
          <w:sz w:val="24"/>
          <w:szCs w:val="24"/>
          <w:highlight w:val="none"/>
        </w:rPr>
      </w:pPr>
      <w:r>
        <w:rPr>
          <w:rFonts w:ascii="宋体" w:hAnsi="宋体"/>
          <w:sz w:val="24"/>
          <w:szCs w:val="24"/>
          <w:highlight w:val="none"/>
        </w:rPr>
        <w:t>7.3</w:t>
      </w:r>
      <w:r>
        <w:rPr>
          <w:rFonts w:hint="eastAsia" w:ascii="宋体" w:hAnsi="宋体"/>
          <w:sz w:val="24"/>
          <w:szCs w:val="24"/>
          <w:highlight w:val="none"/>
        </w:rPr>
        <w:t>如有转让和未经甲方同意的分包行为，甲方有权给予终止合同。</w:t>
      </w:r>
    </w:p>
    <w:p>
      <w:pPr>
        <w:spacing w:line="360" w:lineRule="exact"/>
        <w:jc w:val="left"/>
        <w:rPr>
          <w:rFonts w:hAnsi="宋体"/>
          <w:b/>
          <w:sz w:val="24"/>
          <w:szCs w:val="24"/>
          <w:highlight w:val="none"/>
        </w:rPr>
      </w:pPr>
      <w:r>
        <w:rPr>
          <w:rFonts w:hAnsi="宋体"/>
          <w:b/>
          <w:sz w:val="24"/>
          <w:szCs w:val="24"/>
          <w:highlight w:val="none"/>
        </w:rPr>
        <w:t>十、</w:t>
      </w:r>
      <w:r>
        <w:rPr>
          <w:rFonts w:hAnsi="宋体"/>
          <w:bCs/>
          <w:sz w:val="24"/>
          <w:szCs w:val="24"/>
          <w:highlight w:val="none"/>
        </w:rPr>
        <w:t>付款方式：</w:t>
      </w:r>
    </w:p>
    <w:p>
      <w:pPr>
        <w:tabs>
          <w:tab w:val="left" w:pos="900"/>
        </w:tabs>
        <w:spacing w:after="145" w:afterLines="50"/>
        <w:ind w:firstLine="480" w:firstLineChars="200"/>
        <w:rPr>
          <w:rFonts w:hint="eastAsia" w:ascii="宋体" w:hAnsi="宋体" w:cs="宋体"/>
          <w:sz w:val="24"/>
          <w:highlight w:val="none"/>
          <w:lang w:val="zh-CN"/>
        </w:rPr>
      </w:pPr>
      <w:r>
        <w:rPr>
          <w:rFonts w:hint="default" w:ascii="宋体" w:hAnsi="宋体" w:cs="宋体"/>
          <w:sz w:val="24"/>
          <w:highlight w:val="none"/>
          <w:lang w:val="en-US" w:eastAsia="zh-CN"/>
        </w:rPr>
        <w:t>合同签订之日起30个工作日内，采购人向供应商支付合同价款的30%作为项目预付款。</w:t>
      </w:r>
      <w:r>
        <w:rPr>
          <w:rFonts w:hint="eastAsia" w:ascii="宋体" w:hAnsi="宋体" w:cs="宋体"/>
          <w:sz w:val="24"/>
          <w:highlight w:val="none"/>
          <w:lang w:val="zh-CN"/>
        </w:rPr>
        <w:t>（中标人须提供合同总价</w:t>
      </w:r>
      <w:r>
        <w:rPr>
          <w:rFonts w:hint="eastAsia" w:ascii="宋体" w:hAnsi="宋体" w:cs="宋体"/>
          <w:sz w:val="24"/>
          <w:highlight w:val="none"/>
          <w:lang w:val="en-US" w:eastAsia="zh-CN"/>
        </w:rPr>
        <w:t>3</w:t>
      </w:r>
      <w:r>
        <w:rPr>
          <w:rFonts w:hint="eastAsia" w:ascii="宋体" w:hAnsi="宋体" w:cs="宋体"/>
          <w:sz w:val="24"/>
          <w:highlight w:val="none"/>
          <w:lang w:val="zh-CN"/>
        </w:rPr>
        <w:t>0%的银行保函）。</w:t>
      </w:r>
    </w:p>
    <w:p>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4</w:t>
      </w:r>
      <w:r>
        <w:rPr>
          <w:rFonts w:hint="eastAsia" w:ascii="宋体" w:hAnsi="宋体" w:cs="宋体"/>
          <w:b/>
          <w:bCs/>
          <w:color w:val="FF0000"/>
          <w:sz w:val="28"/>
          <w:szCs w:val="28"/>
          <w:highlight w:val="none"/>
          <w:u w:val="single"/>
          <w:lang w:bidi="ar"/>
        </w:rPr>
        <w:t>年抽检任务（共2712批次）结算方法：中标人在完成抽样检验并出具检测报告后，招标人于202</w:t>
      </w:r>
      <w:r>
        <w:rPr>
          <w:rFonts w:hint="eastAsia" w:ascii="宋体" w:hAnsi="宋体" w:cs="宋体"/>
          <w:b/>
          <w:bCs/>
          <w:color w:val="FF0000"/>
          <w:sz w:val="28"/>
          <w:szCs w:val="28"/>
          <w:highlight w:val="none"/>
          <w:u w:val="single"/>
          <w:lang w:val="en-US" w:eastAsia="zh-CN" w:bidi="ar"/>
        </w:rPr>
        <w:t>4</w:t>
      </w:r>
      <w:r>
        <w:rPr>
          <w:rFonts w:hint="eastAsia" w:ascii="宋体" w:hAnsi="宋体" w:cs="宋体"/>
          <w:b/>
          <w:bCs/>
          <w:color w:val="FF0000"/>
          <w:sz w:val="28"/>
          <w:szCs w:val="28"/>
          <w:highlight w:val="none"/>
          <w:u w:val="single"/>
          <w:lang w:bidi="ar"/>
        </w:rPr>
        <w:t>年12月30日前根据已完成抽检任务数，按照参数结算的方式（参数的最高限价*中标人报价折扣率）</w:t>
      </w:r>
      <w:r>
        <w:rPr>
          <w:rFonts w:hint="eastAsia" w:ascii="宋体" w:hAnsi="宋体" w:cs="宋体"/>
          <w:b/>
          <w:bCs/>
          <w:color w:val="FF0000"/>
          <w:sz w:val="28"/>
          <w:szCs w:val="28"/>
          <w:highlight w:val="none"/>
          <w:u w:val="single"/>
          <w:lang w:val="en-US" w:eastAsia="zh-CN" w:bidi="ar"/>
        </w:rPr>
        <w:t>经过甲方考核核算后</w:t>
      </w:r>
      <w:r>
        <w:rPr>
          <w:rFonts w:hint="eastAsia" w:ascii="宋体" w:hAnsi="宋体" w:cs="宋体"/>
          <w:b/>
          <w:bCs/>
          <w:color w:val="FF0000"/>
          <w:sz w:val="28"/>
          <w:szCs w:val="28"/>
          <w:highlight w:val="none"/>
          <w:u w:val="single"/>
          <w:lang w:bidi="ar"/>
        </w:rPr>
        <w:t>一次性结清</w:t>
      </w:r>
      <w:r>
        <w:rPr>
          <w:rFonts w:hint="eastAsia" w:ascii="宋体" w:hAnsi="宋体" w:cs="宋体"/>
          <w:b/>
          <w:bCs/>
          <w:color w:val="FF0000"/>
          <w:sz w:val="28"/>
          <w:szCs w:val="28"/>
          <w:highlight w:val="none"/>
          <w:u w:val="single"/>
          <w:lang w:val="en-US" w:eastAsia="zh-CN" w:bidi="ar"/>
        </w:rPr>
        <w:t>(本次结算款项包含此前所</w:t>
      </w:r>
      <w:r>
        <w:rPr>
          <w:rFonts w:hint="default" w:ascii="宋体" w:hAnsi="宋体" w:cs="宋体"/>
          <w:b/>
          <w:bCs/>
          <w:color w:val="FF0000"/>
          <w:sz w:val="28"/>
          <w:szCs w:val="28"/>
          <w:highlight w:val="none"/>
          <w:u w:val="single"/>
          <w:lang w:val="en-US" w:eastAsia="zh-CN" w:bidi="ar"/>
        </w:rPr>
        <w:t>支付</w:t>
      </w:r>
      <w:r>
        <w:rPr>
          <w:rFonts w:hint="eastAsia" w:ascii="宋体" w:hAnsi="宋体" w:cs="宋体"/>
          <w:b/>
          <w:bCs/>
          <w:color w:val="FF0000"/>
          <w:sz w:val="28"/>
          <w:szCs w:val="28"/>
          <w:highlight w:val="none"/>
          <w:u w:val="single"/>
          <w:lang w:val="en-US" w:eastAsia="zh-CN" w:bidi="ar"/>
        </w:rPr>
        <w:t>的</w:t>
      </w:r>
      <w:r>
        <w:rPr>
          <w:rFonts w:hint="default" w:ascii="宋体" w:hAnsi="宋体" w:cs="宋体"/>
          <w:b/>
          <w:bCs/>
          <w:color w:val="FF0000"/>
          <w:sz w:val="28"/>
          <w:szCs w:val="28"/>
          <w:highlight w:val="none"/>
          <w:u w:val="single"/>
          <w:lang w:val="en-US" w:eastAsia="zh-CN" w:bidi="ar"/>
        </w:rPr>
        <w:t>合同价款的30%项目预付款</w:t>
      </w:r>
      <w:r>
        <w:rPr>
          <w:rFonts w:hint="eastAsia" w:ascii="宋体" w:hAnsi="宋体" w:cs="宋体"/>
          <w:b/>
          <w:bCs/>
          <w:color w:val="FF0000"/>
          <w:sz w:val="28"/>
          <w:szCs w:val="28"/>
          <w:highlight w:val="none"/>
          <w:u w:val="single"/>
          <w:lang w:val="en-US" w:eastAsia="zh-CN" w:bidi="ar"/>
        </w:rPr>
        <w:t>）</w:t>
      </w:r>
      <w:r>
        <w:rPr>
          <w:rFonts w:hint="eastAsia" w:ascii="宋体" w:hAnsi="宋体" w:cs="宋体"/>
          <w:b/>
          <w:bCs/>
          <w:color w:val="FF0000"/>
          <w:sz w:val="28"/>
          <w:szCs w:val="28"/>
          <w:highlight w:val="none"/>
          <w:u w:val="single"/>
          <w:lang w:bidi="ar"/>
        </w:rPr>
        <w:t>；</w:t>
      </w:r>
    </w:p>
    <w:p>
      <w:pPr>
        <w:ind w:firstLine="562" w:firstLineChars="200"/>
        <w:rPr>
          <w:rFonts w:hint="default"/>
          <w:highlight w:val="none"/>
          <w:lang w:val="en-US" w:eastAsia="zh-CN"/>
        </w:rPr>
      </w:pP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年一季度抽检任务（共1388批次）结算方法：待中标人完成所有抽样检验任务数后，招标人按照参数结算的方式（参数的最高限价*中标人报价折扣率）在完成省市</w:t>
      </w:r>
      <w:r>
        <w:rPr>
          <w:rFonts w:hint="eastAsia" w:ascii="宋体" w:hAnsi="宋体" w:cs="宋体"/>
          <w:b/>
          <w:bCs/>
          <w:color w:val="FF0000"/>
          <w:sz w:val="28"/>
          <w:szCs w:val="28"/>
          <w:highlight w:val="none"/>
          <w:u w:val="single"/>
          <w:lang w:val="en-US" w:eastAsia="zh-CN" w:bidi="ar"/>
        </w:rPr>
        <w:t>县</w:t>
      </w: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4</w:t>
      </w:r>
      <w:r>
        <w:rPr>
          <w:rFonts w:hint="eastAsia" w:ascii="宋体" w:hAnsi="宋体" w:cs="宋体"/>
          <w:b/>
          <w:bCs/>
          <w:color w:val="FF0000"/>
          <w:sz w:val="28"/>
          <w:szCs w:val="28"/>
          <w:highlight w:val="none"/>
          <w:u w:val="single"/>
          <w:lang w:bidi="ar"/>
        </w:rPr>
        <w:t>年度监督抽检考核指标及对中标人</w:t>
      </w:r>
      <w:r>
        <w:rPr>
          <w:rFonts w:hint="eastAsia" w:ascii="宋体" w:hAnsi="宋体" w:cs="宋体"/>
          <w:b/>
          <w:bCs/>
          <w:color w:val="FF0000"/>
          <w:sz w:val="28"/>
          <w:szCs w:val="28"/>
          <w:highlight w:val="none"/>
          <w:u w:val="single"/>
          <w:lang w:val="en-US" w:eastAsia="zh-CN" w:bidi="ar"/>
        </w:rPr>
        <w:t>综合</w:t>
      </w:r>
      <w:r>
        <w:rPr>
          <w:rFonts w:hint="eastAsia" w:ascii="宋体" w:hAnsi="宋体" w:cs="宋体"/>
          <w:b/>
          <w:bCs/>
          <w:color w:val="FF0000"/>
          <w:sz w:val="28"/>
          <w:szCs w:val="28"/>
          <w:highlight w:val="none"/>
          <w:u w:val="single"/>
          <w:lang w:bidi="ar"/>
        </w:rPr>
        <w:t>考核后按</w:t>
      </w:r>
      <w:r>
        <w:rPr>
          <w:rFonts w:hint="eastAsia" w:ascii="宋体" w:hAnsi="宋体" w:cs="宋体"/>
          <w:b/>
          <w:bCs/>
          <w:color w:val="FF0000"/>
          <w:sz w:val="28"/>
          <w:szCs w:val="28"/>
          <w:highlight w:val="none"/>
          <w:u w:val="single"/>
          <w:lang w:val="en-US" w:eastAsia="zh-CN" w:bidi="ar"/>
        </w:rPr>
        <w:t>结算</w:t>
      </w:r>
      <w:r>
        <w:rPr>
          <w:rFonts w:hint="eastAsia" w:ascii="宋体" w:hAnsi="宋体" w:cs="宋体"/>
          <w:b/>
          <w:bCs/>
          <w:color w:val="FF0000"/>
          <w:sz w:val="28"/>
          <w:szCs w:val="28"/>
          <w:highlight w:val="none"/>
          <w:u w:val="single"/>
          <w:lang w:bidi="ar"/>
        </w:rPr>
        <w:t>价一次性结清。</w:t>
      </w:r>
    </w:p>
    <w:p>
      <w:pPr>
        <w:spacing w:line="320" w:lineRule="exact"/>
        <w:ind w:firstLine="562" w:firstLineChars="200"/>
        <w:jc w:val="left"/>
        <w:rPr>
          <w:rFonts w:hint="eastAsia" w:ascii="宋体" w:hAnsi="宋体" w:cs="宋体"/>
          <w:b/>
          <w:bCs/>
          <w:color w:val="FF0000"/>
          <w:sz w:val="28"/>
          <w:szCs w:val="28"/>
          <w:highlight w:val="none"/>
          <w:u w:val="single"/>
          <w:lang w:bidi="ar"/>
        </w:rPr>
      </w:pPr>
    </w:p>
    <w:p>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注：1.（均无息。考核指标具体实施细则由招标人详细考核方案为准，结算时，投标人须提供税务发票）。</w:t>
      </w:r>
    </w:p>
    <w:p>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2.具体结算方式为：甲方和乙方双方确认的检验项目及数量×乙方的投标单价（乙方的投标单价是指中标人折扣率*招标人限定的检验项目最高限价【详见招标文件第</w:t>
      </w:r>
      <w:r>
        <w:rPr>
          <w:rFonts w:hint="eastAsia" w:ascii="宋体" w:hAnsi="宋体" w:cs="宋体"/>
          <w:b/>
          <w:bCs/>
          <w:color w:val="FF0000"/>
          <w:sz w:val="28"/>
          <w:szCs w:val="28"/>
          <w:highlight w:val="none"/>
          <w:u w:val="single"/>
          <w:lang w:val="en-US" w:eastAsia="zh-CN" w:bidi="ar"/>
        </w:rPr>
        <w:t>32</w:t>
      </w:r>
      <w:r>
        <w:rPr>
          <w:rFonts w:hint="eastAsia" w:ascii="宋体" w:hAnsi="宋体" w:cs="宋体"/>
          <w:b/>
          <w:bCs/>
          <w:color w:val="FF0000"/>
          <w:sz w:val="28"/>
          <w:szCs w:val="28"/>
          <w:highlight w:val="none"/>
          <w:u w:val="single"/>
          <w:lang w:bidi="ar"/>
        </w:rPr>
        <w:t>页检测内容及最高限价表】）</w:t>
      </w:r>
    </w:p>
    <w:p>
      <w:pPr>
        <w:snapToGrid w:val="0"/>
        <w:spacing w:before="145" w:beforeLines="50" w:after="145" w:afterLines="50"/>
        <w:rPr>
          <w:rFonts w:ascii="宋体" w:hAnsi="宋体" w:eastAsia="仿宋_GB2312"/>
          <w:b/>
          <w:sz w:val="24"/>
          <w:szCs w:val="24"/>
          <w:highlight w:val="none"/>
        </w:rPr>
      </w:pPr>
      <w:r>
        <w:rPr>
          <w:rFonts w:hint="eastAsia" w:ascii="宋体" w:hAnsi="宋体"/>
          <w:b/>
          <w:sz w:val="24"/>
          <w:szCs w:val="24"/>
          <w:highlight w:val="none"/>
        </w:rPr>
        <w:t>十一</w:t>
      </w:r>
      <w:r>
        <w:rPr>
          <w:rFonts w:ascii="宋体" w:hAnsi="宋体"/>
          <w:b/>
          <w:sz w:val="24"/>
          <w:szCs w:val="24"/>
          <w:highlight w:val="none"/>
        </w:rPr>
        <w:t>.</w:t>
      </w:r>
      <w:r>
        <w:rPr>
          <w:rFonts w:hint="eastAsia" w:ascii="宋体" w:hAnsi="宋体"/>
          <w:b/>
          <w:sz w:val="24"/>
          <w:szCs w:val="24"/>
          <w:highlight w:val="none"/>
        </w:rPr>
        <w:t>税费</w:t>
      </w:r>
    </w:p>
    <w:p>
      <w:pPr>
        <w:snapToGrid w:val="0"/>
        <w:spacing w:before="145" w:beforeLines="50" w:after="145" w:afterLines="50"/>
        <w:rPr>
          <w:rFonts w:ascii="宋体" w:hAnsi="宋体" w:eastAsia="仿宋_GB2312"/>
          <w:sz w:val="24"/>
          <w:szCs w:val="24"/>
          <w:highlight w:val="none"/>
        </w:rPr>
      </w:pPr>
      <w:r>
        <w:rPr>
          <w:rFonts w:ascii="宋体" w:hAnsi="宋体"/>
          <w:sz w:val="24"/>
          <w:szCs w:val="24"/>
          <w:highlight w:val="none"/>
        </w:rPr>
        <w:t>11.1</w:t>
      </w:r>
      <w:r>
        <w:rPr>
          <w:rFonts w:hint="eastAsia" w:ascii="宋体" w:hAnsi="宋体"/>
          <w:sz w:val="24"/>
          <w:szCs w:val="24"/>
          <w:highlight w:val="none"/>
        </w:rPr>
        <w:t>本合同执行中相关的一切税费均由乙方负担。</w:t>
      </w:r>
    </w:p>
    <w:p>
      <w:pPr>
        <w:autoSpaceDE w:val="0"/>
        <w:autoSpaceDN w:val="0"/>
        <w:adjustRightInd w:val="0"/>
        <w:spacing w:line="500" w:lineRule="exact"/>
        <w:rPr>
          <w:rFonts w:ascii="宋体"/>
          <w:b/>
          <w:sz w:val="24"/>
          <w:highlight w:val="none"/>
        </w:rPr>
      </w:pPr>
      <w:r>
        <w:rPr>
          <w:rFonts w:hAnsi="宋体"/>
          <w:b/>
          <w:sz w:val="24"/>
          <w:szCs w:val="24"/>
          <w:highlight w:val="none"/>
        </w:rPr>
        <w:t>十二、</w:t>
      </w:r>
      <w:r>
        <w:rPr>
          <w:rFonts w:hint="eastAsia" w:ascii="宋体" w:hAnsi="宋体"/>
          <w:b/>
          <w:sz w:val="24"/>
          <w:highlight w:val="none"/>
        </w:rPr>
        <w:t>质量要求、技术标准及售后服务</w:t>
      </w:r>
    </w:p>
    <w:p>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乙方应遵照《食品安全法》、《食品安全抽样检验管理办法》和《食品安全监督抽检和风险监测工作规范》等要求执行食品安全抽检工作。</w:t>
      </w:r>
      <w:r>
        <w:rPr>
          <w:rFonts w:ascii="宋体" w:hAnsi="宋体"/>
          <w:sz w:val="24"/>
          <w:highlight w:val="none"/>
        </w:rPr>
        <w:t xml:space="preserve"> </w:t>
      </w:r>
    </w:p>
    <w:p>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2. </w:t>
      </w:r>
      <w:r>
        <w:rPr>
          <w:rFonts w:hint="eastAsia" w:ascii="宋体" w:hAnsi="宋体"/>
          <w:sz w:val="24"/>
          <w:highlight w:val="none"/>
        </w:rPr>
        <w:t>抽样时间：按照甲方实际需求确定时间。</w:t>
      </w:r>
    </w:p>
    <w:p>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3. </w:t>
      </w:r>
      <w:r>
        <w:rPr>
          <w:rFonts w:hint="eastAsia" w:ascii="宋体" w:hAnsi="宋体"/>
          <w:sz w:val="24"/>
          <w:highlight w:val="none"/>
        </w:rPr>
        <w:t>抽样地点：根据甲方实际工作要求确定具体抽样地点。</w:t>
      </w:r>
    </w:p>
    <w:p>
      <w:pPr>
        <w:spacing w:line="500" w:lineRule="exact"/>
        <w:ind w:firstLine="480" w:firstLineChars="200"/>
        <w:rPr>
          <w:rFonts w:ascii="宋体"/>
          <w:sz w:val="24"/>
          <w:szCs w:val="24"/>
          <w:highlight w:val="none"/>
        </w:rPr>
      </w:pPr>
      <w:r>
        <w:rPr>
          <w:rFonts w:ascii="宋体" w:hAnsi="宋体"/>
          <w:sz w:val="24"/>
          <w:highlight w:val="none"/>
        </w:rPr>
        <w:t>4.</w:t>
      </w:r>
      <w:r>
        <w:rPr>
          <w:rFonts w:hint="eastAsia" w:ascii="宋体" w:hAnsi="宋体"/>
          <w:sz w:val="24"/>
          <w:highlight w:val="none"/>
        </w:rPr>
        <w:t xml:space="preserve"> </w:t>
      </w:r>
      <w:r>
        <w:rPr>
          <w:rFonts w:hint="eastAsia" w:ascii="宋体" w:hAnsi="宋体"/>
          <w:sz w:val="24"/>
          <w:szCs w:val="24"/>
          <w:highlight w:val="none"/>
        </w:rPr>
        <w:t>人员配备：每次抽检由中标人安排</w:t>
      </w:r>
      <w:r>
        <w:rPr>
          <w:rFonts w:ascii="宋体" w:hAnsi="宋体"/>
          <w:sz w:val="24"/>
          <w:szCs w:val="24"/>
          <w:highlight w:val="none"/>
        </w:rPr>
        <w:t>2</w:t>
      </w:r>
      <w:r>
        <w:rPr>
          <w:rFonts w:hint="eastAsia" w:ascii="宋体" w:hAnsi="宋体"/>
          <w:sz w:val="24"/>
          <w:szCs w:val="24"/>
          <w:highlight w:val="none"/>
        </w:rPr>
        <w:t>名以上工作人</w:t>
      </w:r>
      <w:r>
        <w:rPr>
          <w:rFonts w:hint="eastAsia" w:ascii="宋体" w:hAnsi="宋体"/>
          <w:sz w:val="24"/>
          <w:szCs w:val="24"/>
          <w:highlight w:val="none"/>
          <w:lang w:val="en-US" w:eastAsia="zh-CN"/>
        </w:rPr>
        <w:t>员</w:t>
      </w:r>
      <w:r>
        <w:rPr>
          <w:rFonts w:hint="eastAsia" w:ascii="宋体" w:hAnsi="宋体"/>
          <w:sz w:val="24"/>
          <w:szCs w:val="24"/>
          <w:highlight w:val="none"/>
        </w:rPr>
        <w:t>抽样，承诺能配备同时出动</w:t>
      </w:r>
      <w:r>
        <w:rPr>
          <w:rFonts w:ascii="宋体" w:hAnsi="宋体"/>
          <w:sz w:val="24"/>
          <w:szCs w:val="24"/>
          <w:highlight w:val="none"/>
        </w:rPr>
        <w:t>2</w:t>
      </w:r>
      <w:r>
        <w:rPr>
          <w:rFonts w:hint="eastAsia" w:ascii="宋体" w:hAnsi="宋体"/>
          <w:sz w:val="24"/>
          <w:szCs w:val="24"/>
          <w:highlight w:val="none"/>
        </w:rPr>
        <w:t>组（</w:t>
      </w:r>
      <w:r>
        <w:rPr>
          <w:rFonts w:ascii="宋体" w:hAnsi="宋体"/>
          <w:sz w:val="24"/>
          <w:szCs w:val="24"/>
          <w:highlight w:val="none"/>
        </w:rPr>
        <w:t>2</w:t>
      </w:r>
      <w:r>
        <w:rPr>
          <w:rFonts w:hint="eastAsia" w:ascii="宋体" w:hAnsi="宋体"/>
          <w:sz w:val="24"/>
          <w:szCs w:val="24"/>
          <w:highlight w:val="none"/>
        </w:rPr>
        <w:t>人一组）或以上专业抽样人员。</w:t>
      </w:r>
    </w:p>
    <w:p>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5. </w:t>
      </w:r>
      <w:r>
        <w:rPr>
          <w:rFonts w:hint="eastAsia" w:ascii="宋体" w:hAnsi="宋体"/>
          <w:sz w:val="24"/>
          <w:highlight w:val="none"/>
        </w:rPr>
        <w:t>样品运输：由乙方负责，并确保样品安全，</w:t>
      </w:r>
      <w:r>
        <w:rPr>
          <w:rFonts w:hint="eastAsia" w:ascii="宋体" w:hAnsi="宋体"/>
          <w:color w:val="FF0000"/>
          <w:sz w:val="24"/>
          <w:highlight w:val="none"/>
        </w:rPr>
        <w:t>所运输产品有冷藏冷冻等温控需要的，乙方需在样品运输、实验室存储、分样、制样、备样等环节全程按要求进行温度控制且有温控记录</w:t>
      </w:r>
      <w:r>
        <w:rPr>
          <w:rFonts w:hint="eastAsia" w:ascii="宋体" w:hAnsi="宋体"/>
          <w:sz w:val="24"/>
          <w:highlight w:val="none"/>
        </w:rPr>
        <w:t>。</w:t>
      </w:r>
    </w:p>
    <w:p>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6. </w:t>
      </w:r>
      <w:r>
        <w:rPr>
          <w:rFonts w:hint="eastAsia" w:ascii="宋体" w:hAnsi="宋体"/>
          <w:sz w:val="24"/>
          <w:highlight w:val="none"/>
        </w:rPr>
        <w:t>交通工具：乙方单日能安排配套的抽样车辆</w:t>
      </w:r>
      <w:r>
        <w:rPr>
          <w:rFonts w:ascii="宋体" w:hAnsi="宋体"/>
          <w:sz w:val="24"/>
          <w:highlight w:val="none"/>
        </w:rPr>
        <w:t>2</w:t>
      </w:r>
      <w:r>
        <w:rPr>
          <w:rFonts w:hint="eastAsia" w:ascii="宋体" w:hAnsi="宋体"/>
          <w:sz w:val="24"/>
          <w:highlight w:val="none"/>
        </w:rPr>
        <w:t>台</w:t>
      </w:r>
      <w:r>
        <w:rPr>
          <w:rFonts w:hint="eastAsia" w:ascii="宋体" w:hAnsi="宋体"/>
          <w:sz w:val="24"/>
          <w:highlight w:val="none"/>
          <w:lang w:val="en-US" w:eastAsia="zh-CN"/>
        </w:rPr>
        <w:t>以上</w:t>
      </w:r>
      <w:r>
        <w:rPr>
          <w:rFonts w:hint="eastAsia" w:ascii="宋体" w:hAnsi="宋体"/>
          <w:sz w:val="24"/>
          <w:highlight w:val="none"/>
        </w:rPr>
        <w:t>（提供行驶证），并配有车载冰箱。</w:t>
      </w:r>
    </w:p>
    <w:p>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7. </w:t>
      </w:r>
      <w:r>
        <w:rPr>
          <w:rFonts w:hint="eastAsia" w:ascii="宋体" w:hAnsi="宋体"/>
          <w:sz w:val="24"/>
          <w:highlight w:val="none"/>
        </w:rPr>
        <w:t>乙方</w:t>
      </w:r>
      <w:r>
        <w:rPr>
          <w:rFonts w:hint="eastAsia" w:ascii="宋体" w:hAnsi="宋体"/>
          <w:color w:val="FF0000"/>
          <w:sz w:val="24"/>
          <w:highlight w:val="none"/>
        </w:rPr>
        <w:t>每</w:t>
      </w:r>
      <w:r>
        <w:rPr>
          <w:rFonts w:hint="eastAsia" w:ascii="宋体" w:hAnsi="宋体"/>
          <w:sz w:val="24"/>
          <w:highlight w:val="none"/>
        </w:rPr>
        <w:t>完成</w:t>
      </w:r>
      <w:r>
        <w:rPr>
          <w:rFonts w:hint="eastAsia" w:ascii="宋体" w:hAnsi="宋体"/>
          <w:color w:val="FF0000"/>
          <w:sz w:val="24"/>
          <w:highlight w:val="none"/>
        </w:rPr>
        <w:t>一个</w:t>
      </w:r>
      <w:r>
        <w:rPr>
          <w:rFonts w:hint="eastAsia" w:ascii="宋体" w:hAnsi="宋体"/>
          <w:sz w:val="24"/>
          <w:highlight w:val="none"/>
        </w:rPr>
        <w:t>季度的抽样检验工作且出具检测报告后，需在七个工作日内完成对检验检测数据分析研判并编制检验检测结果分析报告提供给甲方。</w:t>
      </w:r>
    </w:p>
    <w:p>
      <w:pPr>
        <w:autoSpaceDE w:val="0"/>
        <w:autoSpaceDN w:val="0"/>
        <w:adjustRightInd w:val="0"/>
        <w:spacing w:line="500" w:lineRule="exact"/>
        <w:ind w:firstLine="480" w:firstLineChars="200"/>
        <w:rPr>
          <w:rFonts w:hint="eastAsia" w:ascii="宋体" w:hAnsi="宋体"/>
          <w:sz w:val="24"/>
          <w:highlight w:val="none"/>
        </w:rPr>
      </w:pPr>
      <w:r>
        <w:rPr>
          <w:rFonts w:ascii="宋体" w:hAnsi="宋体"/>
          <w:sz w:val="24"/>
          <w:highlight w:val="none"/>
        </w:rPr>
        <w:t xml:space="preserve">8. </w:t>
      </w:r>
      <w:r>
        <w:rPr>
          <w:rFonts w:hint="eastAsia" w:ascii="宋体" w:hAnsi="宋体"/>
          <w:sz w:val="24"/>
          <w:highlight w:val="none"/>
        </w:rPr>
        <w:t>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w:t>
      </w:r>
      <w:r>
        <w:rPr>
          <w:rFonts w:ascii="宋体" w:hAnsi="宋体"/>
          <w:sz w:val="24"/>
          <w:highlight w:val="none"/>
        </w:rPr>
        <w:t>24</w:t>
      </w:r>
      <w:r>
        <w:rPr>
          <w:rFonts w:hint="eastAsia" w:ascii="宋体" w:hAnsi="宋体"/>
          <w:sz w:val="24"/>
          <w:highlight w:val="none"/>
        </w:rPr>
        <w:t>小时内填写《食品安全抽检限时报告情况表》，将问题或有关情况报告甲方。</w:t>
      </w:r>
    </w:p>
    <w:p>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9、乙方需依据甲方要求的格式进行月度检验数据汇总，</w:t>
      </w:r>
      <w:r>
        <w:rPr>
          <w:rFonts w:hint="eastAsia" w:ascii="宋体" w:hAnsi="宋体"/>
          <w:color w:val="FF0000"/>
          <w:sz w:val="24"/>
          <w:highlight w:val="none"/>
        </w:rPr>
        <w:t>按要求</w:t>
      </w:r>
      <w:r>
        <w:rPr>
          <w:rFonts w:hint="eastAsia" w:ascii="宋体" w:hAnsi="宋体"/>
          <w:sz w:val="24"/>
          <w:highlight w:val="none"/>
        </w:rPr>
        <w:t>报送结算材料，及时提供甲方所需调取的抽检数据，每年度依据甲方要求出具不少1次风险分析报告。</w:t>
      </w:r>
    </w:p>
    <w:p>
      <w:pPr>
        <w:pStyle w:val="37"/>
        <w:spacing w:line="500" w:lineRule="exact"/>
        <w:ind w:firstLine="480"/>
        <w:rPr>
          <w:rFonts w:hint="eastAsia" w:ascii="宋体" w:hAnsi="宋体" w:eastAsia="宋体"/>
          <w:sz w:val="24"/>
          <w:szCs w:val="21"/>
          <w:highlight w:val="none"/>
        </w:rPr>
      </w:pPr>
      <w:r>
        <w:rPr>
          <w:rFonts w:hint="eastAsia" w:ascii="宋体" w:hAnsi="宋体" w:eastAsia="宋体"/>
          <w:sz w:val="24"/>
          <w:szCs w:val="21"/>
          <w:highlight w:val="none"/>
        </w:rPr>
        <w:t>10、乙方出具检验报告10个工作日内，需将检验数据录入国家食品安全抽检检验信息系统。</w:t>
      </w:r>
    </w:p>
    <w:p>
      <w:pPr>
        <w:pStyle w:val="37"/>
        <w:spacing w:line="500" w:lineRule="exact"/>
        <w:ind w:firstLine="480"/>
        <w:rPr>
          <w:rFonts w:hint="eastAsia" w:ascii="宋体" w:hAnsi="宋体" w:eastAsia="宋体"/>
          <w:color w:val="FF0000"/>
          <w:sz w:val="24"/>
          <w:szCs w:val="21"/>
          <w:highlight w:val="none"/>
        </w:rPr>
      </w:pPr>
      <w:r>
        <w:rPr>
          <w:rFonts w:hint="eastAsia" w:ascii="宋体" w:hAnsi="宋体" w:eastAsia="宋体"/>
          <w:sz w:val="24"/>
          <w:szCs w:val="21"/>
          <w:highlight w:val="none"/>
        </w:rPr>
        <w:t>11、乙方需完成甲方202</w:t>
      </w:r>
      <w:r>
        <w:rPr>
          <w:rFonts w:hint="eastAsia" w:ascii="宋体" w:hAnsi="宋体" w:eastAsia="宋体"/>
          <w:sz w:val="24"/>
          <w:szCs w:val="21"/>
          <w:highlight w:val="none"/>
          <w:lang w:val="en-US" w:eastAsia="zh-CN"/>
        </w:rPr>
        <w:t>4</w:t>
      </w:r>
      <w:r>
        <w:rPr>
          <w:rFonts w:hint="eastAsia" w:ascii="宋体" w:hAnsi="宋体" w:eastAsia="宋体"/>
          <w:sz w:val="24"/>
          <w:szCs w:val="21"/>
          <w:highlight w:val="none"/>
        </w:rPr>
        <w:t>年监督抽检</w:t>
      </w:r>
      <w:r>
        <w:rPr>
          <w:rFonts w:hint="eastAsia" w:ascii="宋体" w:hAnsi="宋体" w:eastAsia="宋体"/>
          <w:sz w:val="24"/>
          <w:szCs w:val="21"/>
          <w:highlight w:val="none"/>
          <w:lang w:val="en-US" w:eastAsia="zh-CN"/>
        </w:rPr>
        <w:t>相关</w:t>
      </w:r>
      <w:r>
        <w:rPr>
          <w:rFonts w:hint="eastAsia" w:ascii="宋体" w:hAnsi="宋体" w:eastAsia="宋体"/>
          <w:sz w:val="24"/>
          <w:szCs w:val="21"/>
          <w:highlight w:val="none"/>
        </w:rPr>
        <w:t>考核指标，</w:t>
      </w:r>
      <w:r>
        <w:rPr>
          <w:rFonts w:hint="eastAsia" w:ascii="宋体" w:hAnsi="宋体" w:eastAsia="宋体"/>
          <w:color w:val="FF0000"/>
          <w:sz w:val="24"/>
          <w:szCs w:val="21"/>
          <w:highlight w:val="none"/>
        </w:rPr>
        <w:t>包括但不限于食品抽检数据质量、食品抽检不合格率、食用农产品抽检不合格率、食品抽检公示率等考核</w:t>
      </w:r>
      <w:r>
        <w:rPr>
          <w:rFonts w:hint="eastAsia" w:ascii="宋体" w:hAnsi="宋体" w:eastAsia="宋体"/>
          <w:color w:val="FF0000"/>
          <w:sz w:val="24"/>
          <w:szCs w:val="21"/>
          <w:highlight w:val="none"/>
          <w:lang w:eastAsia="zh-CN"/>
        </w:rPr>
        <w:t>（</w:t>
      </w:r>
      <w:r>
        <w:rPr>
          <w:rFonts w:hint="eastAsia" w:ascii="宋体" w:hAnsi="宋体" w:eastAsia="宋体"/>
          <w:color w:val="FF0000"/>
          <w:sz w:val="24"/>
          <w:szCs w:val="21"/>
          <w:highlight w:val="none"/>
          <w:lang w:val="en-US" w:eastAsia="zh-CN"/>
        </w:rPr>
        <w:t>2025年第一季度工作考核要求同2024年</w:t>
      </w:r>
      <w:r>
        <w:rPr>
          <w:rFonts w:hint="eastAsia" w:ascii="宋体" w:hAnsi="宋体" w:eastAsia="宋体"/>
          <w:color w:val="FF0000"/>
          <w:sz w:val="24"/>
          <w:szCs w:val="21"/>
          <w:highlight w:val="none"/>
          <w:lang w:eastAsia="zh-CN"/>
        </w:rPr>
        <w:t>）</w:t>
      </w:r>
      <w:r>
        <w:rPr>
          <w:rFonts w:hint="eastAsia" w:ascii="宋体" w:hAnsi="宋体" w:eastAsia="宋体"/>
          <w:color w:val="FF0000"/>
          <w:sz w:val="24"/>
          <w:szCs w:val="21"/>
          <w:highlight w:val="none"/>
        </w:rPr>
        <w:t>。</w:t>
      </w:r>
    </w:p>
    <w:p>
      <w:pPr>
        <w:pStyle w:val="37"/>
        <w:spacing w:line="500" w:lineRule="exact"/>
        <w:ind w:firstLine="480"/>
        <w:rPr>
          <w:rFonts w:hint="eastAsia" w:ascii="宋体" w:hAnsi="宋体" w:eastAsia="宋体"/>
          <w:sz w:val="24"/>
          <w:szCs w:val="21"/>
          <w:highlight w:val="none"/>
        </w:rPr>
      </w:pPr>
      <w:r>
        <w:rPr>
          <w:rFonts w:hint="eastAsia" w:ascii="宋体" w:hAnsi="宋体" w:eastAsia="宋体"/>
          <w:sz w:val="24"/>
          <w:szCs w:val="21"/>
          <w:highlight w:val="none"/>
        </w:rPr>
        <w:t>12、乙方对抽检食品的检测参数应满足以下条件:普通食品的检测参数数量不得低于《国家食品安全监督抽检实施细则》（202</w:t>
      </w:r>
      <w:r>
        <w:rPr>
          <w:rFonts w:hint="eastAsia" w:ascii="宋体" w:hAnsi="宋体" w:eastAsia="宋体"/>
          <w:sz w:val="24"/>
          <w:szCs w:val="21"/>
          <w:highlight w:val="none"/>
          <w:lang w:val="en-US" w:eastAsia="zh-CN"/>
        </w:rPr>
        <w:t>4</w:t>
      </w:r>
      <w:r>
        <w:rPr>
          <w:rFonts w:hint="eastAsia" w:ascii="宋体" w:hAnsi="宋体" w:eastAsia="宋体"/>
          <w:sz w:val="24"/>
          <w:szCs w:val="21"/>
          <w:highlight w:val="none"/>
        </w:rPr>
        <w:t>年版）中规定参数总量的50%；食用农产品的必检参数必须全覆盖检测，自选参数数量必须严格按照省局要求进行检测。</w:t>
      </w:r>
    </w:p>
    <w:p>
      <w:pPr>
        <w:pStyle w:val="37"/>
        <w:spacing w:line="500" w:lineRule="exact"/>
        <w:ind w:firstLine="480"/>
        <w:rPr>
          <w:rFonts w:hint="eastAsia" w:ascii="宋体" w:hAnsi="宋体" w:eastAsia="宋体"/>
          <w:color w:val="FF0000"/>
          <w:sz w:val="24"/>
          <w:szCs w:val="21"/>
          <w:highlight w:val="none"/>
        </w:rPr>
      </w:pPr>
      <w:r>
        <w:rPr>
          <w:rFonts w:hint="eastAsia" w:ascii="宋体" w:hAnsi="宋体" w:eastAsia="宋体"/>
          <w:color w:val="FF0000"/>
          <w:sz w:val="24"/>
          <w:szCs w:val="21"/>
          <w:highlight w:val="none"/>
        </w:rPr>
        <w:t>13、乙方需按照甲方的要求，及时提供优质的增值服务，包括但不限于人员培训、</w:t>
      </w:r>
      <w:r>
        <w:rPr>
          <w:rFonts w:hint="eastAsia" w:ascii="宋体" w:hAnsi="宋体" w:eastAsia="宋体"/>
          <w:color w:val="FF0000"/>
          <w:sz w:val="24"/>
          <w:szCs w:val="21"/>
          <w:highlight w:val="none"/>
          <w:lang w:val="en-US" w:eastAsia="zh-CN"/>
        </w:rPr>
        <w:t>合格备份样品再利用、</w:t>
      </w:r>
      <w:r>
        <w:rPr>
          <w:rFonts w:hint="eastAsia" w:ascii="宋体" w:hAnsi="宋体" w:eastAsia="宋体"/>
          <w:color w:val="FF0000"/>
          <w:sz w:val="24"/>
          <w:szCs w:val="21"/>
          <w:highlight w:val="none"/>
        </w:rPr>
        <w:t>风险排查、原因分析及整改措施、应急处置、你点我检活动、专项调研等。</w:t>
      </w:r>
    </w:p>
    <w:p>
      <w:pPr>
        <w:pStyle w:val="37"/>
        <w:spacing w:line="500" w:lineRule="exact"/>
        <w:ind w:firstLine="480"/>
        <w:rPr>
          <w:rFonts w:hint="default" w:ascii="宋体" w:hAnsi="宋体" w:eastAsia="宋体"/>
          <w:color w:val="FF0000"/>
          <w:sz w:val="24"/>
          <w:szCs w:val="21"/>
          <w:highlight w:val="none"/>
          <w:lang w:val="en-US" w:eastAsia="zh-CN"/>
        </w:rPr>
      </w:pPr>
      <w:r>
        <w:rPr>
          <w:rFonts w:hint="eastAsia" w:ascii="宋体" w:hAnsi="宋体" w:eastAsia="宋体"/>
          <w:color w:val="FF0000"/>
          <w:sz w:val="24"/>
          <w:szCs w:val="21"/>
          <w:highlight w:val="none"/>
          <w:lang w:val="en-US" w:eastAsia="zh-CN"/>
        </w:rPr>
        <w:t>14、乙方需按照甲方月度计划，抽检普通食品和食用农产品批次数，如因省市考核工作需要，甲方可根据需要调整适量食用农产品代替普通食品。</w:t>
      </w:r>
    </w:p>
    <w:p>
      <w:pPr>
        <w:pStyle w:val="21"/>
        <w:snapToGrid w:val="0"/>
        <w:spacing w:before="120" w:after="120"/>
        <w:rPr>
          <w:rFonts w:hAnsi="宋体"/>
          <w:b/>
          <w:sz w:val="24"/>
          <w:szCs w:val="24"/>
          <w:highlight w:val="none"/>
        </w:rPr>
      </w:pPr>
      <w:r>
        <w:rPr>
          <w:rFonts w:hAnsi="宋体"/>
          <w:b/>
          <w:sz w:val="24"/>
          <w:szCs w:val="24"/>
          <w:highlight w:val="none"/>
        </w:rPr>
        <w:t>十</w:t>
      </w:r>
      <w:r>
        <w:rPr>
          <w:rFonts w:hint="eastAsia" w:hAnsi="宋体"/>
          <w:b/>
          <w:sz w:val="24"/>
          <w:szCs w:val="24"/>
          <w:highlight w:val="none"/>
        </w:rPr>
        <w:t>三</w:t>
      </w:r>
      <w:r>
        <w:rPr>
          <w:rFonts w:hAnsi="宋体"/>
          <w:b/>
          <w:sz w:val="24"/>
          <w:szCs w:val="24"/>
          <w:highlight w:val="none"/>
        </w:rPr>
        <w:t>、违约责任</w:t>
      </w:r>
    </w:p>
    <w:p>
      <w:pPr>
        <w:autoSpaceDE w:val="0"/>
        <w:autoSpaceDN w:val="0"/>
        <w:adjustRightInd w:val="0"/>
        <w:spacing w:line="500" w:lineRule="exact"/>
        <w:ind w:firstLine="480" w:firstLineChars="200"/>
        <w:rPr>
          <w:rFonts w:ascii="宋体"/>
          <w:sz w:val="24"/>
          <w:highlight w:val="none"/>
        </w:rPr>
      </w:pPr>
      <w:r>
        <w:rPr>
          <w:rFonts w:hint="eastAsia" w:ascii="宋体" w:hAnsi="宋体"/>
          <w:sz w:val="24"/>
          <w:highlight w:val="none"/>
        </w:rPr>
        <w:t>13.</w:t>
      </w:r>
      <w:r>
        <w:rPr>
          <w:rFonts w:ascii="宋体" w:hAnsi="宋体"/>
          <w:sz w:val="24"/>
          <w:highlight w:val="none"/>
        </w:rPr>
        <w:t>1</w:t>
      </w:r>
      <w:r>
        <w:rPr>
          <w:rFonts w:hint="eastAsia" w:ascii="宋体" w:hAnsi="宋体"/>
          <w:sz w:val="24"/>
          <w:highlight w:val="none"/>
        </w:rPr>
        <w:t>、乙方在履行合同中产生的一切非因甲方过错导致的损失，均由乙方自行承担责任。</w:t>
      </w:r>
    </w:p>
    <w:p>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w:t>
      </w:r>
      <w:r>
        <w:rPr>
          <w:rFonts w:ascii="宋体" w:hAnsi="宋体"/>
          <w:sz w:val="24"/>
          <w:highlight w:val="none"/>
        </w:rPr>
        <w:t>2</w:t>
      </w:r>
      <w:r>
        <w:rPr>
          <w:rFonts w:hint="eastAsia" w:ascii="宋体" w:hAnsi="宋体"/>
          <w:sz w:val="24"/>
          <w:highlight w:val="none"/>
        </w:rPr>
        <w:t>、乙方因违反抽样、检验、信息披露等相关规定的，甲方有权取消其承检资格并追究其经济赔偿责任和法律责任。</w:t>
      </w:r>
    </w:p>
    <w:p>
      <w:pPr>
        <w:autoSpaceDE w:val="0"/>
        <w:autoSpaceDN w:val="0"/>
        <w:adjustRightInd w:val="0"/>
        <w:spacing w:line="500" w:lineRule="exact"/>
        <w:ind w:firstLine="480" w:firstLineChars="200"/>
        <w:rPr>
          <w:rFonts w:ascii="宋体" w:hAnsi="宋体"/>
          <w:color w:val="FF0000"/>
          <w:sz w:val="24"/>
          <w:highlight w:val="none"/>
        </w:rPr>
      </w:pPr>
      <w:r>
        <w:rPr>
          <w:rFonts w:hint="eastAsia" w:ascii="宋体" w:hAnsi="宋体"/>
          <w:color w:val="FF0000"/>
          <w:sz w:val="24"/>
          <w:highlight w:val="none"/>
        </w:rPr>
        <w:t>13.3、乙方在履行合同过程中，非因甲方过错，每月抽检结果未按科室要求按时达到100%公示，发生两次上述情况的，扣除1000元；机构自查和复查的数据，未在规定时间内递交退修申请导致省、市、县抽检考核指标受影响情况发生的、或存在</w:t>
      </w:r>
      <w:r>
        <w:rPr>
          <w:rFonts w:hint="eastAsia" w:ascii="宋体" w:hAnsi="宋体"/>
          <w:color w:val="FF0000"/>
          <w:sz w:val="24"/>
          <w:highlight w:val="none"/>
          <w:lang w:val="en-US" w:eastAsia="zh-CN"/>
        </w:rPr>
        <w:t>两次</w:t>
      </w:r>
      <w:r>
        <w:rPr>
          <w:rFonts w:hint="eastAsia" w:ascii="宋体" w:hAnsi="宋体"/>
          <w:color w:val="FF0000"/>
          <w:sz w:val="24"/>
          <w:highlight w:val="none"/>
        </w:rPr>
        <w:t>及以上未按照甲方要求按时提交统计数据、结算清单、问题数据、退修等情况的，每出现一次上述情况，扣除2000元。</w:t>
      </w:r>
    </w:p>
    <w:p>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13.4、乙方对检验结果的真实性和准确性负责，由于虚假、错误检验数据和结论而给被检人造成损失的，或者给社会带来不良影响的，取消其承检资格，乙方承担赔偿责任及相应法律责任；</w:t>
      </w:r>
      <w:r>
        <w:rPr>
          <w:rFonts w:hint="eastAsia" w:ascii="宋体" w:hAnsi="宋体"/>
          <w:sz w:val="24"/>
          <w:highlight w:val="none"/>
          <w:lang w:val="en-US" w:eastAsia="zh-CN"/>
        </w:rPr>
        <w:t>乙方通过机构自查发现问题数据需要退修，每3条扣除500元；乙方被省局抓取问题数据无法否认的，或机构否认，但是省局不认可的，每发现1条扣除3000元；乙方被市局抓取问题数据无法否认的，或机构否认，但是市局不认可的，每发现1条扣除1500元</w:t>
      </w:r>
      <w:r>
        <w:rPr>
          <w:rFonts w:hint="eastAsia" w:ascii="宋体" w:hAnsi="宋体"/>
          <w:sz w:val="24"/>
          <w:highlight w:val="none"/>
        </w:rPr>
        <w:t>。</w:t>
      </w:r>
    </w:p>
    <w:p>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13.5、乙方在履行合同过程中，非因甲方过错抽检过程中出现检验结果在复检或者异议受理情况下，被推翻的，每出现一次上述情况，扣除5000元。</w:t>
      </w:r>
    </w:p>
    <w:p>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13.6、甲方对乙方每季度抽检问题发现率汇总核实一次 ，乙方在该季度的抽检问题发现率低于省市考核目标完成率的 ，每低一个百分点，</w:t>
      </w:r>
      <w:r>
        <w:rPr>
          <w:rFonts w:hint="eastAsia" w:ascii="宋体" w:hAnsi="宋体"/>
          <w:sz w:val="24"/>
          <w:highlight w:val="none"/>
          <w:lang w:val="en-US" w:eastAsia="zh-CN"/>
        </w:rPr>
        <w:t>扣除2000元</w:t>
      </w:r>
      <w:r>
        <w:rPr>
          <w:rFonts w:hint="eastAsia" w:ascii="宋体" w:hAnsi="宋体"/>
          <w:sz w:val="24"/>
          <w:highlight w:val="none"/>
        </w:rPr>
        <w:t>。</w:t>
      </w:r>
    </w:p>
    <w:p>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13.7、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p>
    <w:p>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13.8、对中标人在开展抽检监测过程中弄虚作假或不配合采购人开展工作的，取消其承检资格。</w:t>
      </w:r>
    </w:p>
    <w:p>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13.9、除采购方同意外，中标人不得将检验任务外包或分包给其他检验机构检验，一经发现，立即取消承检资格。</w:t>
      </w:r>
    </w:p>
    <w:p>
      <w:pPr>
        <w:spacing w:line="440" w:lineRule="exact"/>
        <w:ind w:firstLine="482" w:firstLineChars="200"/>
        <w:rPr>
          <w:rFonts w:hint="eastAsia" w:ascii="宋体" w:hAnsi="宋体"/>
          <w:b/>
          <w:sz w:val="24"/>
          <w:highlight w:val="none"/>
          <w:u w:val="single"/>
        </w:rPr>
      </w:pPr>
      <w:r>
        <w:rPr>
          <w:rFonts w:hint="eastAsia" w:ascii="宋体" w:hAnsi="宋体"/>
          <w:b/>
          <w:sz w:val="24"/>
          <w:highlight w:val="none"/>
          <w:u w:val="single"/>
        </w:rPr>
        <w:t>13.10、每次任务的抽检品种和项目由采购方确定，中标人必须具备该任务所有检验项目的计量认证</w:t>
      </w:r>
      <w:r>
        <w:rPr>
          <w:rFonts w:ascii="宋体" w:hAnsi="宋体"/>
          <w:b/>
          <w:sz w:val="24"/>
          <w:highlight w:val="none"/>
          <w:u w:val="single"/>
        </w:rPr>
        <w:t>CMA</w:t>
      </w:r>
      <w:r>
        <w:rPr>
          <w:rFonts w:hint="eastAsia" w:ascii="宋体" w:hAnsi="宋体"/>
          <w:b/>
          <w:sz w:val="24"/>
          <w:highlight w:val="none"/>
          <w:u w:val="single"/>
        </w:rPr>
        <w:t>资质，检验项目的检验方法需与国家市场监督管理总局《国家食品安全监督抽样实施细则》（</w:t>
      </w:r>
      <w:r>
        <w:rPr>
          <w:rFonts w:hint="eastAsia" w:ascii="宋体" w:hAnsi="宋体"/>
          <w:b/>
          <w:color w:val="FF0000"/>
          <w:sz w:val="24"/>
          <w:highlight w:val="none"/>
          <w:u w:val="single"/>
        </w:rPr>
        <w:t>202</w:t>
      </w:r>
      <w:r>
        <w:rPr>
          <w:rFonts w:hint="eastAsia" w:ascii="宋体" w:hAnsi="宋体"/>
          <w:b/>
          <w:color w:val="FF0000"/>
          <w:sz w:val="24"/>
          <w:highlight w:val="none"/>
          <w:u w:val="single"/>
          <w:lang w:val="en-US" w:eastAsia="zh-CN"/>
        </w:rPr>
        <w:t>4</w:t>
      </w:r>
      <w:r>
        <w:rPr>
          <w:rFonts w:hint="eastAsia" w:ascii="宋体" w:hAnsi="宋体"/>
          <w:b/>
          <w:sz w:val="24"/>
          <w:highlight w:val="none"/>
          <w:u w:val="single"/>
        </w:rPr>
        <w:t>年版）要求一致，方有资格承担该任务。如中标人均不具备承检资格，采购方将视实际情况决定是否另行委托其他所有项目均取得计量认证</w:t>
      </w:r>
      <w:r>
        <w:rPr>
          <w:rFonts w:ascii="宋体" w:hAnsi="宋体"/>
          <w:b/>
          <w:sz w:val="24"/>
          <w:highlight w:val="none"/>
          <w:u w:val="single"/>
        </w:rPr>
        <w:t>CMA</w:t>
      </w:r>
      <w:r>
        <w:rPr>
          <w:rFonts w:hint="eastAsia" w:ascii="宋体" w:hAnsi="宋体"/>
          <w:b/>
          <w:sz w:val="24"/>
          <w:highlight w:val="none"/>
          <w:u w:val="single"/>
        </w:rPr>
        <w:t>资质的检验机构承担。</w:t>
      </w:r>
    </w:p>
    <w:p>
      <w:pPr>
        <w:spacing w:line="440" w:lineRule="exact"/>
        <w:ind w:firstLine="480" w:firstLineChars="200"/>
        <w:rPr>
          <w:rFonts w:hint="eastAsia" w:ascii="宋体" w:hAnsi="宋体"/>
          <w:sz w:val="24"/>
          <w:highlight w:val="none"/>
        </w:rPr>
      </w:pPr>
      <w:r>
        <w:rPr>
          <w:rFonts w:hint="eastAsia" w:ascii="宋体" w:hAnsi="宋体"/>
          <w:sz w:val="24"/>
          <w:highlight w:val="none"/>
        </w:rPr>
        <w:t>13.11、为提高本项目抽检服务的质量，采购人保留委托第三方抽检机构作为采购人委派监督机构对本项目成交单位的抽检过程及抽检服务进行全程跟踪监督，如发现未按合同及采购文件规定的抽检要求进行抽检服务的，发现超过三次（含）的采购人有权单方面终止合同，并保留将该单位上报相关主管部门进行通报的权利。</w:t>
      </w:r>
    </w:p>
    <w:p>
      <w:pPr>
        <w:spacing w:line="440" w:lineRule="exact"/>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13.12应急响应任务、合格备份样品捐赠、专家技术帮扶、组织培训等任务，如甲方需要乙方配合，乙方连续拒绝2次及以上的，每发生一起上述情况扣除1000元。</w:t>
      </w:r>
    </w:p>
    <w:p>
      <w:pPr>
        <w:spacing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四</w:t>
      </w:r>
      <w:r>
        <w:rPr>
          <w:rFonts w:hAnsi="宋体"/>
          <w:b/>
          <w:sz w:val="24"/>
          <w:szCs w:val="24"/>
          <w:highlight w:val="none"/>
        </w:rPr>
        <w:t>、不可抗力事件处理</w:t>
      </w:r>
    </w:p>
    <w:p>
      <w:pPr>
        <w:spacing w:line="440" w:lineRule="exact"/>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.1 在合同有效期内，任何一方因不可抗力事件导致不能履行合同，则合同履行期可延长，其延长期与不可抗力影响期相同。</w:t>
      </w:r>
    </w:p>
    <w:p>
      <w:pPr>
        <w:spacing w:line="440" w:lineRule="exact"/>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.2 不可抗力事件发生后，应立即通知对方，并寄送有关权威机构出具的证明。</w:t>
      </w:r>
    </w:p>
    <w:p>
      <w:pPr>
        <w:spacing w:line="440" w:lineRule="exact"/>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.3 不可抗力事件延续120天以上，双方应通过友好协商，确定是否继续履行合同。</w:t>
      </w:r>
    </w:p>
    <w:p>
      <w:pPr>
        <w:pStyle w:val="21"/>
        <w:snapToGrid w:val="0"/>
        <w:spacing w:before="120" w:after="120"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五</w:t>
      </w:r>
      <w:r>
        <w:rPr>
          <w:rFonts w:hAnsi="宋体"/>
          <w:b/>
          <w:sz w:val="24"/>
          <w:szCs w:val="24"/>
          <w:highlight w:val="none"/>
        </w:rPr>
        <w:t>、诉讼</w:t>
      </w:r>
    </w:p>
    <w:p>
      <w:pPr>
        <w:spacing w:line="440" w:lineRule="exact"/>
        <w:rPr>
          <w:rFonts w:hAnsi="宋体"/>
          <w:sz w:val="24"/>
          <w:szCs w:val="24"/>
          <w:highlight w:val="none"/>
        </w:rPr>
      </w:pPr>
      <w:r>
        <w:rPr>
          <w:rFonts w:hAnsi="宋体"/>
          <w:sz w:val="24"/>
          <w:szCs w:val="24"/>
          <w:highlight w:val="none"/>
        </w:rPr>
        <w:t>1</w:t>
      </w:r>
      <w:r>
        <w:rPr>
          <w:rFonts w:hint="eastAsia" w:hAnsi="宋体"/>
          <w:sz w:val="24"/>
          <w:szCs w:val="24"/>
          <w:highlight w:val="none"/>
        </w:rPr>
        <w:t>5</w:t>
      </w:r>
      <w:r>
        <w:rPr>
          <w:rFonts w:hAnsi="宋体"/>
          <w:sz w:val="24"/>
          <w:szCs w:val="24"/>
          <w:highlight w:val="none"/>
        </w:rPr>
        <w:t>.1 双方在执行合同中所发生的一切争议，应通过协商解决。如协商不成，可向合同签订地法院起诉，合同签订地在此约定为</w:t>
      </w:r>
      <w:r>
        <w:rPr>
          <w:rFonts w:hint="eastAsia" w:hAnsi="宋体"/>
          <w:sz w:val="24"/>
          <w:szCs w:val="24"/>
          <w:highlight w:val="none"/>
        </w:rPr>
        <w:t>滨海县</w:t>
      </w:r>
      <w:r>
        <w:rPr>
          <w:rFonts w:hAnsi="宋体"/>
          <w:sz w:val="24"/>
          <w:szCs w:val="24"/>
          <w:highlight w:val="none"/>
        </w:rPr>
        <w:t>。</w:t>
      </w:r>
    </w:p>
    <w:p>
      <w:pPr>
        <w:pStyle w:val="21"/>
        <w:snapToGrid w:val="0"/>
        <w:spacing w:before="120" w:after="120"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六</w:t>
      </w:r>
      <w:r>
        <w:rPr>
          <w:rFonts w:hAnsi="宋体"/>
          <w:b/>
          <w:sz w:val="24"/>
          <w:szCs w:val="24"/>
          <w:highlight w:val="none"/>
        </w:rPr>
        <w:t>、合同生效及其它</w:t>
      </w:r>
    </w:p>
    <w:p>
      <w:pPr>
        <w:spacing w:line="440" w:lineRule="exact"/>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.1 合同经双方法定代表人或授权委托代</w:t>
      </w:r>
      <w:r>
        <w:rPr>
          <w:rFonts w:hint="eastAsia" w:hAnsi="宋体"/>
          <w:sz w:val="24"/>
          <w:szCs w:val="24"/>
          <w:highlight w:val="none"/>
        </w:rPr>
        <w:t>表</w:t>
      </w:r>
      <w:r>
        <w:rPr>
          <w:rFonts w:hAnsi="宋体"/>
          <w:sz w:val="24"/>
          <w:szCs w:val="24"/>
          <w:highlight w:val="none"/>
        </w:rPr>
        <w:t>人签字并加盖单位公章后生效。</w:t>
      </w:r>
    </w:p>
    <w:p>
      <w:pPr>
        <w:spacing w:line="440" w:lineRule="exact"/>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.2本合同未尽事宜，遵照《</w:t>
      </w:r>
      <w:r>
        <w:rPr>
          <w:rFonts w:hint="eastAsia" w:hAnsi="宋体"/>
          <w:sz w:val="24"/>
          <w:szCs w:val="24"/>
          <w:highlight w:val="none"/>
        </w:rPr>
        <w:t>中华人民共和国民</w:t>
      </w:r>
      <w:r>
        <w:rPr>
          <w:rFonts w:hAnsi="宋体"/>
          <w:sz w:val="24"/>
          <w:szCs w:val="24"/>
          <w:highlight w:val="none"/>
        </w:rPr>
        <w:t>法典》有关条文执行。</w:t>
      </w:r>
    </w:p>
    <w:p>
      <w:pPr>
        <w:spacing w:line="440" w:lineRule="exact"/>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w:t>
      </w:r>
      <w:r>
        <w:rPr>
          <w:rFonts w:hint="eastAsia" w:hAnsi="宋体"/>
          <w:sz w:val="24"/>
          <w:szCs w:val="24"/>
          <w:highlight w:val="none"/>
        </w:rPr>
        <w:t>3</w:t>
      </w:r>
      <w:r>
        <w:rPr>
          <w:rFonts w:hAnsi="宋体"/>
          <w:sz w:val="24"/>
          <w:szCs w:val="24"/>
          <w:highlight w:val="none"/>
        </w:rPr>
        <w:t xml:space="preserve"> 本合同正本一式</w:t>
      </w:r>
      <w:r>
        <w:rPr>
          <w:rFonts w:hint="eastAsia" w:hAnsi="宋体"/>
          <w:sz w:val="24"/>
          <w:szCs w:val="24"/>
          <w:highlight w:val="none"/>
        </w:rPr>
        <w:t>五</w:t>
      </w:r>
      <w:r>
        <w:rPr>
          <w:rFonts w:hAnsi="宋体"/>
          <w:sz w:val="24"/>
          <w:szCs w:val="24"/>
          <w:highlight w:val="none"/>
        </w:rPr>
        <w:t>份，具有同等法律效力，甲</w:t>
      </w:r>
      <w:r>
        <w:rPr>
          <w:rFonts w:hint="eastAsia" w:hAnsi="宋体"/>
          <w:sz w:val="24"/>
          <w:szCs w:val="24"/>
          <w:highlight w:val="none"/>
        </w:rPr>
        <w:t>方、</w:t>
      </w:r>
      <w:r>
        <w:rPr>
          <w:rFonts w:hAnsi="宋体"/>
          <w:sz w:val="24"/>
          <w:szCs w:val="24"/>
          <w:highlight w:val="none"/>
        </w:rPr>
        <w:t>乙方</w:t>
      </w:r>
      <w:r>
        <w:rPr>
          <w:rFonts w:hint="eastAsia" w:hAnsi="宋体"/>
          <w:sz w:val="24"/>
          <w:szCs w:val="24"/>
          <w:highlight w:val="none"/>
        </w:rPr>
        <w:t>、财政监管部门、公共资源交易中心、采购代理机构</w:t>
      </w:r>
      <w:r>
        <w:rPr>
          <w:rFonts w:hAnsi="宋体"/>
          <w:sz w:val="24"/>
          <w:szCs w:val="24"/>
          <w:highlight w:val="none"/>
        </w:rPr>
        <w:t>各执一份。</w:t>
      </w:r>
    </w:p>
    <w:p>
      <w:pPr>
        <w:pStyle w:val="21"/>
        <w:snapToGrid w:val="0"/>
        <w:spacing w:before="120" w:after="120"/>
        <w:ind w:left="480" w:hanging="480" w:hangingChars="200"/>
        <w:rPr>
          <w:rFonts w:hAnsi="宋体"/>
          <w:sz w:val="24"/>
          <w:szCs w:val="24"/>
          <w:highlight w:val="none"/>
        </w:rPr>
      </w:pPr>
      <w:r>
        <w:rPr>
          <w:rFonts w:hAnsi="宋体"/>
          <w:sz w:val="24"/>
          <w:szCs w:val="24"/>
          <w:highlight w:val="none"/>
        </w:rPr>
        <w:t xml:space="preserve">  甲方：                                   乙方： </w:t>
      </w:r>
    </w:p>
    <w:p>
      <w:pPr>
        <w:pStyle w:val="21"/>
        <w:snapToGrid w:val="0"/>
        <w:spacing w:before="120" w:after="120"/>
        <w:rPr>
          <w:rFonts w:hAnsi="宋体"/>
          <w:sz w:val="24"/>
          <w:szCs w:val="24"/>
          <w:highlight w:val="none"/>
        </w:rPr>
      </w:pPr>
      <w:r>
        <w:rPr>
          <w:rFonts w:hAnsi="宋体"/>
          <w:sz w:val="24"/>
          <w:szCs w:val="24"/>
          <w:highlight w:val="none"/>
        </w:rPr>
        <w:t xml:space="preserve">  地址：                                   地址： </w:t>
      </w:r>
    </w:p>
    <w:p>
      <w:pPr>
        <w:pStyle w:val="21"/>
        <w:snapToGrid w:val="0"/>
        <w:spacing w:before="120" w:after="120"/>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或授权代表</w:t>
      </w:r>
      <w:r>
        <w:rPr>
          <w:rFonts w:hAnsi="宋体"/>
          <w:sz w:val="24"/>
          <w:szCs w:val="24"/>
          <w:highlight w:val="none"/>
        </w:rPr>
        <w:t>：                   法定代表人</w:t>
      </w:r>
      <w:r>
        <w:rPr>
          <w:rFonts w:hint="eastAsia" w:hAnsi="宋体"/>
          <w:sz w:val="24"/>
          <w:szCs w:val="24"/>
          <w:highlight w:val="none"/>
        </w:rPr>
        <w:t>或授权代表</w:t>
      </w:r>
      <w:r>
        <w:rPr>
          <w:rFonts w:hAnsi="宋体"/>
          <w:sz w:val="24"/>
          <w:szCs w:val="24"/>
          <w:highlight w:val="none"/>
        </w:rPr>
        <w:t>：</w:t>
      </w:r>
    </w:p>
    <w:p>
      <w:pPr>
        <w:pStyle w:val="21"/>
        <w:snapToGrid w:val="0"/>
        <w:spacing w:before="120" w:after="120"/>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联系电话：                               联系电话：</w:t>
      </w:r>
    </w:p>
    <w:p>
      <w:pPr>
        <w:pStyle w:val="21"/>
        <w:snapToGrid w:val="0"/>
        <w:spacing w:before="120" w:after="120"/>
        <w:rPr>
          <w:rFonts w:hint="eastAsia" w:hAnsi="宋体"/>
          <w:sz w:val="24"/>
          <w:szCs w:val="24"/>
          <w:highlight w:val="none"/>
        </w:rPr>
      </w:pPr>
    </w:p>
    <w:p>
      <w:pPr>
        <w:pStyle w:val="21"/>
        <w:snapToGrid w:val="0"/>
        <w:spacing w:before="120" w:after="120"/>
        <w:rPr>
          <w:rFonts w:hint="eastAsia" w:hAnsi="宋体"/>
          <w:sz w:val="24"/>
          <w:szCs w:val="24"/>
          <w:highlight w:val="none"/>
        </w:rPr>
      </w:pPr>
      <w:r>
        <w:rPr>
          <w:highlight w:val="none"/>
        </w:rPr>
        <w:t xml:space="preserve">                   </w:t>
      </w:r>
      <w:r>
        <w:rPr>
          <w:rFonts w:hint="eastAsia"/>
          <w:highlight w:val="none"/>
        </w:rPr>
        <w:t xml:space="preserve">                     </w:t>
      </w:r>
      <w:r>
        <w:rPr>
          <w:rFonts w:hint="eastAsia" w:hAnsi="宋体"/>
          <w:sz w:val="24"/>
          <w:szCs w:val="24"/>
          <w:highlight w:val="none"/>
        </w:rPr>
        <w:t xml:space="preserve"> </w:t>
      </w:r>
      <w:r>
        <w:rPr>
          <w:rFonts w:hAnsi="宋体"/>
          <w:sz w:val="24"/>
          <w:szCs w:val="24"/>
          <w:highlight w:val="none"/>
        </w:rPr>
        <w:t xml:space="preserve"> 签订日期：      年  月  日</w:t>
      </w:r>
      <w:bookmarkEnd w:id="167"/>
      <w:bookmarkEnd w:id="168"/>
      <w:bookmarkEnd w:id="169"/>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hint="eastAsia" w:cs="等线 Light" w:asciiTheme="minorEastAsia" w:hAnsiTheme="minorEastAsia" w:eastAsiaTheme="minorEastAsia"/>
          <w:b/>
          <w:sz w:val="32"/>
          <w:szCs w:val="32"/>
        </w:rPr>
      </w:pPr>
    </w:p>
    <w:p>
      <w:pPr>
        <w:spacing w:line="360" w:lineRule="auto"/>
        <w:jc w:val="center"/>
        <w:rPr>
          <w:rFonts w:cs="等线 Light" w:asciiTheme="minorEastAsia" w:hAnsiTheme="minorEastAsia" w:eastAsiaTheme="minorEastAsia"/>
          <w:b/>
          <w:sz w:val="32"/>
          <w:szCs w:val="32"/>
        </w:rPr>
      </w:pPr>
      <w:r>
        <w:rPr>
          <w:rFonts w:hint="eastAsia" w:cs="等线 Light" w:asciiTheme="minorEastAsia" w:hAnsiTheme="minorEastAsia" w:eastAsiaTheme="minorEastAsia"/>
          <w:b/>
          <w:sz w:val="32"/>
          <w:szCs w:val="32"/>
        </w:rPr>
        <w:t>第四章  项目需求</w:t>
      </w:r>
    </w:p>
    <w:p>
      <w:pPr>
        <w:pStyle w:val="45"/>
      </w:pPr>
    </w:p>
    <w:p>
      <w:pPr>
        <w:pStyle w:val="12"/>
        <w:ind w:firstLine="480"/>
        <w:rPr>
          <w:b/>
          <w:bCs/>
          <w:sz w:val="30"/>
          <w:szCs w:val="30"/>
        </w:rPr>
      </w:pPr>
    </w:p>
    <w:p>
      <w:pPr>
        <w:widowControl/>
        <w:spacing w:line="376" w:lineRule="atLeast"/>
        <w:jc w:val="left"/>
        <w:textAlignment w:val="baseline"/>
        <w:rPr>
          <w:rFonts w:ascii="宋体" w:hAnsi="宋体" w:cs="Courier New"/>
          <w:sz w:val="24"/>
          <w:szCs w:val="24"/>
        </w:rPr>
      </w:pPr>
      <w:r>
        <w:rPr>
          <w:rFonts w:hint="eastAsia"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（一）采购标的需实现的功能或者目标，以及为落实政府采购政策需满足的要求；</w:t>
      </w:r>
    </w:p>
    <w:p>
      <w:pPr>
        <w:widowControl/>
        <w:spacing w:line="376" w:lineRule="atLeast"/>
        <w:jc w:val="left"/>
        <w:textAlignment w:val="baseline"/>
        <w:rPr>
          <w:rFonts w:ascii="宋体" w:hAnsi="宋体" w:cs="Courier New"/>
          <w:sz w:val="24"/>
          <w:szCs w:val="24"/>
        </w:rPr>
      </w:pPr>
      <w:r>
        <w:rPr>
          <w:rFonts w:ascii="宋体" w:hAnsi="宋体" w:cs="Courier New"/>
          <w:sz w:val="24"/>
          <w:szCs w:val="24"/>
        </w:rPr>
        <w:t>　　（二）采购标的需执行的国家相关标准、行业标准、地方标准或者其他标准、规范；</w:t>
      </w:r>
    </w:p>
    <w:p>
      <w:pPr>
        <w:widowControl/>
        <w:spacing w:line="376" w:lineRule="atLeast"/>
        <w:jc w:val="left"/>
        <w:textAlignment w:val="baseline"/>
        <w:rPr>
          <w:rFonts w:ascii="宋体" w:hAnsi="宋体" w:cs="Courier New"/>
          <w:sz w:val="24"/>
          <w:szCs w:val="24"/>
        </w:rPr>
      </w:pPr>
      <w:r>
        <w:rPr>
          <w:rFonts w:ascii="宋体" w:hAnsi="宋体" w:cs="Courier New"/>
          <w:sz w:val="24"/>
          <w:szCs w:val="24"/>
        </w:rPr>
        <w:t>　　（三）采购标的需满足的质量、安全、技术规格、物理特性等要求；</w:t>
      </w:r>
    </w:p>
    <w:p>
      <w:pPr>
        <w:widowControl/>
        <w:spacing w:line="376" w:lineRule="atLeast"/>
        <w:jc w:val="left"/>
        <w:textAlignment w:val="baseline"/>
        <w:rPr>
          <w:rFonts w:ascii="宋体" w:hAnsi="宋体" w:cs="Courier New"/>
          <w:sz w:val="24"/>
          <w:szCs w:val="24"/>
        </w:rPr>
      </w:pPr>
      <w:r>
        <w:rPr>
          <w:rFonts w:ascii="宋体" w:hAnsi="宋体" w:cs="Courier New"/>
          <w:sz w:val="24"/>
          <w:szCs w:val="24"/>
        </w:rPr>
        <w:t>　　（四）采购标的的数量、采购项目交付或者实施的时间和地点；</w:t>
      </w:r>
      <w:r>
        <w:rPr>
          <w:rFonts w:hint="eastAsia" w:ascii="宋体" w:hAnsi="宋体" w:cs="Courier New"/>
          <w:sz w:val="24"/>
          <w:szCs w:val="24"/>
        </w:rPr>
        <w:t>（同时在合同中体现）</w:t>
      </w:r>
    </w:p>
    <w:p>
      <w:pPr>
        <w:widowControl/>
        <w:spacing w:line="376" w:lineRule="atLeast"/>
        <w:jc w:val="left"/>
        <w:textAlignment w:val="baseline"/>
        <w:rPr>
          <w:rFonts w:ascii="宋体" w:hAnsi="宋体" w:cs="Courier New"/>
          <w:sz w:val="24"/>
          <w:szCs w:val="24"/>
        </w:rPr>
      </w:pPr>
      <w:r>
        <w:rPr>
          <w:rFonts w:ascii="宋体" w:hAnsi="宋体" w:cs="Courier New"/>
          <w:sz w:val="24"/>
          <w:szCs w:val="24"/>
        </w:rPr>
        <w:t>　　（五）采购标的需满足的服务标准、期限、效率等要求；</w:t>
      </w:r>
    </w:p>
    <w:p>
      <w:pPr>
        <w:widowControl/>
        <w:spacing w:line="376" w:lineRule="atLeast"/>
        <w:jc w:val="left"/>
        <w:textAlignment w:val="baseline"/>
        <w:rPr>
          <w:rFonts w:ascii="宋体" w:hAnsi="宋体" w:cs="Courier New"/>
          <w:sz w:val="24"/>
          <w:szCs w:val="24"/>
        </w:rPr>
      </w:pPr>
      <w:r>
        <w:rPr>
          <w:rFonts w:ascii="宋体" w:hAnsi="宋体" w:cs="Courier New"/>
          <w:sz w:val="24"/>
          <w:szCs w:val="24"/>
        </w:rPr>
        <w:t>　　（六）采购项目的技术规格、数量、服务标准、验收等要求，包括附件、图纸</w:t>
      </w:r>
      <w:r>
        <w:rPr>
          <w:rFonts w:hint="eastAsia" w:ascii="宋体" w:hAnsi="宋体" w:cs="Courier New"/>
          <w:sz w:val="24"/>
          <w:szCs w:val="24"/>
        </w:rPr>
        <w:t>；</w:t>
      </w:r>
    </w:p>
    <w:p>
      <w:pPr>
        <w:widowControl/>
        <w:spacing w:line="376" w:lineRule="atLeast"/>
        <w:ind w:firstLine="465"/>
        <w:jc w:val="left"/>
        <w:textAlignment w:val="baseline"/>
        <w:rPr>
          <w:rFonts w:hint="eastAsia" w:ascii="宋体" w:hAnsi="宋体" w:cs="Courier New"/>
          <w:sz w:val="24"/>
          <w:szCs w:val="24"/>
        </w:rPr>
      </w:pPr>
      <w:r>
        <w:rPr>
          <w:rFonts w:ascii="宋体" w:hAnsi="宋体" w:cs="Courier New"/>
          <w:sz w:val="24"/>
          <w:szCs w:val="24"/>
        </w:rPr>
        <w:t>（七）采购标的的其他技术、服务等要求。</w:t>
      </w:r>
    </w:p>
    <w:p>
      <w:pPr>
        <w:ind w:firstLine="643" w:firstLineChars="200"/>
        <w:rPr>
          <w:rFonts w:ascii="宋体" w:hAnsi="宋体" w:cs="Courier New"/>
          <w:b/>
          <w:bCs/>
          <w:color w:val="FF0000"/>
          <w:sz w:val="32"/>
          <w:szCs w:val="32"/>
          <w:u w:val="single"/>
        </w:rPr>
      </w:pPr>
      <w:r>
        <w:rPr>
          <w:rFonts w:hint="eastAsia" w:ascii="宋体" w:hAnsi="宋体" w:cs="Courier New"/>
          <w:b/>
          <w:bCs/>
          <w:color w:val="FF0000"/>
          <w:sz w:val="32"/>
          <w:szCs w:val="32"/>
          <w:u w:val="single"/>
        </w:rPr>
        <w:t>本项目采购标的无核心产品</w:t>
      </w:r>
    </w:p>
    <w:p>
      <w:pPr>
        <w:ind w:firstLine="482" w:firstLineChars="200"/>
        <w:rPr>
          <w:rFonts w:hint="eastAsia" w:ascii="宋体" w:hAnsi="宋体" w:cs="Courier New"/>
          <w:b/>
          <w:bCs/>
          <w:color w:val="FF0000"/>
          <w:sz w:val="24"/>
          <w:szCs w:val="24"/>
          <w:u w:val="single"/>
        </w:rPr>
      </w:pPr>
      <w:r>
        <w:rPr>
          <w:rFonts w:hint="eastAsia" w:ascii="宋体" w:hAnsi="宋体" w:cs="Courier New"/>
          <w:b/>
          <w:bCs/>
          <w:color w:val="FF0000"/>
          <w:sz w:val="24"/>
          <w:szCs w:val="24"/>
          <w:u w:val="single"/>
        </w:rPr>
        <w:t>（八）非单一产品采购项目，采购标的中的核心产品。</w:t>
      </w:r>
    </w:p>
    <w:p>
      <w:pPr>
        <w:ind w:firstLine="482" w:firstLineChars="200"/>
        <w:rPr>
          <w:rFonts w:hint="eastAsia" w:ascii="宋体" w:hAnsi="宋体" w:cs="Courier New"/>
          <w:b/>
          <w:bCs/>
          <w:color w:val="FF0000"/>
          <w:sz w:val="24"/>
          <w:szCs w:val="24"/>
          <w:u w:val="single"/>
        </w:rPr>
      </w:pPr>
      <w:r>
        <w:rPr>
          <w:rFonts w:hint="eastAsia" w:ascii="宋体" w:hAnsi="宋体" w:cs="Courier New"/>
          <w:b/>
          <w:bCs/>
          <w:color w:val="FF0000"/>
          <w:sz w:val="24"/>
          <w:szCs w:val="24"/>
          <w:u w:val="single"/>
        </w:rPr>
        <w:t>（九）采购标的的所属行业，根据《工业和信息化部、国家统计局、国家发展和改革委员会、财政部关于印发中小企业划型标准规定的通知》（工信部联企业[2011]300号）规定的划分标准填写。</w:t>
      </w:r>
    </w:p>
    <w:p>
      <w:pPr>
        <w:ind w:firstLine="480" w:firstLineChars="200"/>
        <w:rPr>
          <w:rFonts w:hint="eastAsia" w:ascii="宋体" w:hAnsi="宋体" w:cs="Courier New"/>
          <w:sz w:val="24"/>
          <w:szCs w:val="24"/>
        </w:rPr>
      </w:pPr>
      <w:r>
        <w:rPr>
          <w:rFonts w:ascii="宋体" w:hAnsi="宋体" w:cs="Courier New"/>
          <w:sz w:val="24"/>
          <w:szCs w:val="24"/>
        </w:rPr>
        <w:t>对于不允许偏离的实质性要求和条件，应当在招标文件中规定，并以醒目的方式标明。</w:t>
      </w:r>
    </w:p>
    <w:p>
      <w:pPr>
        <w:pStyle w:val="37"/>
        <w:ind w:firstLine="723"/>
        <w:jc w:val="center"/>
        <w:rPr>
          <w:rFonts w:hint="eastAsia"/>
        </w:rPr>
      </w:pPr>
      <w:r>
        <w:rPr>
          <w:rFonts w:hint="eastAsia" w:ascii="宋体" w:hAnsi="宋体" w:eastAsia="宋体" w:cs="宋体"/>
          <w:b/>
          <w:bCs/>
          <w:color w:val="000000"/>
          <w:sz w:val="36"/>
          <w:szCs w:val="36"/>
        </w:rPr>
        <w:br w:type="page"/>
      </w:r>
      <w:r>
        <w:rPr>
          <w:rFonts w:hint="eastAsia" w:ascii="宋体" w:hAnsi="宋体" w:eastAsia="宋体" w:cs="宋体"/>
          <w:b/>
          <w:bCs/>
          <w:color w:val="000000"/>
          <w:sz w:val="36"/>
          <w:szCs w:val="36"/>
        </w:rPr>
        <w:t>（含抽检项目内容及最高限价）</w:t>
      </w:r>
    </w:p>
    <w:p>
      <w:pPr>
        <w:spacing w:line="500" w:lineRule="exact"/>
        <w:ind w:firstLine="480" w:firstLineChars="200"/>
        <w:rPr>
          <w:rFonts w:ascii="宋体"/>
          <w:sz w:val="24"/>
          <w:szCs w:val="24"/>
        </w:rPr>
      </w:pPr>
      <w:r>
        <w:rPr>
          <w:rFonts w:hint="eastAsia" w:ascii="宋体" w:hAnsi="宋体"/>
          <w:sz w:val="24"/>
          <w:szCs w:val="24"/>
        </w:rPr>
        <w:t>一、抽检品种、检验项目：</w:t>
      </w:r>
    </w:p>
    <w:p>
      <w:pPr>
        <w:spacing w:line="500" w:lineRule="exact"/>
        <w:ind w:firstLine="600" w:firstLineChars="250"/>
        <w:rPr>
          <w:rFonts w:hint="eastAsia" w:ascii="宋体"/>
          <w:sz w:val="24"/>
          <w:szCs w:val="24"/>
        </w:rPr>
      </w:pPr>
      <w:r>
        <w:rPr>
          <w:rFonts w:hint="eastAsia" w:ascii="宋体" w:hAnsi="宋体"/>
          <w:sz w:val="24"/>
          <w:szCs w:val="24"/>
        </w:rPr>
        <w:t>涉及《国家食品安全监督抽检实施细则》（</w:t>
      </w:r>
      <w:r>
        <w:rPr>
          <w:rFonts w:hint="eastAsia" w:ascii="宋体" w:hAnsi="宋体"/>
          <w:sz w:val="24"/>
          <w:szCs w:val="24"/>
          <w:lang w:eastAsia="zh-CN"/>
        </w:rPr>
        <w:t>2024年版</w:t>
      </w:r>
      <w:r>
        <w:rPr>
          <w:rFonts w:hint="eastAsia" w:ascii="宋体" w:hAnsi="宋体"/>
          <w:sz w:val="24"/>
          <w:szCs w:val="24"/>
        </w:rPr>
        <w:t>）33大类的所有品种和项目。</w:t>
      </w:r>
    </w:p>
    <w:p>
      <w:pPr>
        <w:spacing w:line="500" w:lineRule="exact"/>
        <w:ind w:firstLine="480" w:firstLineChars="200"/>
        <w:rPr>
          <w:rFonts w:ascii="宋体"/>
          <w:sz w:val="24"/>
          <w:szCs w:val="24"/>
        </w:rPr>
      </w:pPr>
      <w:bookmarkStart w:id="173" w:name="_Toc14245"/>
      <w:bookmarkStart w:id="174" w:name="_Toc27742"/>
      <w:bookmarkStart w:id="175" w:name="_Toc19199"/>
      <w:bookmarkStart w:id="176" w:name="_Toc13426"/>
      <w:bookmarkStart w:id="177" w:name="_Toc412206749"/>
      <w:bookmarkStart w:id="178" w:name="_Toc7095"/>
      <w:bookmarkStart w:id="179" w:name="_Toc25684"/>
      <w:bookmarkStart w:id="180" w:name="_Toc19979"/>
      <w:bookmarkStart w:id="181" w:name="_Toc25163"/>
      <w:r>
        <w:rPr>
          <w:rFonts w:hint="eastAsia" w:ascii="宋体" w:hAnsi="宋体"/>
          <w:sz w:val="24"/>
          <w:szCs w:val="24"/>
        </w:rPr>
        <w:t>㈠、</w:t>
      </w:r>
      <w:bookmarkEnd w:id="173"/>
      <w:bookmarkEnd w:id="174"/>
      <w:bookmarkEnd w:id="175"/>
      <w:bookmarkEnd w:id="176"/>
      <w:bookmarkEnd w:id="177"/>
      <w:bookmarkEnd w:id="178"/>
      <w:bookmarkEnd w:id="179"/>
      <w:bookmarkEnd w:id="180"/>
      <w:bookmarkEnd w:id="181"/>
      <w:r>
        <w:rPr>
          <w:rFonts w:hint="eastAsia" w:ascii="宋体" w:hAnsi="宋体"/>
          <w:sz w:val="24"/>
          <w:szCs w:val="24"/>
        </w:rPr>
        <w:t>技术要求</w:t>
      </w:r>
      <w:r>
        <w:rPr>
          <w:rFonts w:ascii="宋体" w:hAnsi="宋体"/>
          <w:sz w:val="24"/>
          <w:szCs w:val="24"/>
        </w:rPr>
        <w:t xml:space="preserve"> </w:t>
      </w:r>
    </w:p>
    <w:p>
      <w:pPr>
        <w:spacing w:line="500" w:lineRule="exact"/>
        <w:ind w:firstLine="480" w:firstLineChars="200"/>
        <w:rPr>
          <w:rFonts w:ascii="宋体"/>
          <w:sz w:val="24"/>
          <w:szCs w:val="24"/>
        </w:rPr>
      </w:pPr>
      <w:bookmarkStart w:id="182" w:name="_Toc259172691"/>
      <w:bookmarkEnd w:id="182"/>
      <w:r>
        <w:rPr>
          <w:rFonts w:ascii="宋体" w:hAnsi="宋体"/>
          <w:sz w:val="24"/>
          <w:szCs w:val="24"/>
        </w:rPr>
        <w:t>1</w:t>
      </w:r>
      <w:r>
        <w:rPr>
          <w:rFonts w:hint="eastAsia" w:ascii="宋体" w:hAnsi="宋体"/>
          <w:sz w:val="24"/>
          <w:szCs w:val="24"/>
        </w:rPr>
        <w:t>、基本要求：</w:t>
      </w:r>
    </w:p>
    <w:p>
      <w:pPr>
        <w:spacing w:line="500" w:lineRule="exact"/>
        <w:ind w:firstLine="480" w:firstLineChars="200"/>
        <w:rPr>
          <w:rFonts w:ascii="宋体"/>
          <w:sz w:val="24"/>
          <w:szCs w:val="24"/>
        </w:rPr>
      </w:pPr>
      <w:r>
        <w:rPr>
          <w:rFonts w:hint="eastAsia" w:ascii="宋体" w:hAnsi="宋体"/>
          <w:sz w:val="24"/>
          <w:szCs w:val="24"/>
        </w:rPr>
        <w:t>①抽样时间：按照采购方实际需求确定时间。</w:t>
      </w:r>
    </w:p>
    <w:p>
      <w:pPr>
        <w:spacing w:line="500" w:lineRule="exact"/>
        <w:ind w:firstLine="480" w:firstLineChars="200"/>
        <w:rPr>
          <w:rFonts w:ascii="宋体"/>
          <w:sz w:val="24"/>
          <w:szCs w:val="24"/>
        </w:rPr>
      </w:pPr>
      <w:r>
        <w:rPr>
          <w:rFonts w:hint="eastAsia" w:ascii="宋体" w:hAnsi="宋体"/>
          <w:sz w:val="24"/>
          <w:szCs w:val="24"/>
        </w:rPr>
        <w:t>②抽样地点：根据实际工作要求，由采购方确定具体抽样地点。</w:t>
      </w:r>
    </w:p>
    <w:p>
      <w:pPr>
        <w:spacing w:line="500" w:lineRule="exact"/>
        <w:ind w:firstLine="482" w:firstLineChars="200"/>
        <w:rPr>
          <w:rFonts w:hint="eastAsia" w:ascii="宋体" w:hAnsi="宋体"/>
          <w:b/>
          <w:color w:val="FF0000"/>
          <w:sz w:val="24"/>
          <w:szCs w:val="24"/>
          <w:u w:val="single"/>
        </w:rPr>
      </w:pPr>
      <w:r>
        <w:rPr>
          <w:rFonts w:hint="eastAsia" w:ascii="宋体" w:hAnsi="宋体"/>
          <w:b/>
          <w:color w:val="FF0000"/>
          <w:sz w:val="24"/>
          <w:szCs w:val="24"/>
          <w:u w:val="single"/>
        </w:rPr>
        <w:t>③人员配备：（1）因考虑到本项目的特殊性、时效性，招标人（滨海县市场监督管理局）须及时完成省市</w:t>
      </w:r>
      <w:r>
        <w:rPr>
          <w:rFonts w:hint="eastAsia" w:ascii="宋体" w:hAnsi="宋体"/>
          <w:b/>
          <w:color w:val="FF0000"/>
          <w:sz w:val="24"/>
          <w:szCs w:val="24"/>
          <w:u w:val="single"/>
          <w:lang w:val="en-US" w:eastAsia="zh-CN"/>
        </w:rPr>
        <w:t>县</w:t>
      </w:r>
      <w:r>
        <w:rPr>
          <w:rFonts w:hint="eastAsia" w:ascii="宋体" w:hAnsi="宋体"/>
          <w:b/>
          <w:color w:val="FF0000"/>
          <w:sz w:val="24"/>
          <w:szCs w:val="24"/>
          <w:u w:val="single"/>
        </w:rPr>
        <w:t>监督抽检考核指标。本项目配备的抽检人员不得少于10人，检验人员不得少于</w:t>
      </w:r>
      <w:r>
        <w:rPr>
          <w:rFonts w:hint="eastAsia" w:ascii="宋体" w:hAnsi="宋体"/>
          <w:b/>
          <w:color w:val="FF0000"/>
          <w:sz w:val="24"/>
          <w:szCs w:val="24"/>
          <w:u w:val="single"/>
          <w:lang w:val="en-US" w:eastAsia="zh-CN"/>
        </w:rPr>
        <w:t>30</w:t>
      </w:r>
      <w:r>
        <w:rPr>
          <w:rFonts w:hint="eastAsia" w:ascii="宋体" w:hAnsi="宋体"/>
          <w:b/>
          <w:color w:val="FF0000"/>
          <w:sz w:val="24"/>
          <w:szCs w:val="24"/>
          <w:u w:val="single"/>
        </w:rPr>
        <w:t>人。（投标人投标时无须提供相关人员的证书及工作分配情况等证明材料，待中标后向招标人提供；具体配备人数视本项目进度，招标人有权要求中标单位增加项目组人数，中标人须无条件服从）。</w:t>
      </w:r>
    </w:p>
    <w:p>
      <w:pPr>
        <w:spacing w:line="500" w:lineRule="exact"/>
        <w:ind w:firstLine="480" w:firstLineChars="200"/>
        <w:rPr>
          <w:rFonts w:ascii="宋体"/>
          <w:sz w:val="24"/>
          <w:szCs w:val="24"/>
        </w:rPr>
      </w:pPr>
      <w:r>
        <w:rPr>
          <w:rFonts w:hint="eastAsia" w:ascii="宋体" w:hAnsi="宋体"/>
          <w:sz w:val="24"/>
          <w:szCs w:val="24"/>
        </w:rPr>
        <w:t>（2）每次抽检由中标人安排</w:t>
      </w:r>
      <w:r>
        <w:rPr>
          <w:rFonts w:ascii="宋体" w:hAnsi="宋体"/>
          <w:sz w:val="24"/>
          <w:szCs w:val="24"/>
        </w:rPr>
        <w:t>2</w:t>
      </w:r>
      <w:r>
        <w:rPr>
          <w:rFonts w:hint="eastAsia" w:ascii="宋体" w:hAnsi="宋体"/>
          <w:sz w:val="24"/>
          <w:szCs w:val="24"/>
        </w:rPr>
        <w:t>名以上工作人配合采购方抽样，承诺配备能同时出动</w:t>
      </w:r>
      <w:r>
        <w:rPr>
          <w:rFonts w:ascii="宋体" w:hAnsi="宋体"/>
          <w:sz w:val="24"/>
          <w:szCs w:val="24"/>
        </w:rPr>
        <w:t>2</w:t>
      </w:r>
      <w:r>
        <w:rPr>
          <w:rFonts w:hint="eastAsia" w:ascii="宋体" w:hAnsi="宋体"/>
          <w:sz w:val="24"/>
          <w:szCs w:val="24"/>
        </w:rPr>
        <w:t>组（</w:t>
      </w:r>
      <w:r>
        <w:rPr>
          <w:rFonts w:ascii="宋体" w:hAnsi="宋体"/>
          <w:sz w:val="24"/>
          <w:szCs w:val="24"/>
        </w:rPr>
        <w:t>2</w:t>
      </w:r>
      <w:r>
        <w:rPr>
          <w:rFonts w:hint="eastAsia" w:ascii="宋体" w:hAnsi="宋体"/>
          <w:sz w:val="24"/>
          <w:szCs w:val="24"/>
        </w:rPr>
        <w:t>人一组）或以上专业抽样人员。</w:t>
      </w:r>
    </w:p>
    <w:p>
      <w:pPr>
        <w:spacing w:line="500" w:lineRule="exact"/>
        <w:ind w:firstLine="480" w:firstLineChars="200"/>
        <w:rPr>
          <w:rFonts w:ascii="宋体"/>
          <w:sz w:val="24"/>
          <w:szCs w:val="24"/>
        </w:rPr>
      </w:pPr>
      <w:r>
        <w:rPr>
          <w:rFonts w:hint="eastAsia" w:ascii="宋体" w:hAnsi="宋体"/>
          <w:sz w:val="24"/>
          <w:szCs w:val="24"/>
        </w:rPr>
        <w:t>④抽样办法：根据检验项目及国家标准中规定的采样方法及采样数量抽取样品。</w:t>
      </w:r>
    </w:p>
    <w:p>
      <w:pPr>
        <w:spacing w:line="500" w:lineRule="exact"/>
        <w:ind w:firstLine="480" w:firstLineChars="200"/>
        <w:rPr>
          <w:rFonts w:ascii="宋体"/>
          <w:sz w:val="24"/>
          <w:szCs w:val="24"/>
        </w:rPr>
      </w:pPr>
      <w:r>
        <w:rPr>
          <w:rFonts w:hint="eastAsia" w:ascii="宋体" w:hAnsi="宋体"/>
          <w:sz w:val="24"/>
          <w:szCs w:val="24"/>
        </w:rPr>
        <w:t>⑤检验依据：依据食品安全国家标准、食品安全江苏省地方标准或国家市场监督管理总局《国家食品安全监督抽检实施细则》（202</w:t>
      </w:r>
      <w:r>
        <w:rPr>
          <w:rFonts w:hint="eastAsia" w:ascii="宋体" w:hAnsi="宋体"/>
          <w:sz w:val="24"/>
          <w:szCs w:val="24"/>
          <w:lang w:val="en-US" w:eastAsia="zh-CN"/>
        </w:rPr>
        <w:t>4</w:t>
      </w:r>
      <w:r>
        <w:rPr>
          <w:rFonts w:hint="eastAsia" w:ascii="宋体" w:hAnsi="宋体"/>
          <w:sz w:val="24"/>
          <w:szCs w:val="24"/>
        </w:rPr>
        <w:t>年版）要求一致。</w:t>
      </w:r>
    </w:p>
    <w:p>
      <w:pPr>
        <w:spacing w:line="500" w:lineRule="exact"/>
        <w:ind w:firstLine="480" w:firstLineChars="200"/>
        <w:rPr>
          <w:rFonts w:ascii="宋体"/>
          <w:sz w:val="24"/>
          <w:szCs w:val="24"/>
        </w:rPr>
      </w:pPr>
      <w:r>
        <w:rPr>
          <w:rFonts w:hint="eastAsia" w:ascii="宋体" w:hAnsi="宋体"/>
          <w:sz w:val="24"/>
          <w:szCs w:val="24"/>
        </w:rPr>
        <w:t>⑥样品运输：由中标人负责，并确保样品安全。</w:t>
      </w:r>
    </w:p>
    <w:p>
      <w:pPr>
        <w:spacing w:line="500" w:lineRule="exact"/>
        <w:ind w:firstLine="480" w:firstLineChars="200"/>
        <w:rPr>
          <w:rFonts w:ascii="宋体"/>
          <w:sz w:val="24"/>
          <w:szCs w:val="24"/>
        </w:rPr>
      </w:pPr>
      <w:r>
        <w:rPr>
          <w:rFonts w:hint="eastAsia" w:ascii="宋体" w:hAnsi="宋体"/>
          <w:sz w:val="24"/>
          <w:szCs w:val="24"/>
        </w:rPr>
        <w:t>⑦样品检验：由中标人负责，并对样品检验结果负责。</w:t>
      </w:r>
    </w:p>
    <w:p>
      <w:pPr>
        <w:spacing w:line="500" w:lineRule="exact"/>
        <w:ind w:firstLine="480" w:firstLineChars="200"/>
        <w:rPr>
          <w:rFonts w:ascii="宋体"/>
          <w:sz w:val="24"/>
          <w:szCs w:val="24"/>
        </w:rPr>
      </w:pPr>
      <w:r>
        <w:rPr>
          <w:rFonts w:hint="eastAsia" w:ascii="宋体" w:hAnsi="宋体"/>
          <w:sz w:val="24"/>
          <w:szCs w:val="24"/>
        </w:rPr>
        <w:t>⑧交通工具：中标人单日能安排配套的抽样车辆</w:t>
      </w:r>
      <w:r>
        <w:rPr>
          <w:rFonts w:ascii="宋体" w:hAnsi="宋体"/>
          <w:sz w:val="24"/>
          <w:szCs w:val="24"/>
        </w:rPr>
        <w:t>2</w:t>
      </w:r>
      <w:r>
        <w:rPr>
          <w:rFonts w:hint="eastAsia" w:ascii="宋体" w:hAnsi="宋体"/>
          <w:sz w:val="24"/>
          <w:szCs w:val="24"/>
        </w:rPr>
        <w:t>台（应具备冷藏、冷冻功能），并配有车载冰箱。</w:t>
      </w:r>
    </w:p>
    <w:p>
      <w:pPr>
        <w:spacing w:line="500" w:lineRule="exact"/>
        <w:ind w:firstLine="480" w:firstLineChars="200"/>
        <w:rPr>
          <w:rFonts w:ascii="宋体"/>
          <w:sz w:val="24"/>
          <w:szCs w:val="24"/>
        </w:rPr>
      </w:pPr>
      <w:r>
        <w:rPr>
          <w:rFonts w:hint="eastAsia" w:ascii="宋体" w:hAnsi="宋体"/>
          <w:sz w:val="24"/>
          <w:szCs w:val="24"/>
        </w:rPr>
        <w:t>⑨抽检方案：由采购方提供具体的项目实施方案。</w:t>
      </w:r>
    </w:p>
    <w:p>
      <w:pPr>
        <w:spacing w:line="500" w:lineRule="exact"/>
        <w:ind w:firstLine="480" w:firstLineChars="200"/>
        <w:rPr>
          <w:rFonts w:ascii="宋体"/>
          <w:sz w:val="24"/>
          <w:szCs w:val="24"/>
        </w:rPr>
      </w:pPr>
      <w:r>
        <w:rPr>
          <w:rFonts w:ascii="宋体" w:hAnsi="宋体"/>
          <w:sz w:val="24"/>
          <w:szCs w:val="24"/>
        </w:rPr>
        <w:t>2</w:t>
      </w:r>
      <w:r>
        <w:rPr>
          <w:rFonts w:hint="eastAsia" w:ascii="宋体" w:hAnsi="宋体"/>
          <w:sz w:val="24"/>
          <w:szCs w:val="24"/>
        </w:rPr>
        <w:t>、工作要求：</w:t>
      </w:r>
    </w:p>
    <w:p>
      <w:pPr>
        <w:spacing w:line="500" w:lineRule="exact"/>
        <w:ind w:firstLine="480" w:firstLineChars="200"/>
        <w:rPr>
          <w:rFonts w:ascii="宋体"/>
          <w:sz w:val="24"/>
          <w:szCs w:val="24"/>
        </w:rPr>
      </w:pPr>
      <w:r>
        <w:rPr>
          <w:rFonts w:hint="eastAsia" w:ascii="宋体" w:hAnsi="宋体"/>
          <w:sz w:val="24"/>
          <w:szCs w:val="24"/>
        </w:rPr>
        <w:t>①中标人负责提供每次抽检所需的交通工作，积极配合抽检工作。</w:t>
      </w:r>
    </w:p>
    <w:p>
      <w:pPr>
        <w:spacing w:line="500" w:lineRule="exact"/>
        <w:ind w:firstLine="480" w:firstLineChars="200"/>
        <w:rPr>
          <w:rFonts w:ascii="宋体"/>
          <w:sz w:val="24"/>
          <w:szCs w:val="24"/>
        </w:rPr>
      </w:pPr>
      <w:r>
        <w:rPr>
          <w:rFonts w:hint="eastAsia" w:ascii="宋体" w:hAnsi="宋体"/>
          <w:sz w:val="24"/>
          <w:szCs w:val="24"/>
        </w:rPr>
        <w:t>②实验室检验设备、检验人员充实，能满足食品检验的特殊要求，能按时按质完成抽检任务，出具合法有效的检验报告。</w:t>
      </w:r>
    </w:p>
    <w:p>
      <w:pPr>
        <w:spacing w:line="500" w:lineRule="exact"/>
        <w:ind w:firstLine="480" w:firstLineChars="200"/>
        <w:rPr>
          <w:rFonts w:ascii="宋体"/>
          <w:sz w:val="24"/>
          <w:szCs w:val="24"/>
        </w:rPr>
      </w:pPr>
      <w:r>
        <w:rPr>
          <w:rFonts w:hint="eastAsia" w:ascii="宋体" w:hAnsi="宋体"/>
          <w:sz w:val="24"/>
          <w:szCs w:val="24"/>
        </w:rPr>
        <w:t>③中标人技术服务水平高，采样操作规范，实验室质量控制严格，中标人须以承诺函的形式承诺近</w:t>
      </w:r>
      <w:r>
        <w:rPr>
          <w:rFonts w:ascii="宋体" w:hAnsi="宋体"/>
          <w:sz w:val="24"/>
          <w:szCs w:val="24"/>
        </w:rPr>
        <w:t>3</w:t>
      </w:r>
      <w:r>
        <w:rPr>
          <w:rFonts w:hint="eastAsia" w:ascii="宋体" w:hAnsi="宋体"/>
          <w:sz w:val="24"/>
          <w:szCs w:val="24"/>
        </w:rPr>
        <w:t>年无食品检验数据严重质量问题。</w:t>
      </w:r>
    </w:p>
    <w:p>
      <w:pPr>
        <w:spacing w:line="500" w:lineRule="exact"/>
        <w:ind w:firstLine="480" w:firstLineChars="200"/>
        <w:rPr>
          <w:rFonts w:ascii="宋体"/>
          <w:sz w:val="24"/>
          <w:szCs w:val="24"/>
        </w:rPr>
      </w:pPr>
      <w:r>
        <w:rPr>
          <w:rFonts w:hint="eastAsia" w:ascii="宋体" w:hAnsi="宋体"/>
          <w:sz w:val="24"/>
          <w:szCs w:val="24"/>
        </w:rPr>
        <w:t>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p>
    <w:p>
      <w:pPr>
        <w:spacing w:line="500" w:lineRule="exact"/>
        <w:ind w:firstLine="480" w:firstLineChars="200"/>
        <w:rPr>
          <w:rFonts w:ascii="宋体"/>
          <w:sz w:val="24"/>
          <w:szCs w:val="24"/>
        </w:rPr>
      </w:pPr>
      <w:r>
        <w:rPr>
          <w:rFonts w:hint="eastAsia" w:ascii="宋体" w:hAnsi="宋体"/>
          <w:sz w:val="24"/>
          <w:szCs w:val="24"/>
        </w:rPr>
        <w:t>⑤食品安全抽检监测工作遵照《食品安全抽样检验管理办法》和国家市场监管总局制定的《食品安全监督抽检和风险监测工作规范》执行。</w:t>
      </w:r>
    </w:p>
    <w:p>
      <w:pPr>
        <w:spacing w:line="500" w:lineRule="exact"/>
        <w:ind w:firstLine="480" w:firstLineChars="200"/>
        <w:rPr>
          <w:rFonts w:ascii="宋体"/>
          <w:sz w:val="24"/>
          <w:szCs w:val="24"/>
        </w:rPr>
      </w:pPr>
      <w:r>
        <w:rPr>
          <w:rFonts w:hint="eastAsia" w:ascii="宋体" w:hAnsi="宋体"/>
          <w:sz w:val="24"/>
          <w:szCs w:val="24"/>
        </w:rPr>
        <w:t>⑥中标人对其抽取的样品负责，检验结果反映送检样品的真实状况。</w:t>
      </w:r>
    </w:p>
    <w:p>
      <w:pPr>
        <w:spacing w:line="500" w:lineRule="exact"/>
        <w:ind w:firstLine="480" w:firstLineChars="200"/>
        <w:rPr>
          <w:rFonts w:ascii="宋体"/>
          <w:sz w:val="24"/>
          <w:szCs w:val="24"/>
        </w:rPr>
      </w:pPr>
      <w:r>
        <w:rPr>
          <w:rFonts w:hint="eastAsia" w:ascii="宋体" w:hAnsi="宋体"/>
          <w:sz w:val="24"/>
          <w:szCs w:val="24"/>
        </w:rPr>
        <w:t>⑦中标人应针对每次任务提供承接项目的质量保障计划、措施和结果，保证原始记录规范完整，并接受采购人组织的专家检验及评估。</w:t>
      </w:r>
    </w:p>
    <w:p>
      <w:pPr>
        <w:spacing w:line="500" w:lineRule="exact"/>
        <w:ind w:firstLine="480" w:firstLineChars="200"/>
        <w:rPr>
          <w:rFonts w:ascii="宋体"/>
          <w:sz w:val="24"/>
          <w:szCs w:val="24"/>
        </w:rPr>
      </w:pPr>
      <w:r>
        <w:rPr>
          <w:rFonts w:hint="eastAsia" w:ascii="宋体" w:hAnsi="宋体"/>
          <w:sz w:val="24"/>
          <w:szCs w:val="24"/>
        </w:rPr>
        <w:t>㈢、其他事项</w:t>
      </w:r>
    </w:p>
    <w:p>
      <w:pPr>
        <w:spacing w:line="500" w:lineRule="exact"/>
        <w:ind w:firstLine="480" w:firstLineChars="200"/>
        <w:rPr>
          <w:rFonts w:ascii="宋体"/>
          <w:sz w:val="24"/>
          <w:szCs w:val="24"/>
        </w:rPr>
      </w:pPr>
      <w:r>
        <w:rPr>
          <w:rFonts w:hint="eastAsia" w:ascii="宋体" w:hAnsi="宋体"/>
          <w:sz w:val="24"/>
          <w:szCs w:val="24"/>
        </w:rPr>
        <w:t>①中标人必须自觉接受采购方的考核、检查、比对。</w:t>
      </w:r>
    </w:p>
    <w:p>
      <w:pPr>
        <w:spacing w:line="500" w:lineRule="exact"/>
        <w:ind w:firstLine="480" w:firstLineChars="200"/>
        <w:rPr>
          <w:rFonts w:hint="eastAsia" w:ascii="宋体"/>
          <w:sz w:val="24"/>
          <w:szCs w:val="24"/>
        </w:rPr>
      </w:pPr>
      <w:r>
        <w:rPr>
          <w:rFonts w:hint="eastAsia" w:ascii="宋体" w:hAnsi="宋体"/>
          <w:sz w:val="24"/>
          <w:szCs w:val="24"/>
        </w:rPr>
        <w:t>②投标人须具有与承担的食品安全抽检监测任务相匹配的工作人员、仪器设备、实验室环境设施。</w:t>
      </w:r>
    </w:p>
    <w:p>
      <w:pPr>
        <w:spacing w:line="500" w:lineRule="exact"/>
        <w:ind w:firstLine="480" w:firstLineChars="200"/>
        <w:rPr>
          <w:rFonts w:ascii="宋体"/>
          <w:sz w:val="24"/>
          <w:szCs w:val="24"/>
        </w:rPr>
      </w:pPr>
      <w:r>
        <w:rPr>
          <w:rFonts w:hint="eastAsia" w:ascii="宋体" w:hAnsi="宋体"/>
          <w:sz w:val="24"/>
          <w:szCs w:val="24"/>
        </w:rPr>
        <w:t>③投标人须拥有安全有效的实验室信息化管理系统和信息分析汇总人员，能够完成食品安全抽检监测数据上报和结果分析工作。</w:t>
      </w:r>
    </w:p>
    <w:p>
      <w:pPr>
        <w:spacing w:line="500" w:lineRule="exact"/>
        <w:ind w:firstLine="480" w:firstLineChars="200"/>
        <w:rPr>
          <w:rFonts w:hint="eastAsia" w:ascii="宋体"/>
          <w:sz w:val="24"/>
          <w:szCs w:val="24"/>
        </w:rPr>
      </w:pPr>
      <w:r>
        <w:rPr>
          <w:rFonts w:hint="eastAsia" w:ascii="宋体" w:hAnsi="宋体"/>
          <w:sz w:val="24"/>
          <w:szCs w:val="24"/>
        </w:rPr>
        <w:t>④投标人须同时承担抽样任务的，应当具有与抽样工作相匹配的专职抽样人员、抽样工具、设备等条件。</w:t>
      </w:r>
    </w:p>
    <w:p>
      <w:pPr>
        <w:spacing w:line="500" w:lineRule="exact"/>
        <w:ind w:firstLine="420" w:firstLineChars="200"/>
        <w:rPr>
          <w:rFonts w:hint="eastAsia" w:ascii="宋体"/>
          <w:sz w:val="21"/>
          <w:szCs w:val="21"/>
        </w:rPr>
      </w:pPr>
      <w:r>
        <w:rPr>
          <w:rFonts w:hint="eastAsia" w:ascii="宋体" w:hAnsi="宋体"/>
          <w:sz w:val="21"/>
          <w:szCs w:val="21"/>
        </w:rPr>
        <w:t>⑤投标人须具有承担</w:t>
      </w:r>
      <w:r>
        <w:rPr>
          <w:rFonts w:hint="eastAsia" w:ascii="宋体" w:hAnsi="宋体"/>
          <w:sz w:val="21"/>
          <w:szCs w:val="21"/>
          <w:lang w:val="en-US" w:eastAsia="zh-CN"/>
        </w:rPr>
        <w:t>县（市、区）</w:t>
      </w:r>
      <w:r>
        <w:rPr>
          <w:rFonts w:hint="eastAsia" w:ascii="宋体" w:hAnsi="宋体"/>
          <w:sz w:val="21"/>
          <w:szCs w:val="21"/>
        </w:rPr>
        <w:t>级以上食品安全监督抽检或风险监测检验任务的工作经历。</w:t>
      </w:r>
    </w:p>
    <w:p>
      <w:pPr>
        <w:spacing w:line="500" w:lineRule="exact"/>
        <w:ind w:firstLine="480" w:firstLineChars="200"/>
        <w:rPr>
          <w:rFonts w:hint="eastAsia" w:ascii="宋体" w:hAnsi="宋体"/>
          <w:sz w:val="24"/>
          <w:szCs w:val="24"/>
        </w:rPr>
      </w:pPr>
      <w:r>
        <w:rPr>
          <w:rFonts w:hint="eastAsia" w:ascii="宋体" w:hAnsi="宋体"/>
          <w:sz w:val="24"/>
          <w:szCs w:val="24"/>
        </w:rPr>
        <w:t>⑥投标人须检验活动中无重大差错，能够保证检验结果质量，参加与检验任务相关的能力验证并取得满意结果。</w:t>
      </w:r>
    </w:p>
    <w:p>
      <w:pPr>
        <w:spacing w:line="500" w:lineRule="exact"/>
        <w:ind w:firstLine="480" w:firstLineChars="200"/>
        <w:rPr>
          <w:rFonts w:hint="eastAsia" w:ascii="宋体" w:hAnsi="宋体"/>
          <w:sz w:val="24"/>
        </w:rPr>
      </w:pPr>
      <w:r>
        <w:rPr>
          <w:rFonts w:hint="eastAsia" w:ascii="宋体" w:hAnsi="宋体"/>
          <w:sz w:val="24"/>
        </w:rPr>
        <w:t xml:space="preserve">⑦抽检任务分配原则为：在入围单位的投标单价及专业服务能力方面优先考虑，在抽检过程中如入围单位存在抽样、检验质量事故的，采购人有权不再分配抽检任务。   </w:t>
      </w:r>
    </w:p>
    <w:p>
      <w:pPr>
        <w:spacing w:line="500" w:lineRule="exact"/>
        <w:ind w:firstLine="480" w:firstLineChars="200"/>
        <w:rPr>
          <w:rFonts w:ascii="宋体" w:hAnsi="宋体"/>
          <w:sz w:val="24"/>
        </w:rPr>
      </w:pPr>
      <w:r>
        <w:rPr>
          <w:rFonts w:ascii="宋体" w:hAnsi="宋体"/>
          <w:sz w:val="24"/>
        </w:rPr>
        <w:t>⑧中标人须对照《国家食品安全监督抽检实施细则》(</w:t>
      </w:r>
      <w:r>
        <w:rPr>
          <w:rFonts w:hint="eastAsia" w:ascii="宋体" w:hAnsi="宋体"/>
          <w:sz w:val="24"/>
          <w:lang w:eastAsia="zh-CN"/>
        </w:rPr>
        <w:t>2024年版</w:t>
      </w:r>
      <w:r>
        <w:rPr>
          <w:rFonts w:ascii="宋体" w:hAnsi="宋体"/>
          <w:sz w:val="24"/>
        </w:rPr>
        <w:t>)要求对样品参数进行检验；投标人对食用农产品的必检项目【详见《国家食品安全监督抽检实施细则》(</w:t>
      </w:r>
      <w:r>
        <w:rPr>
          <w:rFonts w:hint="eastAsia" w:ascii="宋体" w:hAnsi="宋体"/>
          <w:sz w:val="24"/>
          <w:lang w:eastAsia="zh-CN"/>
        </w:rPr>
        <w:t>2024年版</w:t>
      </w:r>
      <w:r>
        <w:rPr>
          <w:rFonts w:ascii="宋体" w:hAnsi="宋体"/>
          <w:sz w:val="24"/>
        </w:rPr>
        <w:t>)】和2个自选项目必须全覆盖，普通食品检测项目必须达到《国家食品安全监督抽检实施细则》(</w:t>
      </w:r>
      <w:r>
        <w:rPr>
          <w:rFonts w:hint="eastAsia" w:ascii="宋体" w:hAnsi="宋体"/>
          <w:sz w:val="24"/>
          <w:lang w:eastAsia="zh-CN"/>
        </w:rPr>
        <w:t>2024年版</w:t>
      </w:r>
      <w:r>
        <w:rPr>
          <w:rFonts w:ascii="宋体" w:hAnsi="宋体"/>
          <w:sz w:val="24"/>
        </w:rPr>
        <w:t>中规定数量的50%。另在上述要求之外，中标人须根据季节、产品等特点，为招标人考量，自行适度选择增加检验参数项目，但总价不得突破招标限价。</w:t>
      </w:r>
    </w:p>
    <w:p>
      <w:pPr>
        <w:pStyle w:val="37"/>
        <w:ind w:firstLine="880"/>
        <w:jc w:val="center"/>
        <w:rPr>
          <w:rFonts w:hint="eastAsia" w:ascii="宋体" w:hAnsi="宋体" w:eastAsia="宋体" w:cs="宋体"/>
          <w:sz w:val="44"/>
          <w:szCs w:val="44"/>
        </w:rPr>
      </w:pPr>
      <w:r>
        <w:rPr>
          <w:rFonts w:hint="eastAsia" w:ascii="宋体" w:hAnsi="宋体" w:eastAsia="宋体" w:cs="宋体"/>
          <w:sz w:val="44"/>
          <w:szCs w:val="44"/>
        </w:rPr>
        <w:t>二、检测内容及最高限价表</w:t>
      </w:r>
    </w:p>
    <w:p>
      <w:pPr>
        <w:pStyle w:val="37"/>
        <w:ind w:firstLine="600"/>
        <w:jc w:val="center"/>
      </w:pPr>
    </w:p>
    <w:tbl>
      <w:tblPr>
        <w:tblStyle w:val="39"/>
        <w:tblW w:w="4997" w:type="pct"/>
        <w:tblInd w:w="0" w:type="dxa"/>
        <w:tblLayout w:type="autofit"/>
        <w:tblCellMar>
          <w:top w:w="0" w:type="dxa"/>
          <w:left w:w="108" w:type="dxa"/>
          <w:bottom w:w="0" w:type="dxa"/>
          <w:right w:w="108" w:type="dxa"/>
        </w:tblCellMar>
      </w:tblPr>
      <w:tblGrid>
        <w:gridCol w:w="727"/>
        <w:gridCol w:w="7299"/>
        <w:gridCol w:w="1137"/>
      </w:tblGrid>
      <w:tr>
        <w:tblPrEx>
          <w:tblCellMar>
            <w:top w:w="0" w:type="dxa"/>
            <w:left w:w="108" w:type="dxa"/>
            <w:bottom w:w="0" w:type="dxa"/>
            <w:right w:w="108" w:type="dxa"/>
          </w:tblCellMar>
        </w:tblPrEx>
        <w:trPr>
          <w:trHeight w:val="580" w:hRule="atLeast"/>
        </w:trPr>
        <w:tc>
          <w:tcPr>
            <w:tcW w:w="397"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检验项目</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招标限价(元/项）</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铅(以Pb计)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砷(As)</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镉(以Cd计)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铬(以Cr计)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钡(以Ba计)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碘(以I计)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钙</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钾</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硒</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锡(以Sn计)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重金属(以Pb计)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无机砷(以As计)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总汞(以Hg计)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总砷(以As计)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氨基酸态氮(以氮计)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铵盐(以占氨基酸态氮的百分比计)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干燥失重</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乙基麦芽酚</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丙二醛</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不溶性膳食纤维</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不溶于水杂质</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茶多酚</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胆碱</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蛋白质</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二十二碳六烯酸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二十碳四烯酸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二氧化硫残留量(以SO₂计)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二氧化钛</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二氧化碳气容量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反式脂肪酸与总脂肪酸比值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泛酸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防腐剂混合使用时各自用量占其最大使用量比例之和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非脂乳固体</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干物质含量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谷氨酸钠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果糖和葡萄糖</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过氧化苯甲酰</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过氧化物</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过氧化值(以脂肪计)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耗氧量(以O₂计)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滑石粉</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灰分</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挥发性酚(以苯酚计)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挥发性盐基氮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浑浊度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极性组分</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甲醛</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可溶性固形物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铝的残留量(干样品，以Al计)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氯化钾</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总固体</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螨</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镍(Ni)</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溶剂残留量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乳固体</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色值</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生物素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水分</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酸价(KOH)</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碳水化合物</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蔗糖</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蔗糖分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脂肪</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总糖</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大肠埃希氏菌O157:H7</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志贺氏菌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致泻大肠埃希氏菌</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大肠菌群</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单核细胞增生李斯特氏菌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粪链球菌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副溶血性弧菌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金黄色葡萄球菌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菌落总数</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霉菌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霉菌和酵母</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乳酸菌数</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阪崎肠杆菌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产气荚膜梭菌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沙门氏菌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商业无菌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铜绿假单胞菌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（花生酸+山嵛酸）/总脂肪酸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10-羟基-2-癸烯酸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3-氯-1,2-丙二醇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4-氯苯氧乙酸钠（以4-氯苯氧乙酸计）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6-苄基腺嘌呤(6-BA)</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N-二甲基亚硝胺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α-亚麻酸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阿斯巴甜</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安赛蜜</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阴离子合成洗涤剂(以十二烷基苯磺酸钠计)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苯并[a]芘</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苯甲酸及其钠盐(以苯甲酸计)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丙酸及其钠盐、钙盐(以丙酸计)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呈味核苷酸二钠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富马酸二甲酯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还原糖(以葡萄糖计)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还原糖分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赤藓红</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亮蓝</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柠檬黄</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日落黄</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酸性红</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苋菜红</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新红</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胭脂红</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诱惑红</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核苷酸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花生四烯酸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黄曲霉毒素B1</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黄曲霉毒素M1</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甲基汞(以Hg计)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酵母</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芥酸与总脂肪酸比值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酒精度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咖啡因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可待因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罗丹明B</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吗啡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没食子酸丙酯(PG)</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木糖醇含量(以干基计)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那可丁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尼卡巴嗪残留标志物</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脲酶活性定性</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脲酶试验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凝冻强度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牛磺酸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纽甜</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肉豆蔻酸占总脂肪的比值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乳糖占碳水化合物总量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三聚氰胺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三氯蔗糖</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山梨酸及其钾盐(以山梨酸计)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嗜渗酵母计数</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苏丹红 I-IV</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酸性橙II</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糖精钠(以糖精计)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特丁基对苯二酚(TBHQ)</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脱氢乙酸及其钠盐(以脱氢乙酸计)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脱氧雪腐镰刀菌烯醇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相同色泽着色剂混合使用时各自用量占其最大使用量的比例之和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硝酸盐(以NaNO3计)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溴酸钾</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亚硫酸盐(以SO₂计)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亚麻酸/总脂肪酸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亚铁氰化钾(以亚铁氰根计)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亚硝酸盐(以亚硝酸钠计)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亚油酸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碱性嫩黄</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烟酸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叶酸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罂粟碱</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油酸/总脂肪酸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游离矿酸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游离棉酚</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游离性余氯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玉米赤霉烯酮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月桂酸占总脂肪的比值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杂质度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展青霉素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赭曲霉毒素A</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棕榈烯酸/总脂肪酸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总酸（以乙酸计）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组胺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左旋肉碱</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香兰素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乙基香兰素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动物源性成分</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1000/个</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维生素A</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维生素B1</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维生素B12</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维生素B2</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维生素B6</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维生素C</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维生素D</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维生素E</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维生素K</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维生素K1</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氨基他达拉非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他达拉非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阿维菌素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百菌清</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倍硫磷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苯醚甲环唑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苯酰菌胺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吡虫啉</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吡蚜酮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吡唑醚菌酯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丙炔氟草胺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丙溴磷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草甘膦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虫螨腈</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虫酰肼</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除虫脲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哒螨灵</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滴滴涕</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狄氏剂</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敌百虫</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敌敌畏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地美硝唑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地塞米松</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地西泮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蒂巴因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丁基羟基茴香醚(BHA)</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啶虫脒</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啶酰菌胺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啶氧菌酯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毒死蜱</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对硫磷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对羟基苯甲酸酯类及其钠盐（以对羟基苯甲酸计）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多杀霉素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多西环素（强力霉素）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恩诺沙星（以恩诺沙星与环丙沙星之和计）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二丁基羟基甲苯(BHT)</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二甲戊灵</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二嗪磷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达氟沙星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呋虫胺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呋喃它酮代谢物(AMOZ)</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洛美沙星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呋喃妥因代谢物(AHD)</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诺氟沙星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呋喃西林代谢物(SEM)</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培氟沙星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呋喃唑酮代谢物 (AOZ)</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沙拉沙星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伏杀硫磷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氧氟沙星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氟胺氰菊酯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氟苯尼考</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氟苯脲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氟吡甲禾灵和高效氟吡甲禾灵</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氟虫腈</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氟虫腈（氟虫腈、氟甲腈、氟虫腈砜、氟虫腈亚砜之和计）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氟啶脲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氟硅唑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氟磺胺草醚</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氟甲喹</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氟氯氰菊酯和高效氟氯氰菊酯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氟氰戊菊酯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氟酰脲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腐霉利</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磺胺类(总量)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己唑醇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甲氨基阿维菌素苯甲酸盐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甲胺磷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甲拌磷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甲苯氟磺胺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甲砜霉素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甲基对硫磷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甲基硫环磷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甲基硫菌灵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甲基异柳磷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甲萘威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甲霜灵和精甲霜灵</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甲硝唑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界限指标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金刚烷胺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金刚乙胺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腈苯唑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腈菌唑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久效磷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抗蚜威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克百威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克伦特罗</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孔雀石绿</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喹乙醇代谢物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莱克多巴胺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乐果</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利巴韦林</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联苯肼酯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林可霉素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硫丹</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硫环磷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硫线磷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螺螨酯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六六六</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洛硝哒唑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氯苯嘧啶醇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氯吡脲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氯丙嗪</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氯氟氰菊酯和高效氯氟氰菊酯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氯嘧磺隆</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氯氰菊酯和高效氯氰菊酯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杀虫脒</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马拉硫磷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咪鲜胺和咪鲜胺锰盐</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醚菊酯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嘧菌环胺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嘧霉胺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灭多威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灭线磷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灭蝇胺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纳他霉素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内吸磷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羟基甲硝唑(甲硝唑代谢物)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羟甲基甲硝咪唑（二甲硝咪唑）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氰化物(以HCN计)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氰戊菊酯和S-氰戊菊酯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炔螨特</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噻虫啉</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噻虫嗪</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噻螨酮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噻嗪酮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三甲胺氮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三氯甲烷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三氯杀螨醇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杀螟丹</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杀螟硫磷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杀线威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沙丁胺醇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甲苯磺丁脲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格列本脲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格列齐特</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霜霉威</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乙酰磺胺酸钾</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异丙威</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异菌脲</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格列吡嗪</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格列喹酮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格列美脲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马来酸罗格列酮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双甲脒</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水胺硫磷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四环素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四螨嗪</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绦虫裂头蚴</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吸虫囊蚴</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线虫幼虫</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特布他林</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特丁硫磷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涕灭威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替米考星</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甜蜜素(以环己基氨基磺酸计)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土霉素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肟菌酯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土霉素/金霉素/四环素(组合含量)</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五氯酚酸钠(以五氯酚计)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五氯硝基苯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戊菌唑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戊唑醇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烯草酮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烯酰吗啉</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辛硫磷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亚胺硫磷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氧乐果</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387</w:t>
            </w:r>
          </w:p>
        </w:tc>
        <w:tc>
          <w:tcPr>
            <w:tcW w:w="3981" w:type="pct"/>
            <w:tcBorders>
              <w:top w:val="nil"/>
              <w:left w:val="nil"/>
              <w:bottom w:val="nil"/>
              <w:right w:val="nil"/>
            </w:tcBorders>
            <w:noWrap/>
            <w:vAlign w:val="bottom"/>
          </w:tcPr>
          <w:p>
            <w:pPr>
              <w:widowControl/>
              <w:jc w:val="left"/>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多氯联苯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赖氨酸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绿原酸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β-胡萝卜素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免疫球蛋白IgG</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总黄酮</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总皂苷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总蒽醌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双歧杆菌</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吡啶甲酸铬</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辅酶Q10</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苯甲酸钠（以干基计）的含量（食品添加剂含量）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山梨酸钾（以C6H7KO2计）（以干基计）（食品添加剂含量）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环己基氨基磺酸钠含量（以干基计）（食品添加剂含量）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糖精钠含量（食品添加剂含量）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醛（以HCHO计）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酸碱度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硫酸盐（以SO4计）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氯化物（以Cl计）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氨基磺酸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游离碱</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环己胺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双环己胺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噻唑膦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氰霜唑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氟吗啉</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环丙唑醇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苯甲酸盐和水杨酸盐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酸度和碱度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干燥减量</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易氧化物</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吸光值</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澄清度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透明度</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pH</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瑞格列奈</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格列波脲</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洛伐他汀</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辛伐他汀</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盐酸丁二胍</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乙二胺四乙酸二钠</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洛硝达唑</w:t>
            </w:r>
          </w:p>
        </w:tc>
        <w:tc>
          <w:tcPr>
            <w:tcW w:w="620" w:type="pct"/>
            <w:tcBorders>
              <w:top w:val="single" w:color="000000" w:sz="4" w:space="0"/>
              <w:left w:val="single" w:color="000000" w:sz="4" w:space="0"/>
              <w:bottom w:val="single" w:color="000000" w:sz="4" w:space="0"/>
              <w:right w:val="single" w:color="000000" w:sz="4" w:space="0"/>
            </w:tcBorders>
            <w:noWrap/>
            <w:vAlign w:val="bottom"/>
          </w:tcPr>
          <w:p>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乙螨唑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乙霉威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乙酰甲胺磷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抑霉唑</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茚虫威</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莠灭净</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435</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唑虫酰胺</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436</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唑螨酯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甲氧苄啶</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酚酞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游离余氯</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阿力甜</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不挥发酸(以乳酸计)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442</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盐酸二甲双胍</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443</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喹噁啉-2-羧酸</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444</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邻苯（塑化剂1项或N项总价）</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445</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盐酸苯乙双胍</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446</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盐酸吡格列酮</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447</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那红地那非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448</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红地那非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449</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伐地那非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450</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羟基豪莫西地那非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451</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452</w:t>
            </w:r>
          </w:p>
        </w:tc>
        <w:tc>
          <w:tcPr>
            <w:tcW w:w="3981" w:type="pc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豪莫西地那非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453</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硫代艾地那非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454</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那莫西地那非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455</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伪伐地那非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bl>
    <w:p>
      <w:pPr>
        <w:pStyle w:val="3"/>
        <w:jc w:val="left"/>
        <w:rPr>
          <w:rFonts w:hint="eastAsia" w:ascii="宋体" w:hAnsi="宋体" w:eastAsia="宋体" w:cs="宋体"/>
          <w:b/>
          <w:bCs/>
          <w:color w:val="000000"/>
          <w:kern w:val="0"/>
          <w:sz w:val="30"/>
          <w:szCs w:val="30"/>
          <w:lang w:bidi="ar"/>
        </w:rPr>
      </w:pPr>
      <w:r>
        <w:rPr>
          <w:rFonts w:hint="eastAsia" w:ascii="宋体" w:hAnsi="宋体" w:eastAsia="宋体" w:cs="宋体"/>
          <w:b/>
          <w:bCs/>
          <w:color w:val="000000"/>
          <w:kern w:val="0"/>
          <w:sz w:val="30"/>
          <w:szCs w:val="30"/>
          <w:lang w:bidi="ar"/>
        </w:rPr>
        <w:t xml:space="preserve">注：1、中标单位根据《国家食品安全监督抽检实施细则》(2023 年版)要求开展对食品安全抽检；                </w:t>
      </w:r>
    </w:p>
    <w:p>
      <w:pPr>
        <w:pStyle w:val="3"/>
        <w:jc w:val="left"/>
        <w:rPr>
          <w:rFonts w:hint="eastAsia" w:ascii="宋体" w:hAnsi="宋体" w:eastAsia="宋体" w:cs="宋体"/>
          <w:b/>
          <w:bCs/>
          <w:color w:val="000000"/>
          <w:kern w:val="0"/>
          <w:sz w:val="30"/>
          <w:szCs w:val="30"/>
          <w:lang w:bidi="ar"/>
        </w:rPr>
      </w:pPr>
      <w:r>
        <w:rPr>
          <w:rFonts w:hint="eastAsia" w:ascii="宋体" w:hAnsi="宋体" w:eastAsia="宋体" w:cs="宋体"/>
          <w:b/>
          <w:bCs/>
          <w:color w:val="000000"/>
          <w:kern w:val="0"/>
          <w:sz w:val="30"/>
          <w:szCs w:val="30"/>
          <w:lang w:bidi="ar"/>
        </w:rPr>
        <w:t xml:space="preserve"> 2、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hint="eastAsia" w:ascii="黑体" w:eastAsia="黑体"/>
          <w:bCs/>
          <w:sz w:val="44"/>
        </w:rPr>
      </w:pPr>
    </w:p>
    <w:p>
      <w:pPr>
        <w:pStyle w:val="196"/>
        <w:spacing w:line="440" w:lineRule="exact"/>
        <w:rPr>
          <w:rFonts w:ascii="黑体" w:eastAsia="黑体"/>
          <w:bCs/>
          <w:sz w:val="44"/>
        </w:rPr>
      </w:pPr>
      <w:r>
        <w:rPr>
          <w:rFonts w:hint="eastAsia" w:ascii="黑体" w:eastAsia="黑体"/>
          <w:bCs/>
          <w:sz w:val="44"/>
        </w:rPr>
        <w:t xml:space="preserve">第五章  </w:t>
      </w:r>
      <w:r>
        <w:rPr>
          <w:rFonts w:hint="eastAsia" w:ascii="黑体" w:eastAsia="黑体"/>
          <w:b/>
          <w:bCs/>
          <w:sz w:val="44"/>
        </w:rPr>
        <w:t>定标原则与评标标准</w:t>
      </w:r>
    </w:p>
    <w:p>
      <w:pPr>
        <w:wordWrap w:val="0"/>
        <w:spacing w:line="440" w:lineRule="exact"/>
        <w:rPr>
          <w:color w:val="000000"/>
          <w:sz w:val="24"/>
          <w:szCs w:val="24"/>
        </w:rPr>
      </w:pPr>
      <w:r>
        <w:rPr>
          <w:color w:val="000000"/>
          <w:sz w:val="24"/>
          <w:szCs w:val="24"/>
        </w:rPr>
        <w:t>一、定标原则</w:t>
      </w:r>
    </w:p>
    <w:p>
      <w:pPr>
        <w:snapToGrid w:val="0"/>
        <w:spacing w:line="500" w:lineRule="exact"/>
        <w:ind w:firstLine="480" w:firstLineChars="200"/>
        <w:rPr>
          <w:rFonts w:ascii="宋体" w:hAnsi="宋体" w:cs="Arial"/>
          <w:kern w:val="0"/>
          <w:sz w:val="24"/>
          <w:szCs w:val="24"/>
        </w:rPr>
      </w:pPr>
      <w:r>
        <w:rPr>
          <w:rFonts w:hint="eastAsia" w:ascii="宋体" w:hAnsi="宋体" w:cs="Arial"/>
          <w:kern w:val="0"/>
          <w:sz w:val="24"/>
          <w:szCs w:val="24"/>
        </w:rPr>
        <w:t>本项目采用</w:t>
      </w:r>
      <w:r>
        <w:rPr>
          <w:rFonts w:hint="eastAsia" w:ascii="宋体" w:hAnsi="宋体" w:cs="Arial"/>
          <w:kern w:val="0"/>
          <w:sz w:val="24"/>
          <w:szCs w:val="24"/>
          <w:u w:val="single"/>
        </w:rPr>
        <w:t>资格后审及综合评估法</w:t>
      </w:r>
      <w:r>
        <w:rPr>
          <w:rFonts w:hint="eastAsia" w:ascii="宋体" w:hAnsi="宋体" w:cs="Arial"/>
          <w:kern w:val="0"/>
          <w:sz w:val="24"/>
          <w:szCs w:val="24"/>
        </w:rPr>
        <w:t>。评标委员会按投标人的得分由高到低推荐有排序的中标候选人，由采购人依照国家有关法律、法规及定标办法确定中标人。确定每标段中标入围单位数量为1家，得分相同的，按投标报价由低到高顺序排列，得分且投标报价相同的，由评标委员会组织通过抽签的方式确定中标候选人的排序。本项目共分为四个</w:t>
      </w:r>
      <w:r>
        <w:rPr>
          <w:rFonts w:hint="eastAsia" w:ascii="宋体" w:hAnsi="宋体" w:cs="Arial"/>
          <w:kern w:val="0"/>
          <w:sz w:val="24"/>
          <w:szCs w:val="24"/>
          <w:lang w:val="en-US" w:eastAsia="zh-CN"/>
        </w:rPr>
        <w:t>包件</w:t>
      </w:r>
      <w:r>
        <w:rPr>
          <w:rFonts w:hint="eastAsia" w:ascii="宋体" w:hAnsi="宋体" w:cs="Arial"/>
          <w:kern w:val="0"/>
          <w:sz w:val="24"/>
          <w:szCs w:val="24"/>
        </w:rPr>
        <w:t>，每</w:t>
      </w:r>
      <w:r>
        <w:rPr>
          <w:rFonts w:hint="eastAsia" w:ascii="宋体" w:hAnsi="宋体" w:cs="Arial"/>
          <w:kern w:val="0"/>
          <w:sz w:val="24"/>
          <w:szCs w:val="24"/>
          <w:lang w:val="en-US" w:eastAsia="zh-CN"/>
        </w:rPr>
        <w:t>包件</w:t>
      </w:r>
      <w:r>
        <w:rPr>
          <w:rFonts w:hint="eastAsia" w:ascii="宋体" w:hAnsi="宋体" w:cs="Arial"/>
          <w:kern w:val="0"/>
          <w:sz w:val="24"/>
          <w:szCs w:val="24"/>
        </w:rPr>
        <w:t>选</w:t>
      </w:r>
      <w:r>
        <w:rPr>
          <w:rFonts w:hint="eastAsia" w:ascii="宋体" w:hAnsi="宋体" w:eastAsia="宋体" w:cs="Arial"/>
          <w:kern w:val="0"/>
          <w:sz w:val="24"/>
          <w:szCs w:val="24"/>
        </w:rPr>
        <w:t>取</w:t>
      </w:r>
      <w:r>
        <w:rPr>
          <w:rFonts w:hint="eastAsia" w:ascii="宋体" w:hAnsi="宋体" w:eastAsia="宋体" w:cs="Arial"/>
          <w:kern w:val="0"/>
          <w:sz w:val="24"/>
          <w:szCs w:val="24"/>
          <w:u w:val="single"/>
        </w:rPr>
        <w:t>1</w:t>
      </w:r>
      <w:r>
        <w:rPr>
          <w:rFonts w:hint="eastAsia" w:ascii="宋体" w:hAnsi="宋体" w:eastAsia="宋体" w:cs="Arial"/>
          <w:kern w:val="0"/>
          <w:sz w:val="24"/>
          <w:szCs w:val="24"/>
        </w:rPr>
        <w:t>名</w:t>
      </w:r>
      <w:r>
        <w:rPr>
          <w:rFonts w:hint="eastAsia" w:ascii="宋体" w:hAnsi="宋体" w:cs="Arial"/>
          <w:kern w:val="0"/>
          <w:sz w:val="24"/>
          <w:szCs w:val="24"/>
        </w:rPr>
        <w:t>中标候选人，共选取</w:t>
      </w:r>
      <w:r>
        <w:rPr>
          <w:rFonts w:hint="eastAsia" w:ascii="宋体" w:hAnsi="宋体" w:cs="Arial"/>
          <w:kern w:val="0"/>
          <w:sz w:val="24"/>
          <w:szCs w:val="24"/>
          <w:u w:val="single"/>
        </w:rPr>
        <w:t>4</w:t>
      </w:r>
      <w:r>
        <w:rPr>
          <w:rFonts w:hint="eastAsia" w:ascii="宋体" w:hAnsi="宋体" w:cs="Arial"/>
          <w:kern w:val="0"/>
          <w:sz w:val="24"/>
          <w:szCs w:val="24"/>
        </w:rPr>
        <w:t>名中标候选人。</w:t>
      </w:r>
    </w:p>
    <w:p>
      <w:pPr>
        <w:wordWrap w:val="0"/>
        <w:spacing w:line="440" w:lineRule="exact"/>
        <w:ind w:firstLine="482" w:firstLineChars="200"/>
        <w:rPr>
          <w:b/>
          <w:sz w:val="24"/>
          <w:szCs w:val="24"/>
        </w:rPr>
      </w:pPr>
      <w:r>
        <w:rPr>
          <w:b/>
          <w:sz w:val="24"/>
          <w:szCs w:val="24"/>
        </w:rPr>
        <w:t>政府采购政策功能落实</w:t>
      </w:r>
    </w:p>
    <w:p>
      <w:pPr>
        <w:wordWrap w:val="0"/>
        <w:spacing w:line="440" w:lineRule="exact"/>
        <w:ind w:firstLine="480" w:firstLineChars="200"/>
        <w:rPr>
          <w:color w:val="000000"/>
          <w:sz w:val="24"/>
          <w:szCs w:val="24"/>
        </w:rPr>
      </w:pPr>
      <w:r>
        <w:rPr>
          <w:color w:val="000000"/>
          <w:sz w:val="24"/>
          <w:szCs w:val="24"/>
        </w:rPr>
        <w:t>1、小微型企业价格扣除</w:t>
      </w:r>
    </w:p>
    <w:p>
      <w:pPr>
        <w:wordWrap w:val="0"/>
        <w:spacing w:line="440" w:lineRule="exact"/>
        <w:ind w:firstLine="480" w:firstLineChars="200"/>
        <w:rPr>
          <w:color w:val="000000"/>
          <w:sz w:val="24"/>
          <w:szCs w:val="24"/>
        </w:rPr>
      </w:pPr>
      <w:r>
        <w:rPr>
          <w:color w:val="000000"/>
          <w:sz w:val="24"/>
          <w:szCs w:val="24"/>
        </w:rPr>
        <w:t>（1）本项目对小型和微型企业产品给予20%的扣除价格，用扣除后的价格参与评审。</w:t>
      </w:r>
    </w:p>
    <w:p>
      <w:pPr>
        <w:wordWrap w:val="0"/>
        <w:spacing w:line="440" w:lineRule="exact"/>
        <w:ind w:firstLine="480" w:firstLineChars="200"/>
        <w:rPr>
          <w:color w:val="000000"/>
          <w:sz w:val="24"/>
          <w:szCs w:val="24"/>
        </w:rPr>
      </w:pPr>
      <w:r>
        <w:rPr>
          <w:color w:val="000000"/>
          <w:sz w:val="24"/>
          <w:szCs w:val="24"/>
        </w:rPr>
        <w:t>（2）供应商需按照采购文件的要求提供相应的《企业声明函》。</w:t>
      </w:r>
    </w:p>
    <w:p>
      <w:pPr>
        <w:wordWrap w:val="0"/>
        <w:spacing w:line="440" w:lineRule="exact"/>
        <w:ind w:firstLine="480" w:firstLineChars="200"/>
        <w:rPr>
          <w:color w:val="000000"/>
          <w:sz w:val="24"/>
          <w:szCs w:val="24"/>
        </w:rPr>
      </w:pPr>
      <w:r>
        <w:rPr>
          <w:color w:val="000000"/>
          <w:sz w:val="24"/>
          <w:szCs w:val="24"/>
        </w:rPr>
        <w:t>（3）企业标准请参照《关于印发中小企业划型标准规定的通知》（工信部联企业[2011]300号）文件规定自行填写。</w:t>
      </w:r>
    </w:p>
    <w:p>
      <w:pPr>
        <w:wordWrap w:val="0"/>
        <w:spacing w:line="440" w:lineRule="exact"/>
        <w:ind w:firstLine="480" w:firstLineChars="200"/>
        <w:rPr>
          <w:color w:val="000000"/>
          <w:sz w:val="24"/>
          <w:szCs w:val="24"/>
        </w:rPr>
      </w:pPr>
      <w:r>
        <w:rPr>
          <w:color w:val="000000"/>
          <w:sz w:val="24"/>
          <w:szCs w:val="24"/>
        </w:rPr>
        <w:t>（4）在货物采购项目中，供应商提供的货物既有中小企业制造货物，也有大型企业制造货物的，不享受本办法规定的中小企业扶持政策。</w:t>
      </w:r>
    </w:p>
    <w:p>
      <w:pPr>
        <w:wordWrap w:val="0"/>
        <w:spacing w:line="440" w:lineRule="exact"/>
        <w:ind w:firstLine="480" w:firstLineChars="200"/>
        <w:rPr>
          <w:color w:val="000000"/>
          <w:sz w:val="24"/>
          <w:szCs w:val="24"/>
        </w:rPr>
      </w:pPr>
      <w:r>
        <w:rPr>
          <w:color w:val="000000"/>
          <w:sz w:val="24"/>
          <w:szCs w:val="24"/>
        </w:rPr>
        <w:t>2、残疾人福利单位价格扣除</w:t>
      </w:r>
    </w:p>
    <w:p>
      <w:pPr>
        <w:wordWrap w:val="0"/>
        <w:spacing w:line="440" w:lineRule="exact"/>
        <w:ind w:firstLine="480" w:firstLineChars="200"/>
        <w:rPr>
          <w:color w:val="000000"/>
          <w:sz w:val="24"/>
          <w:szCs w:val="24"/>
        </w:rPr>
      </w:pPr>
      <w:r>
        <w:rPr>
          <w:color w:val="000000"/>
          <w:sz w:val="24"/>
          <w:szCs w:val="24"/>
        </w:rPr>
        <w:t>（1）本项目对残疾人福利性单位视同小型、微型企业，给予20%的价格扣除，用扣除后的价格参与评审。</w:t>
      </w:r>
    </w:p>
    <w:p>
      <w:pPr>
        <w:wordWrap w:val="0"/>
        <w:spacing w:line="440" w:lineRule="exact"/>
        <w:ind w:firstLine="480" w:firstLineChars="200"/>
        <w:rPr>
          <w:color w:val="000000"/>
          <w:sz w:val="24"/>
          <w:szCs w:val="24"/>
        </w:rPr>
      </w:pPr>
      <w:r>
        <w:rPr>
          <w:color w:val="000000"/>
          <w:sz w:val="24"/>
          <w:szCs w:val="24"/>
        </w:rPr>
        <w:t>（2）残疾人福利单位需提供《残疾人福利性单位声明函》。</w:t>
      </w:r>
    </w:p>
    <w:p>
      <w:pPr>
        <w:wordWrap w:val="0"/>
        <w:spacing w:line="440" w:lineRule="exact"/>
        <w:ind w:firstLine="480" w:firstLineChars="200"/>
        <w:rPr>
          <w:color w:val="000000"/>
          <w:sz w:val="24"/>
          <w:szCs w:val="24"/>
        </w:rPr>
      </w:pPr>
      <w:r>
        <w:rPr>
          <w:color w:val="000000"/>
          <w:sz w:val="24"/>
          <w:szCs w:val="24"/>
        </w:rPr>
        <w:t>（3）残疾人福利单位标准请参照《关于促进残疾人就业政府采购政策的通知》（财库〔2017〕141号）。</w:t>
      </w:r>
    </w:p>
    <w:p>
      <w:pPr>
        <w:wordWrap w:val="0"/>
        <w:spacing w:line="440" w:lineRule="exact"/>
        <w:ind w:firstLine="480" w:firstLineChars="200"/>
        <w:rPr>
          <w:color w:val="000000"/>
          <w:sz w:val="24"/>
          <w:szCs w:val="24"/>
        </w:rPr>
      </w:pPr>
      <w:r>
        <w:rPr>
          <w:color w:val="000000"/>
          <w:sz w:val="24"/>
          <w:szCs w:val="24"/>
        </w:rPr>
        <w:t>3、监狱和戒毒企业价格扣除</w:t>
      </w:r>
    </w:p>
    <w:p>
      <w:pPr>
        <w:wordWrap w:val="0"/>
        <w:spacing w:line="440" w:lineRule="exact"/>
        <w:ind w:firstLine="480" w:firstLineChars="200"/>
        <w:rPr>
          <w:color w:val="000000"/>
          <w:sz w:val="24"/>
          <w:szCs w:val="24"/>
        </w:rPr>
      </w:pPr>
      <w:r>
        <w:rPr>
          <w:color w:val="000000"/>
          <w:sz w:val="24"/>
          <w:szCs w:val="24"/>
        </w:rPr>
        <w:t>（1）本项目对监狱和戒毒企业（简称监狱企业）视同小型、微型企业，给予20%的价格扣除，用扣除后的价格参与评审。</w:t>
      </w:r>
    </w:p>
    <w:p>
      <w:pPr>
        <w:wordWrap w:val="0"/>
        <w:spacing w:line="440" w:lineRule="exact"/>
        <w:ind w:firstLine="480" w:firstLineChars="200"/>
        <w:rPr>
          <w:color w:val="000000"/>
          <w:sz w:val="24"/>
          <w:szCs w:val="24"/>
        </w:rPr>
      </w:pPr>
      <w:r>
        <w:rPr>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pPr>
        <w:wordWrap w:val="0"/>
        <w:spacing w:line="440" w:lineRule="exact"/>
        <w:ind w:firstLine="480" w:firstLineChars="200"/>
        <w:rPr>
          <w:color w:val="000000"/>
          <w:sz w:val="24"/>
          <w:szCs w:val="24"/>
        </w:rPr>
      </w:pPr>
      <w:r>
        <w:rPr>
          <w:color w:val="000000"/>
          <w:sz w:val="24"/>
          <w:szCs w:val="24"/>
        </w:rPr>
        <w:t>（3）监狱企业标准请参照《关于政府采购支持监狱企业发展有关问题的通知》（财库[2014]68号）。</w:t>
      </w:r>
    </w:p>
    <w:p>
      <w:pPr>
        <w:wordWrap w:val="0"/>
        <w:spacing w:line="440" w:lineRule="exact"/>
        <w:ind w:firstLine="480" w:firstLineChars="200"/>
        <w:rPr>
          <w:color w:val="000000"/>
          <w:sz w:val="24"/>
          <w:szCs w:val="24"/>
        </w:rPr>
      </w:pPr>
      <w:r>
        <w:rPr>
          <w:color w:val="000000"/>
          <w:sz w:val="24"/>
          <w:szCs w:val="24"/>
        </w:rPr>
        <w:t>4、残疾人福利单位、监狱企业属于小型、微型企业的，不重复享受政策。</w:t>
      </w:r>
    </w:p>
    <w:p>
      <w:pPr>
        <w:pStyle w:val="196"/>
        <w:spacing w:line="420" w:lineRule="auto"/>
        <w:jc w:val="both"/>
        <w:rPr>
          <w:rFonts w:ascii="黑体" w:eastAsia="黑体"/>
          <w:bCs/>
          <w:sz w:val="44"/>
        </w:rPr>
        <w:sectPr>
          <w:pgSz w:w="11906" w:h="16838"/>
          <w:pgMar w:top="1418" w:right="1588" w:bottom="1418" w:left="1365" w:header="851" w:footer="907" w:gutter="0"/>
          <w:cols w:space="1701" w:num="1"/>
          <w:titlePg/>
          <w:docGrid w:linePitch="360" w:charSpace="0"/>
        </w:sectPr>
      </w:pPr>
    </w:p>
    <w:p>
      <w:pPr>
        <w:snapToGrid w:val="0"/>
        <w:spacing w:line="380" w:lineRule="exact"/>
        <w:jc w:val="left"/>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二、 评分标准</w:t>
      </w:r>
    </w:p>
    <w:tbl>
      <w:tblPr>
        <w:tblStyle w:val="39"/>
        <w:tblW w:w="10131" w:type="dxa"/>
        <w:tblInd w:w="-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9"/>
        <w:gridCol w:w="1108"/>
        <w:gridCol w:w="7629"/>
        <w:gridCol w:w="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序号</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评审因素</w:t>
            </w:r>
          </w:p>
        </w:tc>
        <w:tc>
          <w:tcPr>
            <w:tcW w:w="762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评审细则</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4"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p>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价格</w:t>
            </w:r>
          </w:p>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p>
        </w:tc>
        <w:tc>
          <w:tcPr>
            <w:tcW w:w="762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的价格分统一采用低价优先法计算，满足磋商文件要求且投标价格最低的投标报价为评标基准价，其价格分为满分。其他投标人的价格分统一按照下列公式计算投标报价得分=(评标基准价／投标报价)×10（按四舍五入取至小数点后两位）</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10分</w:t>
            </w:r>
          </w:p>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人员配备</w:t>
            </w:r>
          </w:p>
        </w:tc>
        <w:tc>
          <w:tcPr>
            <w:tcW w:w="7629" w:type="dxa"/>
            <w:tcBorders>
              <w:top w:val="single" w:color="auto" w:sz="4" w:space="0"/>
              <w:left w:val="single" w:color="auto" w:sz="4" w:space="0"/>
              <w:bottom w:val="single" w:color="auto" w:sz="4" w:space="0"/>
              <w:right w:val="single" w:color="auto" w:sz="4" w:space="0"/>
            </w:tcBorders>
            <w:noWrap/>
            <w:vAlign w:val="center"/>
          </w:tcPr>
          <w:p>
            <w:pPr>
              <w:pStyle w:val="317"/>
              <w:adjustRightInd w:val="0"/>
              <w:snapToGrid w:val="0"/>
              <w:ind w:firstLine="420" w:firstLineChars="2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投标人具有与食品抽检工作相匹配的专职抽样人员和检验人员</w:t>
            </w:r>
          </w:p>
          <w:p>
            <w:pPr>
              <w:pStyle w:val="317"/>
              <w:adjustRightInd w:val="0"/>
              <w:snapToGrid w:val="0"/>
              <w:ind w:firstLine="420" w:firstLineChars="2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1</w:t>
            </w:r>
            <w:r>
              <w:rPr>
                <w:rFonts w:hint="eastAsia" w:ascii="宋体" w:hAnsi="宋体" w:eastAsia="宋体" w:cs="宋体"/>
                <w:color w:val="000000" w:themeColor="text1"/>
                <w:kern w:val="2"/>
                <w:sz w:val="21"/>
                <w:szCs w:val="21"/>
                <w:lang w:val="en-US"/>
                <w14:textFill>
                  <w14:solidFill>
                    <w14:schemeClr w14:val="tx1"/>
                  </w14:solidFill>
                </w14:textFill>
              </w:rPr>
              <w:t>.</w:t>
            </w:r>
            <w:r>
              <w:rPr>
                <w:rFonts w:hint="eastAsia" w:ascii="宋体" w:hAnsi="宋体" w:eastAsia="宋体" w:cs="宋体"/>
                <w:color w:val="000000" w:themeColor="text1"/>
                <w:kern w:val="2"/>
                <w:sz w:val="21"/>
                <w:szCs w:val="21"/>
                <w14:textFill>
                  <w14:solidFill>
                    <w14:schemeClr w14:val="tx1"/>
                  </w14:solidFill>
                </w14:textFill>
              </w:rPr>
              <w:t>人员数量（</w:t>
            </w:r>
            <w:r>
              <w:rPr>
                <w:rFonts w:hint="eastAsia" w:ascii="宋体" w:hAnsi="宋体" w:eastAsia="宋体" w:cs="宋体"/>
                <w:color w:val="000000" w:themeColor="text1"/>
                <w:kern w:val="2"/>
                <w:sz w:val="21"/>
                <w:szCs w:val="21"/>
                <w:lang w:val="en-US" w:eastAsia="zh-CN"/>
                <w14:textFill>
                  <w14:solidFill>
                    <w14:schemeClr w14:val="tx1"/>
                  </w14:solidFill>
                </w14:textFill>
              </w:rPr>
              <w:t>4</w:t>
            </w:r>
            <w:r>
              <w:rPr>
                <w:rFonts w:hint="eastAsia" w:ascii="宋体" w:hAnsi="宋体" w:eastAsia="宋体" w:cs="宋体"/>
                <w:color w:val="000000" w:themeColor="text1"/>
                <w:kern w:val="2"/>
                <w:sz w:val="21"/>
                <w:szCs w:val="21"/>
                <w14:textFill>
                  <w14:solidFill>
                    <w14:schemeClr w14:val="tx1"/>
                  </w14:solidFill>
                </w14:textFill>
              </w:rPr>
              <w:t>分）</w:t>
            </w:r>
          </w:p>
          <w:p>
            <w:pPr>
              <w:pStyle w:val="317"/>
              <w:adjustRightInd w:val="0"/>
              <w:snapToGrid w:val="0"/>
              <w:ind w:firstLine="420" w:firstLineChars="2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①食品抽样人员</w:t>
            </w:r>
            <w:r>
              <w:rPr>
                <w:rFonts w:hint="eastAsia" w:ascii="宋体" w:hAnsi="宋体" w:eastAsia="宋体" w:cs="宋体"/>
                <w:color w:val="000000" w:themeColor="text1"/>
                <w:kern w:val="2"/>
                <w:sz w:val="21"/>
                <w:szCs w:val="21"/>
                <w:lang w:val="en-US" w:eastAsia="zh-CN"/>
                <w14:textFill>
                  <w14:solidFill>
                    <w14:schemeClr w14:val="tx1"/>
                  </w14:solidFill>
                </w14:textFill>
              </w:rPr>
              <w:t>在满足</w:t>
            </w:r>
            <w:r>
              <w:rPr>
                <w:rFonts w:hint="eastAsia" w:ascii="宋体" w:hAnsi="宋体" w:eastAsia="宋体" w:cs="宋体"/>
                <w:color w:val="000000" w:themeColor="text1"/>
                <w:kern w:val="2"/>
                <w:sz w:val="21"/>
                <w:szCs w:val="21"/>
                <w14:textFill>
                  <w14:solidFill>
                    <w14:schemeClr w14:val="tx1"/>
                  </w14:solidFill>
                </w14:textFill>
              </w:rPr>
              <w:t>10人的</w:t>
            </w:r>
            <w:r>
              <w:rPr>
                <w:rFonts w:hint="eastAsia" w:ascii="宋体" w:hAnsi="宋体" w:eastAsia="宋体" w:cs="宋体"/>
                <w:color w:val="000000" w:themeColor="text1"/>
                <w:kern w:val="2"/>
                <w:sz w:val="21"/>
                <w:szCs w:val="21"/>
                <w:lang w:val="en-US" w:eastAsia="zh-CN"/>
                <w14:textFill>
                  <w14:solidFill>
                    <w14:schemeClr w14:val="tx1"/>
                  </w14:solidFill>
                </w14:textFill>
              </w:rPr>
              <w:t>基础上</w:t>
            </w:r>
            <w:r>
              <w:rPr>
                <w:rFonts w:hint="eastAsia" w:ascii="宋体" w:hAnsi="宋体" w:eastAsia="宋体" w:cs="宋体"/>
                <w:color w:val="000000" w:themeColor="text1"/>
                <w:kern w:val="2"/>
                <w:sz w:val="21"/>
                <w:szCs w:val="21"/>
                <w14:textFill>
                  <w14:solidFill>
                    <w14:schemeClr w14:val="tx1"/>
                  </w14:solidFill>
                </w14:textFill>
              </w:rPr>
              <w:t>，每</w:t>
            </w:r>
            <w:r>
              <w:rPr>
                <w:rFonts w:hint="eastAsia" w:ascii="宋体" w:hAnsi="宋体" w:eastAsia="宋体" w:cs="宋体"/>
                <w:color w:val="000000" w:themeColor="text1"/>
                <w:kern w:val="2"/>
                <w:sz w:val="21"/>
                <w:szCs w:val="21"/>
                <w:lang w:val="en-US" w:eastAsia="zh-CN"/>
                <w14:textFill>
                  <w14:solidFill>
                    <w14:schemeClr w14:val="tx1"/>
                  </w14:solidFill>
                </w14:textFill>
              </w:rPr>
              <w:t>增加1</w:t>
            </w:r>
            <w:r>
              <w:rPr>
                <w:rFonts w:hint="eastAsia" w:ascii="宋体" w:hAnsi="宋体" w:eastAsia="宋体" w:cs="宋体"/>
                <w:color w:val="000000" w:themeColor="text1"/>
                <w:kern w:val="2"/>
                <w:sz w:val="21"/>
                <w:szCs w:val="21"/>
                <w14:textFill>
                  <w14:solidFill>
                    <w14:schemeClr w14:val="tx1"/>
                  </w14:solidFill>
                </w14:textFill>
              </w:rPr>
              <w:t>人</w:t>
            </w:r>
            <w:r>
              <w:rPr>
                <w:rFonts w:hint="eastAsia" w:ascii="宋体" w:hAnsi="宋体" w:eastAsia="宋体" w:cs="宋体"/>
                <w:color w:val="000000" w:themeColor="text1"/>
                <w:kern w:val="2"/>
                <w:sz w:val="21"/>
                <w:szCs w:val="21"/>
                <w:lang w:val="en-US" w:eastAsia="zh-CN"/>
                <w14:textFill>
                  <w14:solidFill>
                    <w14:schemeClr w14:val="tx1"/>
                  </w14:solidFill>
                </w14:textFill>
              </w:rPr>
              <w:t>得0.4分，本项最高得2分</w:t>
            </w:r>
            <w:r>
              <w:rPr>
                <w:rFonts w:hint="eastAsia" w:ascii="宋体" w:hAnsi="宋体" w:eastAsia="宋体" w:cs="宋体"/>
                <w:color w:val="000000" w:themeColor="text1"/>
                <w:kern w:val="2"/>
                <w:sz w:val="21"/>
                <w:szCs w:val="21"/>
                <w14:textFill>
                  <w14:solidFill>
                    <w14:schemeClr w14:val="tx1"/>
                  </w14:solidFill>
                </w14:textFill>
              </w:rPr>
              <w:t xml:space="preserve">； </w:t>
            </w:r>
          </w:p>
          <w:p>
            <w:pPr>
              <w:pStyle w:val="317"/>
              <w:adjustRightInd w:val="0"/>
              <w:snapToGrid w:val="0"/>
              <w:ind w:firstLine="420" w:firstLineChars="2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②食品检验人员</w:t>
            </w:r>
            <w:r>
              <w:rPr>
                <w:rFonts w:hint="eastAsia" w:ascii="宋体" w:hAnsi="宋体" w:eastAsia="宋体" w:cs="宋体"/>
                <w:color w:val="000000" w:themeColor="text1"/>
                <w:kern w:val="2"/>
                <w:sz w:val="21"/>
                <w:szCs w:val="21"/>
                <w:lang w:val="en-US" w:eastAsia="zh-CN"/>
                <w14:textFill>
                  <w14:solidFill>
                    <w14:schemeClr w14:val="tx1"/>
                  </w14:solidFill>
                </w14:textFill>
              </w:rPr>
              <w:t>在满足30人</w:t>
            </w:r>
            <w:r>
              <w:rPr>
                <w:rFonts w:hint="eastAsia" w:ascii="宋体" w:hAnsi="宋体" w:eastAsia="宋体" w:cs="宋体"/>
                <w:color w:val="000000" w:themeColor="text1"/>
                <w:kern w:val="2"/>
                <w:sz w:val="21"/>
                <w:szCs w:val="21"/>
                <w14:textFill>
                  <w14:solidFill>
                    <w14:schemeClr w14:val="tx1"/>
                  </w14:solidFill>
                </w14:textFill>
              </w:rPr>
              <w:t>的</w:t>
            </w:r>
            <w:r>
              <w:rPr>
                <w:rFonts w:hint="eastAsia" w:ascii="宋体" w:hAnsi="宋体" w:eastAsia="宋体" w:cs="宋体"/>
                <w:color w:val="000000" w:themeColor="text1"/>
                <w:kern w:val="2"/>
                <w:sz w:val="21"/>
                <w:szCs w:val="21"/>
                <w:lang w:val="en-US" w:eastAsia="zh-CN"/>
                <w14:textFill>
                  <w14:solidFill>
                    <w14:schemeClr w14:val="tx1"/>
                  </w14:solidFill>
                </w14:textFill>
              </w:rPr>
              <w:t>基础上</w:t>
            </w:r>
            <w:r>
              <w:rPr>
                <w:rFonts w:hint="eastAsia" w:ascii="宋体" w:hAnsi="宋体" w:eastAsia="宋体" w:cs="宋体"/>
                <w:color w:val="000000" w:themeColor="text1"/>
                <w:kern w:val="2"/>
                <w:sz w:val="21"/>
                <w:szCs w:val="21"/>
                <w14:textFill>
                  <w14:solidFill>
                    <w14:schemeClr w14:val="tx1"/>
                  </w14:solidFill>
                </w14:textFill>
              </w:rPr>
              <w:t>，每</w:t>
            </w:r>
            <w:r>
              <w:rPr>
                <w:rFonts w:hint="eastAsia" w:ascii="宋体" w:hAnsi="宋体" w:eastAsia="宋体" w:cs="宋体"/>
                <w:color w:val="000000" w:themeColor="text1"/>
                <w:kern w:val="2"/>
                <w:sz w:val="21"/>
                <w:szCs w:val="21"/>
                <w:lang w:val="en-US" w:eastAsia="zh-CN"/>
                <w14:textFill>
                  <w14:solidFill>
                    <w14:schemeClr w14:val="tx1"/>
                  </w14:solidFill>
                </w14:textFill>
              </w:rPr>
              <w:t>增加1</w:t>
            </w:r>
            <w:r>
              <w:rPr>
                <w:rFonts w:hint="eastAsia" w:ascii="宋体" w:hAnsi="宋体" w:eastAsia="宋体" w:cs="宋体"/>
                <w:color w:val="000000" w:themeColor="text1"/>
                <w:kern w:val="2"/>
                <w:sz w:val="21"/>
                <w:szCs w:val="21"/>
                <w14:textFill>
                  <w14:solidFill>
                    <w14:schemeClr w14:val="tx1"/>
                  </w14:solidFill>
                </w14:textFill>
              </w:rPr>
              <w:t>人</w:t>
            </w:r>
            <w:r>
              <w:rPr>
                <w:rFonts w:hint="eastAsia" w:ascii="宋体" w:hAnsi="宋体" w:eastAsia="宋体" w:cs="宋体"/>
                <w:color w:val="000000" w:themeColor="text1"/>
                <w:kern w:val="2"/>
                <w:sz w:val="21"/>
                <w:szCs w:val="21"/>
                <w:lang w:val="en-US" w:eastAsia="zh-CN"/>
                <w14:textFill>
                  <w14:solidFill>
                    <w14:schemeClr w14:val="tx1"/>
                  </w14:solidFill>
                </w14:textFill>
              </w:rPr>
              <w:t>得0.1分，本项最高得2分</w:t>
            </w:r>
            <w:r>
              <w:rPr>
                <w:rFonts w:hint="eastAsia" w:ascii="宋体" w:hAnsi="宋体" w:eastAsia="宋体" w:cs="宋体"/>
                <w:color w:val="000000" w:themeColor="text1"/>
                <w:kern w:val="2"/>
                <w:sz w:val="21"/>
                <w:szCs w:val="21"/>
                <w14:textFill>
                  <w14:solidFill>
                    <w14:schemeClr w14:val="tx1"/>
                  </w14:solidFill>
                </w14:textFill>
              </w:rPr>
              <w:t>；</w:t>
            </w:r>
          </w:p>
          <w:p>
            <w:pPr>
              <w:pStyle w:val="317"/>
              <w:tabs>
                <w:tab w:val="left" w:pos="814"/>
              </w:tabs>
              <w:adjustRightInd w:val="0"/>
              <w:snapToGrid w:val="0"/>
              <w:ind w:firstLine="422" w:firstLineChars="200"/>
              <w:jc w:val="both"/>
              <w:rPr>
                <w:rFonts w:hint="eastAsia" w:ascii="宋体" w:hAnsi="宋体" w:eastAsia="宋体" w:cs="宋体"/>
                <w:b/>
                <w:bCs/>
                <w:color w:val="000000" w:themeColor="text1"/>
                <w:kern w:val="2"/>
                <w:sz w:val="21"/>
                <w:szCs w:val="21"/>
                <w14:textFill>
                  <w14:solidFill>
                    <w14:schemeClr w14:val="tx1"/>
                  </w14:solidFill>
                </w14:textFill>
              </w:rPr>
            </w:pPr>
            <w:r>
              <w:rPr>
                <w:rFonts w:hint="eastAsia" w:ascii="宋体" w:hAnsi="宋体" w:eastAsia="宋体" w:cs="宋体"/>
                <w:b/>
                <w:bCs/>
                <w:color w:val="000000" w:themeColor="text1"/>
                <w:kern w:val="2"/>
                <w:sz w:val="21"/>
                <w:szCs w:val="21"/>
                <w14:textFill>
                  <w14:solidFill>
                    <w14:schemeClr w14:val="tx1"/>
                  </w14:solidFill>
                </w14:textFill>
              </w:rPr>
              <w:t>（</w:t>
            </w:r>
            <w:r>
              <w:rPr>
                <w:rFonts w:hint="eastAsia" w:ascii="宋体" w:hAnsi="宋体" w:eastAsia="宋体" w:cs="宋体"/>
                <w:b/>
                <w:bCs/>
                <w:color w:val="000000" w:themeColor="text1"/>
                <w:kern w:val="2"/>
                <w:sz w:val="21"/>
                <w:szCs w:val="21"/>
                <w:lang w:val="en-US"/>
                <w14:textFill>
                  <w14:solidFill>
                    <w14:schemeClr w14:val="tx1"/>
                  </w14:solidFill>
                </w14:textFill>
              </w:rPr>
              <w:t>投标时</w:t>
            </w:r>
            <w:r>
              <w:rPr>
                <w:rFonts w:hint="eastAsia" w:ascii="宋体" w:hAnsi="宋体" w:eastAsia="宋体" w:cs="宋体"/>
                <w:b/>
                <w:bCs/>
                <w:color w:val="000000" w:themeColor="text1"/>
                <w:kern w:val="2"/>
                <w:sz w:val="21"/>
                <w:szCs w:val="21"/>
                <w14:textFill>
                  <w14:solidFill>
                    <w14:schemeClr w14:val="tx1"/>
                  </w14:solidFill>
                </w14:textFill>
              </w:rPr>
              <w:t>须提供人员食品岗位证明、学历证明、投标人为其缴纳近6个月</w:t>
            </w:r>
            <w:r>
              <w:rPr>
                <w:rFonts w:hint="eastAsia" w:ascii="宋体" w:hAnsi="宋体" w:eastAsia="宋体" w:cs="宋体"/>
                <w:b/>
                <w:bCs/>
                <w:color w:val="000000" w:themeColor="text1"/>
                <w:kern w:val="2"/>
                <w:sz w:val="21"/>
                <w:szCs w:val="21"/>
                <w:lang w:val="en-US"/>
                <w14:textFill>
                  <w14:solidFill>
                    <w14:schemeClr w14:val="tx1"/>
                  </w14:solidFill>
                </w14:textFill>
              </w:rPr>
              <w:t>以来任意一个月的</w:t>
            </w:r>
            <w:r>
              <w:rPr>
                <w:rFonts w:hint="eastAsia" w:ascii="宋体" w:hAnsi="宋体" w:eastAsia="宋体" w:cs="宋体"/>
                <w:b/>
                <w:bCs/>
                <w:color w:val="000000" w:themeColor="text1"/>
                <w:kern w:val="2"/>
                <w:sz w:val="21"/>
                <w:szCs w:val="21"/>
                <w14:textFill>
                  <w14:solidFill>
                    <w14:schemeClr w14:val="tx1"/>
                  </w14:solidFill>
                </w14:textFill>
              </w:rPr>
              <w:t>社保证明材料复印件，未提供或提供材料不全的不得分</w:t>
            </w:r>
            <w:r>
              <w:rPr>
                <w:rFonts w:hint="eastAsia" w:ascii="宋体" w:hAnsi="宋体" w:eastAsia="宋体" w:cs="宋体"/>
                <w:b/>
                <w:bCs/>
                <w:color w:val="000000" w:themeColor="text1"/>
                <w:kern w:val="2"/>
                <w:sz w:val="21"/>
                <w:szCs w:val="21"/>
                <w:lang w:val="en-US"/>
                <w14:textFill>
                  <w14:solidFill>
                    <w14:schemeClr w14:val="tx1"/>
                  </w14:solidFill>
                </w14:textFill>
              </w:rPr>
              <w:t>；</w:t>
            </w:r>
            <w:r>
              <w:rPr>
                <w:rFonts w:hint="eastAsia" w:ascii="宋体" w:hAnsi="宋体" w:eastAsia="宋体" w:cs="宋体"/>
                <w:b/>
                <w:bCs/>
                <w:color w:val="000000" w:themeColor="text1"/>
                <w:kern w:val="2"/>
                <w:sz w:val="21"/>
                <w:szCs w:val="21"/>
                <w14:textFill>
                  <w14:solidFill>
                    <w14:schemeClr w14:val="tx1"/>
                  </w14:solidFill>
                </w14:textFill>
              </w:rPr>
              <w:t>抽样人员和检验人员不能同时申报）</w:t>
            </w:r>
          </w:p>
          <w:p>
            <w:pPr>
              <w:pStyle w:val="317"/>
              <w:adjustRightInd w:val="0"/>
              <w:snapToGrid w:val="0"/>
              <w:ind w:firstLine="420" w:firstLineChars="2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2</w:t>
            </w:r>
            <w:r>
              <w:rPr>
                <w:rFonts w:hint="eastAsia" w:ascii="宋体" w:hAnsi="宋体" w:eastAsia="宋体" w:cs="宋体"/>
                <w:color w:val="000000" w:themeColor="text1"/>
                <w:kern w:val="2"/>
                <w:sz w:val="21"/>
                <w:szCs w:val="21"/>
                <w:lang w:val="en-US"/>
                <w14:textFill>
                  <w14:solidFill>
                    <w14:schemeClr w14:val="tx1"/>
                  </w14:solidFill>
                </w14:textFill>
              </w:rPr>
              <w:t>.</w:t>
            </w:r>
            <w:r>
              <w:rPr>
                <w:rFonts w:hint="eastAsia" w:ascii="宋体" w:hAnsi="宋体" w:eastAsia="宋体" w:cs="宋体"/>
                <w:color w:val="000000" w:themeColor="text1"/>
                <w:kern w:val="2"/>
                <w:sz w:val="21"/>
                <w:szCs w:val="21"/>
                <w14:textFill>
                  <w14:solidFill>
                    <w14:schemeClr w14:val="tx1"/>
                  </w14:solidFill>
                </w14:textFill>
              </w:rPr>
              <w:t>人员实力（</w:t>
            </w:r>
            <w:r>
              <w:rPr>
                <w:rFonts w:hint="eastAsia" w:ascii="宋体" w:hAnsi="宋体" w:eastAsia="宋体" w:cs="宋体"/>
                <w:color w:val="000000" w:themeColor="text1"/>
                <w:kern w:val="2"/>
                <w:sz w:val="21"/>
                <w:szCs w:val="21"/>
                <w:lang w:val="en-US" w:eastAsia="zh-CN"/>
                <w14:textFill>
                  <w14:solidFill>
                    <w14:schemeClr w14:val="tx1"/>
                  </w14:solidFill>
                </w14:textFill>
              </w:rPr>
              <w:t>8</w:t>
            </w:r>
            <w:r>
              <w:rPr>
                <w:rFonts w:hint="eastAsia" w:ascii="宋体" w:hAnsi="宋体" w:eastAsia="宋体" w:cs="宋体"/>
                <w:color w:val="000000" w:themeColor="text1"/>
                <w:kern w:val="2"/>
                <w:sz w:val="21"/>
                <w:szCs w:val="21"/>
                <w14:textFill>
                  <w14:solidFill>
                    <w14:schemeClr w14:val="tx1"/>
                  </w14:solidFill>
                </w14:textFill>
              </w:rPr>
              <w:t>分）</w:t>
            </w:r>
          </w:p>
          <w:p>
            <w:pPr>
              <w:pStyle w:val="317"/>
              <w:adjustRightInd w:val="0"/>
              <w:snapToGrid w:val="0"/>
              <w:ind w:firstLine="420" w:firstLineChars="2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①拟投入人员中具有</w:t>
            </w:r>
            <w:r>
              <w:rPr>
                <w:rFonts w:hint="eastAsia" w:ascii="宋体" w:hAnsi="宋体" w:eastAsia="宋体" w:cs="宋体"/>
                <w:color w:val="000000" w:themeColor="text1"/>
                <w:kern w:val="2"/>
                <w:sz w:val="21"/>
                <w:szCs w:val="21"/>
                <w:lang w:val="en-US" w:eastAsia="zh-CN"/>
                <w14:textFill>
                  <w14:solidFill>
                    <w14:schemeClr w14:val="tx1"/>
                  </w14:solidFill>
                </w14:textFill>
              </w:rPr>
              <w:t>副</w:t>
            </w:r>
            <w:r>
              <w:rPr>
                <w:rFonts w:hint="eastAsia" w:ascii="宋体" w:hAnsi="宋体" w:eastAsia="宋体" w:cs="宋体"/>
                <w:color w:val="000000" w:themeColor="text1"/>
                <w:kern w:val="2"/>
                <w:sz w:val="21"/>
                <w:szCs w:val="21"/>
                <w14:textFill>
                  <w14:solidFill>
                    <w14:schemeClr w14:val="tx1"/>
                  </w14:solidFill>
                </w14:textFill>
              </w:rPr>
              <w:t>高级及以上职称的每有1人得</w:t>
            </w:r>
            <w:r>
              <w:rPr>
                <w:rFonts w:hint="eastAsia" w:ascii="宋体" w:hAnsi="宋体" w:eastAsia="宋体" w:cs="宋体"/>
                <w:color w:val="000000" w:themeColor="text1"/>
                <w:kern w:val="2"/>
                <w:sz w:val="21"/>
                <w:szCs w:val="21"/>
                <w:lang w:val="en-US" w:eastAsia="zh-CN"/>
                <w14:textFill>
                  <w14:solidFill>
                    <w14:schemeClr w14:val="tx1"/>
                  </w14:solidFill>
                </w14:textFill>
              </w:rPr>
              <w:t>0.5</w:t>
            </w:r>
            <w:r>
              <w:rPr>
                <w:rFonts w:hint="eastAsia" w:ascii="宋体" w:hAnsi="宋体" w:eastAsia="宋体" w:cs="宋体"/>
                <w:color w:val="000000" w:themeColor="text1"/>
                <w:kern w:val="2"/>
                <w:sz w:val="21"/>
                <w:szCs w:val="21"/>
                <w14:textFill>
                  <w14:solidFill>
                    <w14:schemeClr w14:val="tx1"/>
                  </w14:solidFill>
                </w14:textFill>
              </w:rPr>
              <w:t>分，最多得</w:t>
            </w:r>
            <w:r>
              <w:rPr>
                <w:rFonts w:hint="eastAsia" w:ascii="宋体" w:hAnsi="宋体" w:eastAsia="宋体" w:cs="宋体"/>
                <w:color w:val="000000" w:themeColor="text1"/>
                <w:kern w:val="2"/>
                <w:sz w:val="21"/>
                <w:szCs w:val="21"/>
                <w:lang w:val="en-US" w:eastAsia="zh-CN"/>
                <w14:textFill>
                  <w14:solidFill>
                    <w14:schemeClr w14:val="tx1"/>
                  </w14:solidFill>
                </w14:textFill>
              </w:rPr>
              <w:t>2</w:t>
            </w:r>
            <w:r>
              <w:rPr>
                <w:rFonts w:hint="eastAsia" w:ascii="宋体" w:hAnsi="宋体" w:eastAsia="宋体" w:cs="宋体"/>
                <w:color w:val="000000" w:themeColor="text1"/>
                <w:kern w:val="2"/>
                <w:sz w:val="21"/>
                <w:szCs w:val="21"/>
                <w14:textFill>
                  <w14:solidFill>
                    <w14:schemeClr w14:val="tx1"/>
                  </w14:solidFill>
                </w14:textFill>
              </w:rPr>
              <w:t>分；</w:t>
            </w:r>
          </w:p>
          <w:p>
            <w:pPr>
              <w:pStyle w:val="317"/>
              <w:adjustRightInd w:val="0"/>
              <w:snapToGrid w:val="0"/>
              <w:ind w:firstLine="420" w:firstLineChars="2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②食品检验人员中，具有</w:t>
            </w:r>
            <w:r>
              <w:rPr>
                <w:rFonts w:hint="eastAsia" w:ascii="宋体" w:hAnsi="宋体" w:eastAsia="宋体" w:cs="宋体"/>
                <w:color w:val="000000" w:themeColor="text1"/>
                <w:kern w:val="2"/>
                <w:sz w:val="21"/>
                <w:szCs w:val="21"/>
                <w:lang w:val="en-US" w:eastAsia="zh-CN"/>
                <w14:textFill>
                  <w14:solidFill>
                    <w14:schemeClr w14:val="tx1"/>
                  </w14:solidFill>
                </w14:textFill>
              </w:rPr>
              <w:t>中</w:t>
            </w:r>
            <w:r>
              <w:rPr>
                <w:rFonts w:hint="eastAsia" w:ascii="宋体" w:hAnsi="宋体" w:eastAsia="宋体" w:cs="宋体"/>
                <w:color w:val="000000" w:themeColor="text1"/>
                <w:kern w:val="2"/>
                <w:sz w:val="21"/>
                <w:szCs w:val="21"/>
                <w14:textFill>
                  <w14:solidFill>
                    <w14:schemeClr w14:val="tx1"/>
                  </w14:solidFill>
                </w14:textFill>
              </w:rPr>
              <w:t>级及以上职称的每有</w:t>
            </w:r>
            <w:r>
              <w:rPr>
                <w:rFonts w:hint="eastAsia" w:ascii="宋体" w:hAnsi="宋体" w:eastAsia="宋体" w:cs="宋体"/>
                <w:color w:val="000000" w:themeColor="text1"/>
                <w:kern w:val="2"/>
                <w:sz w:val="21"/>
                <w:szCs w:val="21"/>
                <w:lang w:val="en-US" w:eastAsia="zh-CN"/>
                <w14:textFill>
                  <w14:solidFill>
                    <w14:schemeClr w14:val="tx1"/>
                  </w14:solidFill>
                </w14:textFill>
              </w:rPr>
              <w:t>1</w:t>
            </w:r>
            <w:r>
              <w:rPr>
                <w:rFonts w:hint="eastAsia" w:ascii="宋体" w:hAnsi="宋体" w:eastAsia="宋体" w:cs="宋体"/>
                <w:color w:val="000000" w:themeColor="text1"/>
                <w:kern w:val="2"/>
                <w:sz w:val="21"/>
                <w:szCs w:val="21"/>
                <w14:textFill>
                  <w14:solidFill>
                    <w14:schemeClr w14:val="tx1"/>
                  </w14:solidFill>
                </w14:textFill>
              </w:rPr>
              <w:t>人得</w:t>
            </w:r>
            <w:r>
              <w:rPr>
                <w:rFonts w:hint="eastAsia" w:ascii="宋体" w:hAnsi="宋体" w:eastAsia="宋体" w:cs="宋体"/>
                <w:color w:val="000000" w:themeColor="text1"/>
                <w:kern w:val="2"/>
                <w:sz w:val="21"/>
                <w:szCs w:val="21"/>
                <w:lang w:val="en-US" w:eastAsia="zh-CN"/>
                <w14:textFill>
                  <w14:solidFill>
                    <w14:schemeClr w14:val="tx1"/>
                  </w14:solidFill>
                </w14:textFill>
              </w:rPr>
              <w:t>0.2</w:t>
            </w:r>
            <w:r>
              <w:rPr>
                <w:rFonts w:hint="eastAsia" w:ascii="宋体" w:hAnsi="宋体" w:eastAsia="宋体" w:cs="宋体"/>
                <w:color w:val="000000" w:themeColor="text1"/>
                <w:kern w:val="2"/>
                <w:sz w:val="21"/>
                <w:szCs w:val="21"/>
                <w14:textFill>
                  <w14:solidFill>
                    <w14:schemeClr w14:val="tx1"/>
                  </w14:solidFill>
                </w14:textFill>
              </w:rPr>
              <w:t>分，最多得</w:t>
            </w:r>
            <w:r>
              <w:rPr>
                <w:rFonts w:hint="eastAsia" w:ascii="宋体" w:hAnsi="宋体" w:eastAsia="宋体" w:cs="宋体"/>
                <w:color w:val="000000" w:themeColor="text1"/>
                <w:kern w:val="2"/>
                <w:sz w:val="21"/>
                <w:szCs w:val="21"/>
                <w:lang w:val="en-US" w:eastAsia="zh-CN"/>
                <w14:textFill>
                  <w14:solidFill>
                    <w14:schemeClr w14:val="tx1"/>
                  </w14:solidFill>
                </w14:textFill>
              </w:rPr>
              <w:t>2</w:t>
            </w:r>
            <w:r>
              <w:rPr>
                <w:rFonts w:hint="eastAsia" w:ascii="宋体" w:hAnsi="宋体" w:eastAsia="宋体" w:cs="宋体"/>
                <w:color w:val="000000" w:themeColor="text1"/>
                <w:kern w:val="2"/>
                <w:sz w:val="21"/>
                <w:szCs w:val="21"/>
                <w14:textFill>
                  <w14:solidFill>
                    <w14:schemeClr w14:val="tx1"/>
                  </w14:solidFill>
                </w14:textFill>
              </w:rPr>
              <w:t>分。</w:t>
            </w:r>
          </w:p>
          <w:p>
            <w:pPr>
              <w:pStyle w:val="317"/>
              <w:adjustRightInd w:val="0"/>
              <w:snapToGrid w:val="0"/>
              <w:ind w:firstLine="420" w:firstLineChars="200"/>
              <w:jc w:val="both"/>
              <w:rPr>
                <w:rFonts w:hint="eastAsia" w:ascii="宋体" w:hAnsi="宋体" w:eastAsia="宋体" w:cs="宋体"/>
                <w:color w:val="000000" w:themeColor="text1"/>
                <w:kern w:val="2"/>
                <w:sz w:val="21"/>
                <w:szCs w:val="21"/>
                <w:lang w:val="zh-TW" w:eastAsia="zh-TW"/>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③检验机构（含</w:t>
            </w:r>
            <w:r>
              <w:rPr>
                <w:rFonts w:hint="eastAsia" w:ascii="宋体" w:hAnsi="宋体" w:eastAsia="宋体" w:cs="宋体"/>
                <w:color w:val="000000" w:themeColor="text1"/>
                <w:kern w:val="2"/>
                <w:sz w:val="21"/>
                <w:szCs w:val="21"/>
                <w:lang w:val="zh-TW" w:eastAsia="zh-TW"/>
                <w14:textFill>
                  <w14:solidFill>
                    <w14:schemeClr w14:val="tx1"/>
                  </w14:solidFill>
                </w14:textFill>
              </w:rPr>
              <w:t>检验人员</w:t>
            </w: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eastAsia="宋体" w:cs="宋体"/>
                <w:color w:val="000000" w:themeColor="text1"/>
                <w:kern w:val="2"/>
                <w:sz w:val="21"/>
                <w:szCs w:val="21"/>
                <w:lang w:val="en-US" w:eastAsia="zh-CN"/>
                <w14:textFill>
                  <w14:solidFill>
                    <w14:schemeClr w14:val="tx1"/>
                  </w14:solidFill>
                </w14:textFill>
              </w:rPr>
              <w:t>自2021年1月1日以来</w:t>
            </w:r>
            <w:r>
              <w:rPr>
                <w:rFonts w:hint="eastAsia" w:ascii="宋体" w:hAnsi="宋体" w:eastAsia="宋体" w:cs="宋体"/>
                <w:color w:val="000000" w:themeColor="text1"/>
                <w:kern w:val="2"/>
                <w:sz w:val="21"/>
                <w:szCs w:val="21"/>
                <w:lang w:val="zh-TW" w:eastAsia="zh-TW"/>
                <w14:textFill>
                  <w14:solidFill>
                    <w14:schemeClr w14:val="tx1"/>
                  </w14:solidFill>
                </w14:textFill>
              </w:rPr>
              <w:t>在省级</w:t>
            </w:r>
            <w:r>
              <w:rPr>
                <w:rFonts w:hint="eastAsia" w:ascii="宋体" w:hAnsi="宋体" w:eastAsia="宋体" w:cs="宋体"/>
                <w:color w:val="000000" w:themeColor="text1"/>
                <w:kern w:val="2"/>
                <w:sz w:val="21"/>
                <w:szCs w:val="21"/>
                <w14:textFill>
                  <w14:solidFill>
                    <w14:schemeClr w14:val="tx1"/>
                  </w14:solidFill>
                </w14:textFill>
              </w:rPr>
              <w:t>及以上</w:t>
            </w:r>
            <w:r>
              <w:rPr>
                <w:rFonts w:hint="eastAsia" w:ascii="宋体" w:hAnsi="宋体" w:eastAsia="宋体" w:cs="宋体"/>
                <w:color w:val="000000" w:themeColor="text1"/>
                <w:kern w:val="2"/>
                <w:sz w:val="21"/>
                <w:szCs w:val="21"/>
                <w:lang w:val="en-US" w:eastAsia="zh-CN"/>
                <w14:textFill>
                  <w14:solidFill>
                    <w14:schemeClr w14:val="tx1"/>
                  </w14:solidFill>
                </w14:textFill>
              </w:rPr>
              <w:t>行业主管部门或协会举办的</w:t>
            </w:r>
            <w:r>
              <w:rPr>
                <w:rFonts w:hint="eastAsia" w:ascii="宋体" w:hAnsi="宋体" w:eastAsia="宋体" w:cs="宋体"/>
                <w:color w:val="000000" w:themeColor="text1"/>
                <w:kern w:val="2"/>
                <w:sz w:val="21"/>
                <w:szCs w:val="21"/>
                <w:lang w:val="zh-TW" w:eastAsia="zh-TW"/>
                <w14:textFill>
                  <w14:solidFill>
                    <w14:schemeClr w14:val="tx1"/>
                  </w14:solidFill>
                </w14:textFill>
              </w:rPr>
              <w:t>食品检验大赛中获奖</w:t>
            </w:r>
            <w:r>
              <w:rPr>
                <w:rFonts w:hint="eastAsia" w:ascii="宋体" w:hAnsi="宋体" w:eastAsia="宋体" w:cs="宋体"/>
                <w:color w:val="000000" w:themeColor="text1"/>
                <w:kern w:val="2"/>
                <w:sz w:val="21"/>
                <w:szCs w:val="21"/>
                <w:lang w:val="en-US" w:eastAsia="zh-CN"/>
                <w14:textFill>
                  <w14:solidFill>
                    <w14:schemeClr w14:val="tx1"/>
                  </w14:solidFill>
                </w14:textFill>
              </w:rPr>
              <w:t>或获得</w:t>
            </w:r>
            <w:r>
              <w:rPr>
                <w:rFonts w:hint="eastAsia" w:ascii="宋体" w:hAnsi="宋体" w:eastAsia="宋体" w:cs="宋体"/>
                <w:color w:val="000000" w:themeColor="text1"/>
                <w:kern w:val="2"/>
                <w:sz w:val="21"/>
                <w:szCs w:val="21"/>
                <w14:textFill>
                  <w14:solidFill>
                    <w14:schemeClr w14:val="tx1"/>
                  </w14:solidFill>
                </w14:textFill>
              </w:rPr>
              <w:t>省级科技进步奖</w:t>
            </w:r>
            <w:r>
              <w:rPr>
                <w:rFonts w:hint="eastAsia" w:ascii="宋体" w:hAnsi="宋体" w:eastAsia="宋体" w:cs="宋体"/>
                <w:color w:val="000000" w:themeColor="text1"/>
                <w:kern w:val="2"/>
                <w:sz w:val="21"/>
                <w:szCs w:val="21"/>
                <w:lang w:val="en-US" w:eastAsia="zh-CN"/>
                <w14:textFill>
                  <w14:solidFill>
                    <w14:schemeClr w14:val="tx1"/>
                  </w14:solidFill>
                </w14:textFill>
              </w:rPr>
              <w:t>有一次</w:t>
            </w:r>
            <w:r>
              <w:rPr>
                <w:rFonts w:hint="eastAsia" w:ascii="宋体" w:hAnsi="宋体" w:eastAsia="宋体" w:cs="宋体"/>
                <w:color w:val="000000" w:themeColor="text1"/>
                <w:kern w:val="2"/>
                <w:sz w:val="21"/>
                <w:szCs w:val="21"/>
                <w:lang w:val="zh-TW" w:eastAsia="zh-TW"/>
                <w14:textFill>
                  <w14:solidFill>
                    <w14:schemeClr w14:val="tx1"/>
                  </w14:solidFill>
                </w14:textFill>
              </w:rPr>
              <w:t>加</w:t>
            </w:r>
            <w:r>
              <w:rPr>
                <w:rFonts w:hint="eastAsia" w:ascii="宋体" w:hAnsi="宋体" w:eastAsia="宋体" w:cs="宋体"/>
                <w:color w:val="000000" w:themeColor="text1"/>
                <w:kern w:val="2"/>
                <w:sz w:val="21"/>
                <w:szCs w:val="21"/>
                <w:lang w:val="en-US" w:eastAsia="zh-CN"/>
                <w14:textFill>
                  <w14:solidFill>
                    <w14:schemeClr w14:val="tx1"/>
                  </w14:solidFill>
                </w14:textFill>
              </w:rPr>
              <w:t>1.5</w:t>
            </w:r>
            <w:r>
              <w:rPr>
                <w:rFonts w:hint="eastAsia" w:ascii="宋体" w:hAnsi="宋体" w:eastAsia="宋体" w:cs="宋体"/>
                <w:color w:val="000000" w:themeColor="text1"/>
                <w:kern w:val="2"/>
                <w:sz w:val="21"/>
                <w:szCs w:val="21"/>
                <w:lang w:val="zh-TW" w:eastAsia="zh-TW"/>
                <w14:textFill>
                  <w14:solidFill>
                    <w14:schemeClr w14:val="tx1"/>
                  </w14:solidFill>
                </w14:textFill>
              </w:rPr>
              <w:t>分</w:t>
            </w: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eastAsia="宋体" w:cs="宋体"/>
                <w:color w:val="000000" w:themeColor="text1"/>
                <w:kern w:val="2"/>
                <w:sz w:val="21"/>
                <w:szCs w:val="21"/>
                <w:lang w:eastAsia="zh-TW"/>
                <w14:textFill>
                  <w14:solidFill>
                    <w14:schemeClr w14:val="tx1"/>
                  </w14:solidFill>
                </w14:textFill>
              </w:rPr>
              <w:t>在市级食品检验大赛中获奖</w:t>
            </w:r>
            <w:r>
              <w:rPr>
                <w:rFonts w:hint="eastAsia" w:ascii="宋体" w:hAnsi="宋体" w:eastAsia="宋体" w:cs="宋体"/>
                <w:color w:val="000000" w:themeColor="text1"/>
                <w:kern w:val="2"/>
                <w:sz w:val="21"/>
                <w:szCs w:val="21"/>
                <w:lang w:val="en-US" w:eastAsia="zh-CN"/>
                <w14:textFill>
                  <w14:solidFill>
                    <w14:schemeClr w14:val="tx1"/>
                  </w14:solidFill>
                </w14:textFill>
              </w:rPr>
              <w:t>或</w:t>
            </w:r>
            <w:r>
              <w:rPr>
                <w:rFonts w:hint="eastAsia" w:ascii="宋体" w:hAnsi="宋体" w:eastAsia="宋体" w:cs="宋体"/>
                <w:color w:val="000000" w:themeColor="text1"/>
                <w:kern w:val="2"/>
                <w:sz w:val="21"/>
                <w:szCs w:val="21"/>
                <w14:textFill>
                  <w14:solidFill>
                    <w14:schemeClr w14:val="tx1"/>
                  </w14:solidFill>
                </w14:textFill>
              </w:rPr>
              <w:t>获得市级科技进步奖</w:t>
            </w:r>
            <w:r>
              <w:rPr>
                <w:rFonts w:hint="eastAsia" w:ascii="宋体" w:hAnsi="宋体" w:eastAsia="宋体" w:cs="宋体"/>
                <w:color w:val="000000" w:themeColor="text1"/>
                <w:kern w:val="2"/>
                <w:sz w:val="21"/>
                <w:szCs w:val="21"/>
                <w:lang w:eastAsia="zh-TW"/>
                <w14:textFill>
                  <w14:solidFill>
                    <w14:schemeClr w14:val="tx1"/>
                  </w14:solidFill>
                </w14:textFill>
              </w:rPr>
              <w:t>的</w:t>
            </w:r>
            <w:r>
              <w:rPr>
                <w:rFonts w:hint="eastAsia" w:ascii="宋体" w:hAnsi="宋体" w:eastAsia="宋体" w:cs="宋体"/>
                <w:color w:val="000000" w:themeColor="text1"/>
                <w:kern w:val="2"/>
                <w:sz w:val="21"/>
                <w:szCs w:val="21"/>
                <w:lang w:val="en-US" w:eastAsia="zh-CN"/>
                <w14:textFill>
                  <w14:solidFill>
                    <w14:schemeClr w14:val="tx1"/>
                  </w14:solidFill>
                </w14:textFill>
              </w:rPr>
              <w:t>有一次</w:t>
            </w:r>
            <w:r>
              <w:rPr>
                <w:rFonts w:hint="eastAsia" w:ascii="宋体" w:hAnsi="宋体" w:eastAsia="宋体" w:cs="宋体"/>
                <w:color w:val="000000" w:themeColor="text1"/>
                <w:kern w:val="2"/>
                <w:sz w:val="21"/>
                <w:szCs w:val="21"/>
                <w:lang w:eastAsia="zh-TW"/>
                <w14:textFill>
                  <w14:solidFill>
                    <w14:schemeClr w14:val="tx1"/>
                  </w14:solidFill>
                </w14:textFill>
              </w:rPr>
              <w:t>加</w:t>
            </w:r>
            <w:r>
              <w:rPr>
                <w:rFonts w:hint="eastAsia" w:ascii="宋体" w:hAnsi="宋体" w:eastAsia="宋体" w:cs="宋体"/>
                <w:color w:val="000000" w:themeColor="text1"/>
                <w:kern w:val="2"/>
                <w:sz w:val="21"/>
                <w:szCs w:val="21"/>
                <w:lang w:val="en-US" w:eastAsia="zh-CN"/>
                <w14:textFill>
                  <w14:solidFill>
                    <w14:schemeClr w14:val="tx1"/>
                  </w14:solidFill>
                </w14:textFill>
              </w:rPr>
              <w:t>1</w:t>
            </w:r>
            <w:r>
              <w:rPr>
                <w:rFonts w:hint="eastAsia" w:ascii="宋体" w:hAnsi="宋体" w:eastAsia="宋体" w:cs="宋体"/>
                <w:color w:val="000000" w:themeColor="text1"/>
                <w:kern w:val="2"/>
                <w:sz w:val="21"/>
                <w:szCs w:val="21"/>
                <w:lang w:eastAsia="zh-TW"/>
                <w14:textFill>
                  <w14:solidFill>
                    <w14:schemeClr w14:val="tx1"/>
                  </w14:solidFill>
                </w14:textFill>
              </w:rPr>
              <w:t>分，</w:t>
            </w:r>
            <w:r>
              <w:rPr>
                <w:rFonts w:hint="eastAsia" w:ascii="宋体" w:hAnsi="宋体" w:eastAsia="宋体" w:cs="宋体"/>
                <w:color w:val="000000" w:themeColor="text1"/>
                <w:kern w:val="2"/>
                <w:sz w:val="21"/>
                <w:szCs w:val="21"/>
                <w:lang w:val="zh-TW" w:eastAsia="zh-TW"/>
                <w14:textFill>
                  <w14:solidFill>
                    <w14:schemeClr w14:val="tx1"/>
                  </w14:solidFill>
                </w14:textFill>
              </w:rPr>
              <w:t>没有不</w:t>
            </w:r>
            <w:r>
              <w:rPr>
                <w:rFonts w:hint="eastAsia" w:ascii="宋体" w:hAnsi="宋体" w:eastAsia="宋体" w:cs="宋体"/>
                <w:color w:val="000000" w:themeColor="text1"/>
                <w:kern w:val="2"/>
                <w:sz w:val="21"/>
                <w:szCs w:val="21"/>
                <w14:textFill>
                  <w14:solidFill>
                    <w14:schemeClr w14:val="tx1"/>
                  </w14:solidFill>
                </w14:textFill>
              </w:rPr>
              <w:t>得</w:t>
            </w:r>
            <w:r>
              <w:rPr>
                <w:rFonts w:hint="eastAsia" w:ascii="宋体" w:hAnsi="宋体" w:eastAsia="宋体" w:cs="宋体"/>
                <w:color w:val="000000" w:themeColor="text1"/>
                <w:kern w:val="2"/>
                <w:sz w:val="21"/>
                <w:szCs w:val="21"/>
                <w:lang w:val="zh-TW" w:eastAsia="zh-TW"/>
                <w14:textFill>
                  <w14:solidFill>
                    <w14:schemeClr w14:val="tx1"/>
                  </w14:solidFill>
                </w14:textFill>
              </w:rPr>
              <w:t>分</w:t>
            </w:r>
            <w:r>
              <w:rPr>
                <w:rFonts w:hint="eastAsia" w:ascii="宋体" w:hAnsi="宋体" w:eastAsia="宋体" w:cs="宋体"/>
                <w:color w:val="000000" w:themeColor="text1"/>
                <w:kern w:val="2"/>
                <w:sz w:val="21"/>
                <w:szCs w:val="21"/>
                <w:lang w:val="zh-TW"/>
                <w14:textFill>
                  <w14:solidFill>
                    <w14:schemeClr w14:val="tx1"/>
                  </w14:solidFill>
                </w14:textFill>
              </w:rPr>
              <w:t>，本项</w:t>
            </w:r>
            <w:r>
              <w:rPr>
                <w:rFonts w:hint="eastAsia" w:ascii="宋体" w:hAnsi="宋体" w:eastAsia="宋体" w:cs="宋体"/>
                <w:color w:val="000000" w:themeColor="text1"/>
                <w:kern w:val="2"/>
                <w:sz w:val="21"/>
                <w:szCs w:val="21"/>
                <w14:textFill>
                  <w14:solidFill>
                    <w14:schemeClr w14:val="tx1"/>
                  </w14:solidFill>
                </w14:textFill>
              </w:rPr>
              <w:t>最高得</w:t>
            </w:r>
            <w:r>
              <w:rPr>
                <w:rFonts w:hint="eastAsia" w:ascii="宋体" w:hAnsi="宋体" w:eastAsia="宋体" w:cs="宋体"/>
                <w:color w:val="000000" w:themeColor="text1"/>
                <w:kern w:val="2"/>
                <w:sz w:val="21"/>
                <w:szCs w:val="21"/>
                <w:lang w:val="en-US" w:eastAsia="zh-CN"/>
                <w14:textFill>
                  <w14:solidFill>
                    <w14:schemeClr w14:val="tx1"/>
                  </w14:solidFill>
                </w14:textFill>
              </w:rPr>
              <w:t>3</w:t>
            </w:r>
            <w:r>
              <w:rPr>
                <w:rFonts w:hint="eastAsia" w:ascii="宋体" w:hAnsi="宋体" w:eastAsia="宋体" w:cs="宋体"/>
                <w:color w:val="000000" w:themeColor="text1"/>
                <w:kern w:val="2"/>
                <w:sz w:val="21"/>
                <w:szCs w:val="21"/>
                <w14:textFill>
                  <w14:solidFill>
                    <w14:schemeClr w14:val="tx1"/>
                  </w14:solidFill>
                </w14:textFill>
              </w:rPr>
              <w:t>分</w:t>
            </w:r>
            <w:r>
              <w:rPr>
                <w:rFonts w:hint="eastAsia" w:ascii="宋体" w:hAnsi="宋体" w:eastAsia="宋体" w:cs="宋体"/>
                <w:color w:val="000000" w:themeColor="text1"/>
                <w:kern w:val="2"/>
                <w:sz w:val="21"/>
                <w:szCs w:val="21"/>
                <w:lang w:val="zh-TW" w:eastAsia="zh-TW"/>
                <w14:textFill>
                  <w14:solidFill>
                    <w14:schemeClr w14:val="tx1"/>
                  </w14:solidFill>
                </w14:textFill>
              </w:rPr>
              <w:t>（提供</w:t>
            </w:r>
            <w:r>
              <w:rPr>
                <w:rFonts w:hint="eastAsia" w:ascii="宋体" w:hAnsi="宋体" w:eastAsia="宋体" w:cs="宋体"/>
                <w:color w:val="000000" w:themeColor="text1"/>
                <w:kern w:val="2"/>
                <w:sz w:val="21"/>
                <w:szCs w:val="21"/>
                <w:lang w:val="en-US" w:eastAsia="zh-CN"/>
                <w14:textFill>
                  <w14:solidFill>
                    <w14:schemeClr w14:val="tx1"/>
                  </w14:solidFill>
                </w14:textFill>
              </w:rPr>
              <w:t>相关</w:t>
            </w:r>
            <w:r>
              <w:rPr>
                <w:rFonts w:hint="eastAsia" w:ascii="宋体" w:hAnsi="宋体" w:eastAsia="宋体" w:cs="宋体"/>
                <w:color w:val="000000" w:themeColor="text1"/>
                <w:kern w:val="2"/>
                <w:sz w:val="21"/>
                <w:szCs w:val="21"/>
                <w14:textFill>
                  <w14:solidFill>
                    <w14:schemeClr w14:val="tx1"/>
                  </w14:solidFill>
                </w14:textFill>
              </w:rPr>
              <w:t>部门</w:t>
            </w:r>
            <w:r>
              <w:rPr>
                <w:rFonts w:hint="eastAsia" w:ascii="宋体" w:hAnsi="宋体" w:eastAsia="宋体" w:cs="宋体"/>
                <w:color w:val="000000" w:themeColor="text1"/>
                <w:kern w:val="2"/>
                <w:sz w:val="21"/>
                <w:szCs w:val="21"/>
                <w:lang w:val="en-US" w:eastAsia="zh-CN"/>
                <w14:textFill>
                  <w14:solidFill>
                    <w14:schemeClr w14:val="tx1"/>
                  </w14:solidFill>
                </w14:textFill>
              </w:rPr>
              <w:t>颁发的</w:t>
            </w:r>
            <w:r>
              <w:rPr>
                <w:rFonts w:hint="eastAsia" w:ascii="宋体" w:hAnsi="宋体" w:eastAsia="宋体" w:cs="宋体"/>
                <w:color w:val="000000" w:themeColor="text1"/>
                <w:kern w:val="2"/>
                <w:sz w:val="21"/>
                <w:szCs w:val="21"/>
                <w14:textFill>
                  <w14:solidFill>
                    <w14:schemeClr w14:val="tx1"/>
                  </w14:solidFill>
                </w14:textFill>
              </w:rPr>
              <w:t>获奖证书扫描件等</w:t>
            </w:r>
            <w:r>
              <w:rPr>
                <w:rFonts w:hint="eastAsia" w:ascii="宋体" w:hAnsi="宋体" w:eastAsia="宋体" w:cs="宋体"/>
                <w:color w:val="000000" w:themeColor="text1"/>
                <w:kern w:val="2"/>
                <w:sz w:val="21"/>
                <w:szCs w:val="21"/>
                <w:lang w:val="zh-TW" w:eastAsia="zh-TW"/>
                <w14:textFill>
                  <w14:solidFill>
                    <w14:schemeClr w14:val="tx1"/>
                  </w14:solidFill>
                </w14:textFill>
              </w:rPr>
              <w:t>相关证明材料,</w:t>
            </w:r>
            <w:r>
              <w:rPr>
                <w:rFonts w:hint="eastAsia" w:ascii="宋体" w:hAnsi="宋体" w:eastAsia="宋体" w:cs="宋体"/>
                <w:color w:val="000000" w:themeColor="text1"/>
                <w:kern w:val="2"/>
                <w:sz w:val="21"/>
                <w:szCs w:val="21"/>
                <w:lang w:val="en-US" w:eastAsia="zh-CN"/>
                <w14:textFill>
                  <w14:solidFill>
                    <w14:schemeClr w14:val="tx1"/>
                  </w14:solidFill>
                </w14:textFill>
              </w:rPr>
              <w:t>不</w:t>
            </w:r>
            <w:r>
              <w:rPr>
                <w:rFonts w:hint="eastAsia" w:ascii="宋体" w:hAnsi="宋体" w:eastAsia="宋体" w:cs="宋体"/>
                <w:color w:val="000000" w:themeColor="text1"/>
                <w:kern w:val="2"/>
                <w:sz w:val="21"/>
                <w:szCs w:val="21"/>
                <w:lang w:val="zh-TW"/>
                <w14:textFill>
                  <w14:solidFill>
                    <w14:schemeClr w14:val="tx1"/>
                  </w14:solidFill>
                </w14:textFill>
              </w:rPr>
              <w:t>可重复计分</w:t>
            </w:r>
            <w:r>
              <w:rPr>
                <w:rFonts w:hint="eastAsia" w:ascii="宋体" w:hAnsi="宋体" w:eastAsia="宋体" w:cs="宋体"/>
                <w:color w:val="000000" w:themeColor="text1"/>
                <w:kern w:val="2"/>
                <w:sz w:val="21"/>
                <w:szCs w:val="21"/>
                <w:lang w:val="zh-TW" w:eastAsia="zh-TW"/>
                <w14:textFill>
                  <w14:solidFill>
                    <w14:schemeClr w14:val="tx1"/>
                  </w14:solidFill>
                </w14:textFill>
              </w:rPr>
              <w:t>）</w:t>
            </w:r>
          </w:p>
          <w:p>
            <w:pPr>
              <w:pStyle w:val="317"/>
              <w:adjustRightInd w:val="0"/>
              <w:snapToGrid w:val="0"/>
              <w:ind w:firstLine="420" w:firstLineChars="2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④检验人员中有国家CNAS评审员资质</w:t>
            </w:r>
            <w:r>
              <w:rPr>
                <w:rFonts w:hint="eastAsia" w:ascii="宋体" w:hAnsi="宋体" w:eastAsia="宋体" w:cs="宋体"/>
                <w:color w:val="000000" w:themeColor="text1"/>
                <w:kern w:val="2"/>
                <w:sz w:val="21"/>
                <w:szCs w:val="21"/>
                <w:lang w:eastAsia="zh-CN"/>
                <w14:textFill>
                  <w14:solidFill>
                    <w14:schemeClr w14:val="tx1"/>
                  </w14:solidFill>
                </w14:textFill>
              </w:rPr>
              <w:t>、</w:t>
            </w:r>
            <w:r>
              <w:rPr>
                <w:rFonts w:hint="eastAsia" w:ascii="宋体" w:hAnsi="宋体" w:eastAsia="宋体" w:cs="宋体"/>
                <w:color w:val="000000" w:themeColor="text1"/>
                <w:kern w:val="2"/>
                <w:sz w:val="21"/>
                <w:szCs w:val="21"/>
                <w:lang w:val="en-US" w:eastAsia="zh-CN"/>
                <w14:textFill>
                  <w14:solidFill>
                    <w14:schemeClr w14:val="tx1"/>
                  </w14:solidFill>
                </w14:textFill>
              </w:rPr>
              <w:t>国家注册审核员资质（ISO9001、HACCP、ISO22000）</w:t>
            </w:r>
            <w:r>
              <w:rPr>
                <w:rFonts w:hint="eastAsia" w:ascii="宋体" w:hAnsi="宋体" w:eastAsia="宋体" w:cs="宋体"/>
                <w:color w:val="000000" w:themeColor="text1"/>
                <w:kern w:val="2"/>
                <w:sz w:val="21"/>
                <w:szCs w:val="21"/>
                <w14:textFill>
                  <w14:solidFill>
                    <w14:schemeClr w14:val="tx1"/>
                  </w14:solidFill>
                </w14:textFill>
              </w:rPr>
              <w:t>的</w:t>
            </w:r>
            <w:r>
              <w:rPr>
                <w:rFonts w:hint="eastAsia" w:ascii="宋体" w:hAnsi="宋体" w:eastAsia="宋体" w:cs="宋体"/>
                <w:color w:val="000000" w:themeColor="text1"/>
                <w:kern w:val="2"/>
                <w:sz w:val="21"/>
                <w:szCs w:val="21"/>
                <w:lang w:val="en-US" w:eastAsia="zh-CN"/>
                <w14:textFill>
                  <w14:solidFill>
                    <w14:schemeClr w14:val="tx1"/>
                  </w14:solidFill>
                </w14:textFill>
              </w:rPr>
              <w:t>每有一人</w:t>
            </w:r>
            <w:r>
              <w:rPr>
                <w:rFonts w:hint="eastAsia" w:ascii="宋体" w:hAnsi="宋体" w:eastAsia="宋体" w:cs="宋体"/>
                <w:color w:val="000000" w:themeColor="text1"/>
                <w:kern w:val="2"/>
                <w:sz w:val="21"/>
                <w:szCs w:val="21"/>
                <w14:textFill>
                  <w14:solidFill>
                    <w14:schemeClr w14:val="tx1"/>
                  </w14:solidFill>
                </w14:textFill>
              </w:rPr>
              <w:t>加</w:t>
            </w:r>
            <w:r>
              <w:rPr>
                <w:rFonts w:hint="eastAsia" w:ascii="宋体" w:hAnsi="宋体" w:eastAsia="宋体" w:cs="宋体"/>
                <w:color w:val="000000" w:themeColor="text1"/>
                <w:kern w:val="2"/>
                <w:sz w:val="21"/>
                <w:szCs w:val="21"/>
                <w:lang w:val="en-US" w:eastAsia="zh-CN"/>
                <w14:textFill>
                  <w14:solidFill>
                    <w14:schemeClr w14:val="tx1"/>
                  </w14:solidFill>
                </w14:textFill>
              </w:rPr>
              <w:t>0.5</w:t>
            </w:r>
            <w:r>
              <w:rPr>
                <w:rFonts w:hint="eastAsia" w:ascii="宋体" w:hAnsi="宋体" w:eastAsia="宋体" w:cs="宋体"/>
                <w:color w:val="000000" w:themeColor="text1"/>
                <w:kern w:val="2"/>
                <w:sz w:val="21"/>
                <w:szCs w:val="21"/>
                <w14:textFill>
                  <w14:solidFill>
                    <w14:schemeClr w14:val="tx1"/>
                  </w14:solidFill>
                </w14:textFill>
              </w:rPr>
              <w:t>分</w:t>
            </w:r>
            <w:r>
              <w:rPr>
                <w:rFonts w:hint="eastAsia" w:ascii="宋体" w:hAnsi="宋体" w:eastAsia="宋体" w:cs="宋体"/>
                <w:color w:val="000000" w:themeColor="text1"/>
                <w:kern w:val="2"/>
                <w:sz w:val="21"/>
                <w:szCs w:val="21"/>
                <w:lang w:val="en-US" w:eastAsia="zh-CN"/>
                <w14:textFill>
                  <w14:solidFill>
                    <w14:schemeClr w14:val="tx1"/>
                  </w14:solidFill>
                </w14:textFill>
              </w:rPr>
              <w:t>，</w:t>
            </w:r>
            <w:r>
              <w:rPr>
                <w:rFonts w:hint="eastAsia" w:ascii="宋体" w:hAnsi="宋体" w:eastAsia="宋体" w:cs="宋体"/>
                <w:color w:val="000000" w:themeColor="text1"/>
                <w:kern w:val="2"/>
                <w:sz w:val="21"/>
                <w:szCs w:val="21"/>
                <w14:textFill>
                  <w14:solidFill>
                    <w14:schemeClr w14:val="tx1"/>
                  </w14:solidFill>
                </w14:textFill>
              </w:rPr>
              <w:t>本项最高得</w:t>
            </w:r>
            <w:r>
              <w:rPr>
                <w:rFonts w:hint="eastAsia" w:ascii="宋体" w:hAnsi="宋体" w:eastAsia="宋体" w:cs="宋体"/>
                <w:color w:val="000000" w:themeColor="text1"/>
                <w:kern w:val="2"/>
                <w:sz w:val="21"/>
                <w:szCs w:val="21"/>
                <w:lang w:val="en-US" w:eastAsia="zh-CN"/>
                <w14:textFill>
                  <w14:solidFill>
                    <w14:schemeClr w14:val="tx1"/>
                  </w14:solidFill>
                </w14:textFill>
              </w:rPr>
              <w:t>1</w:t>
            </w:r>
            <w:r>
              <w:rPr>
                <w:rFonts w:hint="eastAsia" w:ascii="宋体" w:hAnsi="宋体" w:eastAsia="宋体" w:cs="宋体"/>
                <w:color w:val="000000" w:themeColor="text1"/>
                <w:kern w:val="2"/>
                <w:sz w:val="21"/>
                <w:szCs w:val="21"/>
                <w14:textFill>
                  <w14:solidFill>
                    <w14:schemeClr w14:val="tx1"/>
                  </w14:solidFill>
                </w14:textFill>
              </w:rPr>
              <w:t>分。（提供资质证书扫描件等相关证明材料）</w:t>
            </w:r>
          </w:p>
          <w:p>
            <w:pPr>
              <w:pStyle w:val="317"/>
              <w:tabs>
                <w:tab w:val="left" w:pos="814"/>
              </w:tabs>
              <w:adjustRightInd w:val="0"/>
              <w:snapToGrid w:val="0"/>
              <w:ind w:firstLine="211" w:firstLineChars="100"/>
              <w:jc w:val="both"/>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b/>
                <w:bCs/>
                <w:color w:val="000000" w:themeColor="text1"/>
                <w:kern w:val="2"/>
                <w:sz w:val="21"/>
                <w:szCs w:val="21"/>
                <w14:textFill>
                  <w14:solidFill>
                    <w14:schemeClr w14:val="tx1"/>
                  </w14:solidFill>
                </w14:textFill>
              </w:rPr>
              <w:t>（</w:t>
            </w:r>
            <w:r>
              <w:rPr>
                <w:rFonts w:hint="eastAsia" w:ascii="宋体" w:hAnsi="宋体" w:eastAsia="宋体" w:cs="宋体"/>
                <w:b/>
                <w:bCs/>
                <w:color w:val="000000" w:themeColor="text1"/>
                <w:kern w:val="2"/>
                <w:sz w:val="21"/>
                <w:szCs w:val="21"/>
                <w:lang w:val="en-US"/>
                <w14:textFill>
                  <w14:solidFill>
                    <w14:schemeClr w14:val="tx1"/>
                  </w14:solidFill>
                </w14:textFill>
              </w:rPr>
              <w:t>投标时</w:t>
            </w:r>
            <w:r>
              <w:rPr>
                <w:rFonts w:hint="eastAsia" w:ascii="宋体" w:hAnsi="宋体" w:eastAsia="宋体" w:cs="宋体"/>
                <w:b/>
                <w:bCs/>
                <w:color w:val="000000" w:themeColor="text1"/>
                <w:kern w:val="2"/>
                <w:sz w:val="21"/>
                <w:szCs w:val="21"/>
                <w14:textFill>
                  <w14:solidFill>
                    <w14:schemeClr w14:val="tx1"/>
                  </w14:solidFill>
                </w14:textFill>
              </w:rPr>
              <w:t>须提供职称证书及投标人为其缴纳近</w:t>
            </w:r>
            <w:r>
              <w:rPr>
                <w:rFonts w:hint="eastAsia" w:ascii="宋体" w:hAnsi="宋体" w:eastAsia="宋体" w:cs="宋体"/>
                <w:b/>
                <w:bCs/>
                <w:color w:val="000000" w:themeColor="text1"/>
                <w:kern w:val="2"/>
                <w:sz w:val="21"/>
                <w:szCs w:val="21"/>
                <w:lang w:val="en-US"/>
                <w14:textFill>
                  <w14:solidFill>
                    <w14:schemeClr w14:val="tx1"/>
                  </w14:solidFill>
                </w14:textFill>
              </w:rPr>
              <w:t>6</w:t>
            </w:r>
            <w:r>
              <w:rPr>
                <w:rFonts w:hint="eastAsia" w:ascii="宋体" w:hAnsi="宋体" w:eastAsia="宋体" w:cs="宋体"/>
                <w:b/>
                <w:bCs/>
                <w:color w:val="000000" w:themeColor="text1"/>
                <w:kern w:val="2"/>
                <w:sz w:val="21"/>
                <w:szCs w:val="21"/>
                <w14:textFill>
                  <w14:solidFill>
                    <w14:schemeClr w14:val="tx1"/>
                  </w14:solidFill>
                </w14:textFill>
              </w:rPr>
              <w:t>个月以来任意一个月的社保证明材料复印件</w:t>
            </w:r>
            <w:r>
              <w:rPr>
                <w:rFonts w:hint="eastAsia" w:ascii="宋体" w:hAnsi="宋体" w:eastAsia="宋体" w:cs="宋体"/>
                <w:b/>
                <w:bCs/>
                <w:color w:val="000000" w:themeColor="text1"/>
                <w:kern w:val="2"/>
                <w:sz w:val="21"/>
                <w:szCs w:val="21"/>
                <w:lang w:val="en-US"/>
                <w14:textFill>
                  <w14:solidFill>
                    <w14:schemeClr w14:val="tx1"/>
                  </w14:solidFill>
                </w14:textFill>
              </w:rPr>
              <w:t>；</w:t>
            </w:r>
            <w:r>
              <w:rPr>
                <w:rFonts w:hint="eastAsia" w:ascii="宋体" w:hAnsi="宋体" w:eastAsia="宋体" w:cs="宋体"/>
                <w:b/>
                <w:bCs/>
                <w:color w:val="000000" w:themeColor="text1"/>
                <w:kern w:val="2"/>
                <w:sz w:val="21"/>
                <w:szCs w:val="21"/>
                <w14:textFill>
                  <w14:solidFill>
                    <w14:schemeClr w14:val="tx1"/>
                  </w14:solidFill>
                </w14:textFill>
              </w:rPr>
              <w:t>未提供或提供材料不全的不得分</w:t>
            </w:r>
            <w:r>
              <w:rPr>
                <w:rFonts w:hint="eastAsia" w:ascii="宋体" w:hAnsi="宋体" w:eastAsia="宋体" w:cs="宋体"/>
                <w:b/>
                <w:bCs/>
                <w:color w:val="000000" w:themeColor="text1"/>
                <w:kern w:val="2"/>
                <w:sz w:val="21"/>
                <w:szCs w:val="21"/>
                <w:lang w:eastAsia="zh-CN"/>
                <w14:textFill>
                  <w14:solidFill>
                    <w14:schemeClr w14:val="tx1"/>
                  </w14:solidFill>
                </w14:textFill>
              </w:rPr>
              <w:t>。</w:t>
            </w:r>
            <w:r>
              <w:rPr>
                <w:rFonts w:hint="eastAsia" w:ascii="宋体" w:hAnsi="宋体" w:eastAsia="宋体" w:cs="宋体"/>
                <w:b/>
                <w:bCs/>
                <w:color w:val="000000" w:themeColor="text1"/>
                <w:kern w:val="2"/>
                <w:sz w:val="21"/>
                <w:szCs w:val="21"/>
                <w:lang w:val="en-US" w:eastAsia="zh-CN"/>
                <w14:textFill>
                  <w14:solidFill>
                    <w14:schemeClr w14:val="tx1"/>
                  </w14:solidFill>
                </w14:textFill>
              </w:rPr>
              <w:t>同一人员的职称学历不重复计算，按最高得分；如人员中有退休返聘人员，需提供退休证及投标人为其办理的返聘材料和最近一个月工资发放明细</w:t>
            </w:r>
            <w:r>
              <w:rPr>
                <w:rFonts w:hint="eastAsia" w:ascii="宋体" w:hAnsi="宋体" w:eastAsia="宋体" w:cs="宋体"/>
                <w:b/>
                <w:bCs/>
                <w:color w:val="000000" w:themeColor="text1"/>
                <w:kern w:val="2"/>
                <w:sz w:val="21"/>
                <w:szCs w:val="21"/>
                <w14:textFill>
                  <w14:solidFill>
                    <w14:schemeClr w14:val="tx1"/>
                  </w14:solidFill>
                </w14:textFill>
              </w:rPr>
              <w:t>）</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实验室设备</w:t>
            </w:r>
          </w:p>
        </w:tc>
        <w:tc>
          <w:tcPr>
            <w:tcW w:w="7629" w:type="dxa"/>
            <w:tcBorders>
              <w:top w:val="single" w:color="auto" w:sz="4" w:space="0"/>
              <w:left w:val="single" w:color="auto" w:sz="4" w:space="0"/>
              <w:bottom w:val="single" w:color="auto" w:sz="4" w:space="0"/>
              <w:right w:val="single" w:color="auto" w:sz="4" w:space="0"/>
            </w:tcBorders>
            <w:noWrap/>
            <w:vAlign w:val="center"/>
          </w:tcPr>
          <w:p>
            <w:pPr>
              <w:pStyle w:val="317"/>
              <w:tabs>
                <w:tab w:val="left" w:pos="814"/>
              </w:tabs>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投标人具有满足食品安全检测</w:t>
            </w:r>
            <w:r>
              <w:rPr>
                <w:rFonts w:hint="eastAsia" w:ascii="宋体" w:hAnsi="宋体" w:eastAsia="宋体" w:cs="宋体"/>
                <w:color w:val="000000" w:themeColor="text1"/>
                <w:spacing w:val="-4"/>
                <w:kern w:val="2"/>
                <w:sz w:val="21"/>
                <w:szCs w:val="21"/>
                <w14:textFill>
                  <w14:solidFill>
                    <w14:schemeClr w14:val="tx1"/>
                  </w14:solidFill>
                </w14:textFill>
              </w:rPr>
              <w:t>的设施及仪器设备：</w:t>
            </w:r>
          </w:p>
          <w:p>
            <w:pPr>
              <w:pStyle w:val="317"/>
              <w:adjustRightInd w:val="0"/>
              <w:snapToGrid w:val="0"/>
              <w:ind w:firstLine="420" w:firstLineChars="200"/>
              <w:rPr>
                <w:rFonts w:hint="eastAsia" w:ascii="宋体" w:hAnsi="宋体" w:eastAsia="宋体" w:cs="宋体"/>
                <w:b/>
                <w:color w:val="000000" w:themeColor="text1"/>
                <w:kern w:val="2"/>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投标人自有液质联用仪 2 台、液相色谱仪 2台、气相色谱仪</w:t>
            </w:r>
            <w:r>
              <w:rPr>
                <w:rFonts w:hint="eastAsia" w:ascii="宋体" w:hAnsi="宋体" w:eastAsia="宋体" w:cs="宋体"/>
                <w:color w:val="000000" w:themeColor="text1"/>
                <w:kern w:val="2"/>
                <w:sz w:val="21"/>
                <w:szCs w:val="21"/>
                <w:lang w:val="en-US" w:eastAsia="zh-CN"/>
                <w14:textFill>
                  <w14:solidFill>
                    <w14:schemeClr w14:val="tx1"/>
                  </w14:solidFill>
                </w14:textFill>
              </w:rPr>
              <w:t>2</w:t>
            </w:r>
            <w:r>
              <w:rPr>
                <w:rFonts w:hint="eastAsia" w:ascii="宋体" w:hAnsi="宋体" w:eastAsia="宋体" w:cs="宋体"/>
                <w:color w:val="000000" w:themeColor="text1"/>
                <w:kern w:val="2"/>
                <w:sz w:val="21"/>
                <w:szCs w:val="21"/>
                <w14:textFill>
                  <w14:solidFill>
                    <w14:schemeClr w14:val="tx1"/>
                  </w14:solidFill>
                </w14:textFill>
              </w:rPr>
              <w:t>台、气质联用仪</w:t>
            </w:r>
            <w:r>
              <w:rPr>
                <w:rFonts w:hint="eastAsia" w:ascii="宋体" w:hAnsi="宋体" w:eastAsia="宋体" w:cs="宋体"/>
                <w:color w:val="000000" w:themeColor="text1"/>
                <w:kern w:val="2"/>
                <w:sz w:val="21"/>
                <w:szCs w:val="21"/>
                <w:lang w:val="en-US" w:eastAsia="zh-CN"/>
                <w14:textFill>
                  <w14:solidFill>
                    <w14:schemeClr w14:val="tx1"/>
                  </w14:solidFill>
                </w14:textFill>
              </w:rPr>
              <w:t>2</w:t>
            </w:r>
            <w:r>
              <w:rPr>
                <w:rFonts w:hint="eastAsia" w:ascii="宋体" w:hAnsi="宋体" w:eastAsia="宋体" w:cs="宋体"/>
                <w:color w:val="000000" w:themeColor="text1"/>
                <w:kern w:val="2"/>
                <w:sz w:val="21"/>
                <w:szCs w:val="21"/>
                <w14:textFill>
                  <w14:solidFill>
                    <w14:schemeClr w14:val="tx1"/>
                  </w14:solidFill>
                </w14:textFill>
              </w:rPr>
              <w:t>台、气相色谱串联质谱仪（GC-MS/MS）1 台、电感耦合等离子体质谱仪（ICP-MS） 1 台、原子荧光光谱仪 1 台、原子吸收分光光度计 1 台，</w:t>
            </w:r>
            <w:r>
              <w:rPr>
                <w:rFonts w:hint="eastAsia" w:ascii="宋体" w:hAnsi="宋体" w:eastAsia="宋体" w:cs="宋体"/>
                <w:b/>
                <w:bCs/>
                <w:color w:val="000000" w:themeColor="text1"/>
                <w:kern w:val="2"/>
                <w:sz w:val="21"/>
                <w:szCs w:val="21"/>
                <w14:textFill>
                  <w14:solidFill>
                    <w14:schemeClr w14:val="tx1"/>
                  </w14:solidFill>
                </w14:textFill>
              </w:rPr>
              <w:t>得</w:t>
            </w:r>
            <w:r>
              <w:rPr>
                <w:rFonts w:hint="eastAsia" w:ascii="宋体" w:hAnsi="宋体" w:eastAsia="宋体" w:cs="宋体"/>
                <w:b/>
                <w:color w:val="000000" w:themeColor="text1"/>
                <w:spacing w:val="-1"/>
                <w:kern w:val="2"/>
                <w:sz w:val="21"/>
                <w:szCs w:val="21"/>
                <w14:textFill>
                  <w14:solidFill>
                    <w14:schemeClr w14:val="tx1"/>
                  </w14:solidFill>
                </w14:textFill>
              </w:rPr>
              <w:t>基本分</w:t>
            </w:r>
            <w:r>
              <w:rPr>
                <w:rFonts w:hint="eastAsia" w:ascii="宋体" w:hAnsi="宋体" w:eastAsia="宋体" w:cs="宋体"/>
                <w:b/>
                <w:color w:val="000000" w:themeColor="text1"/>
                <w:kern w:val="2"/>
                <w:sz w:val="21"/>
                <w:szCs w:val="21"/>
                <w14:textFill>
                  <w14:solidFill>
                    <w14:schemeClr w14:val="tx1"/>
                  </w14:solidFill>
                </w14:textFill>
              </w:rPr>
              <w:t>5分，以上所列仪器每少1台扣0.5分，每增加一台加0.2分，</w:t>
            </w:r>
            <w:r>
              <w:rPr>
                <w:rFonts w:hint="eastAsia" w:ascii="宋体" w:hAnsi="宋体" w:eastAsia="宋体" w:cs="宋体"/>
                <w:b/>
                <w:color w:val="000000" w:themeColor="text1"/>
                <w:kern w:val="2"/>
                <w:sz w:val="21"/>
                <w:szCs w:val="21"/>
                <w:lang w:val="en-US"/>
                <w14:textFill>
                  <w14:solidFill>
                    <w14:schemeClr w14:val="tx1"/>
                  </w14:solidFill>
                </w14:textFill>
              </w:rPr>
              <w:t>本项最高得</w:t>
            </w:r>
            <w:r>
              <w:rPr>
                <w:rFonts w:hint="eastAsia" w:ascii="宋体" w:hAnsi="宋体" w:eastAsia="宋体" w:cs="宋体"/>
                <w:b/>
                <w:color w:val="000000" w:themeColor="text1"/>
                <w:kern w:val="2"/>
                <w:sz w:val="21"/>
                <w:szCs w:val="21"/>
                <w:lang w:val="en-US" w:eastAsia="zh-CN"/>
                <w14:textFill>
                  <w14:solidFill>
                    <w14:schemeClr w14:val="tx1"/>
                  </w14:solidFill>
                </w14:textFill>
              </w:rPr>
              <w:t>6</w:t>
            </w:r>
            <w:r>
              <w:rPr>
                <w:rFonts w:hint="eastAsia" w:ascii="宋体" w:hAnsi="宋体" w:eastAsia="宋体" w:cs="宋体"/>
                <w:b/>
                <w:color w:val="000000" w:themeColor="text1"/>
                <w:kern w:val="2"/>
                <w:sz w:val="21"/>
                <w:szCs w:val="21"/>
                <w14:textFill>
                  <w14:solidFill>
                    <w14:schemeClr w14:val="tx1"/>
                  </w14:solidFill>
                </w14:textFill>
              </w:rPr>
              <w:t>分。</w:t>
            </w:r>
          </w:p>
          <w:p>
            <w:pPr>
              <w:pStyle w:val="317"/>
              <w:adjustRightInd w:val="0"/>
              <w:snapToGrid w:val="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eastAsia="宋体" w:cs="宋体"/>
                <w:color w:val="000000" w:themeColor="text1"/>
                <w:kern w:val="2"/>
                <w:sz w:val="21"/>
                <w:szCs w:val="21"/>
                <w:lang w:val="en-US"/>
                <w14:textFill>
                  <w14:solidFill>
                    <w14:schemeClr w14:val="tx1"/>
                  </w14:solidFill>
                </w14:textFill>
              </w:rPr>
              <w:t>投标时</w:t>
            </w:r>
            <w:r>
              <w:rPr>
                <w:rFonts w:hint="eastAsia" w:ascii="宋体" w:hAnsi="宋体" w:eastAsia="宋体" w:cs="宋体"/>
                <w:color w:val="000000" w:themeColor="text1"/>
                <w:kern w:val="2"/>
                <w:sz w:val="21"/>
                <w:szCs w:val="21"/>
                <w14:textFill>
                  <w14:solidFill>
                    <w14:schemeClr w14:val="tx1"/>
                  </w14:solidFill>
                </w14:textFill>
              </w:rPr>
              <w:t>须提供以上仪器设备清单、台套数、仪器校准证书、购置合同及发票、仪器在实验室的照片等证明材料复印件加盖投标人公章，或提供仪器设备清单、仪器设备在投标人实验室的摆放位置照片及仪器设备的维护保养记录、计量证书和计量确认证明</w:t>
            </w:r>
            <w:r>
              <w:rPr>
                <w:rFonts w:hint="eastAsia" w:ascii="宋体" w:hAnsi="宋体" w:eastAsia="宋体" w:cs="宋体"/>
                <w:color w:val="000000" w:themeColor="text1"/>
                <w:kern w:val="2"/>
                <w:sz w:val="21"/>
                <w:szCs w:val="21"/>
                <w:lang w:val="en-US"/>
                <w14:textFill>
                  <w14:solidFill>
                    <w14:schemeClr w14:val="tx1"/>
                  </w14:solidFill>
                </w14:textFill>
              </w:rPr>
              <w:t>材料</w:t>
            </w:r>
            <w:r>
              <w:rPr>
                <w:rFonts w:hint="eastAsia" w:ascii="宋体" w:hAnsi="宋体" w:eastAsia="宋体" w:cs="宋体"/>
                <w:color w:val="000000" w:themeColor="text1"/>
                <w:kern w:val="2"/>
                <w:sz w:val="21"/>
                <w:szCs w:val="21"/>
                <w14:textFill>
                  <w14:solidFill>
                    <w14:schemeClr w14:val="tx1"/>
                  </w14:solidFill>
                </w14:textFill>
              </w:rPr>
              <w:t>复印件加盖投标人公章，材料须能够证明投标人确实拥有相关设备可为本项目提供服务。未提供或提供材料不能证明投标人确实拥有相关设备可为本项目提供服务的不得分）</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0"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实验室能力验证</w:t>
            </w:r>
          </w:p>
        </w:tc>
        <w:tc>
          <w:tcPr>
            <w:tcW w:w="7629" w:type="dxa"/>
            <w:tcBorders>
              <w:top w:val="single" w:color="auto" w:sz="4" w:space="0"/>
              <w:left w:val="single" w:color="auto" w:sz="4" w:space="0"/>
              <w:bottom w:val="single" w:color="auto" w:sz="4" w:space="0"/>
              <w:right w:val="single" w:color="auto" w:sz="4" w:space="0"/>
            </w:tcBorders>
            <w:noWrap/>
            <w:vAlign w:val="center"/>
          </w:tcPr>
          <w:p>
            <w:pPr>
              <w:pStyle w:val="317"/>
              <w:adjustRightInd w:val="0"/>
              <w:snapToGrid w:val="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w:t>
            </w:r>
            <w:r>
              <w:rPr>
                <w:rFonts w:hint="eastAsia" w:ascii="宋体" w:hAnsi="宋体" w:eastAsia="宋体" w:cs="宋体"/>
                <w:color w:val="000000" w:themeColor="text1"/>
                <w:sz w:val="21"/>
                <w:szCs w:val="21"/>
                <w:lang w:val="en-US"/>
                <w14:textFill>
                  <w14:solidFill>
                    <w14:schemeClr w14:val="tx1"/>
                  </w14:solidFill>
                </w14:textFill>
              </w:rPr>
              <w:t>人自</w:t>
            </w:r>
            <w:r>
              <w:rPr>
                <w:rFonts w:hint="eastAsia" w:ascii="宋体" w:hAnsi="宋体" w:eastAsia="宋体" w:cs="宋体"/>
                <w:color w:val="000000" w:themeColor="text1"/>
                <w:kern w:val="2"/>
                <w:sz w:val="21"/>
                <w:szCs w:val="21"/>
                <w:lang w:val="en-US" w:eastAsia="zh-CN"/>
                <w14:textFill>
                  <w14:solidFill>
                    <w14:schemeClr w14:val="tx1"/>
                  </w14:solidFill>
                </w14:textFill>
              </w:rPr>
              <w:t>2021年1月1日</w:t>
            </w:r>
            <w:r>
              <w:rPr>
                <w:rFonts w:hint="eastAsia" w:ascii="宋体" w:hAnsi="宋体" w:eastAsia="宋体" w:cs="宋体"/>
                <w:color w:val="000000" w:themeColor="text1"/>
                <w:sz w:val="21"/>
                <w:szCs w:val="21"/>
                <w14:textFill>
                  <w14:solidFill>
                    <w14:schemeClr w14:val="tx1"/>
                  </w14:solidFill>
                </w14:textFill>
              </w:rPr>
              <w:t>至今参与实验室能力验证情况：对农药残留、兽药残留、重金属、真菌毒素、食品添加剂、非法添加、微生物、动物源性成分等领域，以上八个领域参加结果满意的，每有一个领域得1分</w:t>
            </w:r>
            <w:r>
              <w:rPr>
                <w:rFonts w:hint="eastAsia" w:ascii="宋体" w:hAnsi="宋体" w:eastAsia="宋体" w:cs="宋体"/>
                <w:color w:val="000000" w:themeColor="text1"/>
                <w:sz w:val="21"/>
                <w:szCs w:val="21"/>
                <w:lang w:val="en-US"/>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本项最高得8分。</w:t>
            </w:r>
          </w:p>
          <w:p>
            <w:pPr>
              <w:pStyle w:val="317"/>
              <w:adjustRightInd w:val="0"/>
              <w:snapToGrid w:val="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eastAsia="宋体" w:cs="宋体"/>
                <w:color w:val="000000" w:themeColor="text1"/>
                <w:kern w:val="2"/>
                <w:sz w:val="21"/>
                <w:szCs w:val="21"/>
                <w:lang w:val="en-US"/>
                <w14:textFill>
                  <w14:solidFill>
                    <w14:schemeClr w14:val="tx1"/>
                  </w14:solidFill>
                </w14:textFill>
              </w:rPr>
              <w:t>投标时</w:t>
            </w:r>
            <w:r>
              <w:rPr>
                <w:rFonts w:hint="eastAsia" w:ascii="宋体" w:hAnsi="宋体" w:eastAsia="宋体" w:cs="宋体"/>
                <w:color w:val="000000" w:themeColor="text1"/>
                <w:kern w:val="2"/>
                <w:sz w:val="21"/>
                <w:szCs w:val="21"/>
                <w14:textFill>
                  <w14:solidFill>
                    <w14:schemeClr w14:val="tx1"/>
                  </w14:solidFill>
                </w14:textFill>
              </w:rPr>
              <w:t>须提供能力验证报告或证明结果满意的证书复印件，证明材料信息与投标供应商一致，信息不一致或获得不满意结果的或未提供有效证明文件或证明文件不清晰、不明确、不符合要求的均不得分）</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投标人专业类能力</w:t>
            </w:r>
          </w:p>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p>
        </w:tc>
        <w:tc>
          <w:tcPr>
            <w:tcW w:w="7629" w:type="dxa"/>
            <w:tcBorders>
              <w:top w:val="single" w:color="auto" w:sz="4" w:space="0"/>
              <w:left w:val="single" w:color="auto" w:sz="4" w:space="0"/>
              <w:bottom w:val="single" w:color="auto" w:sz="4" w:space="0"/>
              <w:right w:val="single" w:color="auto" w:sz="4" w:space="0"/>
            </w:tcBorders>
            <w:noWrap/>
            <w:vAlign w:val="center"/>
          </w:tcPr>
          <w:p>
            <w:pPr>
              <w:pStyle w:val="317"/>
              <w:tabs>
                <w:tab w:val="left" w:pos="814"/>
              </w:tabs>
              <w:adjustRightInd w:val="0"/>
              <w:snapToGrid w:val="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1</w:t>
            </w:r>
            <w:r>
              <w:rPr>
                <w:rFonts w:hint="eastAsia" w:ascii="宋体" w:hAnsi="宋体" w:eastAsia="宋体" w:cs="宋体"/>
                <w:color w:val="000000" w:themeColor="text1"/>
                <w:kern w:val="2"/>
                <w:sz w:val="21"/>
                <w:szCs w:val="21"/>
                <w:lang w:val="en-US"/>
                <w14:textFill>
                  <w14:solidFill>
                    <w14:schemeClr w14:val="tx1"/>
                  </w14:solidFill>
                </w14:textFill>
              </w:rPr>
              <w:t>.</w:t>
            </w:r>
            <w:r>
              <w:rPr>
                <w:rFonts w:hint="eastAsia" w:ascii="宋体" w:hAnsi="宋体" w:eastAsia="宋体" w:cs="宋体"/>
                <w:color w:val="000000" w:themeColor="text1"/>
                <w:kern w:val="2"/>
                <w:sz w:val="21"/>
                <w:szCs w:val="21"/>
                <w14:textFill>
                  <w14:solidFill>
                    <w14:schemeClr w14:val="tx1"/>
                  </w14:solidFill>
                </w14:textFill>
              </w:rPr>
              <w:t>综合覆盖率（6分）</w:t>
            </w:r>
          </w:p>
          <w:p>
            <w:pPr>
              <w:pStyle w:val="317"/>
              <w:tabs>
                <w:tab w:val="left" w:pos="814"/>
              </w:tabs>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投标人对国抽细则202</w:t>
            </w:r>
            <w:r>
              <w:rPr>
                <w:rFonts w:hint="eastAsia" w:ascii="宋体" w:hAnsi="宋体" w:eastAsia="宋体" w:cs="宋体"/>
                <w:color w:val="000000" w:themeColor="text1"/>
                <w:kern w:val="2"/>
                <w:sz w:val="21"/>
                <w:szCs w:val="21"/>
                <w:lang w:val="en-US" w:eastAsia="zh-CN"/>
                <w14:textFill>
                  <w14:solidFill>
                    <w14:schemeClr w14:val="tx1"/>
                  </w14:solidFill>
                </w14:textFill>
              </w:rPr>
              <w:t>4</w:t>
            </w:r>
            <w:r>
              <w:rPr>
                <w:rFonts w:hint="eastAsia" w:ascii="宋体" w:hAnsi="宋体" w:eastAsia="宋体" w:cs="宋体"/>
                <w:color w:val="000000" w:themeColor="text1"/>
                <w:kern w:val="2"/>
                <w:sz w:val="21"/>
                <w:szCs w:val="21"/>
                <w14:textFill>
                  <w14:solidFill>
                    <w14:schemeClr w14:val="tx1"/>
                  </w14:solidFill>
                </w14:textFill>
              </w:rPr>
              <w:t>版中33大类食品列出的各产品检验项目表的项目覆盖率，覆盖率低于9</w:t>
            </w:r>
            <w:r>
              <w:rPr>
                <w:rFonts w:hint="eastAsia" w:ascii="宋体" w:hAnsi="宋体" w:eastAsia="宋体" w:cs="宋体"/>
                <w:color w:val="000000" w:themeColor="text1"/>
                <w:kern w:val="2"/>
                <w:sz w:val="21"/>
                <w:szCs w:val="21"/>
                <w:lang w:val="en-US"/>
                <w14:textFill>
                  <w14:solidFill>
                    <w14:schemeClr w14:val="tx1"/>
                  </w14:solidFill>
                </w14:textFill>
              </w:rPr>
              <w:t>5</w:t>
            </w:r>
            <w:r>
              <w:rPr>
                <w:rFonts w:hint="eastAsia" w:ascii="宋体" w:hAnsi="宋体" w:eastAsia="宋体" w:cs="宋体"/>
                <w:color w:val="000000" w:themeColor="text1"/>
                <w:kern w:val="2"/>
                <w:sz w:val="21"/>
                <w:szCs w:val="21"/>
                <w14:textFill>
                  <w14:solidFill>
                    <w14:schemeClr w14:val="tx1"/>
                  </w14:solidFill>
                </w14:textFill>
              </w:rPr>
              <w:t>%不得分，达到9</w:t>
            </w:r>
            <w:r>
              <w:rPr>
                <w:rFonts w:hint="eastAsia" w:ascii="宋体" w:hAnsi="宋体" w:eastAsia="宋体" w:cs="宋体"/>
                <w:color w:val="000000" w:themeColor="text1"/>
                <w:kern w:val="2"/>
                <w:sz w:val="21"/>
                <w:szCs w:val="21"/>
                <w:lang w:val="en-US"/>
                <w14:textFill>
                  <w14:solidFill>
                    <w14:schemeClr w14:val="tx1"/>
                  </w14:solidFill>
                </w14:textFill>
              </w:rPr>
              <w:t>5</w:t>
            </w:r>
            <w:r>
              <w:rPr>
                <w:rFonts w:hint="eastAsia" w:ascii="宋体" w:hAnsi="宋体" w:eastAsia="宋体" w:cs="宋体"/>
                <w:color w:val="000000" w:themeColor="text1"/>
                <w:kern w:val="2"/>
                <w:sz w:val="21"/>
                <w:szCs w:val="21"/>
                <w14:textFill>
                  <w14:solidFill>
                    <w14:schemeClr w14:val="tx1"/>
                  </w14:solidFill>
                </w14:textFill>
              </w:rPr>
              <w:t>%得基本分</w:t>
            </w:r>
            <w:r>
              <w:rPr>
                <w:rFonts w:hint="eastAsia" w:ascii="宋体" w:hAnsi="宋体" w:eastAsia="宋体" w:cs="宋体"/>
                <w:color w:val="000000" w:themeColor="text1"/>
                <w:kern w:val="2"/>
                <w:sz w:val="21"/>
                <w:szCs w:val="21"/>
                <w:lang w:val="en-US"/>
                <w14:textFill>
                  <w14:solidFill>
                    <w14:schemeClr w14:val="tx1"/>
                  </w14:solidFill>
                </w14:textFill>
              </w:rPr>
              <w:t>2</w:t>
            </w:r>
            <w:r>
              <w:rPr>
                <w:rFonts w:hint="eastAsia" w:ascii="宋体" w:hAnsi="宋体" w:eastAsia="宋体" w:cs="宋体"/>
                <w:color w:val="000000" w:themeColor="text1"/>
                <w:kern w:val="2"/>
                <w:sz w:val="21"/>
                <w:szCs w:val="21"/>
                <w14:textFill>
                  <w14:solidFill>
                    <w14:schemeClr w14:val="tx1"/>
                  </w14:solidFill>
                </w14:textFill>
              </w:rPr>
              <w:t>分，每增加1%加1分</w:t>
            </w:r>
            <w:r>
              <w:rPr>
                <w:rFonts w:hint="eastAsia" w:ascii="宋体" w:hAnsi="宋体" w:eastAsia="宋体" w:cs="宋体"/>
                <w:color w:val="000000" w:themeColor="text1"/>
                <w:kern w:val="2"/>
                <w:sz w:val="21"/>
                <w:szCs w:val="21"/>
                <w:lang w:val="en-US"/>
                <w14:textFill>
                  <w14:solidFill>
                    <w14:schemeClr w14:val="tx1"/>
                  </w14:solidFill>
                </w14:textFill>
              </w:rPr>
              <w:t>；</w:t>
            </w:r>
            <w:r>
              <w:rPr>
                <w:rFonts w:hint="eastAsia" w:ascii="宋体" w:hAnsi="宋体" w:eastAsia="宋体" w:cs="宋体"/>
                <w:color w:val="000000" w:themeColor="text1"/>
                <w:spacing w:val="-11"/>
                <w:kern w:val="2"/>
                <w:sz w:val="21"/>
                <w:szCs w:val="21"/>
                <w14:textFill>
                  <w14:solidFill>
                    <w14:schemeClr w14:val="tx1"/>
                  </w14:solidFill>
                </w14:textFill>
              </w:rPr>
              <w:t>本项最高得6分</w:t>
            </w:r>
            <w:r>
              <w:rPr>
                <w:rFonts w:hint="eastAsia" w:ascii="宋体" w:hAnsi="宋体" w:eastAsia="宋体" w:cs="宋体"/>
                <w:color w:val="000000" w:themeColor="text1"/>
                <w:kern w:val="2"/>
                <w:sz w:val="21"/>
                <w:szCs w:val="21"/>
                <w14:textFill>
                  <w14:solidFill>
                    <w14:schemeClr w14:val="tx1"/>
                  </w14:solidFill>
                </w14:textFill>
              </w:rPr>
              <w:t>。</w:t>
            </w:r>
          </w:p>
          <w:p>
            <w:pPr>
              <w:pStyle w:val="317"/>
              <w:adjustRightInd w:val="0"/>
              <w:snapToGrid w:val="0"/>
              <w:ind w:firstLine="210" w:firstLineChars="1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eastAsia="宋体" w:cs="宋体"/>
                <w:color w:val="000000" w:themeColor="text1"/>
                <w:kern w:val="2"/>
                <w:sz w:val="21"/>
                <w:szCs w:val="21"/>
                <w:lang w:val="en-US"/>
                <w14:textFill>
                  <w14:solidFill>
                    <w14:schemeClr w14:val="tx1"/>
                  </w14:solidFill>
                </w14:textFill>
              </w:rPr>
              <w:t>投标时</w:t>
            </w:r>
            <w:r>
              <w:rPr>
                <w:rFonts w:hint="eastAsia" w:ascii="宋体" w:hAnsi="宋体" w:eastAsia="宋体" w:cs="宋体"/>
                <w:color w:val="000000" w:themeColor="text1"/>
                <w:kern w:val="2"/>
                <w:sz w:val="21"/>
                <w:szCs w:val="21"/>
                <w14:textFill>
                  <w14:solidFill>
                    <w14:schemeClr w14:val="tx1"/>
                  </w14:solidFill>
                </w14:textFill>
              </w:rPr>
              <w:t>须提供资质证书、实验室资质及检验项目资质情况表的对照表</w:t>
            </w:r>
            <w:r>
              <w:rPr>
                <w:rFonts w:hint="eastAsia" w:ascii="宋体" w:hAnsi="宋体" w:eastAsia="宋体" w:cs="宋体"/>
                <w:color w:val="000000" w:themeColor="text1"/>
                <w:kern w:val="2"/>
                <w:sz w:val="21"/>
                <w:szCs w:val="21"/>
                <w:lang w:val="en-US"/>
                <w14:textFill>
                  <w14:solidFill>
                    <w14:schemeClr w14:val="tx1"/>
                  </w14:solidFill>
                </w14:textFill>
              </w:rPr>
              <w:t>并加盖投标人公章</w:t>
            </w:r>
            <w:r>
              <w:rPr>
                <w:rFonts w:hint="eastAsia" w:ascii="宋体" w:hAnsi="宋体" w:eastAsia="宋体" w:cs="宋体"/>
                <w:color w:val="000000" w:themeColor="text1"/>
                <w:kern w:val="2"/>
                <w:sz w:val="21"/>
                <w:szCs w:val="21"/>
                <w14:textFill>
                  <w14:solidFill>
                    <w14:schemeClr w14:val="tx1"/>
                  </w14:solidFill>
                </w14:textFill>
              </w:rPr>
              <w:t>，未提供或提供材料不全的不得分）</w:t>
            </w:r>
          </w:p>
          <w:p>
            <w:pPr>
              <w:pStyle w:val="317"/>
              <w:adjustRightInd w:val="0"/>
              <w:snapToGrid w:val="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2</w:t>
            </w:r>
            <w:r>
              <w:rPr>
                <w:rFonts w:hint="eastAsia" w:ascii="宋体" w:hAnsi="宋体" w:eastAsia="宋体" w:cs="宋体"/>
                <w:color w:val="000000" w:themeColor="text1"/>
                <w:kern w:val="2"/>
                <w:sz w:val="21"/>
                <w:szCs w:val="21"/>
                <w:lang w:val="en-US"/>
                <w14:textFill>
                  <w14:solidFill>
                    <w14:schemeClr w14:val="tx1"/>
                  </w14:solidFill>
                </w14:textFill>
              </w:rPr>
              <w:t>.</w:t>
            </w:r>
            <w:r>
              <w:rPr>
                <w:rFonts w:hint="eastAsia" w:ascii="宋体" w:hAnsi="宋体" w:eastAsia="宋体" w:cs="宋体"/>
                <w:color w:val="000000" w:themeColor="text1"/>
                <w:kern w:val="2"/>
                <w:sz w:val="21"/>
                <w:szCs w:val="21"/>
                <w14:textFill>
                  <w14:solidFill>
                    <w14:schemeClr w14:val="tx1"/>
                  </w14:solidFill>
                </w14:textFill>
              </w:rPr>
              <w:t>专业类产品检测能力（4分）</w:t>
            </w:r>
          </w:p>
          <w:p>
            <w:pPr>
              <w:pStyle w:val="317"/>
              <w:pBdr>
                <w:top w:val="none" w:color="000000" w:sz="0" w:space="0"/>
                <w:left w:val="none" w:color="000000" w:sz="0" w:space="0"/>
                <w:bottom w:val="none" w:color="000000" w:sz="0" w:space="0"/>
                <w:right w:val="none" w:color="000000" w:sz="0" w:space="0"/>
              </w:pBdr>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①投标人通过CNAS认证或</w:t>
            </w:r>
            <w:r>
              <w:rPr>
                <w:rFonts w:hint="eastAsia" w:ascii="宋体" w:hAnsi="宋体" w:eastAsia="宋体" w:cs="宋体"/>
                <w:color w:val="000000" w:themeColor="text1"/>
                <w:kern w:val="2"/>
                <w:sz w:val="21"/>
                <w:szCs w:val="21"/>
                <w:lang w:val="en-US"/>
                <w14:textFill>
                  <w14:solidFill>
                    <w14:schemeClr w14:val="tx1"/>
                  </w14:solidFill>
                </w14:textFill>
              </w:rPr>
              <w:t>CMA认证</w:t>
            </w:r>
            <w:r>
              <w:rPr>
                <w:rFonts w:hint="eastAsia" w:ascii="宋体" w:hAnsi="宋体" w:eastAsia="宋体" w:cs="宋体"/>
                <w:color w:val="000000" w:themeColor="text1"/>
                <w:kern w:val="2"/>
                <w:sz w:val="21"/>
                <w:szCs w:val="21"/>
                <w14:textFill>
                  <w14:solidFill>
                    <w14:schemeClr w14:val="tx1"/>
                  </w14:solidFill>
                </w14:textFill>
              </w:rPr>
              <w:t>的得2分；</w:t>
            </w:r>
          </w:p>
          <w:p>
            <w:pPr>
              <w:pStyle w:val="317"/>
              <w:pBdr>
                <w:top w:val="none" w:color="000000" w:sz="0" w:space="0"/>
                <w:left w:val="none" w:color="000000" w:sz="0" w:space="0"/>
                <w:bottom w:val="none" w:color="000000" w:sz="0" w:space="0"/>
                <w:right w:val="none" w:color="000000" w:sz="0" w:space="0"/>
              </w:pBdr>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②投标人通过CATL考核的得2分；</w:t>
            </w:r>
          </w:p>
          <w:p>
            <w:pPr>
              <w:pStyle w:val="317"/>
              <w:pBdr>
                <w:top w:val="none" w:color="000000" w:sz="0" w:space="0"/>
                <w:left w:val="none" w:color="000000" w:sz="0" w:space="0"/>
                <w:bottom w:val="none" w:color="000000" w:sz="0" w:space="0"/>
                <w:right w:val="none" w:color="000000" w:sz="0" w:space="0"/>
              </w:pBdr>
              <w:adjustRightInd w:val="0"/>
              <w:snapToGrid w:val="0"/>
              <w:ind w:firstLine="210" w:firstLineChars="1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eastAsia="宋体" w:cs="宋体"/>
                <w:color w:val="000000" w:themeColor="text1"/>
                <w:kern w:val="2"/>
                <w:sz w:val="21"/>
                <w:szCs w:val="21"/>
                <w:lang w:val="en-US"/>
                <w14:textFill>
                  <w14:solidFill>
                    <w14:schemeClr w14:val="tx1"/>
                  </w14:solidFill>
                </w14:textFill>
              </w:rPr>
              <w:t>投标时</w:t>
            </w:r>
            <w:r>
              <w:rPr>
                <w:rFonts w:hint="eastAsia" w:ascii="宋体" w:hAnsi="宋体" w:eastAsia="宋体" w:cs="宋体"/>
                <w:color w:val="000000" w:themeColor="text1"/>
                <w:kern w:val="2"/>
                <w:sz w:val="21"/>
                <w:szCs w:val="21"/>
                <w14:textFill>
                  <w14:solidFill>
                    <w14:schemeClr w14:val="tx1"/>
                  </w14:solidFill>
                </w14:textFill>
              </w:rPr>
              <w:t>须提供相关证明材料原件的彩色扫描件</w:t>
            </w:r>
            <w:r>
              <w:rPr>
                <w:rFonts w:hint="eastAsia" w:ascii="宋体" w:hAnsi="宋体" w:eastAsia="宋体" w:cs="宋体"/>
                <w:color w:val="000000" w:themeColor="text1"/>
                <w:kern w:val="2"/>
                <w:sz w:val="21"/>
                <w:szCs w:val="21"/>
                <w:lang w:val="en-US"/>
                <w14:textFill>
                  <w14:solidFill>
                    <w14:schemeClr w14:val="tx1"/>
                  </w14:solidFill>
                </w14:textFill>
              </w:rPr>
              <w:t>并</w:t>
            </w:r>
            <w:r>
              <w:rPr>
                <w:rFonts w:hint="eastAsia" w:ascii="宋体" w:hAnsi="宋体" w:eastAsia="宋体" w:cs="宋体"/>
                <w:color w:val="000000" w:themeColor="text1"/>
                <w:kern w:val="2"/>
                <w:sz w:val="21"/>
                <w:szCs w:val="21"/>
                <w14:textFill>
                  <w14:solidFill>
                    <w14:schemeClr w14:val="tx1"/>
                  </w14:solidFill>
                </w14:textFill>
              </w:rPr>
              <w:t>加盖投标人公章）</w:t>
            </w:r>
          </w:p>
          <w:p>
            <w:pPr>
              <w:pStyle w:val="317"/>
              <w:adjustRightInd w:val="0"/>
              <w:snapToGrid w:val="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3</w:t>
            </w:r>
            <w:r>
              <w:rPr>
                <w:rFonts w:hint="eastAsia" w:ascii="宋体" w:hAnsi="宋体" w:eastAsia="宋体" w:cs="宋体"/>
                <w:color w:val="000000" w:themeColor="text1"/>
                <w:kern w:val="2"/>
                <w:sz w:val="21"/>
                <w:szCs w:val="21"/>
                <w:lang w:val="en-US"/>
                <w14:textFill>
                  <w14:solidFill>
                    <w14:schemeClr w14:val="tx1"/>
                  </w14:solidFill>
                </w14:textFill>
              </w:rPr>
              <w:t>.</w:t>
            </w:r>
            <w:r>
              <w:rPr>
                <w:rFonts w:hint="eastAsia" w:ascii="宋体" w:hAnsi="宋体" w:eastAsia="宋体" w:cs="宋体"/>
                <w:color w:val="000000" w:themeColor="text1"/>
                <w:kern w:val="2"/>
                <w:sz w:val="21"/>
                <w:szCs w:val="21"/>
                <w14:textFill>
                  <w14:solidFill>
                    <w14:schemeClr w14:val="tx1"/>
                  </w14:solidFill>
                </w14:textFill>
              </w:rPr>
              <w:t>投标人质量体系（2分）</w:t>
            </w:r>
          </w:p>
          <w:p>
            <w:pPr>
              <w:pStyle w:val="317"/>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投标人具有</w:t>
            </w:r>
            <w:r>
              <w:rPr>
                <w:rFonts w:hint="eastAsia" w:ascii="宋体" w:hAnsi="宋体" w:eastAsia="宋体" w:cs="宋体"/>
                <w:color w:val="000000" w:themeColor="text1"/>
                <w:kern w:val="2"/>
                <w:sz w:val="21"/>
                <w:szCs w:val="21"/>
                <w:lang w:val="en-US" w:eastAsia="zh-CN"/>
                <w14:textFill>
                  <w14:solidFill>
                    <w14:schemeClr w14:val="tx1"/>
                  </w14:solidFill>
                </w14:textFill>
              </w:rPr>
              <w:t>与食品有关的</w:t>
            </w:r>
            <w:r>
              <w:rPr>
                <w:rFonts w:hint="eastAsia" w:ascii="宋体" w:hAnsi="宋体" w:eastAsia="宋体" w:cs="宋体"/>
                <w:color w:val="000000" w:themeColor="text1"/>
                <w:kern w:val="2"/>
                <w:sz w:val="21"/>
                <w:szCs w:val="21"/>
                <w14:textFill>
                  <w14:solidFill>
                    <w14:schemeClr w14:val="tx1"/>
                  </w14:solidFill>
                </w14:textFill>
              </w:rPr>
              <w:t>质量管理体系认证证书</w:t>
            </w:r>
            <w:r>
              <w:rPr>
                <w:rFonts w:hint="eastAsia" w:ascii="宋体" w:hAnsi="宋体" w:eastAsia="宋体" w:cs="宋体"/>
                <w:color w:val="000000" w:themeColor="text1"/>
                <w:kern w:val="2"/>
                <w:sz w:val="21"/>
                <w:szCs w:val="21"/>
                <w:lang w:eastAsia="zh-CN"/>
                <w14:textFill>
                  <w14:solidFill>
                    <w14:schemeClr w14:val="tx1"/>
                  </w14:solidFill>
                </w14:textFill>
              </w:rPr>
              <w:t>（</w:t>
            </w:r>
            <w:r>
              <w:rPr>
                <w:rFonts w:hint="eastAsia" w:ascii="宋体" w:hAnsi="宋体" w:eastAsia="宋体" w:cs="宋体"/>
                <w:color w:val="000000" w:themeColor="text1"/>
                <w:kern w:val="2"/>
                <w:sz w:val="21"/>
                <w:szCs w:val="21"/>
                <w:lang w:val="en-US" w:eastAsia="zh-CN"/>
                <w14:textFill>
                  <w14:solidFill>
                    <w14:schemeClr w14:val="tx1"/>
                  </w14:solidFill>
                </w14:textFill>
              </w:rPr>
              <w:t>ISO9001、HACCP、ISO22000</w:t>
            </w:r>
            <w:r>
              <w:rPr>
                <w:rFonts w:hint="eastAsia" w:ascii="宋体" w:hAnsi="宋体" w:eastAsia="宋体" w:cs="宋体"/>
                <w:color w:val="000000" w:themeColor="text1"/>
                <w:kern w:val="2"/>
                <w:sz w:val="21"/>
                <w:szCs w:val="21"/>
                <w:lang w:eastAsia="zh-CN"/>
                <w14:textFill>
                  <w14:solidFill>
                    <w14:schemeClr w14:val="tx1"/>
                  </w14:solidFill>
                </w14:textFill>
              </w:rPr>
              <w:t>）</w:t>
            </w: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eastAsia="宋体" w:cs="宋体"/>
                <w:color w:val="000000" w:themeColor="text1"/>
                <w:kern w:val="2"/>
                <w:sz w:val="21"/>
                <w:szCs w:val="21"/>
                <w:lang w:val="en-US" w:eastAsia="zh-CN"/>
                <w14:textFill>
                  <w14:solidFill>
                    <w14:schemeClr w14:val="tx1"/>
                  </w14:solidFill>
                </w14:textFill>
              </w:rPr>
              <w:t>有1个</w:t>
            </w:r>
            <w:r>
              <w:rPr>
                <w:rFonts w:hint="eastAsia" w:ascii="宋体" w:hAnsi="宋体" w:eastAsia="宋体" w:cs="宋体"/>
                <w:color w:val="000000" w:themeColor="text1"/>
                <w:kern w:val="2"/>
                <w:sz w:val="21"/>
                <w:szCs w:val="21"/>
                <w14:textFill>
                  <w14:solidFill>
                    <w14:schemeClr w14:val="tx1"/>
                  </w14:solidFill>
                </w14:textFill>
              </w:rPr>
              <w:t>得</w:t>
            </w:r>
            <w:r>
              <w:rPr>
                <w:rFonts w:hint="eastAsia" w:ascii="宋体" w:hAnsi="宋体" w:eastAsia="宋体" w:cs="宋体"/>
                <w:color w:val="000000" w:themeColor="text1"/>
                <w:kern w:val="2"/>
                <w:sz w:val="21"/>
                <w:szCs w:val="21"/>
                <w:lang w:val="en-US" w:eastAsia="zh-CN"/>
                <w14:textFill>
                  <w14:solidFill>
                    <w14:schemeClr w14:val="tx1"/>
                  </w14:solidFill>
                </w14:textFill>
              </w:rPr>
              <w:t>1分，最高得</w:t>
            </w:r>
            <w:r>
              <w:rPr>
                <w:rFonts w:hint="eastAsia" w:ascii="宋体" w:hAnsi="宋体" w:eastAsia="宋体" w:cs="宋体"/>
                <w:color w:val="000000" w:themeColor="text1"/>
                <w:kern w:val="2"/>
                <w:sz w:val="21"/>
                <w:szCs w:val="21"/>
                <w14:textFill>
                  <w14:solidFill>
                    <w14:schemeClr w14:val="tx1"/>
                  </w14:solidFill>
                </w14:textFill>
              </w:rPr>
              <w:t>2分；</w:t>
            </w:r>
          </w:p>
          <w:p>
            <w:pPr>
              <w:pStyle w:val="317"/>
              <w:adjustRightInd w:val="0"/>
              <w:snapToGrid w:val="0"/>
              <w:ind w:firstLine="210" w:firstLineChars="1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w:t>
            </w:r>
            <w:r>
              <w:rPr>
                <w:rFonts w:hint="eastAsia" w:ascii="宋体" w:hAnsi="宋体" w:eastAsia="宋体" w:cs="宋体"/>
                <w:color w:val="000000" w:themeColor="text1"/>
                <w:kern w:val="2"/>
                <w:sz w:val="21"/>
                <w:szCs w:val="21"/>
                <w:lang w:val="en-US"/>
                <w14:textFill>
                  <w14:solidFill>
                    <w14:schemeClr w14:val="tx1"/>
                  </w14:solidFill>
                </w14:textFill>
              </w:rPr>
              <w:t>投标时</w:t>
            </w:r>
            <w:r>
              <w:rPr>
                <w:rFonts w:hint="eastAsia" w:ascii="宋体" w:hAnsi="宋体" w:eastAsia="宋体" w:cs="宋体"/>
                <w:color w:val="000000" w:themeColor="text1"/>
                <w:spacing w:val="-6"/>
                <w:kern w:val="2"/>
                <w:sz w:val="21"/>
                <w:szCs w:val="21"/>
                <w14:textFill>
                  <w14:solidFill>
                    <w14:schemeClr w14:val="tx1"/>
                  </w14:solidFill>
                </w14:textFill>
              </w:rPr>
              <w:t>须提供有效期内</w:t>
            </w:r>
            <w:r>
              <w:rPr>
                <w:rFonts w:hint="eastAsia" w:ascii="宋体" w:hAnsi="宋体" w:eastAsia="宋体" w:cs="宋体"/>
                <w:color w:val="000000" w:themeColor="text1"/>
                <w:kern w:val="2"/>
                <w:sz w:val="21"/>
                <w:szCs w:val="21"/>
                <w14:textFill>
                  <w14:solidFill>
                    <w14:schemeClr w14:val="tx1"/>
                  </w14:solidFill>
                </w14:textFill>
              </w:rPr>
              <w:t>证书复印件加盖投标人公章）</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采样运输和保障工作</w:t>
            </w:r>
          </w:p>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p>
        </w:tc>
        <w:tc>
          <w:tcPr>
            <w:tcW w:w="7629" w:type="dxa"/>
            <w:tcBorders>
              <w:top w:val="single" w:color="auto" w:sz="4" w:space="0"/>
              <w:left w:val="single" w:color="auto" w:sz="4" w:space="0"/>
              <w:bottom w:val="single" w:color="auto" w:sz="4" w:space="0"/>
              <w:right w:val="single" w:color="auto" w:sz="4" w:space="0"/>
            </w:tcBorders>
            <w:noWrap/>
            <w:vAlign w:val="center"/>
          </w:tcPr>
          <w:p>
            <w:pPr>
              <w:pStyle w:val="317"/>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1、</w:t>
            </w:r>
            <w:r>
              <w:rPr>
                <w:rFonts w:hint="eastAsia" w:ascii="宋体" w:hAnsi="宋体" w:eastAsia="宋体" w:cs="宋体"/>
                <w:color w:val="000000" w:themeColor="text1"/>
                <w:kern w:val="2"/>
                <w:sz w:val="21"/>
                <w:szCs w:val="21"/>
                <w14:textFill>
                  <w14:solidFill>
                    <w14:schemeClr w14:val="tx1"/>
                  </w14:solidFill>
                </w14:textFill>
              </w:rPr>
              <w:t>投标人具备满足食品抽检工作要求的抽样工具、车辆及特殊贮存条件要求的运输设备情况：</w:t>
            </w:r>
          </w:p>
          <w:p>
            <w:pPr>
              <w:pStyle w:val="317"/>
              <w:adjustRightInd w:val="0"/>
              <w:snapToGrid w:val="0"/>
              <w:ind w:firstLine="420" w:firstLineChars="200"/>
              <w:rPr>
                <w:rFonts w:hint="eastAsia" w:ascii="宋体" w:hAnsi="宋体" w:eastAsia="宋体" w:cs="宋体"/>
                <w:color w:val="000000" w:themeColor="text1"/>
                <w:kern w:val="2"/>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①投标人自有采样车在满足2辆的基础上，每增加一辆得0.4分，最高得2分；</w:t>
            </w:r>
          </w:p>
          <w:p>
            <w:pPr>
              <w:pStyle w:val="317"/>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②投标人自有温控冷藏车在满足2辆的基础上，每增加一辆得1分，最高得2分</w:t>
            </w:r>
            <w:r>
              <w:rPr>
                <w:rFonts w:hint="eastAsia" w:ascii="宋体" w:hAnsi="宋体" w:eastAsia="宋体" w:cs="宋体"/>
                <w:color w:val="000000" w:themeColor="text1"/>
                <w:kern w:val="2"/>
                <w:sz w:val="21"/>
                <w:szCs w:val="21"/>
                <w14:textFill>
                  <w14:solidFill>
                    <w14:schemeClr w14:val="tx1"/>
                  </w14:solidFill>
                </w14:textFill>
              </w:rPr>
              <w:t>；</w:t>
            </w:r>
          </w:p>
          <w:p>
            <w:pPr>
              <w:pStyle w:val="317"/>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③投标人具备用于样品保存的车载冰箱或冷藏箱，每有5个得1分，</w:t>
            </w:r>
            <w:r>
              <w:rPr>
                <w:rFonts w:hint="eastAsia" w:ascii="宋体" w:hAnsi="宋体" w:eastAsia="宋体" w:cs="宋体"/>
                <w:color w:val="000000" w:themeColor="text1"/>
                <w:kern w:val="2"/>
                <w:sz w:val="21"/>
                <w:szCs w:val="21"/>
                <w:lang w:val="en-US"/>
                <w14:textFill>
                  <w14:solidFill>
                    <w14:schemeClr w14:val="tx1"/>
                  </w14:solidFill>
                </w14:textFill>
              </w:rPr>
              <w:t>最高得</w:t>
            </w:r>
            <w:r>
              <w:rPr>
                <w:rFonts w:hint="eastAsia" w:ascii="宋体" w:hAnsi="宋体" w:eastAsia="宋体" w:cs="宋体"/>
                <w:color w:val="000000" w:themeColor="text1"/>
                <w:kern w:val="2"/>
                <w:sz w:val="21"/>
                <w:szCs w:val="21"/>
                <w14:textFill>
                  <w14:solidFill>
                    <w14:schemeClr w14:val="tx1"/>
                  </w14:solidFill>
                </w14:textFill>
              </w:rPr>
              <w:t>2分。</w:t>
            </w:r>
          </w:p>
          <w:p>
            <w:pPr>
              <w:pStyle w:val="317"/>
              <w:adjustRightInd w:val="0"/>
              <w:snapToGrid w:val="0"/>
              <w:ind w:firstLine="420" w:firstLineChars="200"/>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④</w:t>
            </w:r>
            <w:r>
              <w:rPr>
                <w:rFonts w:hint="eastAsia" w:ascii="宋体" w:hAnsi="宋体" w:eastAsia="宋体" w:cs="宋体"/>
                <w:color w:val="000000" w:themeColor="text1"/>
                <w:kern w:val="2"/>
                <w:sz w:val="21"/>
                <w:szCs w:val="21"/>
                <w:lang w:val="en-US"/>
                <w14:textFill>
                  <w14:solidFill>
                    <w14:schemeClr w14:val="tx1"/>
                  </w14:solidFill>
                </w14:textFill>
              </w:rPr>
              <w:t>投标人</w:t>
            </w:r>
            <w:r>
              <w:rPr>
                <w:rFonts w:hint="eastAsia" w:ascii="宋体" w:hAnsi="宋体" w:eastAsia="宋体" w:cs="宋体"/>
                <w:color w:val="000000" w:themeColor="text1"/>
                <w:kern w:val="2"/>
                <w:sz w:val="21"/>
                <w:szCs w:val="21"/>
                <w14:textFill>
                  <w14:solidFill>
                    <w14:schemeClr w14:val="tx1"/>
                  </w14:solidFill>
                </w14:textFill>
              </w:rPr>
              <w:t>具备用于采样过程视频取证的采样记录仪不少于</w:t>
            </w:r>
            <w:r>
              <w:rPr>
                <w:rFonts w:hint="eastAsia" w:ascii="宋体" w:hAnsi="宋体" w:eastAsia="宋体" w:cs="宋体"/>
                <w:color w:val="000000" w:themeColor="text1"/>
                <w:kern w:val="2"/>
                <w:sz w:val="21"/>
                <w:szCs w:val="21"/>
                <w:lang w:val="en-US" w:eastAsia="zh-CN"/>
                <w14:textFill>
                  <w14:solidFill>
                    <w14:schemeClr w14:val="tx1"/>
                  </w14:solidFill>
                </w14:textFill>
              </w:rPr>
              <w:t>10</w:t>
            </w:r>
            <w:r>
              <w:rPr>
                <w:rFonts w:hint="eastAsia" w:ascii="宋体" w:hAnsi="宋体" w:eastAsia="宋体" w:cs="宋体"/>
                <w:color w:val="000000" w:themeColor="text1"/>
                <w:kern w:val="2"/>
                <w:sz w:val="21"/>
                <w:szCs w:val="21"/>
                <w14:textFill>
                  <w14:solidFill>
                    <w14:schemeClr w14:val="tx1"/>
                  </w14:solidFill>
                </w14:textFill>
              </w:rPr>
              <w:t>部（含），得1分</w:t>
            </w:r>
            <w:r>
              <w:rPr>
                <w:rFonts w:hint="eastAsia" w:ascii="宋体" w:hAnsi="宋体" w:eastAsia="宋体" w:cs="宋体"/>
                <w:color w:val="000000" w:themeColor="text1"/>
                <w:kern w:val="2"/>
                <w:sz w:val="21"/>
                <w:szCs w:val="21"/>
                <w:lang w:val="en-US"/>
                <w14:textFill>
                  <w14:solidFill>
                    <w14:schemeClr w14:val="tx1"/>
                  </w14:solidFill>
                </w14:textFill>
              </w:rPr>
              <w:t>；</w:t>
            </w:r>
            <w:r>
              <w:rPr>
                <w:rFonts w:hint="eastAsia" w:ascii="宋体" w:hAnsi="宋体" w:eastAsia="宋体" w:cs="宋体"/>
                <w:color w:val="000000" w:themeColor="text1"/>
                <w:kern w:val="2"/>
                <w:sz w:val="21"/>
                <w:szCs w:val="21"/>
                <w14:textFill>
                  <w14:solidFill>
                    <w14:schemeClr w14:val="tx1"/>
                  </w14:solidFill>
                </w14:textFill>
              </w:rPr>
              <w:t>少于</w:t>
            </w:r>
            <w:r>
              <w:rPr>
                <w:rFonts w:hint="eastAsia" w:ascii="宋体" w:hAnsi="宋体" w:eastAsia="宋体" w:cs="宋体"/>
                <w:color w:val="000000" w:themeColor="text1"/>
                <w:kern w:val="2"/>
                <w:sz w:val="21"/>
                <w:szCs w:val="21"/>
                <w:lang w:val="en-US" w:eastAsia="zh-CN"/>
                <w14:textFill>
                  <w14:solidFill>
                    <w14:schemeClr w14:val="tx1"/>
                  </w14:solidFill>
                </w14:textFill>
              </w:rPr>
              <w:t>10</w:t>
            </w:r>
            <w:r>
              <w:rPr>
                <w:rFonts w:hint="eastAsia" w:ascii="宋体" w:hAnsi="宋体" w:eastAsia="宋体" w:cs="宋体"/>
                <w:color w:val="000000" w:themeColor="text1"/>
                <w:kern w:val="2"/>
                <w:sz w:val="21"/>
                <w:szCs w:val="21"/>
                <w14:textFill>
                  <w14:solidFill>
                    <w14:schemeClr w14:val="tx1"/>
                  </w14:solidFill>
                </w14:textFill>
              </w:rPr>
              <w:t>部的，不得分。</w:t>
            </w:r>
          </w:p>
          <w:p>
            <w:pPr>
              <w:pStyle w:val="317"/>
              <w:adjustRightInd w:val="0"/>
              <w:snapToGrid w:val="0"/>
              <w:ind w:firstLine="420" w:firstLineChars="200"/>
              <w:rPr>
                <w:rFonts w:hint="eastAsia" w:ascii="宋体" w:hAnsi="宋体" w:eastAsia="宋体" w:cs="宋体"/>
                <w:color w:val="000000" w:themeColor="text1"/>
                <w:kern w:val="2"/>
                <w:sz w:val="21"/>
                <w:szCs w:val="21"/>
                <w:lang w:val="en-US"/>
                <w14:textFill>
                  <w14:solidFill>
                    <w14:schemeClr w14:val="tx1"/>
                  </w14:solidFill>
                </w14:textFill>
              </w:rPr>
            </w:pPr>
            <w:r>
              <w:rPr>
                <w:rFonts w:hint="eastAsia" w:ascii="宋体" w:hAnsi="宋体" w:eastAsia="宋体" w:cs="宋体"/>
                <w:color w:val="000000" w:themeColor="text1"/>
                <w:kern w:val="2"/>
                <w:sz w:val="21"/>
                <w:szCs w:val="21"/>
                <w:lang w:val="en-US"/>
                <w14:textFill>
                  <w14:solidFill>
                    <w14:schemeClr w14:val="tx1"/>
                  </w14:solidFill>
                </w14:textFill>
              </w:rPr>
              <w:t xml:space="preserve">说明: </w:t>
            </w:r>
          </w:p>
          <w:p>
            <w:pPr>
              <w:pStyle w:val="317"/>
              <w:adjustRightInd w:val="0"/>
              <w:snapToGrid w:val="0"/>
              <w:ind w:firstLine="420" w:firstLineChars="200"/>
              <w:rPr>
                <w:rFonts w:hint="eastAsia" w:ascii="宋体" w:hAnsi="宋体" w:eastAsia="宋体" w:cs="宋体"/>
                <w:color w:val="000000" w:themeColor="text1"/>
                <w:kern w:val="2"/>
                <w:sz w:val="21"/>
                <w:szCs w:val="21"/>
                <w:lang w:val="en-US"/>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（1）</w:t>
            </w:r>
            <w:r>
              <w:rPr>
                <w:rFonts w:hint="eastAsia" w:ascii="宋体" w:hAnsi="宋体" w:eastAsia="宋体" w:cs="宋体"/>
                <w:color w:val="000000" w:themeColor="text1"/>
                <w:kern w:val="2"/>
                <w:sz w:val="21"/>
                <w:szCs w:val="21"/>
                <w:lang w:val="en-US"/>
                <w14:textFill>
                  <w14:solidFill>
                    <w14:schemeClr w14:val="tx1"/>
                  </w14:solidFill>
                </w14:textFill>
              </w:rPr>
              <w:t>投标人投标时须提供以上车辆的《机动车行驶证》复印件（如机动车所有人非投标人的，须提供《机动车行驶证》复印件以及投标人与机动车所有人签订的车辆租赁协议复印件。且该协议的租期须在本项目服务期内）以及车载冰箱发票、记录仪发票复印件，未提供或提供材料不全的不得分。</w:t>
            </w:r>
          </w:p>
          <w:p>
            <w:pPr>
              <w:pStyle w:val="317"/>
              <w:adjustRightInd w:val="0"/>
              <w:snapToGrid w:val="0"/>
              <w:ind w:firstLine="420" w:firstLineChars="200"/>
              <w:rPr>
                <w:rFonts w:hint="eastAsia" w:ascii="宋体" w:hAnsi="宋体" w:eastAsia="宋体" w:cs="宋体"/>
                <w:color w:val="000000" w:themeColor="text1"/>
                <w:kern w:val="2"/>
                <w:sz w:val="21"/>
                <w:szCs w:val="21"/>
                <w:lang w:val="en-US"/>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（2）</w:t>
            </w:r>
            <w:r>
              <w:rPr>
                <w:rFonts w:hint="eastAsia" w:ascii="宋体" w:hAnsi="宋体" w:eastAsia="宋体" w:cs="宋体"/>
                <w:color w:val="000000" w:themeColor="text1"/>
                <w:kern w:val="2"/>
                <w:sz w:val="21"/>
                <w:szCs w:val="21"/>
                <w:lang w:val="en-US"/>
                <w14:textFill>
                  <w14:solidFill>
                    <w14:schemeClr w14:val="tx1"/>
                  </w14:solidFill>
                </w14:textFill>
              </w:rPr>
              <w:t>以上车辆的须提供有效期内的车辆行驶证复印件或有效期内的机动车检验合格标志电子凭证复印件，否则不得分。</w:t>
            </w:r>
          </w:p>
          <w:p>
            <w:pPr>
              <w:pStyle w:val="317"/>
              <w:adjustRightInd w:val="0"/>
              <w:snapToGrid w:val="0"/>
              <w:ind w:firstLine="420" w:firstLineChars="200"/>
              <w:rPr>
                <w:rFonts w:hint="eastAsia" w:ascii="宋体" w:hAnsi="宋体" w:eastAsia="宋体" w:cs="宋体"/>
                <w:color w:val="000000" w:themeColor="text1"/>
                <w:kern w:val="2"/>
                <w:sz w:val="21"/>
                <w:szCs w:val="21"/>
                <w:lang w:val="en-US"/>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（3）</w:t>
            </w:r>
            <w:r>
              <w:rPr>
                <w:rFonts w:hint="eastAsia" w:ascii="宋体" w:hAnsi="宋体" w:eastAsia="宋体" w:cs="宋体"/>
                <w:color w:val="000000" w:themeColor="text1"/>
                <w:kern w:val="2"/>
                <w:sz w:val="21"/>
                <w:szCs w:val="21"/>
                <w:lang w:val="en-US"/>
                <w14:textFill>
                  <w14:solidFill>
                    <w14:schemeClr w14:val="tx1"/>
                  </w14:solidFill>
                </w14:textFill>
              </w:rPr>
              <w:t>以上车辆在服务期内须按国家有关规定购买车辆保险、定期年审并及时保养维修，以确保服务期内的行驶安全。</w:t>
            </w:r>
          </w:p>
          <w:p>
            <w:pPr>
              <w:ind w:firstLine="420" w:firstLineChars="20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2、本地化应急服务能力（3分）</w:t>
            </w:r>
          </w:p>
          <w:p>
            <w:pPr>
              <w:pStyle w:val="317"/>
              <w:adjustRightInd w:val="0"/>
              <w:snapToGrid w:val="0"/>
              <w:ind w:firstLine="420" w:firstLineChars="200"/>
              <w:rPr>
                <w:rFonts w:hint="eastAsia" w:ascii="宋体" w:hAnsi="宋体" w:eastAsia="宋体" w:cs="宋体"/>
                <w:color w:val="000000" w:themeColor="text1"/>
                <w:kern w:val="2"/>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投标人接到采购人通知，能够应急响应抵达现场在3小时以内完成的，得3分；3小时以上4小时以内完成的，得1.5分；4小时以上5小时以内完成的，得1分。其余本项本项不得分。</w:t>
            </w:r>
          </w:p>
          <w:p>
            <w:pPr>
              <w:pStyle w:val="317"/>
              <w:adjustRightInd w:val="0"/>
              <w:snapToGrid w:val="0"/>
              <w:ind w:firstLine="420" w:firstLineChars="200"/>
              <w:rPr>
                <w:rFonts w:hint="eastAsia" w:ascii="宋体" w:hAnsi="宋体" w:eastAsia="宋体" w:cs="宋体"/>
                <w:color w:val="000000" w:themeColor="text1"/>
                <w:kern w:val="2"/>
                <w:sz w:val="21"/>
                <w:szCs w:val="21"/>
                <w:lang w:val="en-US"/>
                <w14:textFill>
                  <w14:solidFill>
                    <w14:schemeClr w14:val="tx1"/>
                  </w14:solidFill>
                </w14:textFill>
              </w:rPr>
            </w:pPr>
            <w:r>
              <w:rPr>
                <w:rFonts w:hint="eastAsia" w:ascii="宋体" w:hAnsi="宋体" w:eastAsia="宋体" w:cs="宋体"/>
                <w:color w:val="000000" w:themeColor="text1"/>
                <w:kern w:val="2"/>
                <w:sz w:val="21"/>
                <w:szCs w:val="21"/>
                <w:lang w:val="en-US" w:eastAsia="zh-CN"/>
                <w14:textFill>
                  <w14:solidFill>
                    <w14:schemeClr w14:val="tx1"/>
                  </w14:solidFill>
                </w14:textFill>
              </w:rPr>
              <w:t>说明：投标人投标时须作出承诺。（无格式，由投标人自制）并须提供相关证明材料供评委判定。（评标时，以投标人或投标人分公司营业执照地址距滨海县市场监督管理局（永宁路6号）工作日上午9:00-10:00点的在线地图汽车导航时间+采样时间为依据来判定，不得以直线距离计算。提供营业执照和导航截图，未提供或者提供不全不得分；导航截图应清晰可辨识，若模糊不清不得分）</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合格备份样品再利用工作情况</w:t>
            </w:r>
          </w:p>
          <w:p>
            <w:pPr>
              <w:pStyle w:val="37"/>
              <w:ind w:left="0" w:leftChars="0" w:firstLine="0" w:firstLineChars="0"/>
              <w:rPr>
                <w:rFonts w:hint="eastAsia" w:ascii="宋体" w:hAnsi="宋体" w:eastAsia="宋体" w:cs="宋体"/>
                <w:color w:val="000000" w:themeColor="text1"/>
                <w:sz w:val="21"/>
                <w:szCs w:val="21"/>
                <w:lang w:val="en-US" w:eastAsia="zh-CN"/>
                <w14:textFill>
                  <w14:solidFill>
                    <w14:schemeClr w14:val="tx1"/>
                  </w14:solidFill>
                </w14:textFill>
              </w:rPr>
            </w:pPr>
          </w:p>
        </w:tc>
        <w:tc>
          <w:tcPr>
            <w:tcW w:w="762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lef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合格备份样品再利用情况(</w:t>
            </w:r>
            <w:r>
              <w:rPr>
                <w:rFonts w:hint="eastAsia" w:ascii="宋体" w:hAnsi="宋体" w:eastAsia="宋体" w:cs="宋体"/>
                <w:bCs/>
                <w:color w:val="000000" w:themeColor="text1"/>
                <w:kern w:val="0"/>
                <w:sz w:val="21"/>
                <w:szCs w:val="21"/>
                <w:lang w:val="en-US" w:eastAsia="zh-CN"/>
                <w14:textFill>
                  <w14:solidFill>
                    <w14:schemeClr w14:val="tx1"/>
                  </w14:solidFill>
                </w14:textFill>
              </w:rPr>
              <w:t>5</w:t>
            </w:r>
            <w:r>
              <w:rPr>
                <w:rFonts w:hint="eastAsia" w:ascii="宋体" w:hAnsi="宋体" w:eastAsia="宋体" w:cs="宋体"/>
                <w:bCs/>
                <w:color w:val="000000" w:themeColor="text1"/>
                <w:kern w:val="0"/>
                <w:sz w:val="21"/>
                <w:szCs w:val="21"/>
                <w14:textFill>
                  <w14:solidFill>
                    <w14:schemeClr w14:val="tx1"/>
                  </w14:solidFill>
                </w14:textFill>
              </w:rPr>
              <w:t>分)自202</w:t>
            </w:r>
            <w:r>
              <w:rPr>
                <w:rFonts w:hint="eastAsia" w:ascii="宋体" w:hAnsi="宋体" w:eastAsia="宋体" w:cs="宋体"/>
                <w:bCs/>
                <w:color w:val="000000" w:themeColor="text1"/>
                <w:kern w:val="0"/>
                <w:sz w:val="21"/>
                <w:szCs w:val="21"/>
                <w:lang w:val="en-US" w:eastAsia="zh-CN"/>
                <w14:textFill>
                  <w14:solidFill>
                    <w14:schemeClr w14:val="tx1"/>
                  </w14:solidFill>
                </w14:textFill>
              </w:rPr>
              <w:t>1</w:t>
            </w:r>
            <w:r>
              <w:rPr>
                <w:rFonts w:hint="eastAsia" w:ascii="宋体" w:hAnsi="宋体" w:eastAsia="宋体" w:cs="宋体"/>
                <w:bCs/>
                <w:color w:val="000000" w:themeColor="text1"/>
                <w:kern w:val="0"/>
                <w:sz w:val="21"/>
                <w:szCs w:val="21"/>
                <w14:textFill>
                  <w14:solidFill>
                    <w14:schemeClr w14:val="tx1"/>
                  </w14:solidFill>
                </w14:textFill>
              </w:rPr>
              <w:t>年1月1日以来，投标人：</w:t>
            </w:r>
          </w:p>
          <w:p>
            <w:pPr>
              <w:adjustRightInd w:val="0"/>
              <w:snapToGrid w:val="0"/>
              <w:jc w:val="lef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（1）已建立抽检合格备份样品再利用工作制度机制的，得</w:t>
            </w:r>
            <w:r>
              <w:rPr>
                <w:rFonts w:hint="eastAsia" w:ascii="宋体" w:hAnsi="宋体" w:eastAsia="宋体" w:cs="宋体"/>
                <w:bCs/>
                <w:color w:val="000000" w:themeColor="text1"/>
                <w:kern w:val="0"/>
                <w:sz w:val="21"/>
                <w:szCs w:val="21"/>
                <w:lang w:val="en-US" w:eastAsia="zh-CN"/>
                <w14:textFill>
                  <w14:solidFill>
                    <w14:schemeClr w14:val="tx1"/>
                  </w14:solidFill>
                </w14:textFill>
              </w:rPr>
              <w:t>1</w:t>
            </w:r>
            <w:r>
              <w:rPr>
                <w:rFonts w:hint="eastAsia" w:ascii="宋体" w:hAnsi="宋体" w:eastAsia="宋体" w:cs="宋体"/>
                <w:bCs/>
                <w:color w:val="000000" w:themeColor="text1"/>
                <w:kern w:val="0"/>
                <w:sz w:val="21"/>
                <w:szCs w:val="21"/>
                <w14:textFill>
                  <w14:solidFill>
                    <w14:schemeClr w14:val="tx1"/>
                  </w14:solidFill>
                </w14:textFill>
              </w:rPr>
              <w:t>分；</w:t>
            </w:r>
          </w:p>
          <w:p>
            <w:pPr>
              <w:adjustRightInd w:val="0"/>
              <w:snapToGrid w:val="0"/>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（2）</w:t>
            </w:r>
            <w:r>
              <w:rPr>
                <w:rFonts w:hint="eastAsia" w:ascii="宋体" w:hAnsi="宋体" w:eastAsia="宋体" w:cs="宋体"/>
                <w:bCs/>
                <w:color w:val="000000" w:themeColor="text1"/>
                <w:kern w:val="0"/>
                <w:sz w:val="21"/>
                <w:szCs w:val="21"/>
                <w:lang w:val="en-US" w:eastAsia="zh-CN"/>
                <w14:textFill>
                  <w14:solidFill>
                    <w14:schemeClr w14:val="tx1"/>
                  </w14:solidFill>
                </w14:textFill>
              </w:rPr>
              <w:t>已按照工作机制</w:t>
            </w:r>
            <w:r>
              <w:rPr>
                <w:rFonts w:hint="eastAsia" w:ascii="宋体" w:hAnsi="宋体" w:eastAsia="宋体" w:cs="宋体"/>
                <w:bCs/>
                <w:color w:val="000000" w:themeColor="text1"/>
                <w:kern w:val="0"/>
                <w:sz w:val="21"/>
                <w:szCs w:val="21"/>
                <w14:textFill>
                  <w14:solidFill>
                    <w14:schemeClr w14:val="tx1"/>
                  </w14:solidFill>
                </w14:textFill>
              </w:rPr>
              <w:t>开展抽检合格备份样品再利用工作的，得2分；</w:t>
            </w:r>
          </w:p>
          <w:p>
            <w:pPr>
              <w:pStyle w:val="317"/>
              <w:adjustRightInd w:val="0"/>
              <w:snapToGrid w:val="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（3）开展的合格备份样品再利用工作取得良好社会效果（如媒体报道、受益方出具的感谢信等）的，得2分。</w:t>
            </w:r>
          </w:p>
          <w:p>
            <w:pPr>
              <w:pStyle w:val="317"/>
              <w:adjustRightInd w:val="0"/>
              <w:snapToGrid w:val="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(需提供相关工作制度、开展情况</w:t>
            </w:r>
            <w:r>
              <w:rPr>
                <w:rFonts w:hint="eastAsia" w:ascii="宋体" w:hAnsi="宋体" w:eastAsia="宋体" w:cs="宋体"/>
                <w:bCs/>
                <w:color w:val="000000" w:themeColor="text1"/>
                <w:sz w:val="21"/>
                <w:szCs w:val="21"/>
                <w:lang w:val="en-US" w:eastAsia="zh-CN"/>
                <w14:textFill>
                  <w14:solidFill>
                    <w14:schemeClr w14:val="tx1"/>
                  </w14:solidFill>
                </w14:textFill>
              </w:rPr>
              <w:t>图片</w:t>
            </w:r>
            <w:r>
              <w:rPr>
                <w:rFonts w:hint="eastAsia" w:ascii="宋体" w:hAnsi="宋体" w:eastAsia="宋体" w:cs="宋体"/>
                <w:bCs/>
                <w:color w:val="000000" w:themeColor="text1"/>
                <w:sz w:val="21"/>
                <w:szCs w:val="21"/>
                <w14:textFill>
                  <w14:solidFill>
                    <w14:schemeClr w14:val="tx1"/>
                  </w14:solidFill>
                </w14:textFill>
              </w:rPr>
              <w:t>、</w:t>
            </w:r>
            <w:r>
              <w:rPr>
                <w:rFonts w:hint="eastAsia" w:ascii="宋体" w:hAnsi="宋体" w:eastAsia="宋体" w:cs="宋体"/>
                <w:bCs/>
                <w:color w:val="000000" w:themeColor="text1"/>
                <w:sz w:val="21"/>
                <w:szCs w:val="21"/>
                <w:lang w:val="en-US" w:eastAsia="zh-CN"/>
                <w14:textFill>
                  <w14:solidFill>
                    <w14:schemeClr w14:val="tx1"/>
                  </w14:solidFill>
                </w14:textFill>
              </w:rPr>
              <w:t>捐赠合同、拍卖合同</w:t>
            </w:r>
            <w:r>
              <w:rPr>
                <w:rFonts w:hint="eastAsia" w:ascii="宋体" w:hAnsi="宋体" w:eastAsia="宋体" w:cs="宋体"/>
                <w:bCs/>
                <w:color w:val="000000" w:themeColor="text1"/>
                <w:sz w:val="21"/>
                <w:szCs w:val="21"/>
                <w14:textFill>
                  <w14:solidFill>
                    <w14:schemeClr w14:val="tx1"/>
                  </w14:solidFill>
                </w14:textFill>
              </w:rPr>
              <w:t>等</w:t>
            </w:r>
            <w:r>
              <w:rPr>
                <w:rFonts w:hint="eastAsia" w:ascii="宋体" w:hAnsi="宋体" w:eastAsia="宋体" w:cs="宋体"/>
                <w:bCs/>
                <w:color w:val="000000" w:themeColor="text1"/>
                <w:sz w:val="21"/>
                <w:szCs w:val="21"/>
                <w:lang w:val="en-US" w:eastAsia="zh-CN"/>
                <w14:textFill>
                  <w14:solidFill>
                    <w14:schemeClr w14:val="tx1"/>
                  </w14:solidFill>
                </w14:textFill>
              </w:rPr>
              <w:t>图文佐证</w:t>
            </w:r>
            <w:r>
              <w:rPr>
                <w:rFonts w:hint="eastAsia" w:ascii="宋体" w:hAnsi="宋体" w:eastAsia="宋体" w:cs="宋体"/>
                <w:bCs/>
                <w:color w:val="000000" w:themeColor="text1"/>
                <w:sz w:val="21"/>
                <w:szCs w:val="21"/>
                <w14:textFill>
                  <w14:solidFill>
                    <w14:schemeClr w14:val="tx1"/>
                  </w14:solidFill>
                </w14:textFill>
              </w:rPr>
              <w:t>材料。备样再利用方式包括捐赠、拍卖、义卖等方式。)</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p>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投标人业绩</w:t>
            </w:r>
          </w:p>
          <w:p>
            <w:pPr>
              <w:pStyle w:val="38"/>
              <w:adjustRightInd w:val="0"/>
              <w:snapToGrid w:val="0"/>
              <w:jc w:val="center"/>
              <w:rPr>
                <w:rFonts w:hint="eastAsia" w:ascii="宋体" w:hAnsi="宋体" w:eastAsia="宋体" w:cs="宋体"/>
                <w:color w:val="000000" w:themeColor="text1"/>
                <w:sz w:val="21"/>
                <w:szCs w:val="21"/>
                <w14:textFill>
                  <w14:solidFill>
                    <w14:schemeClr w14:val="tx1"/>
                  </w14:solidFill>
                </w14:textFill>
              </w:rPr>
            </w:pPr>
          </w:p>
          <w:p>
            <w:pPr>
              <w:pStyle w:val="38"/>
              <w:adjustRightInd w:val="0"/>
              <w:snapToGrid w:val="0"/>
              <w:ind w:left="0" w:leftChars="0" w:firstLine="0" w:firstLineChars="0"/>
              <w:jc w:val="center"/>
              <w:rPr>
                <w:rFonts w:hint="eastAsia" w:ascii="宋体" w:hAnsi="宋体" w:eastAsia="宋体" w:cs="宋体"/>
                <w:color w:val="000000" w:themeColor="text1"/>
                <w:sz w:val="21"/>
                <w:szCs w:val="21"/>
                <w14:textFill>
                  <w14:solidFill>
                    <w14:schemeClr w14:val="tx1"/>
                  </w14:solidFill>
                </w14:textFill>
              </w:rPr>
            </w:pPr>
          </w:p>
        </w:tc>
        <w:tc>
          <w:tcPr>
            <w:tcW w:w="7629" w:type="dxa"/>
            <w:tcBorders>
              <w:top w:val="single" w:color="auto" w:sz="4" w:space="0"/>
              <w:left w:val="single" w:color="auto" w:sz="4" w:space="0"/>
              <w:bottom w:val="single" w:color="auto" w:sz="4" w:space="0"/>
              <w:right w:val="single" w:color="auto" w:sz="4" w:space="0"/>
            </w:tcBorders>
            <w:noWrap/>
            <w:vAlign w:val="center"/>
          </w:tcPr>
          <w:p>
            <w:pPr>
              <w:pStyle w:val="14"/>
              <w:numPr>
                <w:ilvl w:val="0"/>
                <w:numId w:val="5"/>
              </w:numPr>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投标人自</w:t>
            </w:r>
            <w:r>
              <w:rPr>
                <w:rFonts w:hint="eastAsia" w:ascii="宋体" w:hAnsi="宋体" w:eastAsia="宋体" w:cs="宋体"/>
                <w:color w:val="000000" w:themeColor="text1"/>
                <w:kern w:val="2"/>
                <w:sz w:val="21"/>
                <w:szCs w:val="21"/>
                <w:lang w:val="en-US" w:eastAsia="zh-CN" w:bidi="zh-CN"/>
                <w14:textFill>
                  <w14:solidFill>
                    <w14:schemeClr w14:val="tx1"/>
                  </w14:solidFill>
                </w14:textFill>
              </w:rPr>
              <w:t>2021年1月1日（以合同签订时间为准）</w:t>
            </w:r>
            <w:r>
              <w:rPr>
                <w:rFonts w:hint="eastAsia" w:ascii="宋体" w:hAnsi="宋体" w:eastAsia="宋体" w:cs="宋体"/>
                <w:color w:val="000000" w:themeColor="text1"/>
                <w:spacing w:val="-11"/>
                <w:kern w:val="2"/>
                <w:sz w:val="21"/>
                <w:szCs w:val="21"/>
                <w14:textFill>
                  <w14:solidFill>
                    <w14:schemeClr w14:val="tx1"/>
                  </w14:solidFill>
                </w14:textFill>
              </w:rPr>
              <w:t>年以来承担过省级及以上（含国转移任务）食品抽检任务的，每提供一个得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2</w:t>
            </w:r>
            <w:r>
              <w:rPr>
                <w:rFonts w:hint="eastAsia" w:ascii="宋体" w:hAnsi="宋体" w:eastAsia="宋体" w:cs="宋体"/>
                <w:color w:val="000000" w:themeColor="text1"/>
                <w:spacing w:val="-11"/>
                <w:kern w:val="2"/>
                <w:sz w:val="21"/>
                <w:szCs w:val="21"/>
                <w14:textFill>
                  <w14:solidFill>
                    <w14:schemeClr w14:val="tx1"/>
                  </w14:solidFill>
                </w14:textFill>
              </w:rPr>
              <w:t>分，最多得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4</w:t>
            </w:r>
            <w:r>
              <w:rPr>
                <w:rFonts w:hint="eastAsia" w:ascii="宋体" w:hAnsi="宋体" w:eastAsia="宋体" w:cs="宋体"/>
                <w:color w:val="000000" w:themeColor="text1"/>
                <w:spacing w:val="-11"/>
                <w:kern w:val="2"/>
                <w:sz w:val="21"/>
                <w:szCs w:val="21"/>
                <w14:textFill>
                  <w14:solidFill>
                    <w14:schemeClr w14:val="tx1"/>
                  </w14:solidFill>
                </w14:textFill>
              </w:rPr>
              <w:t>分；承担过设区地市级食品检验任务的，每提供一个得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1.5</w:t>
            </w:r>
            <w:r>
              <w:rPr>
                <w:rFonts w:hint="eastAsia" w:ascii="宋体" w:hAnsi="宋体" w:eastAsia="宋体" w:cs="宋体"/>
                <w:color w:val="000000" w:themeColor="text1"/>
                <w:spacing w:val="-11"/>
                <w:kern w:val="2"/>
                <w:sz w:val="21"/>
                <w:szCs w:val="21"/>
                <w14:textFill>
                  <w14:solidFill>
                    <w14:schemeClr w14:val="tx1"/>
                  </w14:solidFill>
                </w14:textFill>
              </w:rPr>
              <w:t>分，最多得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3</w:t>
            </w:r>
            <w:r>
              <w:rPr>
                <w:rFonts w:hint="eastAsia" w:ascii="宋体" w:hAnsi="宋体" w:eastAsia="宋体" w:cs="宋体"/>
                <w:color w:val="000000" w:themeColor="text1"/>
                <w:spacing w:val="-11"/>
                <w:kern w:val="2"/>
                <w:sz w:val="21"/>
                <w:szCs w:val="21"/>
                <w14:textFill>
                  <w14:solidFill>
                    <w14:schemeClr w14:val="tx1"/>
                  </w14:solidFill>
                </w14:textFill>
              </w:rPr>
              <w:t>分；县级市和区、县级任务的，每提供一个得1分，最多得2分；不提供不得分。本项最高得6分。(本项得分累加；投标人投标时须提供任务委托书或抽检合同复印件，未提供或提供材料不全的不得分)</w:t>
            </w:r>
          </w:p>
          <w:p>
            <w:pPr>
              <w:pStyle w:val="14"/>
              <w:numPr>
                <w:ilvl w:val="0"/>
                <w:numId w:val="5"/>
              </w:numPr>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投标人自</w:t>
            </w:r>
            <w:r>
              <w:rPr>
                <w:rFonts w:hint="eastAsia" w:ascii="宋体" w:hAnsi="宋体" w:eastAsia="宋体" w:cs="宋体"/>
                <w:color w:val="000000" w:themeColor="text1"/>
                <w:kern w:val="2"/>
                <w:sz w:val="21"/>
                <w:szCs w:val="21"/>
                <w:lang w:val="en-US" w:eastAsia="zh-CN" w:bidi="zh-CN"/>
                <w14:textFill>
                  <w14:solidFill>
                    <w14:schemeClr w14:val="tx1"/>
                  </w14:solidFill>
                </w14:textFill>
              </w:rPr>
              <w:t>2021年1月1日</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以来承担过</w:t>
            </w:r>
            <w:r>
              <w:rPr>
                <w:rFonts w:hint="eastAsia" w:ascii="宋体" w:hAnsi="宋体" w:eastAsia="宋体" w:cs="宋体"/>
                <w:color w:val="000000" w:themeColor="text1"/>
                <w:kern w:val="2"/>
                <w:sz w:val="21"/>
                <w:szCs w:val="21"/>
                <w:lang w:val="en-US" w:eastAsia="zh-CN" w:bidi="zh-CN"/>
                <w14:textFill>
                  <w14:solidFill>
                    <w14:schemeClr w14:val="tx1"/>
                  </w14:solidFill>
                </w14:textFill>
              </w:rPr>
              <w:t>省级及以上</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评价性抽检任务的，有一次得1分，最多得2分。</w:t>
            </w:r>
            <w:r>
              <w:rPr>
                <w:rFonts w:hint="eastAsia" w:ascii="宋体" w:hAnsi="宋体" w:eastAsia="宋体" w:cs="宋体"/>
                <w:color w:val="000000" w:themeColor="text1"/>
                <w:spacing w:val="-11"/>
                <w:kern w:val="2"/>
                <w:sz w:val="21"/>
                <w:szCs w:val="21"/>
                <w14:textFill>
                  <w14:solidFill>
                    <w14:schemeClr w14:val="tx1"/>
                  </w14:solidFill>
                </w14:textFill>
              </w:rPr>
              <w:t>(投标人投标时须提供任务委托书或抽检合同复印件，未提供或提供材料不全的不得分)</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tabs>
                <w:tab w:val="left" w:pos="531"/>
              </w:tabs>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实施方案</w:t>
            </w:r>
          </w:p>
        </w:tc>
        <w:tc>
          <w:tcPr>
            <w:tcW w:w="7629" w:type="dxa"/>
            <w:tcBorders>
              <w:top w:val="single" w:color="auto" w:sz="4" w:space="0"/>
              <w:left w:val="single" w:color="auto" w:sz="4" w:space="0"/>
              <w:bottom w:val="single" w:color="auto" w:sz="4" w:space="0"/>
              <w:right w:val="single" w:color="auto" w:sz="4" w:space="0"/>
            </w:tcBorders>
            <w:noWrap/>
            <w:vAlign w:val="center"/>
          </w:tcPr>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将《</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滨海县</w:t>
            </w:r>
            <w:r>
              <w:rPr>
                <w:rFonts w:hint="eastAsia" w:ascii="宋体" w:hAnsi="宋体" w:eastAsia="宋体" w:cs="宋体"/>
                <w:color w:val="000000" w:themeColor="text1"/>
                <w:spacing w:val="-11"/>
                <w:kern w:val="2"/>
                <w:sz w:val="21"/>
                <w:szCs w:val="21"/>
                <w14:textFill>
                  <w14:solidFill>
                    <w14:schemeClr w14:val="tx1"/>
                  </w14:solidFill>
                </w14:textFill>
              </w:rPr>
              <w:t>2023年</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7月份</w:t>
            </w:r>
            <w:r>
              <w:rPr>
                <w:rFonts w:hint="eastAsia" w:ascii="宋体" w:hAnsi="宋体" w:eastAsia="宋体" w:cs="宋体"/>
                <w:color w:val="000000" w:themeColor="text1"/>
                <w:spacing w:val="-11"/>
                <w:kern w:val="2"/>
                <w:sz w:val="21"/>
                <w:szCs w:val="21"/>
                <w14:textFill>
                  <w14:solidFill>
                    <w14:schemeClr w14:val="tx1"/>
                  </w14:solidFill>
                </w14:textFill>
              </w:rPr>
              <w:t>监督抽检计划》作为任务部署文件，模拟制定专项监督抽检实施方案。</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1</w:t>
            </w:r>
            <w:r>
              <w:rPr>
                <w:rFonts w:hint="eastAsia" w:ascii="宋体" w:hAnsi="宋体" w:eastAsia="宋体" w:cs="宋体"/>
                <w:color w:val="000000" w:themeColor="text1"/>
                <w:spacing w:val="-11"/>
                <w:kern w:val="2"/>
                <w:sz w:val="21"/>
                <w:szCs w:val="21"/>
                <w:lang w:val="en-US"/>
                <w14:textFill>
                  <w14:solidFill>
                    <w14:schemeClr w14:val="tx1"/>
                  </w14:solidFill>
                </w14:textFill>
              </w:rPr>
              <w:t>.</w:t>
            </w:r>
            <w:r>
              <w:rPr>
                <w:rFonts w:hint="eastAsia" w:ascii="宋体" w:hAnsi="宋体" w:eastAsia="宋体" w:cs="宋体"/>
                <w:color w:val="000000" w:themeColor="text1"/>
                <w:spacing w:val="-11"/>
                <w:kern w:val="2"/>
                <w:sz w:val="21"/>
                <w:szCs w:val="21"/>
                <w14:textFill>
                  <w14:solidFill>
                    <w14:schemeClr w14:val="tx1"/>
                  </w14:solidFill>
                </w14:textFill>
              </w:rPr>
              <w:t>抽检工作(</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7</w:t>
            </w:r>
            <w:r>
              <w:rPr>
                <w:rFonts w:hint="eastAsia" w:ascii="宋体" w:hAnsi="宋体" w:eastAsia="宋体" w:cs="宋体"/>
                <w:color w:val="000000" w:themeColor="text1"/>
                <w:spacing w:val="-11"/>
                <w:kern w:val="2"/>
                <w:sz w:val="21"/>
                <w:szCs w:val="21"/>
                <w14:textFill>
                  <w14:solidFill>
                    <w14:schemeClr w14:val="tx1"/>
                  </w14:solidFill>
                </w14:textFill>
              </w:rPr>
              <w:t>分)：</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评审</w:t>
            </w:r>
            <w:r>
              <w:rPr>
                <w:rFonts w:hint="eastAsia" w:ascii="宋体" w:hAnsi="宋体" w:eastAsia="宋体" w:cs="宋体"/>
                <w:color w:val="000000" w:themeColor="text1"/>
                <w:spacing w:val="-11"/>
                <w:kern w:val="2"/>
                <w:sz w:val="21"/>
                <w:szCs w:val="21"/>
                <w:lang w:val="en-US"/>
                <w14:textFill>
                  <w14:solidFill>
                    <w14:schemeClr w14:val="tx1"/>
                  </w14:solidFill>
                </w14:textFill>
              </w:rPr>
              <w:t>小组</w:t>
            </w:r>
            <w:r>
              <w:rPr>
                <w:rFonts w:hint="eastAsia" w:ascii="宋体" w:hAnsi="宋体" w:eastAsia="宋体" w:cs="宋体"/>
                <w:color w:val="000000" w:themeColor="text1"/>
                <w:spacing w:val="-11"/>
                <w:kern w:val="2"/>
                <w:sz w:val="21"/>
                <w:szCs w:val="21"/>
                <w14:textFill>
                  <w14:solidFill>
                    <w14:schemeClr w14:val="tx1"/>
                  </w14:solidFill>
                </w14:textFill>
              </w:rPr>
              <w:t>从工作目标、工作内容、工作方法、工作进程安排、重点难点分析、质量管理控制等方面进行评价。</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①</w:t>
            </w:r>
            <w:r>
              <w:rPr>
                <w:rFonts w:hint="eastAsia" w:ascii="宋体" w:hAnsi="宋体" w:eastAsia="宋体" w:cs="宋体"/>
                <w:color w:val="000000" w:themeColor="text1"/>
                <w:sz w:val="21"/>
                <w:szCs w:val="21"/>
                <w14:textFill>
                  <w14:solidFill>
                    <w14:schemeClr w14:val="tx1"/>
                  </w14:solidFill>
                </w14:textFill>
              </w:rPr>
              <w:t>方案内容完整、科学合理、针对性强</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kern w:val="2"/>
                <w:sz w:val="21"/>
                <w:szCs w:val="21"/>
                <w:lang w:val="en-US" w:eastAsia="zh-CN" w:bidi="zh-CN"/>
                <w14:textFill>
                  <w14:solidFill>
                    <w14:schemeClr w14:val="tx1"/>
                  </w14:solidFill>
                </w14:textFill>
              </w:rPr>
              <w:t>优于本项目需求的</w:t>
            </w:r>
            <w:r>
              <w:rPr>
                <w:rFonts w:hint="eastAsia" w:ascii="宋体" w:hAnsi="宋体" w:eastAsia="宋体" w:cs="宋体"/>
                <w:color w:val="000000" w:themeColor="text1"/>
                <w:spacing w:val="-11"/>
                <w:kern w:val="2"/>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7</w:t>
            </w:r>
            <w:r>
              <w:rPr>
                <w:rFonts w:hint="eastAsia" w:ascii="宋体" w:hAnsi="宋体" w:eastAsia="宋体" w:cs="宋体"/>
                <w:color w:val="000000" w:themeColor="text1"/>
                <w:spacing w:val="-11"/>
                <w:kern w:val="2"/>
                <w:sz w:val="21"/>
                <w:szCs w:val="21"/>
                <w14:textFill>
                  <w14:solidFill>
                    <w14:schemeClr w14:val="tx1"/>
                  </w14:solidFill>
                </w14:textFill>
              </w:rPr>
              <w:t>分；</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②</w:t>
            </w:r>
            <w:r>
              <w:rPr>
                <w:rFonts w:hint="eastAsia" w:ascii="宋体" w:hAnsi="宋体" w:eastAsia="宋体" w:cs="宋体"/>
                <w:color w:val="000000" w:themeColor="text1"/>
                <w:sz w:val="21"/>
                <w:szCs w:val="21"/>
                <w14:textFill>
                  <w14:solidFill>
                    <w14:schemeClr w14:val="tx1"/>
                  </w14:solidFill>
                </w14:textFill>
              </w:rPr>
              <w:t>方案内容较完整、较科学合理、针对性较强</w:t>
            </w:r>
            <w:r>
              <w:rPr>
                <w:rFonts w:hint="eastAsia" w:ascii="宋体" w:hAnsi="宋体" w:eastAsia="宋体" w:cs="宋体"/>
                <w:color w:val="000000" w:themeColor="text1"/>
                <w:spacing w:val="-11"/>
                <w:kern w:val="2"/>
                <w:sz w:val="21"/>
                <w:szCs w:val="21"/>
                <w:lang w:val="en-US"/>
                <w14:textFill>
                  <w14:solidFill>
                    <w14:schemeClr w14:val="tx1"/>
                  </w14:solidFill>
                </w14:textFill>
              </w:rPr>
              <w:t>，</w:t>
            </w:r>
            <w:r>
              <w:rPr>
                <w:rFonts w:hint="eastAsia" w:ascii="宋体" w:hAnsi="宋体" w:eastAsia="宋体" w:cs="宋体"/>
                <w:color w:val="000000" w:themeColor="text1"/>
                <w:kern w:val="2"/>
                <w:sz w:val="21"/>
                <w:szCs w:val="21"/>
                <w:lang w:val="en-US" w:eastAsia="zh-CN" w:bidi="zh-CN"/>
                <w14:textFill>
                  <w14:solidFill>
                    <w14:schemeClr w14:val="tx1"/>
                  </w14:solidFill>
                </w14:textFill>
              </w:rPr>
              <w:t>满足本项目需求</w:t>
            </w:r>
            <w:r>
              <w:rPr>
                <w:rFonts w:hint="eastAsia" w:ascii="宋体" w:hAnsi="宋体" w:eastAsia="宋体" w:cs="宋体"/>
                <w:color w:val="000000" w:themeColor="text1"/>
                <w:sz w:val="21"/>
                <w:szCs w:val="21"/>
                <w:lang w:val="en-US" w:eastAsia="zh-CN"/>
                <w14:textFill>
                  <w14:solidFill>
                    <w14:schemeClr w14:val="tx1"/>
                  </w14:solidFill>
                </w14:textFill>
              </w:rPr>
              <w:t>的</w:t>
            </w:r>
            <w:r>
              <w:rPr>
                <w:rFonts w:hint="eastAsia" w:ascii="宋体" w:hAnsi="宋体" w:eastAsia="宋体" w:cs="宋体"/>
                <w:color w:val="000000" w:themeColor="text1"/>
                <w:spacing w:val="-11"/>
                <w:kern w:val="2"/>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5.5</w:t>
            </w:r>
            <w:r>
              <w:rPr>
                <w:rFonts w:hint="eastAsia" w:ascii="宋体" w:hAnsi="宋体" w:eastAsia="宋体" w:cs="宋体"/>
                <w:color w:val="000000" w:themeColor="text1"/>
                <w:spacing w:val="-11"/>
                <w:kern w:val="2"/>
                <w:sz w:val="21"/>
                <w:szCs w:val="21"/>
                <w14:textFill>
                  <w14:solidFill>
                    <w14:schemeClr w14:val="tx1"/>
                  </w14:solidFill>
                </w14:textFill>
              </w:rPr>
              <w:t>分；</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③</w:t>
            </w:r>
            <w:r>
              <w:rPr>
                <w:rFonts w:hint="eastAsia" w:ascii="宋体" w:hAnsi="宋体" w:eastAsia="宋体" w:cs="宋体"/>
                <w:color w:val="000000" w:themeColor="text1"/>
                <w:sz w:val="21"/>
                <w:szCs w:val="21"/>
                <w14:textFill>
                  <w14:solidFill>
                    <w14:schemeClr w14:val="tx1"/>
                  </w14:solidFill>
                </w14:textFill>
              </w:rPr>
              <w:t>方案内容存在缺陷、欠科学、欠合理、针对性不足</w:t>
            </w:r>
            <w:r>
              <w:rPr>
                <w:rFonts w:hint="eastAsia" w:ascii="宋体" w:hAnsi="宋体" w:eastAsia="宋体" w:cs="宋体"/>
                <w:color w:val="000000" w:themeColor="text1"/>
                <w:spacing w:val="-11"/>
                <w:kern w:val="2"/>
                <w:sz w:val="21"/>
                <w:szCs w:val="21"/>
                <w:lang w:val="en-US"/>
                <w14:textFill>
                  <w14:solidFill>
                    <w14:schemeClr w14:val="tx1"/>
                  </w14:solidFill>
                </w14:textFill>
              </w:rPr>
              <w:t>，</w:t>
            </w:r>
            <w:r>
              <w:rPr>
                <w:rFonts w:hint="eastAsia" w:ascii="宋体" w:hAnsi="宋体" w:eastAsia="宋体" w:cs="宋体"/>
                <w:color w:val="000000" w:themeColor="text1"/>
                <w:spacing w:val="-11"/>
                <w:kern w:val="2"/>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14:textFill>
                  <w14:solidFill>
                    <w14:schemeClr w14:val="tx1"/>
                  </w14:solidFill>
                </w14:textFill>
              </w:rPr>
              <w:t>4分</w:t>
            </w:r>
            <w:r>
              <w:rPr>
                <w:rFonts w:hint="eastAsia" w:ascii="宋体" w:hAnsi="宋体" w:eastAsia="宋体" w:cs="宋体"/>
                <w:color w:val="000000" w:themeColor="text1"/>
                <w:spacing w:val="-11"/>
                <w:kern w:val="2"/>
                <w:sz w:val="21"/>
                <w:szCs w:val="21"/>
                <w14:textFill>
                  <w14:solidFill>
                    <w14:schemeClr w14:val="tx1"/>
                  </w14:solidFill>
                </w14:textFill>
              </w:rPr>
              <w:t>；</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未提供不得分；</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2</w:t>
            </w:r>
            <w:r>
              <w:rPr>
                <w:rFonts w:hint="eastAsia" w:ascii="宋体" w:hAnsi="宋体" w:eastAsia="宋体" w:cs="宋体"/>
                <w:color w:val="000000" w:themeColor="text1"/>
                <w:spacing w:val="-11"/>
                <w:kern w:val="2"/>
                <w:sz w:val="21"/>
                <w:szCs w:val="21"/>
                <w:lang w:val="en-US"/>
                <w14:textFill>
                  <w14:solidFill>
                    <w14:schemeClr w14:val="tx1"/>
                  </w14:solidFill>
                </w14:textFill>
              </w:rPr>
              <w:t>.</w:t>
            </w:r>
            <w:r>
              <w:rPr>
                <w:rFonts w:hint="eastAsia" w:ascii="宋体" w:hAnsi="宋体" w:eastAsia="宋体" w:cs="宋体"/>
                <w:color w:val="000000" w:themeColor="text1"/>
                <w:spacing w:val="-11"/>
                <w:kern w:val="2"/>
                <w:sz w:val="21"/>
                <w:szCs w:val="21"/>
                <w14:textFill>
                  <w14:solidFill>
                    <w14:schemeClr w14:val="tx1"/>
                  </w14:solidFill>
                </w14:textFill>
              </w:rPr>
              <w:t>应急响应(</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4</w:t>
            </w:r>
            <w:r>
              <w:rPr>
                <w:rFonts w:hint="eastAsia" w:ascii="宋体" w:hAnsi="宋体" w:eastAsia="宋体" w:cs="宋体"/>
                <w:color w:val="000000" w:themeColor="text1"/>
                <w:spacing w:val="-11"/>
                <w:kern w:val="2"/>
                <w:sz w:val="21"/>
                <w:szCs w:val="21"/>
                <w14:textFill>
                  <w14:solidFill>
                    <w14:schemeClr w14:val="tx1"/>
                  </w14:solidFill>
                </w14:textFill>
              </w:rPr>
              <w:t>分)：突发事件应急措施、其它活动配合措施。</w:t>
            </w:r>
            <w:r>
              <w:rPr>
                <w:rFonts w:hint="eastAsia" w:ascii="宋体" w:hAnsi="宋体" w:eastAsia="宋体" w:cs="宋体"/>
                <w:color w:val="000000" w:themeColor="text1"/>
                <w:spacing w:val="-11"/>
                <w:kern w:val="2"/>
                <w:sz w:val="21"/>
                <w:szCs w:val="21"/>
                <w:lang w:val="en-US"/>
                <w14:textFill>
                  <w14:solidFill>
                    <w14:schemeClr w14:val="tx1"/>
                  </w14:solidFill>
                </w14:textFill>
              </w:rPr>
              <w:t>磋商小组</w:t>
            </w:r>
            <w:r>
              <w:rPr>
                <w:rFonts w:hint="eastAsia" w:ascii="宋体" w:hAnsi="宋体" w:eastAsia="宋体" w:cs="宋体"/>
                <w:color w:val="000000" w:themeColor="text1"/>
                <w:spacing w:val="-11"/>
                <w:kern w:val="2"/>
                <w:sz w:val="21"/>
                <w:szCs w:val="21"/>
                <w14:textFill>
                  <w14:solidFill>
                    <w14:schemeClr w14:val="tx1"/>
                  </w14:solidFill>
                </w14:textFill>
              </w:rPr>
              <w:t>从投标人实验室所在地、综合实力及承担抽检任务的响应程度（应急响应速度，车辆和人员的机动数量等）、本地化应急能力等方面进行评价。</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①</w:t>
            </w:r>
            <w:r>
              <w:rPr>
                <w:rFonts w:hint="eastAsia" w:ascii="宋体" w:hAnsi="宋体" w:eastAsia="宋体" w:cs="宋体"/>
                <w:color w:val="000000" w:themeColor="text1"/>
                <w:sz w:val="21"/>
                <w:szCs w:val="21"/>
                <w14:textFill>
                  <w14:solidFill>
                    <w14:schemeClr w14:val="tx1"/>
                  </w14:solidFill>
                </w14:textFill>
              </w:rPr>
              <w:t>方案内容完整、措施科学合理、针对性强，</w:t>
            </w:r>
            <w:r>
              <w:rPr>
                <w:rFonts w:hint="eastAsia" w:ascii="宋体" w:hAnsi="宋体" w:eastAsia="宋体" w:cs="宋体"/>
                <w:color w:val="000000" w:themeColor="text1"/>
                <w:spacing w:val="-11"/>
                <w:kern w:val="2"/>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4</w:t>
            </w:r>
            <w:r>
              <w:rPr>
                <w:rFonts w:hint="eastAsia" w:ascii="宋体" w:hAnsi="宋体" w:eastAsia="宋体" w:cs="宋体"/>
                <w:color w:val="000000" w:themeColor="text1"/>
                <w:spacing w:val="-11"/>
                <w:kern w:val="2"/>
                <w:sz w:val="21"/>
                <w:szCs w:val="21"/>
                <w14:textFill>
                  <w14:solidFill>
                    <w14:schemeClr w14:val="tx1"/>
                  </w14:solidFill>
                </w14:textFill>
              </w:rPr>
              <w:t>分；</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②</w:t>
            </w:r>
            <w:r>
              <w:rPr>
                <w:rFonts w:hint="eastAsia" w:ascii="宋体" w:hAnsi="宋体" w:eastAsia="宋体" w:cs="宋体"/>
                <w:color w:val="000000" w:themeColor="text1"/>
                <w:sz w:val="21"/>
                <w:szCs w:val="21"/>
                <w14:textFill>
                  <w14:solidFill>
                    <w14:schemeClr w14:val="tx1"/>
                  </w14:solidFill>
                </w14:textFill>
              </w:rPr>
              <w:t>方案内容较完整、措施较科学合理、针对性较强</w:t>
            </w:r>
            <w:r>
              <w:rPr>
                <w:rFonts w:hint="eastAsia" w:ascii="宋体" w:hAnsi="宋体" w:eastAsia="宋体" w:cs="宋体"/>
                <w:color w:val="000000" w:themeColor="text1"/>
                <w:spacing w:val="-11"/>
                <w:kern w:val="2"/>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3</w:t>
            </w:r>
            <w:r>
              <w:rPr>
                <w:rFonts w:hint="eastAsia" w:ascii="宋体" w:hAnsi="宋体" w:eastAsia="宋体" w:cs="宋体"/>
                <w:color w:val="000000" w:themeColor="text1"/>
                <w:spacing w:val="-11"/>
                <w:kern w:val="2"/>
                <w:sz w:val="21"/>
                <w:szCs w:val="21"/>
                <w:lang w:val="en-US"/>
                <w14:textFill>
                  <w14:solidFill>
                    <w14:schemeClr w14:val="tx1"/>
                  </w14:solidFill>
                </w14:textFill>
              </w:rPr>
              <w:t>分</w:t>
            </w:r>
            <w:r>
              <w:rPr>
                <w:rFonts w:hint="eastAsia" w:ascii="宋体" w:hAnsi="宋体" w:eastAsia="宋体" w:cs="宋体"/>
                <w:color w:val="000000" w:themeColor="text1"/>
                <w:spacing w:val="-11"/>
                <w:kern w:val="2"/>
                <w:sz w:val="21"/>
                <w:szCs w:val="21"/>
                <w14:textFill>
                  <w14:solidFill>
                    <w14:schemeClr w14:val="tx1"/>
                  </w14:solidFill>
                </w14:textFill>
              </w:rPr>
              <w:t>；</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③</w:t>
            </w:r>
            <w:r>
              <w:rPr>
                <w:rFonts w:hint="eastAsia" w:ascii="宋体" w:hAnsi="宋体" w:eastAsia="宋体" w:cs="宋体"/>
                <w:color w:val="000000" w:themeColor="text1"/>
                <w:sz w:val="21"/>
                <w:szCs w:val="21"/>
                <w14:textFill>
                  <w14:solidFill>
                    <w14:schemeClr w14:val="tx1"/>
                  </w14:solidFill>
                </w14:textFill>
              </w:rPr>
              <w:t>方案内容存在缺陷、措施欠科学、欠合理、针对性不足</w:t>
            </w:r>
            <w:r>
              <w:rPr>
                <w:rFonts w:hint="eastAsia" w:ascii="宋体" w:hAnsi="宋体" w:eastAsia="宋体" w:cs="宋体"/>
                <w:color w:val="000000" w:themeColor="text1"/>
                <w:spacing w:val="-11"/>
                <w:kern w:val="2"/>
                <w:sz w:val="21"/>
                <w:szCs w:val="21"/>
                <w:lang w:val="en-US"/>
                <w14:textFill>
                  <w14:solidFill>
                    <w14:schemeClr w14:val="tx1"/>
                  </w14:solidFill>
                </w14:textFill>
              </w:rPr>
              <w:t>，</w:t>
            </w:r>
            <w:r>
              <w:rPr>
                <w:rFonts w:hint="eastAsia" w:ascii="宋体" w:hAnsi="宋体" w:eastAsia="宋体" w:cs="宋体"/>
                <w:color w:val="000000" w:themeColor="text1"/>
                <w:spacing w:val="-11"/>
                <w:kern w:val="2"/>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14:textFill>
                  <w14:solidFill>
                    <w14:schemeClr w14:val="tx1"/>
                  </w14:solidFill>
                </w14:textFill>
              </w:rPr>
              <w:t>2分</w:t>
            </w:r>
            <w:r>
              <w:rPr>
                <w:rFonts w:hint="eastAsia" w:ascii="宋体" w:hAnsi="宋体" w:eastAsia="宋体" w:cs="宋体"/>
                <w:color w:val="000000" w:themeColor="text1"/>
                <w:spacing w:val="-11"/>
                <w:kern w:val="2"/>
                <w:sz w:val="21"/>
                <w:szCs w:val="21"/>
                <w14:textFill>
                  <w14:solidFill>
                    <w14:schemeClr w14:val="tx1"/>
                  </w14:solidFill>
                </w14:textFill>
              </w:rPr>
              <w:t>；</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未提供不得分；</w:t>
            </w:r>
          </w:p>
          <w:p>
            <w:pPr>
              <w:pStyle w:val="317"/>
              <w:adjustRightInd w:val="0"/>
              <w:snapToGrid w:val="0"/>
              <w:ind w:firstLine="420"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3.针对性建设建议</w:t>
            </w:r>
            <w:r>
              <w:rPr>
                <w:rFonts w:hint="eastAsia" w:ascii="宋体" w:hAnsi="宋体" w:eastAsia="宋体" w:cs="宋体"/>
                <w:color w:val="000000" w:themeColor="text1"/>
                <w:spacing w:val="-11"/>
                <w:kern w:val="2"/>
                <w:sz w:val="21"/>
                <w:szCs w:val="21"/>
                <w14:textFill>
                  <w14:solidFill>
                    <w14:schemeClr w14:val="tx1"/>
                  </w14:solidFill>
                </w14:textFill>
              </w:rPr>
              <w:t>(</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5</w:t>
            </w:r>
            <w:r>
              <w:rPr>
                <w:rFonts w:hint="eastAsia" w:ascii="宋体" w:hAnsi="宋体" w:eastAsia="宋体" w:cs="宋体"/>
                <w:color w:val="000000" w:themeColor="text1"/>
                <w:spacing w:val="-11"/>
                <w:kern w:val="2"/>
                <w:sz w:val="21"/>
                <w:szCs w:val="21"/>
                <w14:textFill>
                  <w14:solidFill>
                    <w14:schemeClr w14:val="tx1"/>
                  </w14:solidFill>
                </w14:textFill>
              </w:rPr>
              <w:t>分)：提交一份关于如何提高</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滨海县普通</w:t>
            </w:r>
            <w:r>
              <w:rPr>
                <w:rFonts w:hint="eastAsia" w:ascii="宋体" w:hAnsi="宋体" w:eastAsia="宋体" w:cs="宋体"/>
                <w:color w:val="000000" w:themeColor="text1"/>
                <w:spacing w:val="-11"/>
                <w:kern w:val="2"/>
                <w:sz w:val="21"/>
                <w:szCs w:val="21"/>
                <w14:textFill>
                  <w14:solidFill>
                    <w14:schemeClr w14:val="tx1"/>
                  </w14:solidFill>
                </w14:textFill>
              </w:rPr>
              <w:t>食品</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的食品</w:t>
            </w:r>
            <w:r>
              <w:rPr>
                <w:rFonts w:hint="eastAsia" w:ascii="宋体" w:hAnsi="宋体" w:eastAsia="宋体" w:cs="宋体"/>
                <w:color w:val="000000" w:themeColor="text1"/>
                <w:spacing w:val="-11"/>
                <w:kern w:val="2"/>
                <w:sz w:val="21"/>
                <w:szCs w:val="21"/>
                <w14:textFill>
                  <w14:solidFill>
                    <w14:schemeClr w14:val="tx1"/>
                  </w14:solidFill>
                </w14:textFill>
              </w:rPr>
              <w:t>安全抽检问题发现率的设想建议进行综合评价。</w:t>
            </w:r>
          </w:p>
          <w:p>
            <w:pPr>
              <w:pStyle w:val="317"/>
              <w:adjustRightInd w:val="0"/>
              <w:snapToGrid w:val="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①方案内容完整、措施科学合理、针对性强，得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分；</w:t>
            </w:r>
          </w:p>
          <w:p>
            <w:pPr>
              <w:pStyle w:val="317"/>
              <w:adjustRightInd w:val="0"/>
              <w:snapToGrid w:val="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②方案内容较完整、措施较科学合理、针对性较强，得</w:t>
            </w:r>
            <w:r>
              <w:rPr>
                <w:rFonts w:hint="eastAsia" w:ascii="宋体" w:hAnsi="宋体" w:eastAsia="宋体" w:cs="宋体"/>
                <w:color w:val="000000" w:themeColor="text1"/>
                <w:spacing w:val="-11"/>
                <w:kern w:val="2"/>
                <w:sz w:val="21"/>
                <w:szCs w:val="21"/>
                <w:lang w:val="en-US"/>
                <w14:textFill>
                  <w14:solidFill>
                    <w14:schemeClr w14:val="tx1"/>
                  </w14:solidFill>
                </w14:textFill>
              </w:rPr>
              <w:t>4分</w:t>
            </w:r>
            <w:r>
              <w:rPr>
                <w:rFonts w:hint="eastAsia" w:ascii="宋体" w:hAnsi="宋体" w:eastAsia="宋体" w:cs="宋体"/>
                <w:color w:val="000000" w:themeColor="text1"/>
                <w:sz w:val="21"/>
                <w:szCs w:val="21"/>
                <w14:textFill>
                  <w14:solidFill>
                    <w14:schemeClr w14:val="tx1"/>
                  </w14:solidFill>
                </w14:textFill>
              </w:rPr>
              <w:t>；</w:t>
            </w:r>
          </w:p>
          <w:p>
            <w:pPr>
              <w:pStyle w:val="317"/>
              <w:adjustRightInd w:val="0"/>
              <w:snapToGrid w:val="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③方案内容存在缺陷、措施欠科学、欠合理、针对性不足</w:t>
            </w:r>
            <w:r>
              <w:rPr>
                <w:rFonts w:hint="eastAsia" w:ascii="宋体" w:hAnsi="宋体" w:eastAsia="宋体" w:cs="宋体"/>
                <w:color w:val="000000" w:themeColor="text1"/>
                <w:sz w:val="21"/>
                <w:szCs w:val="21"/>
                <w:lang w:val="en-US"/>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14:textFill>
                  <w14:solidFill>
                    <w14:schemeClr w14:val="tx1"/>
                  </w14:solidFill>
                </w14:textFill>
              </w:rPr>
              <w:t>2分；</w:t>
            </w:r>
          </w:p>
          <w:p>
            <w:pPr>
              <w:pStyle w:val="317"/>
              <w:adjustRightInd w:val="0"/>
              <w:snapToGrid w:val="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未提供不得分；</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4</w:t>
            </w:r>
            <w:r>
              <w:rPr>
                <w:rFonts w:hint="eastAsia" w:ascii="宋体" w:hAnsi="宋体" w:eastAsia="宋体" w:cs="宋体"/>
                <w:color w:val="000000" w:themeColor="text1"/>
                <w:spacing w:val="-11"/>
                <w:kern w:val="2"/>
                <w:sz w:val="21"/>
                <w:szCs w:val="21"/>
                <w:lang w:val="en-US"/>
                <w14:textFill>
                  <w14:solidFill>
                    <w14:schemeClr w14:val="tx1"/>
                  </w14:solidFill>
                </w14:textFill>
              </w:rPr>
              <w:t>.</w:t>
            </w:r>
            <w:r>
              <w:rPr>
                <w:rFonts w:hint="eastAsia" w:ascii="宋体" w:hAnsi="宋体" w:eastAsia="宋体" w:cs="宋体"/>
                <w:color w:val="000000" w:themeColor="text1"/>
                <w:spacing w:val="-11"/>
                <w:kern w:val="2"/>
                <w:sz w:val="21"/>
                <w:szCs w:val="21"/>
                <w14:textFill>
                  <w14:solidFill>
                    <w14:schemeClr w14:val="tx1"/>
                  </w14:solidFill>
                </w14:textFill>
              </w:rPr>
              <w:t>其他增值服务方案(</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5</w:t>
            </w:r>
            <w:r>
              <w:rPr>
                <w:rFonts w:hint="eastAsia" w:ascii="宋体" w:hAnsi="宋体" w:eastAsia="宋体" w:cs="宋体"/>
                <w:color w:val="000000" w:themeColor="text1"/>
                <w:spacing w:val="-11"/>
                <w:kern w:val="2"/>
                <w:sz w:val="21"/>
                <w:szCs w:val="21"/>
                <w14:textFill>
                  <w14:solidFill>
                    <w14:schemeClr w14:val="tx1"/>
                  </w14:solidFill>
                </w14:textFill>
              </w:rPr>
              <w:t>分)：投标人在实施食品抽检服务之外为采购人提供相关增值服务进行评价。提供的增值服务包括但不限于培训方案、分析报告</w:t>
            </w:r>
            <w:r>
              <w:rPr>
                <w:rFonts w:hint="eastAsia" w:ascii="宋体" w:hAnsi="宋体" w:eastAsia="宋体" w:cs="宋体"/>
                <w:color w:val="000000" w:themeColor="text1"/>
                <w:spacing w:val="-11"/>
                <w:kern w:val="2"/>
                <w:sz w:val="21"/>
                <w:szCs w:val="21"/>
                <w:lang w:eastAsia="zh-CN"/>
                <w14:textFill>
                  <w14:solidFill>
                    <w14:schemeClr w14:val="tx1"/>
                  </w14:solidFill>
                </w14:textFill>
              </w:rPr>
              <w:t>、</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应急响应</w:t>
            </w:r>
            <w:r>
              <w:rPr>
                <w:rFonts w:hint="eastAsia" w:ascii="宋体" w:hAnsi="宋体" w:eastAsia="宋体" w:cs="宋体"/>
                <w:color w:val="000000" w:themeColor="text1"/>
                <w:spacing w:val="-11"/>
                <w:kern w:val="2"/>
                <w:sz w:val="21"/>
                <w:szCs w:val="21"/>
                <w14:textFill>
                  <w14:solidFill>
                    <w14:schemeClr w14:val="tx1"/>
                  </w14:solidFill>
                </w14:textFill>
              </w:rPr>
              <w:t>等。</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①</w:t>
            </w:r>
            <w:r>
              <w:rPr>
                <w:rFonts w:hint="eastAsia" w:ascii="宋体" w:hAnsi="宋体" w:eastAsia="宋体" w:cs="宋体"/>
                <w:color w:val="000000" w:themeColor="text1"/>
                <w:sz w:val="21"/>
                <w:szCs w:val="21"/>
                <w14:textFill>
                  <w14:solidFill>
                    <w14:schemeClr w14:val="tx1"/>
                  </w14:solidFill>
                </w14:textFill>
              </w:rPr>
              <w:t>方案内容完整、措施科学合理、针对性强</w:t>
            </w:r>
            <w:r>
              <w:rPr>
                <w:rFonts w:hint="eastAsia" w:ascii="宋体" w:hAnsi="宋体" w:eastAsia="宋体" w:cs="宋体"/>
                <w:color w:val="000000" w:themeColor="text1"/>
                <w:spacing w:val="-11"/>
                <w:kern w:val="2"/>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5</w:t>
            </w:r>
            <w:r>
              <w:rPr>
                <w:rFonts w:hint="eastAsia" w:ascii="宋体" w:hAnsi="宋体" w:eastAsia="宋体" w:cs="宋体"/>
                <w:color w:val="000000" w:themeColor="text1"/>
                <w:spacing w:val="-11"/>
                <w:kern w:val="2"/>
                <w:sz w:val="21"/>
                <w:szCs w:val="21"/>
                <w:lang w:val="en-US"/>
                <w14:textFill>
                  <w14:solidFill>
                    <w14:schemeClr w14:val="tx1"/>
                  </w14:solidFill>
                </w14:textFill>
              </w:rPr>
              <w:t>分</w:t>
            </w:r>
            <w:r>
              <w:rPr>
                <w:rFonts w:hint="eastAsia" w:ascii="宋体" w:hAnsi="宋体" w:eastAsia="宋体" w:cs="宋体"/>
                <w:color w:val="000000" w:themeColor="text1"/>
                <w:spacing w:val="-11"/>
                <w:kern w:val="2"/>
                <w:sz w:val="21"/>
                <w:szCs w:val="21"/>
                <w14:textFill>
                  <w14:solidFill>
                    <w14:schemeClr w14:val="tx1"/>
                  </w14:solidFill>
                </w14:textFill>
              </w:rPr>
              <w:t>；</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②</w:t>
            </w:r>
            <w:r>
              <w:rPr>
                <w:rFonts w:hint="eastAsia" w:ascii="宋体" w:hAnsi="宋体" w:eastAsia="宋体" w:cs="宋体"/>
                <w:color w:val="000000" w:themeColor="text1"/>
                <w:sz w:val="21"/>
                <w:szCs w:val="21"/>
                <w14:textFill>
                  <w14:solidFill>
                    <w14:schemeClr w14:val="tx1"/>
                  </w14:solidFill>
                </w14:textFill>
              </w:rPr>
              <w:t>方案内容较完整、措施较科学合理、针对性较强</w:t>
            </w:r>
            <w:r>
              <w:rPr>
                <w:rFonts w:hint="eastAsia" w:ascii="宋体" w:hAnsi="宋体" w:eastAsia="宋体" w:cs="宋体"/>
                <w:color w:val="000000" w:themeColor="text1"/>
                <w:spacing w:val="-11"/>
                <w:kern w:val="2"/>
                <w:sz w:val="21"/>
                <w:szCs w:val="21"/>
                <w14:textFill>
                  <w14:solidFill>
                    <w14:schemeClr w14:val="tx1"/>
                  </w14:solidFill>
                </w14:textFill>
              </w:rPr>
              <w:t>，得</w:t>
            </w:r>
            <w:r>
              <w:rPr>
                <w:rFonts w:hint="eastAsia" w:ascii="宋体" w:hAnsi="宋体" w:eastAsia="宋体" w:cs="宋体"/>
                <w:color w:val="000000" w:themeColor="text1"/>
                <w:spacing w:val="-11"/>
                <w:kern w:val="2"/>
                <w:sz w:val="21"/>
                <w:szCs w:val="21"/>
                <w:lang w:val="en-US"/>
                <w14:textFill>
                  <w14:solidFill>
                    <w14:schemeClr w14:val="tx1"/>
                  </w14:solidFill>
                </w14:textFill>
              </w:rPr>
              <w:t>2分；</w:t>
            </w:r>
          </w:p>
          <w:p>
            <w:pPr>
              <w:pStyle w:val="317"/>
              <w:adjustRightInd w:val="0"/>
              <w:snapToGrid w:val="0"/>
              <w:ind w:firstLine="376" w:firstLineChars="200"/>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③</w:t>
            </w:r>
            <w:r>
              <w:rPr>
                <w:rFonts w:hint="eastAsia" w:ascii="宋体" w:hAnsi="宋体" w:eastAsia="宋体" w:cs="宋体"/>
                <w:color w:val="000000" w:themeColor="text1"/>
                <w:sz w:val="21"/>
                <w:szCs w:val="21"/>
                <w14:textFill>
                  <w14:solidFill>
                    <w14:schemeClr w14:val="tx1"/>
                  </w14:solidFill>
                </w14:textFill>
              </w:rPr>
              <w:t>方案内容存在缺陷、措施欠科学、欠合理、针对性不足</w:t>
            </w:r>
            <w:r>
              <w:rPr>
                <w:rFonts w:hint="eastAsia" w:ascii="宋体" w:hAnsi="宋体" w:eastAsia="宋体" w:cs="宋体"/>
                <w:color w:val="000000" w:themeColor="text1"/>
                <w:spacing w:val="-11"/>
                <w:kern w:val="2"/>
                <w:sz w:val="21"/>
                <w:szCs w:val="21"/>
                <w:lang w:val="en-US"/>
                <w14:textFill>
                  <w14:solidFill>
                    <w14:schemeClr w14:val="tx1"/>
                  </w14:solidFill>
                </w14:textFill>
              </w:rPr>
              <w:t>，得1分；</w:t>
            </w:r>
          </w:p>
          <w:p>
            <w:pPr>
              <w:pStyle w:val="317"/>
              <w:adjustRightInd w:val="0"/>
              <w:snapToGrid w:val="0"/>
              <w:ind w:firstLine="376" w:firstLineChars="200"/>
              <w:rPr>
                <w:rFonts w:hint="eastAsia" w:ascii="宋体" w:hAnsi="宋体" w:eastAsia="宋体" w:cs="宋体"/>
                <w:color w:val="000000" w:themeColor="text1"/>
                <w:spacing w:val="-11"/>
                <w:kern w:val="2"/>
                <w:sz w:val="21"/>
                <w:szCs w:val="21"/>
                <w:lang w:val="en-US"/>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未提供不得分。</w:t>
            </w:r>
          </w:p>
        </w:tc>
        <w:tc>
          <w:tcPr>
            <w:tcW w:w="725" w:type="dxa"/>
            <w:tcBorders>
              <w:top w:val="single" w:color="auto" w:sz="4" w:space="0"/>
              <w:left w:val="single" w:color="auto" w:sz="4" w:space="0"/>
              <w:bottom w:val="single" w:color="auto" w:sz="4" w:space="0"/>
              <w:right w:val="single" w:color="auto" w:sz="4" w:space="0"/>
            </w:tcBorders>
            <w:noWrap/>
            <w:vAlign w:val="center"/>
          </w:tcPr>
          <w:p>
            <w:pPr>
              <w:pStyle w:val="317"/>
              <w:adjustRightInd w:val="0"/>
              <w:snapToGrid w:val="0"/>
              <w:jc w:val="center"/>
              <w:rPr>
                <w:rFonts w:hint="eastAsia" w:ascii="宋体" w:hAnsi="宋体" w:eastAsia="宋体" w:cs="宋体"/>
                <w:color w:val="000000" w:themeColor="text1"/>
                <w:spacing w:val="-11"/>
                <w:kern w:val="2"/>
                <w:sz w:val="21"/>
                <w:szCs w:val="21"/>
                <w14:textFill>
                  <w14:solidFill>
                    <w14:schemeClr w14:val="tx1"/>
                  </w14:solidFill>
                </w14:textFill>
              </w:rPr>
            </w:pPr>
            <w:r>
              <w:rPr>
                <w:rFonts w:hint="eastAsia" w:ascii="宋体" w:hAnsi="宋体" w:eastAsia="宋体" w:cs="宋体"/>
                <w:color w:val="000000" w:themeColor="text1"/>
                <w:spacing w:val="-11"/>
                <w:kern w:val="2"/>
                <w:sz w:val="21"/>
                <w:szCs w:val="21"/>
                <w14:textFill>
                  <w14:solidFill>
                    <w14:schemeClr w14:val="tx1"/>
                  </w14:solidFill>
                </w14:textFill>
              </w:rPr>
              <w:t>2</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1</w:t>
            </w:r>
            <w:r>
              <w:rPr>
                <w:rFonts w:hint="eastAsia" w:ascii="宋体" w:hAnsi="宋体" w:eastAsia="宋体" w:cs="宋体"/>
                <w:color w:val="000000" w:themeColor="text1"/>
                <w:spacing w:val="-11"/>
                <w:kern w:val="2"/>
                <w:sz w:val="21"/>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3" w:hRule="atLeast"/>
        </w:trPr>
        <w:tc>
          <w:tcPr>
            <w:tcW w:w="669" w:type="dxa"/>
            <w:tcBorders>
              <w:top w:val="single" w:color="auto" w:sz="4" w:space="0"/>
              <w:left w:val="single" w:color="auto" w:sz="4" w:space="0"/>
              <w:bottom w:val="single" w:color="auto" w:sz="4" w:space="0"/>
              <w:right w:val="single" w:color="auto" w:sz="4" w:space="0"/>
            </w:tcBorders>
            <w:noWrap/>
            <w:vAlign w:val="center"/>
          </w:tcPr>
          <w:p>
            <w:pPr>
              <w:tabs>
                <w:tab w:val="left" w:pos="531"/>
              </w:tabs>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1108"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pacing w:val="-11"/>
                <w:sz w:val="21"/>
                <w:szCs w:val="21"/>
                <w:lang w:val="en-US" w:eastAsia="zh-CN"/>
                <w14:textFill>
                  <w14:solidFill>
                    <w14:schemeClr w14:val="tx1"/>
                  </w14:solidFill>
                </w14:textFill>
              </w:rPr>
              <w:t>数据质量及辅助性工作</w:t>
            </w:r>
          </w:p>
        </w:tc>
        <w:tc>
          <w:tcPr>
            <w:tcW w:w="7629" w:type="dxa"/>
            <w:tcBorders>
              <w:top w:val="single" w:color="auto" w:sz="4" w:space="0"/>
              <w:left w:val="single" w:color="auto" w:sz="4" w:space="0"/>
              <w:bottom w:val="single" w:color="auto" w:sz="4" w:space="0"/>
              <w:right w:val="single" w:color="auto" w:sz="4" w:space="0"/>
            </w:tcBorders>
            <w:noWrap/>
            <w:vAlign w:val="center"/>
          </w:tcPr>
          <w:p>
            <w:pPr>
              <w:pStyle w:val="317"/>
              <w:numPr>
                <w:ilvl w:val="0"/>
                <w:numId w:val="6"/>
              </w:numPr>
              <w:adjustRightInd w:val="0"/>
              <w:snapToGrid w:val="0"/>
              <w:ind w:firstLine="376" w:firstLineChars="200"/>
              <w:rPr>
                <w:rFonts w:hint="eastAsia" w:ascii="宋体" w:hAnsi="宋体" w:eastAsia="宋体" w:cs="宋体"/>
                <w:color w:val="000000" w:themeColor="text1"/>
                <w:spacing w:val="-11"/>
                <w:kern w:val="2"/>
                <w:sz w:val="21"/>
                <w:szCs w:val="21"/>
                <w:lang w:val="en-US" w:eastAsia="zh-CN"/>
                <w14:textFill>
                  <w14:solidFill>
                    <w14:schemeClr w14:val="tx1"/>
                  </w14:solidFill>
                </w14:textFill>
              </w:rPr>
            </w:pP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投标人</w:t>
            </w:r>
            <w:r>
              <w:rPr>
                <w:rFonts w:hint="eastAsia" w:ascii="宋体" w:hAnsi="宋体" w:eastAsia="宋体" w:cs="宋体"/>
                <w:color w:val="000000" w:themeColor="text1"/>
                <w:kern w:val="2"/>
                <w:sz w:val="21"/>
                <w:szCs w:val="21"/>
                <w:lang w:val="en-US" w:eastAsia="zh-CN" w:bidi="zh-CN"/>
                <w14:textFill>
                  <w14:solidFill>
                    <w14:schemeClr w14:val="tx1"/>
                  </w14:solidFill>
                </w14:textFill>
              </w:rPr>
              <w:t>2021年1月1日以来</w:t>
            </w: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，获得过省级及以上市场监管局考核A等级，每有一次得1.5分，最高得4.5分;（需提供相关文件文本）</w:t>
            </w:r>
          </w:p>
          <w:p>
            <w:pPr>
              <w:pStyle w:val="317"/>
              <w:numPr>
                <w:ilvl w:val="0"/>
                <w:numId w:val="6"/>
              </w:numPr>
              <w:adjustRightInd w:val="0"/>
              <w:snapToGrid w:val="0"/>
              <w:ind w:firstLine="376" w:firstLineChars="200"/>
              <w:rPr>
                <w:rFonts w:hint="eastAsia" w:ascii="宋体" w:hAnsi="宋体" w:eastAsia="宋体" w:cs="宋体"/>
                <w:color w:val="000000" w:themeColor="text1"/>
                <w:spacing w:val="-11"/>
                <w:kern w:val="2"/>
                <w:sz w:val="21"/>
                <w:szCs w:val="21"/>
                <w:lang w:val="en-US" w:eastAsia="zh-CN"/>
                <w14:textFill>
                  <w14:solidFill>
                    <w14:schemeClr w14:val="tx1"/>
                  </w14:solidFill>
                </w14:textFill>
              </w:rPr>
            </w:pP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投标人作书面承诺，对抽检不合格的食品，能够根据采购人需求，及时委派专家至现场分析原因并提出整改建议，得1.5分；</w:t>
            </w:r>
          </w:p>
          <w:p>
            <w:pPr>
              <w:pStyle w:val="317"/>
              <w:numPr>
                <w:ilvl w:val="0"/>
                <w:numId w:val="6"/>
              </w:numPr>
              <w:adjustRightInd w:val="0"/>
              <w:snapToGrid w:val="0"/>
              <w:ind w:firstLine="376" w:firstLineChars="200"/>
              <w:rPr>
                <w:rFonts w:hint="eastAsia" w:ascii="宋体" w:hAnsi="宋体" w:eastAsia="宋体" w:cs="宋体"/>
                <w:color w:val="000000" w:themeColor="text1"/>
                <w:spacing w:val="-11"/>
                <w:kern w:val="2"/>
                <w:sz w:val="21"/>
                <w:szCs w:val="21"/>
                <w:lang w:val="en-US" w:eastAsia="zh-CN"/>
                <w14:textFill>
                  <w14:solidFill>
                    <w14:schemeClr w14:val="tx1"/>
                  </w14:solidFill>
                </w14:textFill>
              </w:rPr>
            </w:pP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投标人作书面承诺，能够辅助采购方把关国抽系统不合格抽检案件填报质量，确保无错漏，得1分；</w:t>
            </w:r>
          </w:p>
          <w:p>
            <w:pPr>
              <w:pStyle w:val="317"/>
              <w:numPr>
                <w:ilvl w:val="0"/>
                <w:numId w:val="6"/>
              </w:numPr>
              <w:adjustRightInd w:val="0"/>
              <w:snapToGrid w:val="0"/>
              <w:ind w:firstLine="376" w:firstLineChars="200"/>
              <w:rPr>
                <w:rFonts w:hint="eastAsia" w:ascii="宋体" w:hAnsi="宋体" w:eastAsia="宋体" w:cs="宋体"/>
                <w:color w:val="000000" w:themeColor="text1"/>
                <w:spacing w:val="-11"/>
                <w:kern w:val="2"/>
                <w:sz w:val="21"/>
                <w:szCs w:val="21"/>
                <w:lang w:val="en-US" w:eastAsia="zh-CN"/>
                <w14:textFill>
                  <w14:solidFill>
                    <w14:schemeClr w14:val="tx1"/>
                  </w14:solidFill>
                </w14:textFill>
              </w:rPr>
            </w:pPr>
            <w:r>
              <w:rPr>
                <w:rFonts w:hint="eastAsia" w:ascii="宋体" w:hAnsi="宋体" w:eastAsia="宋体" w:cs="宋体"/>
                <w:color w:val="000000" w:themeColor="text1"/>
                <w:spacing w:val="-11"/>
                <w:kern w:val="2"/>
                <w:sz w:val="21"/>
                <w:szCs w:val="21"/>
                <w:lang w:val="en-US" w:eastAsia="zh-CN"/>
                <w14:textFill>
                  <w14:solidFill>
                    <w14:schemeClr w14:val="tx1"/>
                  </w14:solidFill>
                </w14:textFill>
              </w:rPr>
              <w:t>投标人作书面承诺，能够辅助采购方按照季度轮流审核抽检方案，确保方案针对性强且可实施，得1分。</w:t>
            </w:r>
          </w:p>
          <w:p>
            <w:pPr>
              <w:pStyle w:val="317"/>
              <w:adjustRightInd w:val="0"/>
              <w:snapToGrid w:val="0"/>
              <w:ind w:firstLine="376" w:firstLineChars="200"/>
              <w:rPr>
                <w:rFonts w:hint="eastAsia" w:ascii="宋体" w:hAnsi="宋体" w:eastAsia="宋体" w:cs="宋体"/>
                <w:color w:val="000000" w:themeColor="text1"/>
                <w:spacing w:val="-11"/>
                <w:kern w:val="2"/>
                <w:sz w:val="21"/>
                <w:szCs w:val="21"/>
                <w:lang w:val="en-US" w:eastAsia="zh-CN"/>
                <w14:textFill>
                  <w14:solidFill>
                    <w14:schemeClr w14:val="tx1"/>
                  </w14:solidFill>
                </w14:textFill>
              </w:rPr>
            </w:pP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trPr>
        <w:tc>
          <w:tcPr>
            <w:tcW w:w="9406" w:type="dxa"/>
            <w:gridSpan w:val="3"/>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合计：</w:t>
            </w:r>
          </w:p>
        </w:tc>
        <w:tc>
          <w:tcPr>
            <w:tcW w:w="725" w:type="dxa"/>
            <w:tcBorders>
              <w:top w:val="single" w:color="auto" w:sz="4" w:space="0"/>
              <w:left w:val="single" w:color="auto" w:sz="4" w:space="0"/>
              <w:bottom w:val="single" w:color="auto" w:sz="4" w:space="0"/>
              <w:right w:val="single" w:color="auto" w:sz="4" w:space="0"/>
            </w:tcBorders>
            <w:noWrap/>
            <w:vAlign w:val="center"/>
          </w:tcPr>
          <w:p>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100</w:t>
            </w:r>
          </w:p>
        </w:tc>
      </w:tr>
    </w:tbl>
    <w:p/>
    <w:p/>
    <w:p/>
    <w:p/>
    <w:p/>
    <w:p/>
    <w:p/>
    <w:p/>
    <w:p/>
    <w:p/>
    <w:p>
      <w:pPr>
        <w:pStyle w:val="2"/>
      </w:pPr>
    </w:p>
    <w:p/>
    <w:p/>
    <w:p>
      <w:pPr>
        <w:rPr>
          <w:rFonts w:hint="eastAsia"/>
          <w:lang w:val="en-US" w:eastAsia="zh-CN"/>
        </w:rPr>
      </w:pPr>
      <w:r>
        <w:rPr>
          <w:rFonts w:hint="eastAsia"/>
          <w:lang w:val="en-US" w:eastAsia="zh-CN"/>
        </w:rPr>
        <w:t>附件</w:t>
      </w:r>
    </w:p>
    <w:p>
      <w:pPr>
        <w:rPr>
          <w:rFonts w:hint="eastAsia"/>
          <w:lang w:val="en-US" w:eastAsia="zh-CN"/>
        </w:rPr>
      </w:pPr>
    </w:p>
    <w:p>
      <w:pPr>
        <w:spacing w:line="576" w:lineRule="exact"/>
        <w:jc w:val="center"/>
        <w:rPr>
          <w:rFonts w:hint="eastAsia" w:ascii="Times New Roman" w:hAnsi="Times New Roman" w:eastAsia="方正小标宋_GBK" w:cs="方正小标宋_GBK"/>
          <w:b w:val="0"/>
          <w:bCs/>
          <w:sz w:val="44"/>
          <w:szCs w:val="44"/>
        </w:rPr>
      </w:pPr>
      <w:r>
        <w:rPr>
          <w:rFonts w:hint="eastAsia" w:ascii="Times New Roman" w:hAnsi="Times New Roman" w:eastAsia="方正小标宋_GBK" w:cs="方正小标宋_GBK"/>
          <w:b w:val="0"/>
          <w:bCs/>
          <w:sz w:val="44"/>
          <w:szCs w:val="44"/>
        </w:rPr>
        <w:t>关于开展</w:t>
      </w:r>
      <w:r>
        <w:rPr>
          <w:rFonts w:hint="eastAsia" w:ascii="Times New Roman" w:hAnsi="Times New Roman" w:eastAsia="方正小标宋_GBK" w:cs="方正小标宋_GBK"/>
          <w:b w:val="0"/>
          <w:bCs/>
          <w:sz w:val="44"/>
          <w:szCs w:val="44"/>
          <w:lang w:val="en-US" w:eastAsia="zh-CN"/>
        </w:rPr>
        <w:t>七月份</w:t>
      </w:r>
      <w:r>
        <w:rPr>
          <w:rFonts w:hint="eastAsia" w:ascii="Times New Roman" w:hAnsi="Times New Roman" w:eastAsia="方正小标宋_GBK" w:cs="方正小标宋_GBK"/>
          <w:b w:val="0"/>
          <w:bCs/>
          <w:sz w:val="44"/>
          <w:szCs w:val="44"/>
        </w:rPr>
        <w:t>食品安全监督抽检的通知</w:t>
      </w:r>
    </w:p>
    <w:p>
      <w:pPr>
        <w:rPr>
          <w:rFonts w:hint="eastAsia" w:ascii="Times New Roman" w:hAnsi="Times New Roman"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Times New Roman" w:hAnsi="Times New Roman" w:eastAsia="方正仿宋_GBK" w:cs="方正仿宋_GBK"/>
          <w:color w:val="000000" w:themeColor="text1"/>
          <w:sz w:val="32"/>
          <w:szCs w:val="32"/>
          <w14:textFill>
            <w14:solidFill>
              <w14:schemeClr w14:val="tx1"/>
            </w14:solidFill>
          </w14:textFill>
        </w:rPr>
      </w:pPr>
      <w:r>
        <w:rPr>
          <w:rFonts w:hint="eastAsia" w:ascii="Times New Roman" w:hAnsi="Times New Roman" w:eastAsia="方正仿宋_GBK" w:cs="方正仿宋_GBK"/>
          <w:color w:val="000000"/>
          <w:sz w:val="32"/>
          <w:szCs w:val="32"/>
        </w:rPr>
        <w:t>各分局</w:t>
      </w:r>
      <w:r>
        <w:rPr>
          <w:rFonts w:hint="eastAsia" w:ascii="Times New Roman" w:hAnsi="Times New Roman" w:eastAsia="方正仿宋_GBK" w:cs="方正仿宋_GBK"/>
          <w:color w:val="000000"/>
          <w:sz w:val="32"/>
          <w:szCs w:val="32"/>
          <w:lang w:eastAsia="zh-CN"/>
        </w:rPr>
        <w:t>、各承检机构</w:t>
      </w:r>
      <w:r>
        <w:rPr>
          <w:rFonts w:hint="eastAsia" w:ascii="Times New Roman" w:hAnsi="Times New Roman" w:eastAsia="方正仿宋_GBK" w:cs="方正仿宋_GBK"/>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仿宋_GBK" w:cs="方正仿宋_GBK"/>
          <w:color w:val="000000" w:themeColor="text1"/>
          <w:sz w:val="32"/>
          <w:szCs w:val="32"/>
          <w14:textFill>
            <w14:solidFill>
              <w14:schemeClr w14:val="tx1"/>
            </w14:solidFill>
          </w14:textFill>
        </w:rPr>
      </w:pPr>
      <w:r>
        <w:rPr>
          <w:rFonts w:hint="eastAsia" w:ascii="仿宋_GB2312" w:eastAsia="仿宋_GB2312"/>
          <w:color w:val="000000"/>
          <w:sz w:val="32"/>
          <w:szCs w:val="32"/>
        </w:rPr>
        <w:t>为</w:t>
      </w:r>
      <w:r>
        <w:rPr>
          <w:rFonts w:hint="eastAsia" w:ascii="仿宋_GB2312" w:eastAsia="仿宋_GB2312"/>
          <w:color w:val="000000"/>
          <w:sz w:val="32"/>
          <w:szCs w:val="32"/>
          <w:lang w:val="en-US" w:eastAsia="zh-CN"/>
        </w:rPr>
        <w:t>及时发现食品安全隐患，有效防范食品安全系统性、区域性风险，提高食品安全日常监管工作的“靶向性”，我局根据广大群众的夏季消费特点，结合我县实际，</w:t>
      </w:r>
      <w:r>
        <w:rPr>
          <w:rFonts w:hint="eastAsia" w:ascii="方正仿宋_GBK" w:hAnsi="方正仿宋_GBK" w:eastAsia="方正仿宋_GBK" w:cs="方正仿宋_GBK"/>
          <w:color w:val="000000"/>
          <w:sz w:val="32"/>
          <w:szCs w:val="32"/>
        </w:rPr>
        <w:t>决定开展</w:t>
      </w:r>
      <w:r>
        <w:rPr>
          <w:rFonts w:hint="eastAsia" w:ascii="方正仿宋_GBK" w:hAnsi="方正仿宋_GBK" w:eastAsia="方正仿宋_GBK" w:cs="方正仿宋_GBK"/>
          <w:color w:val="000000"/>
          <w:sz w:val="32"/>
          <w:szCs w:val="32"/>
          <w:lang w:val="en-US" w:eastAsia="zh-CN"/>
        </w:rPr>
        <w:t>七</w:t>
      </w:r>
      <w:r>
        <w:rPr>
          <w:rFonts w:hint="eastAsia" w:ascii="方正仿宋_GBK" w:hAnsi="方正仿宋_GBK" w:eastAsia="方正仿宋_GBK" w:cs="方正仿宋_GBK"/>
          <w:color w:val="000000"/>
          <w:sz w:val="32"/>
          <w:szCs w:val="32"/>
        </w:rPr>
        <w:t>月份食品监督抽检工作，现将有关事项通知如下</w:t>
      </w:r>
      <w:r>
        <w:rPr>
          <w:rFonts w:hint="eastAsia" w:ascii="Times New Roman" w:hAnsi="Times New Roman" w:eastAsia="方正仿宋_GBK" w:cs="方正仿宋_GBK"/>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黑体_GBK" w:cs="方正黑体_GBK"/>
          <w:color w:val="000000" w:themeColor="text1"/>
          <w:sz w:val="32"/>
          <w:szCs w:val="32"/>
          <w14:textFill>
            <w14:solidFill>
              <w14:schemeClr w14:val="tx1"/>
            </w14:solidFill>
          </w14:textFill>
        </w:rPr>
      </w:pPr>
      <w:r>
        <w:rPr>
          <w:rFonts w:hint="eastAsia" w:ascii="Times New Roman" w:hAnsi="Times New Roman" w:eastAsia="方正黑体_GBK" w:cs="方正黑体_GBK"/>
          <w:color w:val="000000" w:themeColor="text1"/>
          <w:sz w:val="32"/>
          <w:szCs w:val="32"/>
          <w14:textFill>
            <w14:solidFill>
              <w14:schemeClr w14:val="tx1"/>
            </w14:solidFill>
          </w14:textFill>
        </w:rPr>
        <w:t>一、抽检任务</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此次监督抽检抽样覆盖</w:t>
      </w:r>
      <w:r>
        <w:rPr>
          <w:rFonts w:hint="eastAsia" w:ascii="方正仿宋_GBK" w:hAnsi="方正仿宋_GBK" w:eastAsia="方正仿宋_GBK" w:cs="方正仿宋_GBK"/>
          <w:sz w:val="32"/>
          <w:szCs w:val="32"/>
        </w:rPr>
        <w:t>食品经营</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餐饮服务单位，加强对</w:t>
      </w:r>
      <w:r>
        <w:rPr>
          <w:rFonts w:hint="eastAsia" w:ascii="方正仿宋_GBK" w:hAnsi="方正仿宋_GBK" w:eastAsia="方正仿宋_GBK" w:cs="方正仿宋_GBK"/>
          <w:sz w:val="32"/>
          <w:szCs w:val="32"/>
          <w:lang w:val="en-US" w:eastAsia="zh-CN"/>
        </w:rPr>
        <w:t>养老机构食堂</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工地食堂、</w:t>
      </w:r>
      <w:r>
        <w:rPr>
          <w:rFonts w:hint="eastAsia" w:ascii="方正仿宋_GBK" w:hAnsi="方正仿宋_GBK" w:eastAsia="方正仿宋_GBK" w:cs="方正仿宋_GBK"/>
          <w:sz w:val="32"/>
          <w:szCs w:val="32"/>
        </w:rPr>
        <w:t>农贸市场、</w:t>
      </w:r>
      <w:r>
        <w:rPr>
          <w:rFonts w:hint="eastAsia" w:ascii="方正仿宋_GBK" w:hAnsi="方正仿宋_GBK" w:eastAsia="方正仿宋_GBK" w:cs="方正仿宋_GBK"/>
          <w:sz w:val="32"/>
          <w:szCs w:val="32"/>
          <w:lang w:val="en-US" w:eastAsia="zh-CN"/>
        </w:rPr>
        <w:t>餐饮店、</w:t>
      </w:r>
      <w:r>
        <w:rPr>
          <w:rFonts w:hint="eastAsia" w:ascii="方正仿宋_GBK" w:hAnsi="方正仿宋_GBK" w:eastAsia="方正仿宋_GBK" w:cs="方正仿宋_GBK"/>
          <w:sz w:val="32"/>
          <w:szCs w:val="32"/>
        </w:rPr>
        <w:t>超市</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食杂店、水果店、冷饮棒冰批发店</w:t>
      </w:r>
      <w:r>
        <w:rPr>
          <w:rFonts w:hint="eastAsia" w:ascii="方正仿宋_GBK" w:hAnsi="方正仿宋_GBK" w:eastAsia="方正仿宋_GBK" w:cs="方正仿宋_GBK"/>
          <w:sz w:val="32"/>
          <w:szCs w:val="32"/>
        </w:rPr>
        <w:t>等单位进行食品抽检</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不得抽取同一生产</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经营</w:t>
      </w:r>
      <w:r>
        <w:rPr>
          <w:rFonts w:hint="eastAsia" w:ascii="方正仿宋_GBK" w:hAnsi="方正仿宋_GBK" w:eastAsia="方正仿宋_GBK" w:cs="方正仿宋_GBK"/>
          <w:color w:val="000000" w:themeColor="text1"/>
          <w:sz w:val="32"/>
          <w:szCs w:val="32"/>
          <w14:textFill>
            <w14:solidFill>
              <w14:schemeClr w14:val="tx1"/>
            </w14:solidFill>
          </w14:textFill>
        </w:rPr>
        <w:t>单位同一品种的相同批号2批及以上样品。</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第三方承检机构</w:t>
      </w:r>
      <w:r>
        <w:rPr>
          <w:rFonts w:hint="eastAsia" w:ascii="方正仿宋_GBK" w:hAnsi="方正仿宋_GBK" w:eastAsia="方正仿宋_GBK" w:cs="方正仿宋_GBK"/>
          <w:color w:val="000000" w:themeColor="text1"/>
          <w:sz w:val="32"/>
          <w:szCs w:val="32"/>
          <w14:textFill>
            <w14:solidFill>
              <w14:schemeClr w14:val="tx1"/>
            </w14:solidFill>
          </w14:textFill>
        </w:rPr>
        <w:t>抽检品种至少覆盖到</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食用农产品、饮料、罐头、可可及焙烤咖啡产品、食糖、水产制品、豆制品、蜂产品、保健食品、炒货食品及坚果食品、淀粉及淀粉制品、肉制品、糖果制品、调味品</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等</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14</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类重点食品</w:t>
      </w:r>
      <w:r>
        <w:rPr>
          <w:rFonts w:hint="eastAsia" w:ascii="方正仿宋_GBK" w:hAnsi="方正仿宋_GBK" w:eastAsia="方正仿宋_GBK" w:cs="方正仿宋_GBK"/>
          <w:color w:val="000000" w:themeColor="text1"/>
          <w:sz w:val="32"/>
          <w:szCs w:val="32"/>
          <w14:textFill>
            <w14:solidFill>
              <w14:schemeClr w14:val="tx1"/>
            </w14:solidFill>
          </w14:textFill>
        </w:rPr>
        <w:t>共计</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473</w:t>
      </w:r>
      <w:r>
        <w:rPr>
          <w:rFonts w:hint="eastAsia" w:ascii="方正仿宋_GBK" w:hAnsi="方正仿宋_GBK" w:eastAsia="方正仿宋_GBK" w:cs="方正仿宋_GBK"/>
          <w:color w:val="000000" w:themeColor="text1"/>
          <w:sz w:val="32"/>
          <w:szCs w:val="32"/>
          <w14:textFill>
            <w14:solidFill>
              <w14:schemeClr w14:val="tx1"/>
            </w14:solidFill>
          </w14:textFill>
        </w:rPr>
        <w:t>批次</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其中食用农产品86批次。</w:t>
      </w:r>
      <w:r>
        <w:rPr>
          <w:rFonts w:hint="eastAsia" w:ascii="方正仿宋_GBK" w:hAnsi="方正仿宋_GBK" w:eastAsia="方正仿宋_GBK" w:cs="方正仿宋_GBK"/>
          <w:color w:val="000000" w:themeColor="text1"/>
          <w:sz w:val="32"/>
          <w:szCs w:val="32"/>
          <w14:textFill>
            <w14:solidFill>
              <w14:schemeClr w14:val="tx1"/>
            </w14:solidFill>
          </w14:textFill>
        </w:rPr>
        <w:t>具体抽检任务数详见附件。</w:t>
      </w:r>
    </w:p>
    <w:p>
      <w:pPr>
        <w:keepNext w:val="0"/>
        <w:keepLines w:val="0"/>
        <w:pageBreakBefore w:val="0"/>
        <w:widowControl w:val="0"/>
        <w:numPr>
          <w:ilvl w:val="0"/>
          <w:numId w:val="7"/>
        </w:numPr>
        <w:kinsoku/>
        <w:wordWrap/>
        <w:overflowPunct/>
        <w:topLinePunct w:val="0"/>
        <w:autoSpaceDE/>
        <w:autoSpaceDN/>
        <w:bidi w:val="0"/>
        <w:adjustRightInd/>
        <w:snapToGrid/>
        <w:spacing w:line="520" w:lineRule="exact"/>
        <w:ind w:left="-10" w:leftChars="0" w:firstLine="640" w:firstLineChars="0"/>
        <w:textAlignment w:val="auto"/>
        <w:rPr>
          <w:rFonts w:hint="eastAsia" w:ascii="Times New Roman" w:hAnsi="Times New Roman" w:eastAsia="方正黑体_GBK" w:cs="方正黑体_GBK"/>
          <w:color w:val="000000" w:themeColor="text1"/>
          <w:sz w:val="32"/>
          <w:szCs w:val="32"/>
          <w14:textFill>
            <w14:solidFill>
              <w14:schemeClr w14:val="tx1"/>
            </w14:solidFill>
          </w14:textFill>
        </w:rPr>
      </w:pPr>
      <w:r>
        <w:rPr>
          <w:rFonts w:hint="eastAsia" w:ascii="Times New Roman" w:hAnsi="Times New Roman" w:eastAsia="方正黑体_GBK" w:cs="方正黑体_GBK"/>
          <w:color w:val="000000" w:themeColor="text1"/>
          <w:sz w:val="32"/>
          <w:szCs w:val="32"/>
          <w:lang w:val="en-US" w:eastAsia="zh-CN"/>
          <w14:textFill>
            <w14:solidFill>
              <w14:schemeClr w14:val="tx1"/>
            </w14:solidFill>
          </w14:textFill>
        </w:rPr>
        <w:t>抽样时间</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方正仿宋_GBK"/>
          <w:color w:val="0070C0"/>
          <w:sz w:val="32"/>
          <w:szCs w:val="32"/>
          <w:lang w:val="en-US"/>
        </w:rPr>
      </w:pPr>
      <w:r>
        <w:rPr>
          <w:rFonts w:hint="eastAsia" w:ascii="Times New Roman" w:hAnsi="Times New Roman" w:eastAsia="方正仿宋_GBK" w:cs="方正仿宋_GBK"/>
          <w:color w:val="0070C0"/>
          <w:sz w:val="32"/>
          <w:szCs w:val="32"/>
          <w:lang w:val="en-US" w:eastAsia="zh-CN"/>
        </w:rPr>
        <w:t>202</w:t>
      </w:r>
      <w:r>
        <w:rPr>
          <w:rFonts w:hint="eastAsia" w:eastAsia="方正仿宋_GBK" w:cs="方正仿宋_GBK"/>
          <w:color w:val="0070C0"/>
          <w:sz w:val="32"/>
          <w:szCs w:val="32"/>
          <w:lang w:val="en-US" w:eastAsia="zh-CN"/>
        </w:rPr>
        <w:t>4</w:t>
      </w:r>
      <w:r>
        <w:rPr>
          <w:rFonts w:hint="eastAsia" w:ascii="Times New Roman" w:hAnsi="Times New Roman" w:eastAsia="方正仿宋_GBK" w:cs="方正仿宋_GBK"/>
          <w:color w:val="0070C0"/>
          <w:sz w:val="32"/>
          <w:szCs w:val="32"/>
          <w:lang w:val="en-US" w:eastAsia="zh-CN"/>
        </w:rPr>
        <w:t>年7月4日至202</w:t>
      </w:r>
      <w:r>
        <w:rPr>
          <w:rFonts w:hint="eastAsia" w:eastAsia="方正仿宋_GBK" w:cs="方正仿宋_GBK"/>
          <w:color w:val="0070C0"/>
          <w:sz w:val="32"/>
          <w:szCs w:val="32"/>
          <w:lang w:val="en-US" w:eastAsia="zh-CN"/>
        </w:rPr>
        <w:t>4</w:t>
      </w:r>
      <w:r>
        <w:rPr>
          <w:rFonts w:hint="eastAsia" w:ascii="Times New Roman" w:hAnsi="Times New Roman" w:eastAsia="方正仿宋_GBK" w:cs="方正仿宋_GBK"/>
          <w:color w:val="0070C0"/>
          <w:sz w:val="32"/>
          <w:szCs w:val="32"/>
          <w:lang w:val="en-US" w:eastAsia="zh-CN"/>
        </w:rPr>
        <w:t>年7月24日</w:t>
      </w:r>
    </w:p>
    <w:p>
      <w:pPr>
        <w:keepNext w:val="0"/>
        <w:keepLines w:val="0"/>
        <w:pageBreakBefore w:val="0"/>
        <w:widowControl w:val="0"/>
        <w:numPr>
          <w:ilvl w:val="0"/>
          <w:numId w:val="7"/>
        </w:numPr>
        <w:kinsoku/>
        <w:wordWrap/>
        <w:overflowPunct/>
        <w:topLinePunct w:val="0"/>
        <w:autoSpaceDE/>
        <w:autoSpaceDN/>
        <w:bidi w:val="0"/>
        <w:adjustRightInd/>
        <w:snapToGrid/>
        <w:spacing w:line="520" w:lineRule="exact"/>
        <w:ind w:left="-10" w:leftChars="0" w:firstLine="640" w:firstLineChars="0"/>
        <w:textAlignment w:val="auto"/>
        <w:rPr>
          <w:rFonts w:hint="eastAsia" w:ascii="Times New Roman" w:hAnsi="Times New Roman" w:eastAsia="方正黑体_GBK" w:cs="方正黑体_GBK"/>
          <w:color w:val="000000" w:themeColor="text1"/>
          <w:sz w:val="32"/>
          <w:szCs w:val="32"/>
          <w14:textFill>
            <w14:solidFill>
              <w14:schemeClr w14:val="tx1"/>
            </w14:solidFill>
          </w14:textFill>
        </w:rPr>
      </w:pPr>
      <w:r>
        <w:rPr>
          <w:rFonts w:hint="eastAsia" w:ascii="Times New Roman" w:hAnsi="Times New Roman" w:eastAsia="方正黑体_GBK" w:cs="方正黑体_GBK"/>
          <w:color w:val="000000" w:themeColor="text1"/>
          <w:sz w:val="32"/>
          <w:szCs w:val="32"/>
          <w14:textFill>
            <w14:solidFill>
              <w14:schemeClr w14:val="tx1"/>
            </w14:solidFill>
          </w14:textFill>
        </w:rPr>
        <w:t>抽样环节</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仿宋_GBK" w:cs="方正仿宋_GBK"/>
          <w:color w:val="000000" w:themeColor="text1"/>
          <w:sz w:val="32"/>
          <w:szCs w:val="32"/>
          <w14:textFill>
            <w14:solidFill>
              <w14:schemeClr w14:val="tx1"/>
            </w14:solidFill>
          </w14:textFill>
        </w:rPr>
      </w:pP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各承检机构</w:t>
      </w:r>
      <w:r>
        <w:rPr>
          <w:rFonts w:hint="eastAsia" w:ascii="Times New Roman" w:hAnsi="Times New Roman" w:eastAsia="方正仿宋_GBK" w:cs="方正仿宋_GBK"/>
          <w:color w:val="000000" w:themeColor="text1"/>
          <w:sz w:val="32"/>
          <w:szCs w:val="32"/>
          <w14:textFill>
            <w14:solidFill>
              <w14:schemeClr w14:val="tx1"/>
            </w14:solidFill>
          </w14:textFill>
        </w:rPr>
        <w:t>应按照《国家食品安全监督抽检实施细则</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w:t>
      </w:r>
      <w:r>
        <w:rPr>
          <w:rFonts w:hint="eastAsia" w:ascii="Times New Roman" w:hAnsi="Times New Roman" w:eastAsia="方正仿宋_GBK" w:cs="方正仿宋_GBK"/>
          <w:color w:val="000000" w:themeColor="text1"/>
          <w:sz w:val="32"/>
          <w:szCs w:val="32"/>
          <w14:textFill>
            <w14:solidFill>
              <w14:schemeClr w14:val="tx1"/>
            </w14:solidFill>
          </w14:textFill>
        </w:rPr>
        <w:t>（202</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3</w:t>
      </w:r>
      <w:r>
        <w:rPr>
          <w:rFonts w:hint="eastAsia" w:ascii="Times New Roman" w:hAnsi="Times New Roman" w:eastAsia="方正仿宋_GBK" w:cs="方正仿宋_GBK"/>
          <w:color w:val="000000" w:themeColor="text1"/>
          <w:sz w:val="32"/>
          <w:szCs w:val="32"/>
          <w14:textFill>
            <w14:solidFill>
              <w14:schemeClr w14:val="tx1"/>
            </w14:solidFill>
          </w14:textFill>
        </w:rPr>
        <w:t>年版）(以下称《实施细则》）要求进行抽样，抽样人员须准确完整填写抽样单，并按要求留存，应保留发票、购物小票或收据等单据，抽样过程中发现食品安全问题要及时向</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市场</w:t>
      </w:r>
      <w:r>
        <w:rPr>
          <w:rFonts w:hint="eastAsia" w:ascii="Times New Roman" w:hAnsi="Times New Roman" w:eastAsia="方正仿宋_GBK" w:cs="方正仿宋_GBK"/>
          <w:color w:val="000000" w:themeColor="text1"/>
          <w:sz w:val="32"/>
          <w:szCs w:val="32"/>
          <w14:textFill>
            <w14:solidFill>
              <w14:schemeClr w14:val="tx1"/>
            </w14:solidFill>
          </w14:textFill>
        </w:rPr>
        <w:t>监管部门报告。</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黑体_GBK" w:cs="方正黑体_GBK"/>
          <w:color w:val="000000" w:themeColor="text1"/>
          <w:sz w:val="32"/>
          <w:szCs w:val="32"/>
          <w14:textFill>
            <w14:solidFill>
              <w14:schemeClr w14:val="tx1"/>
            </w14:solidFill>
          </w14:textFill>
        </w:rPr>
      </w:pPr>
      <w:r>
        <w:rPr>
          <w:rFonts w:hint="eastAsia" w:ascii="Times New Roman" w:hAnsi="Times New Roman" w:eastAsia="方正黑体_GBK" w:cs="方正黑体_GBK"/>
          <w:color w:val="000000" w:themeColor="text1"/>
          <w:sz w:val="32"/>
          <w:szCs w:val="32"/>
          <w14:textFill>
            <w14:solidFill>
              <w14:schemeClr w14:val="tx1"/>
            </w14:solidFill>
          </w14:textFill>
        </w:rPr>
        <w:t>三、检验要求</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仿宋_GBK" w:cs="方正仿宋_GBK"/>
          <w:color w:val="000000" w:themeColor="text1"/>
          <w:sz w:val="32"/>
          <w:szCs w:val="32"/>
          <w14:textFill>
            <w14:solidFill>
              <w14:schemeClr w14:val="tx1"/>
            </w14:solidFill>
          </w14:textFill>
        </w:rPr>
      </w:pPr>
      <w:r>
        <w:rPr>
          <w:rFonts w:hint="eastAsia" w:ascii="Times New Roman" w:hAnsi="Times New Roman" w:eastAsia="方正仿宋_GBK" w:cs="方正仿宋_GBK"/>
          <w:color w:val="000000" w:themeColor="text1"/>
          <w:sz w:val="32"/>
          <w:szCs w:val="32"/>
          <w14:textFill>
            <w14:solidFill>
              <w14:schemeClr w14:val="tx1"/>
            </w14:solidFill>
          </w14:textFill>
        </w:rPr>
        <w:t>在样品检验过程中，应严格按照相应食品实施细则规定的项目、指定的检验方法和判定标准实施检测和结果判定，不得擅自更换方法。</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黑体_GBK" w:cs="方正黑体_GBK"/>
          <w:color w:val="000000" w:themeColor="text1"/>
          <w:sz w:val="32"/>
          <w:szCs w:val="32"/>
          <w14:textFill>
            <w14:solidFill>
              <w14:schemeClr w14:val="tx1"/>
            </w14:solidFill>
          </w14:textFill>
        </w:rPr>
      </w:pPr>
      <w:r>
        <w:rPr>
          <w:rFonts w:hint="eastAsia" w:ascii="Times New Roman" w:hAnsi="Times New Roman" w:eastAsia="方正黑体_GBK" w:cs="方正黑体_GBK"/>
          <w:color w:val="000000" w:themeColor="text1"/>
          <w:sz w:val="32"/>
          <w:szCs w:val="32"/>
          <w14:textFill>
            <w14:solidFill>
              <w14:schemeClr w14:val="tx1"/>
            </w14:solidFill>
          </w14:textFill>
        </w:rPr>
        <w:t>四、结果报送</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仿宋_GBK" w:cs="方正仿宋_GBK"/>
          <w:color w:val="000000" w:themeColor="text1"/>
          <w:sz w:val="32"/>
          <w:szCs w:val="32"/>
          <w14:textFill>
            <w14:solidFill>
              <w14:schemeClr w14:val="tx1"/>
            </w14:solidFill>
          </w14:textFill>
        </w:rPr>
      </w:pPr>
      <w:r>
        <w:rPr>
          <w:rFonts w:hint="eastAsia" w:ascii="Times New Roman" w:hAnsi="Times New Roman" w:eastAsia="方正仿宋_GBK" w:cs="方正仿宋_GBK"/>
          <w:color w:val="000000" w:themeColor="text1"/>
          <w:sz w:val="32"/>
          <w:szCs w:val="32"/>
          <w14:textFill>
            <w14:solidFill>
              <w14:schemeClr w14:val="tx1"/>
            </w14:solidFill>
          </w14:textFill>
        </w:rPr>
        <w:t>抽检结果应遵循食品安全法律法规和《实施细则》等相关规定，并按照本通知要求进行报送。具体要求如下：</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仿宋_GBK" w:cs="方正仿宋_GBK"/>
          <w:color w:val="000000" w:themeColor="text1"/>
          <w:sz w:val="32"/>
          <w:szCs w:val="32"/>
          <w14:textFill>
            <w14:solidFill>
              <w14:schemeClr w14:val="tx1"/>
            </w14:solidFill>
          </w14:textFill>
        </w:rPr>
      </w:pPr>
      <w:r>
        <w:rPr>
          <w:rFonts w:hint="eastAsia" w:ascii="Times New Roman" w:hAnsi="Times New Roman" w:eastAsia="方正仿宋_GBK" w:cs="方正仿宋_GBK"/>
          <w:color w:val="000000" w:themeColor="text1"/>
          <w:sz w:val="32"/>
          <w:szCs w:val="32"/>
          <w14:textFill>
            <w14:solidFill>
              <w14:schemeClr w14:val="tx1"/>
            </w14:solidFill>
          </w14:textFill>
        </w:rPr>
        <w:t>（一）</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各承检机构</w:t>
      </w:r>
      <w:r>
        <w:rPr>
          <w:rFonts w:hint="eastAsia" w:ascii="Times New Roman" w:hAnsi="Times New Roman" w:eastAsia="方正仿宋_GBK" w:cs="方正仿宋_GBK"/>
          <w:color w:val="000000" w:themeColor="text1"/>
          <w:sz w:val="32"/>
          <w:szCs w:val="32"/>
          <w14:textFill>
            <w14:solidFill>
              <w14:schemeClr w14:val="tx1"/>
            </w14:solidFill>
          </w14:textFill>
        </w:rPr>
        <w:t>应于抽样完成后20日内将抽检结果通过“食品安全抽检信息管理系统”上报，不得擅自对外公布抽检结果。</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Times New Roman" w:hAnsi="Times New Roman" w:eastAsia="方正仿宋_GBK" w:cs="方正仿宋_GBK"/>
          <w:color w:val="000000" w:themeColor="text1"/>
          <w:sz w:val="32"/>
          <w:szCs w:val="32"/>
          <w14:textFill>
            <w14:solidFill>
              <w14:schemeClr w14:val="tx1"/>
            </w14:solidFill>
          </w14:textFill>
        </w:rPr>
      </w:pPr>
      <w:r>
        <w:rPr>
          <w:rFonts w:hint="eastAsia" w:ascii="Times New Roman" w:hAnsi="Times New Roman" w:eastAsia="方正仿宋_GBK" w:cs="方正仿宋_GBK"/>
          <w:color w:val="000000" w:themeColor="text1"/>
          <w:sz w:val="32"/>
          <w:szCs w:val="32"/>
          <w14:textFill>
            <w14:solidFill>
              <w14:schemeClr w14:val="tx1"/>
            </w14:solidFill>
          </w14:textFill>
        </w:rPr>
        <w:t>（二）不合格食品有关材料送达方式。</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各承检机构</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检测</w:t>
      </w:r>
      <w:r>
        <w:rPr>
          <w:rFonts w:hint="eastAsia" w:ascii="Times New Roman" w:hAnsi="Times New Roman" w:eastAsia="方正仿宋_GBK" w:cs="方正仿宋_GBK"/>
          <w:color w:val="000000" w:themeColor="text1"/>
          <w:sz w:val="32"/>
          <w:szCs w:val="32"/>
          <w14:textFill>
            <w14:solidFill>
              <w14:schemeClr w14:val="tx1"/>
            </w14:solidFill>
          </w14:textFill>
        </w:rPr>
        <w:t>发现不合格产品后，应当于当日将信息录入信息管理系统。检验发现被检样品可能对身体健康和生命安全造成严重危害的，应在发现问题并经确认无误后24小时内填写《食品安全抽样检验限时报告情况表》，将问题或有关情况报告</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县食品安全监管科</w:t>
      </w:r>
      <w:r>
        <w:rPr>
          <w:rFonts w:hint="eastAsia" w:ascii="Times New Roman" w:hAnsi="Times New Roman" w:eastAsia="方正仿宋_GBK" w:cs="方正仿宋_GBK"/>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方正仿宋_GBK"/>
          <w:b/>
          <w:bCs/>
          <w:color w:val="000000" w:themeColor="text1"/>
          <w:sz w:val="32"/>
          <w:szCs w:val="32"/>
          <w:lang w:val="en-US" w:eastAsia="zh-CN"/>
          <w14:textFill>
            <w14:solidFill>
              <w14:schemeClr w14:val="tx1"/>
            </w14:solidFill>
          </w14:textFill>
        </w:rPr>
      </w:pPr>
      <w:r>
        <w:rPr>
          <w:rFonts w:hint="eastAsia" w:ascii="Times New Roman" w:hAnsi="Times New Roman" w:eastAsia="方正仿宋_GBK" w:cs="方正仿宋_GBK"/>
          <w:b/>
          <w:bCs/>
          <w:color w:val="000000" w:themeColor="text1"/>
          <w:sz w:val="32"/>
          <w:szCs w:val="32"/>
          <w:lang w:eastAsia="zh-CN"/>
          <w14:textFill>
            <w14:solidFill>
              <w14:schemeClr w14:val="tx1"/>
            </w14:solidFill>
          </w14:textFill>
        </w:rPr>
        <w:t>（</w:t>
      </w:r>
      <w:r>
        <w:rPr>
          <w:rFonts w:hint="eastAsia" w:ascii="Times New Roman" w:hAnsi="Times New Roman" w:eastAsia="方正仿宋_GBK" w:cs="方正仿宋_GBK"/>
          <w:b/>
          <w:bCs/>
          <w:color w:val="000000" w:themeColor="text1"/>
          <w:sz w:val="32"/>
          <w:szCs w:val="32"/>
          <w:lang w:val="en-US" w:eastAsia="zh-CN"/>
          <w14:textFill>
            <w14:solidFill>
              <w14:schemeClr w14:val="tx1"/>
            </w14:solidFill>
          </w14:textFill>
        </w:rPr>
        <w:t>三</w:t>
      </w:r>
      <w:r>
        <w:rPr>
          <w:rFonts w:hint="eastAsia" w:ascii="Times New Roman" w:hAnsi="Times New Roman" w:eastAsia="方正仿宋_GBK" w:cs="方正仿宋_GBK"/>
          <w:b/>
          <w:bCs/>
          <w:color w:val="000000" w:themeColor="text1"/>
          <w:sz w:val="32"/>
          <w:szCs w:val="32"/>
          <w:lang w:eastAsia="zh-CN"/>
          <w14:textFill>
            <w14:solidFill>
              <w14:schemeClr w14:val="tx1"/>
            </w14:solidFill>
          </w14:textFill>
        </w:rPr>
        <w:t>）</w:t>
      </w:r>
      <w:r>
        <w:rPr>
          <w:rFonts w:hint="eastAsia" w:ascii="Times New Roman" w:hAnsi="Times New Roman" w:eastAsia="方正仿宋_GBK" w:cs="方正仿宋_GBK"/>
          <w:b/>
          <w:bCs/>
          <w:color w:val="000000" w:themeColor="text1"/>
          <w:sz w:val="32"/>
          <w:szCs w:val="32"/>
          <w:lang w:val="en-US" w:eastAsia="zh-CN"/>
          <w14:textFill>
            <w14:solidFill>
              <w14:schemeClr w14:val="tx1"/>
            </w14:solidFill>
          </w14:textFill>
        </w:rPr>
        <w:t>抽检不合格指标，暂按照23年的要求执行：食用农产品抽检不合格率要达到5%，普通食品抽检不合格率要达到3%。</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附件</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：七月份</w:t>
      </w:r>
      <w:r>
        <w:rPr>
          <w:rFonts w:hint="eastAsia" w:ascii="Times New Roman" w:hAnsi="Times New Roman" w:eastAsia="方正仿宋_GBK" w:cs="方正仿宋_GBK"/>
          <w:color w:val="000000" w:themeColor="text1"/>
          <w:sz w:val="32"/>
          <w:szCs w:val="32"/>
          <w14:textFill>
            <w14:solidFill>
              <w14:schemeClr w14:val="tx1"/>
            </w14:solidFill>
          </w14:textFill>
        </w:rPr>
        <w:t>食品安全专项监督抽检</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任务分配表</w:t>
      </w:r>
    </w:p>
    <w:p>
      <w:pPr>
        <w:spacing w:line="560" w:lineRule="exact"/>
        <w:jc w:val="both"/>
        <w:rPr>
          <w:rFonts w:hint="eastAsia" w:ascii="Times New Roman" w:hAnsi="Times New Roman" w:eastAsia="方正小标宋_GBK" w:cs="方正小标宋_GBK"/>
          <w:color w:val="000000"/>
          <w:sz w:val="44"/>
          <w:szCs w:val="44"/>
          <w:lang w:val="en-US" w:eastAsia="zh-CN"/>
        </w:rPr>
      </w:pPr>
    </w:p>
    <w:p>
      <w:pPr>
        <w:spacing w:line="560" w:lineRule="exact"/>
        <w:jc w:val="center"/>
        <w:rPr>
          <w:rFonts w:hint="eastAsia" w:ascii="Times New Roman" w:hAnsi="Times New Roman" w:eastAsia="方正小标宋_GBK" w:cs="方正小标宋_GBK"/>
          <w:color w:val="000000"/>
          <w:sz w:val="40"/>
          <w:szCs w:val="40"/>
          <w:lang w:val="en-US" w:eastAsia="zh-CN"/>
        </w:rPr>
      </w:pPr>
      <w:r>
        <w:rPr>
          <w:rFonts w:hint="eastAsia" w:ascii="Times New Roman" w:hAnsi="Times New Roman" w:eastAsia="方正小标宋_GBK" w:cs="方正小标宋_GBK"/>
          <w:color w:val="000000"/>
          <w:sz w:val="40"/>
          <w:szCs w:val="40"/>
          <w:lang w:val="en-US" w:eastAsia="zh-CN"/>
        </w:rPr>
        <w:t>七月份第三方检测机构</w:t>
      </w:r>
    </w:p>
    <w:p>
      <w:pPr>
        <w:spacing w:line="560" w:lineRule="exact"/>
        <w:jc w:val="center"/>
        <w:rPr>
          <w:rFonts w:hint="eastAsia" w:ascii="Times New Roman" w:hAnsi="Times New Roman" w:eastAsia="方正小标宋_GBK" w:cs="方正小标宋_GBK"/>
          <w:color w:val="000000"/>
          <w:sz w:val="40"/>
          <w:szCs w:val="40"/>
          <w:lang w:eastAsia="zh-CN"/>
        </w:rPr>
      </w:pPr>
      <w:r>
        <w:rPr>
          <w:rFonts w:hint="eastAsia" w:ascii="Times New Roman" w:hAnsi="Times New Roman" w:eastAsia="方正小标宋_GBK" w:cs="方正小标宋_GBK"/>
          <w:color w:val="000000"/>
          <w:sz w:val="40"/>
          <w:szCs w:val="40"/>
        </w:rPr>
        <w:t>食品安全专项监督抽检任务</w:t>
      </w:r>
      <w:r>
        <w:rPr>
          <w:rFonts w:hint="eastAsia" w:ascii="Times New Roman" w:hAnsi="Times New Roman" w:eastAsia="方正小标宋_GBK" w:cs="方正小标宋_GBK"/>
          <w:color w:val="000000"/>
          <w:sz w:val="40"/>
          <w:szCs w:val="40"/>
          <w:lang w:val="en-US" w:eastAsia="zh-CN"/>
        </w:rPr>
        <w:t>分配</w:t>
      </w:r>
      <w:r>
        <w:rPr>
          <w:rFonts w:hint="eastAsia" w:ascii="Times New Roman" w:hAnsi="Times New Roman" w:eastAsia="方正小标宋_GBK" w:cs="方正小标宋_GBK"/>
          <w:color w:val="000000"/>
          <w:sz w:val="40"/>
          <w:szCs w:val="40"/>
        </w:rPr>
        <w:t>表</w:t>
      </w:r>
    </w:p>
    <w:tbl>
      <w:tblPr>
        <w:tblStyle w:val="40"/>
        <w:tblpPr w:leftFromText="180" w:rightFromText="180" w:vertAnchor="text" w:horzAnchor="page" w:tblpX="1825" w:tblpY="5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4"/>
        <w:gridCol w:w="2662"/>
        <w:gridCol w:w="2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2594" w:type="dxa"/>
            <w:noWrap w:val="0"/>
            <w:vAlign w:val="center"/>
          </w:tcPr>
          <w:p>
            <w:pPr>
              <w:spacing w:line="440" w:lineRule="exact"/>
              <w:jc w:val="center"/>
              <w:rPr>
                <w:rFonts w:hint="eastAsia" w:ascii="Times New Roman" w:hAnsi="Times New Roman" w:eastAsia="方正楷体_GBK" w:cs="方正楷体_GBK"/>
                <w:color w:val="000000"/>
                <w:sz w:val="28"/>
                <w:szCs w:val="28"/>
                <w:vertAlign w:val="baseline"/>
                <w:lang w:eastAsia="zh-CN"/>
              </w:rPr>
            </w:pPr>
            <w:r>
              <w:rPr>
                <w:rFonts w:hint="eastAsia" w:ascii="Times New Roman" w:hAnsi="Times New Roman" w:eastAsia="方正楷体_GBK" w:cs="方正楷体_GBK"/>
                <w:color w:val="000000"/>
                <w:sz w:val="28"/>
                <w:szCs w:val="28"/>
                <w:vertAlign w:val="baseline"/>
                <w:lang w:eastAsia="zh-CN"/>
              </w:rPr>
              <w:t>相关分局</w:t>
            </w:r>
          </w:p>
        </w:tc>
        <w:tc>
          <w:tcPr>
            <w:tcW w:w="2662" w:type="dxa"/>
            <w:noWrap w:val="0"/>
            <w:vAlign w:val="center"/>
          </w:tcPr>
          <w:p>
            <w:pPr>
              <w:spacing w:line="440" w:lineRule="exact"/>
              <w:jc w:val="center"/>
              <w:rPr>
                <w:rFonts w:hint="eastAsia" w:ascii="Times New Roman" w:hAnsi="Times New Roman" w:eastAsia="方正楷体_GBK" w:cs="方正楷体_GBK"/>
                <w:color w:val="000000"/>
                <w:sz w:val="28"/>
                <w:szCs w:val="28"/>
                <w:vertAlign w:val="baseline"/>
                <w:lang w:val="en-US" w:eastAsia="zh-CN"/>
              </w:rPr>
            </w:pPr>
            <w:r>
              <w:rPr>
                <w:rFonts w:hint="eastAsia" w:ascii="Times New Roman" w:hAnsi="Times New Roman" w:eastAsia="方正楷体_GBK" w:cs="方正楷体_GBK"/>
                <w:color w:val="000000"/>
                <w:sz w:val="28"/>
                <w:szCs w:val="28"/>
                <w:vertAlign w:val="baseline"/>
                <w:lang w:val="en-US" w:eastAsia="zh-CN"/>
              </w:rPr>
              <w:t>抽检总批次</w:t>
            </w:r>
          </w:p>
        </w:tc>
        <w:tc>
          <w:tcPr>
            <w:tcW w:w="2538" w:type="dxa"/>
            <w:noWrap w:val="0"/>
            <w:vAlign w:val="center"/>
          </w:tcPr>
          <w:p>
            <w:pPr>
              <w:spacing w:line="440" w:lineRule="exact"/>
              <w:jc w:val="center"/>
              <w:rPr>
                <w:rFonts w:hint="eastAsia" w:ascii="Times New Roman" w:hAnsi="Times New Roman" w:eastAsia="方正楷体_GBK" w:cs="方正楷体_GBK"/>
                <w:color w:val="000000"/>
                <w:sz w:val="28"/>
                <w:szCs w:val="28"/>
                <w:vertAlign w:val="baseline"/>
                <w:lang w:val="en-US" w:eastAsia="zh-CN"/>
              </w:rPr>
            </w:pPr>
          </w:p>
          <w:p>
            <w:pPr>
              <w:spacing w:line="440" w:lineRule="exact"/>
              <w:jc w:val="center"/>
              <w:rPr>
                <w:rFonts w:hint="default" w:ascii="Times New Roman" w:hAnsi="Times New Roman" w:eastAsia="方正楷体_GBK" w:cs="方正楷体_GBK"/>
                <w:color w:val="000000"/>
                <w:sz w:val="28"/>
                <w:szCs w:val="28"/>
                <w:vertAlign w:val="baseline"/>
                <w:lang w:val="en-US" w:eastAsia="zh-CN"/>
              </w:rPr>
            </w:pPr>
            <w:r>
              <w:rPr>
                <w:rFonts w:hint="eastAsia" w:ascii="Times New Roman" w:hAnsi="Times New Roman" w:eastAsia="方正楷体_GBK" w:cs="方正楷体_GBK"/>
                <w:color w:val="000000"/>
                <w:sz w:val="28"/>
                <w:szCs w:val="28"/>
                <w:vertAlign w:val="baseline"/>
                <w:lang w:val="en-US" w:eastAsia="zh-CN"/>
              </w:rPr>
              <w:t>其中食用农产品抽检批次</w:t>
            </w:r>
          </w:p>
          <w:p>
            <w:pPr>
              <w:spacing w:line="440" w:lineRule="exact"/>
              <w:jc w:val="center"/>
              <w:rPr>
                <w:rFonts w:hint="eastAsia" w:ascii="Times New Roman" w:hAnsi="Times New Roman" w:eastAsia="方正楷体_GBK" w:cs="方正楷体_GBK"/>
                <w:color w:val="00000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2594" w:type="dxa"/>
            <w:noWrap w:val="0"/>
            <w:vAlign w:val="center"/>
          </w:tcPr>
          <w:p>
            <w:pPr>
              <w:numPr>
                <w:ilvl w:val="0"/>
                <w:numId w:val="0"/>
              </w:numPr>
              <w:ind w:left="-1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五汛分局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2594" w:type="dxa"/>
            <w:noWrap w:val="0"/>
            <w:vAlign w:val="center"/>
          </w:tcPr>
          <w:p>
            <w:pPr>
              <w:numPr>
                <w:ilvl w:val="0"/>
                <w:numId w:val="0"/>
              </w:numPr>
              <w:ind w:left="-1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正红分局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17</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2594" w:type="dxa"/>
            <w:noWrap w:val="0"/>
            <w:vAlign w:val="center"/>
          </w:tcPr>
          <w:p>
            <w:pPr>
              <w:numPr>
                <w:ilvl w:val="0"/>
                <w:numId w:val="0"/>
              </w:numPr>
              <w:tabs>
                <w:tab w:val="left" w:pos="540"/>
              </w:tabs>
              <w:ind w:left="-10" w:leftChars="0" w:firstLine="840" w:firstLineChars="40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陈涛分局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2594" w:type="dxa"/>
            <w:noWrap w:val="0"/>
            <w:vAlign w:val="center"/>
          </w:tcPr>
          <w:p>
            <w:pPr>
              <w:ind w:firstLine="840" w:firstLineChars="40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城南分局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72</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594" w:type="dxa"/>
            <w:noWrap w:val="0"/>
            <w:vAlign w:val="center"/>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八滩分局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60</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594" w:type="dxa"/>
            <w:noWrap w:val="0"/>
            <w:vAlign w:val="center"/>
          </w:tcPr>
          <w:p>
            <w:pPr>
              <w:numPr>
                <w:ilvl w:val="0"/>
                <w:numId w:val="0"/>
              </w:numPr>
              <w:ind w:left="-1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城中分局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76</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594" w:type="dxa"/>
            <w:noWrap w:val="0"/>
            <w:vAlign w:val="center"/>
          </w:tcPr>
          <w:p>
            <w:pPr>
              <w:numPr>
                <w:ilvl w:val="0"/>
                <w:numId w:val="0"/>
              </w:numPr>
              <w:ind w:left="-1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滨淮分局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62</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594" w:type="dxa"/>
            <w:noWrap w:val="0"/>
            <w:vAlign w:val="center"/>
          </w:tcPr>
          <w:p>
            <w:pPr>
              <w:numPr>
                <w:ilvl w:val="0"/>
                <w:numId w:val="0"/>
              </w:numPr>
              <w:ind w:left="-1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开发区分局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85</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2594" w:type="dxa"/>
            <w:noWrap w:val="0"/>
            <w:vAlign w:val="center"/>
          </w:tcPr>
          <w:p>
            <w:pPr>
              <w:numPr>
                <w:ilvl w:val="0"/>
                <w:numId w:val="0"/>
              </w:numPr>
              <w:ind w:left="-1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界牌分局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2594" w:type="dxa"/>
            <w:noWrap w:val="0"/>
            <w:vAlign w:val="center"/>
          </w:tcPr>
          <w:p>
            <w:pPr>
              <w:numPr>
                <w:ilvl w:val="0"/>
                <w:numId w:val="0"/>
              </w:numPr>
              <w:ind w:left="-10" w:left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沿海化工园区分局</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2594"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2662"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473</w:t>
            </w:r>
          </w:p>
        </w:tc>
        <w:tc>
          <w:tcPr>
            <w:tcW w:w="2538" w:type="dxa"/>
            <w:noWrap w:val="0"/>
            <w:vAlign w:val="center"/>
          </w:tcPr>
          <w:p>
            <w:pPr>
              <w:numPr>
                <w:ilvl w:val="0"/>
                <w:numId w:val="0"/>
              </w:numPr>
              <w:ind w:left="-10" w:left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86</w:t>
            </w:r>
          </w:p>
        </w:tc>
      </w:tr>
    </w:tbl>
    <w:p>
      <w:pPr>
        <w:pStyle w:val="196"/>
        <w:spacing w:line="420" w:lineRule="auto"/>
        <w:jc w:val="both"/>
        <w:rPr>
          <w:rFonts w:hint="eastAsia" w:ascii="黑体" w:eastAsia="黑体"/>
          <w:bCs/>
          <w:sz w:val="44"/>
        </w:rPr>
      </w:pPr>
    </w:p>
    <w:p>
      <w:pPr>
        <w:pStyle w:val="196"/>
        <w:spacing w:line="420" w:lineRule="auto"/>
        <w:jc w:val="center"/>
        <w:rPr>
          <w:rFonts w:hint="eastAsia" w:ascii="黑体" w:eastAsia="黑体"/>
          <w:bCs/>
          <w:sz w:val="44"/>
        </w:rPr>
      </w:pPr>
    </w:p>
    <w:p>
      <w:pPr>
        <w:pStyle w:val="196"/>
        <w:spacing w:line="420" w:lineRule="auto"/>
        <w:jc w:val="center"/>
        <w:rPr>
          <w:rFonts w:ascii="黑体" w:eastAsia="黑体"/>
          <w:sz w:val="44"/>
          <w:szCs w:val="44"/>
        </w:rPr>
      </w:pPr>
      <w:r>
        <w:rPr>
          <w:rFonts w:hint="eastAsia" w:ascii="黑体" w:eastAsia="黑体"/>
          <w:bCs/>
          <w:sz w:val="44"/>
        </w:rPr>
        <w:t>第六章   投标</w:t>
      </w:r>
      <w:bookmarkEnd w:id="170"/>
      <w:bookmarkEnd w:id="171"/>
      <w:bookmarkEnd w:id="172"/>
      <w:r>
        <w:rPr>
          <w:rFonts w:hint="eastAsia" w:ascii="黑体" w:eastAsia="黑体"/>
          <w:bCs/>
          <w:sz w:val="44"/>
        </w:rPr>
        <w:t>文件格式</w:t>
      </w:r>
    </w:p>
    <w:p>
      <w:pPr>
        <w:pStyle w:val="198"/>
        <w:spacing w:line="420" w:lineRule="auto"/>
        <w:ind w:firstLine="482"/>
        <w:jc w:val="center"/>
        <w:rPr>
          <w:rFonts w:ascii="宋体" w:hAnsi="宋体"/>
          <w:sz w:val="24"/>
          <w:szCs w:val="24"/>
        </w:rPr>
      </w:pPr>
      <w:bookmarkStart w:id="183" w:name="_Hlt26955039"/>
      <w:bookmarkEnd w:id="183"/>
      <w:bookmarkStart w:id="184" w:name="_Hlt26671244"/>
      <w:bookmarkEnd w:id="184"/>
      <w:bookmarkStart w:id="185" w:name="_Toc120614282"/>
      <w:bookmarkStart w:id="186" w:name="_Toc26554094"/>
      <w:bookmarkStart w:id="187" w:name="_Toc49090576"/>
      <w:r>
        <w:rPr>
          <w:rFonts w:hint="eastAsia" w:ascii="宋体" w:hAnsi="宋体"/>
          <w:sz w:val="24"/>
          <w:szCs w:val="24"/>
        </w:rPr>
        <w:t>法人授权书</w:t>
      </w:r>
    </w:p>
    <w:p>
      <w:pPr>
        <w:pStyle w:val="284"/>
        <w:spacing w:line="420" w:lineRule="auto"/>
        <w:ind w:firstLine="482"/>
        <w:rPr>
          <w:sz w:val="24"/>
          <w:szCs w:val="24"/>
        </w:rPr>
      </w:pPr>
      <w:r>
        <w:rPr>
          <w:rFonts w:hint="eastAsia"/>
          <w:sz w:val="24"/>
          <w:szCs w:val="24"/>
        </w:rPr>
        <w:t>本授权书声明：____________（供应商名称）授权________________（被授权人的姓名）为我方就</w:t>
      </w:r>
      <w:r>
        <w:rPr>
          <w:rFonts w:hint="eastAsia"/>
          <w:sz w:val="24"/>
          <w:szCs w:val="24"/>
          <w:lang w:eastAsia="zh-CN"/>
        </w:rPr>
        <w:t>JSZC-320922-SWGC-G2024-0056</w:t>
      </w:r>
      <w:r>
        <w:rPr>
          <w:rFonts w:hint="eastAsia"/>
          <w:sz w:val="24"/>
          <w:szCs w:val="24"/>
        </w:rPr>
        <w:t>号（项目编号）</w:t>
      </w:r>
      <w:r>
        <w:rPr>
          <w:rFonts w:hint="eastAsia"/>
          <w:sz w:val="24"/>
          <w:szCs w:val="24"/>
          <w:u w:val="single"/>
          <w:lang w:eastAsia="zh-CN"/>
        </w:rPr>
        <w:t>2024年度食品安全监督抽检工作</w:t>
      </w:r>
      <w:r>
        <w:rPr>
          <w:rFonts w:hint="eastAsia"/>
          <w:sz w:val="24"/>
          <w:szCs w:val="24"/>
        </w:rPr>
        <w:t>（项目名称）采购活动的合法代理人，以本公司名义全权处理一切与该项目采购有关的事务。</w:t>
      </w:r>
    </w:p>
    <w:p>
      <w:pPr>
        <w:pStyle w:val="284"/>
        <w:spacing w:line="420" w:lineRule="auto"/>
        <w:ind w:firstLine="482"/>
        <w:rPr>
          <w:sz w:val="24"/>
          <w:szCs w:val="24"/>
        </w:rPr>
      </w:pPr>
      <w:r>
        <w:rPr>
          <w:rFonts w:hint="eastAsia"/>
          <w:sz w:val="24"/>
          <w:szCs w:val="24"/>
        </w:rPr>
        <w:t>本授权书于______年____月____日起生效，特此声明。</w:t>
      </w:r>
    </w:p>
    <w:p>
      <w:pPr>
        <w:pStyle w:val="284"/>
        <w:spacing w:line="420" w:lineRule="auto"/>
        <w:ind w:firstLine="482"/>
        <w:rPr>
          <w:sz w:val="24"/>
          <w:szCs w:val="24"/>
        </w:rPr>
      </w:pPr>
      <w:r>
        <w:rPr>
          <w:rFonts w:hint="eastAsia"/>
          <w:sz w:val="24"/>
          <w:szCs w:val="24"/>
        </w:rPr>
        <w:t xml:space="preserve">          代理人（被授权人）：_______________________</w:t>
      </w:r>
    </w:p>
    <w:p>
      <w:pPr>
        <w:pStyle w:val="284"/>
        <w:spacing w:line="420" w:lineRule="auto"/>
        <w:ind w:firstLine="482"/>
        <w:rPr>
          <w:sz w:val="24"/>
          <w:szCs w:val="24"/>
        </w:rPr>
      </w:pPr>
    </w:p>
    <w:p>
      <w:pPr>
        <w:pStyle w:val="284"/>
        <w:spacing w:line="420" w:lineRule="auto"/>
        <w:ind w:firstLine="482"/>
        <w:rPr>
          <w:sz w:val="24"/>
          <w:szCs w:val="24"/>
        </w:rPr>
      </w:pPr>
      <w:r>
        <w:rPr>
          <w:rFonts w:hint="eastAsia"/>
          <w:sz w:val="24"/>
          <w:szCs w:val="24"/>
        </w:rPr>
        <w:t xml:space="preserve">          单位名称：_____________________________________</w:t>
      </w:r>
    </w:p>
    <w:p>
      <w:pPr>
        <w:pStyle w:val="284"/>
        <w:spacing w:line="420" w:lineRule="auto"/>
        <w:ind w:firstLine="482"/>
        <w:rPr>
          <w:sz w:val="24"/>
          <w:szCs w:val="24"/>
        </w:rPr>
      </w:pPr>
    </w:p>
    <w:p>
      <w:pPr>
        <w:pStyle w:val="284"/>
        <w:spacing w:line="420" w:lineRule="auto"/>
        <w:ind w:firstLine="482"/>
        <w:rPr>
          <w:sz w:val="24"/>
          <w:szCs w:val="24"/>
        </w:rPr>
      </w:pPr>
      <w:r>
        <w:rPr>
          <w:rFonts w:hint="eastAsia"/>
          <w:sz w:val="24"/>
          <w:szCs w:val="24"/>
        </w:rPr>
        <w:t xml:space="preserve">          授权单位盖章：_________________________________</w:t>
      </w:r>
    </w:p>
    <w:p>
      <w:pPr>
        <w:pStyle w:val="284"/>
        <w:spacing w:line="420" w:lineRule="auto"/>
        <w:ind w:firstLine="482"/>
        <w:rPr>
          <w:sz w:val="24"/>
          <w:szCs w:val="24"/>
        </w:rPr>
      </w:pPr>
      <w:r>
        <w:rPr>
          <w:rFonts w:hint="eastAsia"/>
          <w:sz w:val="24"/>
          <w:szCs w:val="24"/>
        </w:rPr>
        <w:t xml:space="preserve">      单位名称：_____________________________________</w:t>
      </w:r>
    </w:p>
    <w:p>
      <w:pPr>
        <w:pStyle w:val="284"/>
        <w:spacing w:line="420" w:lineRule="auto"/>
        <w:ind w:firstLine="482"/>
        <w:rPr>
          <w:sz w:val="24"/>
          <w:szCs w:val="24"/>
          <w:u w:val="single"/>
        </w:rPr>
      </w:pPr>
      <w:r>
        <w:rPr>
          <w:rFonts w:hint="eastAsia"/>
          <w:sz w:val="24"/>
          <w:szCs w:val="24"/>
        </w:rPr>
        <w:t xml:space="preserve">      地址：</w:t>
      </w:r>
    </w:p>
    <w:p>
      <w:pPr>
        <w:pStyle w:val="284"/>
        <w:spacing w:line="420" w:lineRule="auto"/>
        <w:ind w:firstLine="482"/>
        <w:rPr>
          <w:sz w:val="24"/>
          <w:szCs w:val="24"/>
        </w:rPr>
      </w:pPr>
      <w:r>
        <w:rPr>
          <w:rFonts w:hint="eastAsia"/>
          <w:sz w:val="24"/>
          <w:szCs w:val="24"/>
        </w:rPr>
        <w:t xml:space="preserve">      日期：</w:t>
      </w:r>
    </w:p>
    <w:p>
      <w:pPr>
        <w:spacing w:before="50" w:after="50" w:line="420" w:lineRule="auto"/>
        <w:ind w:firstLine="643"/>
        <w:rPr>
          <w:rFonts w:ascii="黑体" w:eastAsia="黑体"/>
          <w:sz w:val="32"/>
          <w:szCs w:val="32"/>
        </w:rPr>
        <w:sectPr>
          <w:pgSz w:w="11906" w:h="16838"/>
          <w:pgMar w:top="1418" w:right="1588" w:bottom="1418" w:left="1365" w:header="851" w:footer="907" w:gutter="0"/>
          <w:cols w:space="1701" w:num="1"/>
          <w:titlePg/>
          <w:docGrid w:linePitch="360" w:charSpace="0"/>
        </w:sectPr>
      </w:pPr>
    </w:p>
    <w:p>
      <w:pPr>
        <w:spacing w:before="50" w:after="50" w:line="420" w:lineRule="auto"/>
        <w:ind w:firstLine="643"/>
        <w:jc w:val="center"/>
        <w:rPr>
          <w:rFonts w:ascii="黑体" w:eastAsia="黑体"/>
          <w:sz w:val="32"/>
          <w:szCs w:val="32"/>
        </w:rPr>
      </w:pPr>
      <w:r>
        <w:rPr>
          <w:rFonts w:hint="eastAsia" w:ascii="黑体" w:eastAsia="黑体"/>
          <w:sz w:val="32"/>
          <w:szCs w:val="32"/>
        </w:rPr>
        <w:t>投标函</w:t>
      </w:r>
    </w:p>
    <w:p>
      <w:pPr>
        <w:pStyle w:val="259"/>
        <w:spacing w:before="0" w:after="0" w:line="420" w:lineRule="auto"/>
        <w:ind w:firstLine="482"/>
        <w:rPr>
          <w:rFonts w:ascii="宋体" w:hAnsi="宋体"/>
          <w:szCs w:val="21"/>
          <w:u w:val="single"/>
        </w:rPr>
      </w:pPr>
      <w:r>
        <w:rPr>
          <w:rFonts w:hint="eastAsia" w:ascii="宋体" w:hAnsi="宋体"/>
          <w:szCs w:val="21"/>
        </w:rPr>
        <w:t>致：</w:t>
      </w:r>
      <w:r>
        <w:rPr>
          <w:rFonts w:hint="eastAsia" w:ascii="宋体" w:hAnsi="宋体"/>
          <w:szCs w:val="21"/>
          <w:u w:val="single"/>
        </w:rPr>
        <w:t xml:space="preserve">  （采购人全称）          </w:t>
      </w:r>
    </w:p>
    <w:p>
      <w:pPr>
        <w:pStyle w:val="259"/>
        <w:spacing w:before="0" w:after="0" w:line="420" w:lineRule="auto"/>
        <w:ind w:firstLine="482"/>
        <w:rPr>
          <w:rFonts w:ascii="宋体" w:hAnsi="宋体"/>
          <w:szCs w:val="21"/>
        </w:rPr>
      </w:pPr>
      <w:r>
        <w:rPr>
          <w:rFonts w:hint="eastAsia" w:ascii="宋体" w:hAnsi="宋体"/>
          <w:szCs w:val="21"/>
        </w:rPr>
        <w:t>根据贵方的</w:t>
      </w:r>
      <w:r>
        <w:rPr>
          <w:rFonts w:hint="eastAsia" w:ascii="Times New Roman" w:hAnsi="Times New Roman"/>
          <w:u w:val="single"/>
          <w:lang w:eastAsia="zh-CN"/>
        </w:rPr>
        <w:t>2024年度食品安全监督抽检工作</w:t>
      </w:r>
      <w:r>
        <w:rPr>
          <w:rFonts w:hint="eastAsia" w:ascii="Times New Roman" w:hAnsi="Times New Roman"/>
          <w:u w:val="single"/>
        </w:rPr>
        <w:t>（项目名称）</w:t>
      </w:r>
      <w:r>
        <w:rPr>
          <w:rFonts w:hint="eastAsia" w:ascii="宋体" w:hAnsi="宋体"/>
          <w:szCs w:val="21"/>
        </w:rPr>
        <w:t>（项目编号：</w:t>
      </w:r>
      <w:r>
        <w:rPr>
          <w:rFonts w:hint="eastAsia" w:ascii="Times New Roman" w:hAnsi="Times New Roman"/>
          <w:lang w:eastAsia="zh-CN"/>
        </w:rPr>
        <w:t>JSZC-320922-SWGC-G2024-0056</w:t>
      </w:r>
      <w:r>
        <w:rPr>
          <w:rFonts w:hint="eastAsia" w:ascii="宋体" w:hAnsi="宋体"/>
          <w:szCs w:val="21"/>
        </w:rPr>
        <w:t>）</w:t>
      </w:r>
      <w:r>
        <w:rPr>
          <w:rFonts w:hint="eastAsia" w:ascii="宋体" w:hAnsi="宋体"/>
          <w:strike/>
          <w:szCs w:val="21"/>
        </w:rPr>
        <w:t>号</w:t>
      </w:r>
      <w:r>
        <w:rPr>
          <w:rFonts w:hint="eastAsia" w:ascii="宋体" w:hAnsi="宋体"/>
          <w:szCs w:val="21"/>
        </w:rPr>
        <w:t>招标文件，正式授权下述签字人___________(姓名)代表我方______________（投标人的名称），全权处理本次项目投标的有关事宜。</w:t>
      </w:r>
    </w:p>
    <w:p>
      <w:pPr>
        <w:pStyle w:val="259"/>
        <w:spacing w:before="0" w:after="0" w:line="420" w:lineRule="auto"/>
        <w:ind w:firstLine="482"/>
        <w:rPr>
          <w:rFonts w:hint="eastAsia" w:ascii="宋体" w:hAnsi="宋体"/>
          <w:szCs w:val="21"/>
        </w:rPr>
      </w:pPr>
      <w:r>
        <w:rPr>
          <w:rFonts w:hint="eastAsia" w:ascii="宋体" w:hAnsi="宋体"/>
          <w:szCs w:val="21"/>
        </w:rPr>
        <w:t>据此函，__________签字人兹宣布同意如下：</w:t>
      </w:r>
    </w:p>
    <w:p>
      <w:pPr>
        <w:pStyle w:val="259"/>
        <w:spacing w:before="0" w:after="0" w:line="420" w:lineRule="auto"/>
        <w:ind w:firstLine="482"/>
        <w:rPr>
          <w:rFonts w:hint="eastAsia" w:ascii="宋体" w:hAnsi="宋体"/>
          <w:szCs w:val="21"/>
        </w:rPr>
      </w:pPr>
      <w:r>
        <w:rPr>
          <w:rFonts w:hint="eastAsia" w:ascii="宋体" w:hAnsi="宋体"/>
          <w:szCs w:val="21"/>
        </w:rPr>
        <w:t>1.我单位此次合同履行期限：</w:t>
      </w:r>
      <w:r>
        <w:rPr>
          <w:sz w:val="24"/>
          <w:szCs w:val="24"/>
        </w:rPr>
        <w:t>服务期限：</w:t>
      </w:r>
      <w:r>
        <w:rPr>
          <w:rFonts w:hint="eastAsia" w:ascii="宋体" w:hAnsi="宋体" w:eastAsia="宋体" w:cs="宋体"/>
          <w:sz w:val="24"/>
          <w:szCs w:val="24"/>
          <w:u w:val="single"/>
          <w:lang w:val="en-US" w:eastAsia="zh-CN"/>
        </w:rPr>
        <w:t>合同签订后</w:t>
      </w:r>
      <w:r>
        <w:rPr>
          <w:rFonts w:hint="eastAsia" w:ascii="宋体" w:hAnsi="宋体" w:cs="宋体"/>
          <w:sz w:val="24"/>
          <w:szCs w:val="24"/>
          <w:u w:val="single"/>
          <w:lang w:val="en-US" w:eastAsia="zh-CN"/>
        </w:rPr>
        <w:t>截止2025年</w:t>
      </w:r>
      <w:r>
        <w:rPr>
          <w:rFonts w:hint="eastAsia" w:ascii="宋体" w:hAnsi="宋体" w:eastAsia="宋体" w:cs="宋体"/>
          <w:sz w:val="24"/>
          <w:szCs w:val="24"/>
          <w:u w:val="single"/>
          <w:lang w:val="en-US" w:eastAsia="zh-CN"/>
        </w:rPr>
        <w:t>3月</w:t>
      </w:r>
      <w:r>
        <w:rPr>
          <w:rFonts w:hint="eastAsia" w:ascii="宋体" w:hAnsi="宋体"/>
          <w:szCs w:val="21"/>
        </w:rPr>
        <w:t>；服务标准：</w:t>
      </w:r>
      <w:r>
        <w:rPr>
          <w:rFonts w:hint="eastAsia" w:ascii="宋体" w:hAnsi="宋体"/>
          <w:szCs w:val="21"/>
          <w:u w:val="single"/>
          <w:lang w:val="en-US" w:eastAsia="zh-CN"/>
        </w:rPr>
        <w:t>合格</w:t>
      </w:r>
      <w:r>
        <w:rPr>
          <w:rFonts w:hint="eastAsia" w:ascii="宋体" w:hAnsi="宋体"/>
          <w:szCs w:val="21"/>
        </w:rPr>
        <w:t xml:space="preserve">。  </w:t>
      </w:r>
    </w:p>
    <w:p>
      <w:pPr>
        <w:pStyle w:val="259"/>
        <w:spacing w:before="0" w:after="0" w:line="420" w:lineRule="auto"/>
        <w:ind w:firstLine="482"/>
        <w:rPr>
          <w:rFonts w:ascii="宋体" w:hAnsi="宋体"/>
          <w:szCs w:val="21"/>
        </w:rPr>
      </w:pPr>
      <w:r>
        <w:rPr>
          <w:rFonts w:hint="eastAsia" w:ascii="宋体" w:hAnsi="宋体"/>
          <w:lang w:val="en-US" w:eastAsia="zh-CN"/>
        </w:rPr>
        <w:t>2</w:t>
      </w:r>
      <w:r>
        <w:rPr>
          <w:rFonts w:hint="eastAsia" w:ascii="宋体" w:hAnsi="宋体"/>
        </w:rPr>
        <w:t>.</w:t>
      </w:r>
      <w:r>
        <w:rPr>
          <w:rFonts w:hint="eastAsia" w:ascii="宋体" w:hAnsi="宋体"/>
          <w:szCs w:val="21"/>
        </w:rPr>
        <w:t>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p>
    <w:p>
      <w:pPr>
        <w:pStyle w:val="259"/>
        <w:spacing w:before="0" w:after="0" w:line="420" w:lineRule="auto"/>
        <w:ind w:firstLine="482"/>
        <w:rPr>
          <w:rFonts w:ascii="宋体" w:hAnsi="宋体"/>
          <w:szCs w:val="21"/>
        </w:rPr>
      </w:pPr>
      <w:r>
        <w:rPr>
          <w:rFonts w:hint="eastAsia" w:ascii="宋体" w:hAnsi="宋体"/>
          <w:szCs w:val="21"/>
          <w:lang w:val="en-US" w:eastAsia="zh-CN"/>
        </w:rPr>
        <w:t>3</w:t>
      </w:r>
      <w:r>
        <w:rPr>
          <w:rFonts w:hint="eastAsia" w:ascii="宋体" w:hAnsi="宋体"/>
          <w:szCs w:val="21"/>
        </w:rPr>
        <w:t>.按招标文件规定的各项要求，向买方提供所需货物与服务。</w:t>
      </w:r>
    </w:p>
    <w:p>
      <w:pPr>
        <w:pStyle w:val="259"/>
        <w:spacing w:before="0" w:after="0" w:line="420" w:lineRule="auto"/>
        <w:ind w:firstLine="482"/>
        <w:rPr>
          <w:rFonts w:ascii="宋体" w:hAnsi="宋体"/>
          <w:szCs w:val="21"/>
        </w:rPr>
      </w:pPr>
      <w:r>
        <w:rPr>
          <w:rFonts w:hint="eastAsia" w:ascii="宋体" w:hAnsi="宋体"/>
          <w:szCs w:val="21"/>
          <w:lang w:val="en-US" w:eastAsia="zh-CN"/>
        </w:rPr>
        <w:t>4</w:t>
      </w:r>
      <w:r>
        <w:rPr>
          <w:rFonts w:hint="eastAsia" w:ascii="宋体" w:hAnsi="宋体"/>
          <w:szCs w:val="21"/>
        </w:rPr>
        <w:t>.我们完全理解贵方不一定将合同授予最低报价的投标人。</w:t>
      </w:r>
    </w:p>
    <w:p>
      <w:pPr>
        <w:pStyle w:val="259"/>
        <w:spacing w:before="0" w:after="0" w:line="420" w:lineRule="auto"/>
        <w:ind w:firstLine="482"/>
        <w:rPr>
          <w:rFonts w:ascii="宋体" w:hAnsi="宋体"/>
          <w:szCs w:val="21"/>
        </w:rPr>
      </w:pPr>
      <w:r>
        <w:rPr>
          <w:rFonts w:hint="eastAsia" w:ascii="宋体" w:hAnsi="宋体"/>
          <w:szCs w:val="21"/>
          <w:lang w:val="en-US" w:eastAsia="zh-CN"/>
        </w:rPr>
        <w:t>5</w:t>
      </w:r>
      <w:r>
        <w:rPr>
          <w:rFonts w:hint="eastAsia" w:ascii="宋体" w:hAnsi="宋体"/>
          <w:szCs w:val="21"/>
        </w:rPr>
        <w:t>.我们已详细审核全部招标文件及其有效补充文件，我们知道必须放弃提出含糊不清或误解问题的权利。</w:t>
      </w:r>
    </w:p>
    <w:p>
      <w:pPr>
        <w:pStyle w:val="259"/>
        <w:spacing w:before="0" w:after="0" w:line="420" w:lineRule="auto"/>
        <w:ind w:firstLine="482"/>
        <w:rPr>
          <w:rFonts w:ascii="宋体" w:hAnsi="宋体"/>
          <w:szCs w:val="21"/>
        </w:rPr>
      </w:pPr>
      <w:r>
        <w:rPr>
          <w:rFonts w:hint="eastAsia" w:ascii="宋体" w:hAnsi="宋体"/>
          <w:szCs w:val="21"/>
          <w:lang w:val="en-US" w:eastAsia="zh-CN"/>
        </w:rPr>
        <w:t>6</w:t>
      </w:r>
      <w:r>
        <w:rPr>
          <w:rFonts w:hint="eastAsia" w:ascii="宋体" w:hAnsi="宋体"/>
          <w:szCs w:val="21"/>
        </w:rPr>
        <w:t>.我们同意从规定的开标日期起遵循本投标文件，并在规定的投标有效期(</w:t>
      </w:r>
      <w:r>
        <w:rPr>
          <w:rFonts w:hint="eastAsia" w:ascii="宋体" w:hAnsi="宋体" w:cs="宋体"/>
        </w:rPr>
        <w:t>开标之日后九十天</w:t>
      </w:r>
      <w:r>
        <w:rPr>
          <w:rFonts w:hint="eastAsia" w:ascii="宋体" w:hAnsi="宋体"/>
          <w:szCs w:val="21"/>
        </w:rPr>
        <w:t>)期满之前均具有约束力。</w:t>
      </w:r>
    </w:p>
    <w:p>
      <w:pPr>
        <w:pStyle w:val="259"/>
        <w:spacing w:before="0" w:after="0" w:line="420" w:lineRule="auto"/>
        <w:ind w:firstLine="482"/>
        <w:rPr>
          <w:rFonts w:ascii="宋体" w:hAnsi="宋体"/>
          <w:szCs w:val="21"/>
        </w:rPr>
      </w:pPr>
      <w:r>
        <w:rPr>
          <w:rFonts w:hint="eastAsia" w:ascii="宋体" w:hAnsi="宋体"/>
          <w:szCs w:val="21"/>
          <w:lang w:val="en-US" w:eastAsia="zh-CN"/>
        </w:rPr>
        <w:t>7</w:t>
      </w:r>
      <w:r>
        <w:rPr>
          <w:rFonts w:hint="eastAsia" w:ascii="宋体" w:hAnsi="宋体"/>
          <w:szCs w:val="21"/>
        </w:rPr>
        <w:t>.如果在开标后规定的投标有效期内撤回投标或中标后拒绝签订合同，则按照国家相关法律法规受到相应处罚。</w:t>
      </w:r>
    </w:p>
    <w:p>
      <w:pPr>
        <w:pStyle w:val="259"/>
        <w:spacing w:before="0" w:after="0" w:line="420" w:lineRule="auto"/>
        <w:ind w:firstLine="482"/>
        <w:rPr>
          <w:rFonts w:ascii="宋体" w:hAnsi="宋体"/>
          <w:szCs w:val="21"/>
        </w:rPr>
      </w:pPr>
      <w:r>
        <w:rPr>
          <w:rFonts w:hint="eastAsia" w:ascii="宋体" w:hAnsi="宋体"/>
          <w:szCs w:val="21"/>
          <w:lang w:val="en-US" w:eastAsia="zh-CN"/>
        </w:rPr>
        <w:t>8</w:t>
      </w:r>
      <w:r>
        <w:rPr>
          <w:rFonts w:hint="eastAsia" w:ascii="宋体" w:hAnsi="宋体"/>
          <w:szCs w:val="21"/>
        </w:rPr>
        <w:t>.同意向贵方提供贵方可能另外要求的与投标有关的任何证据或资料，并保证我方已提供和将要提供的文件是真实的、准确的。</w:t>
      </w:r>
    </w:p>
    <w:p>
      <w:pPr>
        <w:pStyle w:val="259"/>
        <w:spacing w:before="0" w:after="0" w:line="420" w:lineRule="auto"/>
        <w:ind w:firstLine="482"/>
        <w:rPr>
          <w:rFonts w:ascii="宋体" w:hAnsi="宋体"/>
          <w:szCs w:val="21"/>
        </w:rPr>
      </w:pPr>
      <w:r>
        <w:rPr>
          <w:rFonts w:hint="eastAsia" w:ascii="宋体" w:hAnsi="宋体"/>
          <w:szCs w:val="21"/>
          <w:lang w:val="en-US" w:eastAsia="zh-CN"/>
        </w:rPr>
        <w:t>9</w:t>
      </w:r>
      <w:r>
        <w:rPr>
          <w:rFonts w:hint="eastAsia" w:ascii="宋体" w:hAnsi="宋体"/>
          <w:szCs w:val="21"/>
        </w:rPr>
        <w:t>.一旦我方中标,我方将根据招标文件的规定，严格履行合同的责任和义务,并保证在招标文件规定的时间完成项目，交付买方验收、使用。</w:t>
      </w:r>
    </w:p>
    <w:p>
      <w:pPr>
        <w:pStyle w:val="259"/>
        <w:spacing w:before="0" w:after="0" w:line="420" w:lineRule="auto"/>
        <w:ind w:left="425" w:firstLine="482"/>
        <w:rPr>
          <w:rFonts w:ascii="宋体" w:hAnsi="宋体"/>
          <w:szCs w:val="21"/>
        </w:rPr>
      </w:pPr>
      <w:r>
        <w:rPr>
          <w:rFonts w:hint="eastAsia" w:ascii="宋体" w:hAnsi="宋体"/>
          <w:szCs w:val="21"/>
          <w:lang w:val="en-US" w:eastAsia="zh-CN"/>
        </w:rPr>
        <w:t>10</w:t>
      </w:r>
      <w:r>
        <w:rPr>
          <w:rFonts w:hint="eastAsia" w:ascii="宋体" w:hAnsi="宋体"/>
          <w:szCs w:val="21"/>
        </w:rPr>
        <w:t>.与本投标有关的正式通讯地址为：</w:t>
      </w:r>
    </w:p>
    <w:p>
      <w:pPr>
        <w:pStyle w:val="259"/>
        <w:spacing w:before="0" w:after="0" w:line="420" w:lineRule="auto"/>
        <w:ind w:left="420" w:firstLine="482"/>
        <w:rPr>
          <w:rFonts w:ascii="宋体" w:hAnsi="宋体"/>
          <w:szCs w:val="21"/>
        </w:rPr>
      </w:pPr>
      <w:r>
        <w:rPr>
          <w:rFonts w:hint="eastAsia" w:ascii="宋体" w:hAnsi="宋体"/>
          <w:szCs w:val="21"/>
        </w:rPr>
        <w:t>地          址：</w:t>
      </w:r>
    </w:p>
    <w:p>
      <w:pPr>
        <w:pStyle w:val="259"/>
        <w:spacing w:before="0" w:after="0" w:line="420" w:lineRule="auto"/>
        <w:ind w:left="420" w:firstLine="482"/>
        <w:rPr>
          <w:rFonts w:ascii="宋体" w:hAnsi="宋体"/>
          <w:szCs w:val="21"/>
        </w:rPr>
      </w:pPr>
      <w:r>
        <w:rPr>
          <w:rFonts w:hint="eastAsia" w:ascii="宋体" w:hAnsi="宋体"/>
          <w:szCs w:val="21"/>
        </w:rPr>
        <w:t>邮          编：</w:t>
      </w:r>
    </w:p>
    <w:p>
      <w:pPr>
        <w:pStyle w:val="259"/>
        <w:spacing w:before="0" w:after="0" w:line="420" w:lineRule="auto"/>
        <w:ind w:left="420" w:firstLine="482"/>
        <w:rPr>
          <w:rFonts w:ascii="宋体" w:hAnsi="宋体"/>
          <w:szCs w:val="21"/>
        </w:rPr>
      </w:pPr>
      <w:r>
        <w:rPr>
          <w:rFonts w:hint="eastAsia" w:ascii="宋体" w:hAnsi="宋体"/>
          <w:szCs w:val="21"/>
        </w:rPr>
        <w:t>电          话：</w:t>
      </w:r>
    </w:p>
    <w:p>
      <w:pPr>
        <w:pStyle w:val="259"/>
        <w:spacing w:before="0" w:after="0" w:line="420" w:lineRule="auto"/>
        <w:ind w:left="420" w:firstLine="482"/>
        <w:rPr>
          <w:rFonts w:ascii="宋体" w:hAnsi="宋体"/>
          <w:szCs w:val="21"/>
        </w:rPr>
      </w:pPr>
      <w:r>
        <w:rPr>
          <w:rFonts w:hint="eastAsia" w:ascii="宋体" w:hAnsi="宋体"/>
          <w:szCs w:val="21"/>
        </w:rPr>
        <w:t>传          真：</w:t>
      </w:r>
    </w:p>
    <w:p>
      <w:pPr>
        <w:pStyle w:val="259"/>
        <w:spacing w:before="0" w:after="0" w:line="420" w:lineRule="auto"/>
        <w:ind w:left="420" w:firstLine="482"/>
        <w:rPr>
          <w:rFonts w:ascii="宋体" w:hAnsi="宋体"/>
          <w:szCs w:val="21"/>
        </w:rPr>
      </w:pPr>
      <w:r>
        <w:rPr>
          <w:rFonts w:hint="eastAsia" w:ascii="宋体" w:hAnsi="宋体"/>
          <w:szCs w:val="21"/>
        </w:rPr>
        <w:t>投标人开户行：</w:t>
      </w:r>
    </w:p>
    <w:p>
      <w:pPr>
        <w:pStyle w:val="259"/>
        <w:spacing w:before="0" w:after="0" w:line="420" w:lineRule="auto"/>
        <w:ind w:left="420" w:firstLine="482"/>
        <w:rPr>
          <w:rFonts w:ascii="宋体" w:hAnsi="宋体"/>
          <w:szCs w:val="21"/>
        </w:rPr>
      </w:pPr>
      <w:r>
        <w:rPr>
          <w:rFonts w:hint="eastAsia" w:ascii="宋体" w:hAnsi="宋体"/>
          <w:szCs w:val="21"/>
        </w:rPr>
        <w:t xml:space="preserve">账          户： </w:t>
      </w:r>
    </w:p>
    <w:p>
      <w:pPr>
        <w:pStyle w:val="259"/>
        <w:spacing w:before="0" w:after="0" w:line="420" w:lineRule="auto"/>
        <w:ind w:left="420" w:firstLine="482"/>
        <w:rPr>
          <w:rFonts w:ascii="宋体" w:hAnsi="宋体"/>
          <w:szCs w:val="21"/>
        </w:rPr>
      </w:pPr>
      <w:r>
        <w:rPr>
          <w:rFonts w:hint="eastAsia" w:ascii="宋体" w:hAnsi="宋体"/>
          <w:szCs w:val="21"/>
        </w:rPr>
        <w:t>投标人授权代表姓名（签字）：</w:t>
      </w:r>
    </w:p>
    <w:p>
      <w:pPr>
        <w:pStyle w:val="259"/>
        <w:spacing w:before="0" w:after="0" w:line="420" w:lineRule="auto"/>
        <w:ind w:left="420" w:firstLine="482"/>
        <w:rPr>
          <w:rFonts w:ascii="宋体" w:hAnsi="宋体"/>
          <w:szCs w:val="21"/>
        </w:rPr>
      </w:pPr>
      <w:r>
        <w:rPr>
          <w:rFonts w:hint="eastAsia" w:ascii="宋体" w:hAnsi="宋体"/>
          <w:szCs w:val="21"/>
        </w:rPr>
        <w:t>投标人授权代表电话（手机号码）：</w:t>
      </w:r>
    </w:p>
    <w:p>
      <w:pPr>
        <w:pStyle w:val="259"/>
        <w:spacing w:before="0" w:after="0" w:line="420" w:lineRule="auto"/>
        <w:ind w:left="420" w:firstLine="482"/>
        <w:rPr>
          <w:rFonts w:ascii="宋体" w:hAnsi="宋体"/>
          <w:szCs w:val="21"/>
        </w:rPr>
      </w:pPr>
      <w:r>
        <w:rPr>
          <w:rFonts w:hint="eastAsia" w:ascii="宋体" w:hAnsi="宋体"/>
          <w:szCs w:val="21"/>
        </w:rPr>
        <w:t xml:space="preserve">投标人名称（公章）： </w:t>
      </w:r>
    </w:p>
    <w:p>
      <w:pPr>
        <w:pStyle w:val="259"/>
        <w:spacing w:before="0" w:after="0" w:line="420" w:lineRule="auto"/>
        <w:ind w:left="420" w:firstLine="482"/>
        <w:rPr>
          <w:rFonts w:ascii="宋体" w:hAnsi="宋体"/>
          <w:szCs w:val="21"/>
        </w:rPr>
      </w:pPr>
      <w:r>
        <w:rPr>
          <w:rFonts w:hint="eastAsia" w:ascii="宋体" w:hAnsi="宋体"/>
          <w:szCs w:val="21"/>
        </w:rPr>
        <w:t>日           期：________年____月____日</w:t>
      </w:r>
    </w:p>
    <w:p>
      <w:pPr>
        <w:pStyle w:val="219"/>
        <w:spacing w:line="420" w:lineRule="auto"/>
        <w:ind w:left="1470" w:right="1470" w:firstLine="482"/>
        <w:rPr>
          <w:rFonts w:hint="default"/>
        </w:rPr>
      </w:pPr>
    </w:p>
    <w:p>
      <w:pPr>
        <w:pStyle w:val="219"/>
        <w:spacing w:line="420" w:lineRule="auto"/>
        <w:ind w:left="1470" w:right="1470" w:firstLine="883"/>
        <w:rPr>
          <w:rFonts w:hint="default" w:ascii="黑体" w:eastAsia="黑体"/>
          <w:sz w:val="44"/>
        </w:rPr>
      </w:pPr>
    </w:p>
    <w:p>
      <w:pPr>
        <w:pStyle w:val="219"/>
        <w:spacing w:line="420" w:lineRule="auto"/>
        <w:ind w:left="1470" w:right="1470" w:firstLine="883"/>
        <w:rPr>
          <w:rFonts w:hint="default" w:ascii="黑体" w:eastAsia="黑体"/>
          <w:sz w:val="44"/>
        </w:rPr>
      </w:pPr>
    </w:p>
    <w:p>
      <w:pPr>
        <w:spacing w:line="420" w:lineRule="auto"/>
        <w:ind w:firstLine="640"/>
        <w:jc w:val="center"/>
        <w:rPr>
          <w:rFonts w:ascii="宋体" w:hAnsi="宋体"/>
          <w:b/>
          <w:sz w:val="32"/>
          <w:szCs w:val="32"/>
        </w:rPr>
      </w:pPr>
    </w:p>
    <w:p>
      <w:pPr>
        <w:pStyle w:val="219"/>
        <w:spacing w:line="420" w:lineRule="auto"/>
        <w:ind w:left="1470" w:right="1470" w:firstLine="640"/>
        <w:rPr>
          <w:rFonts w:hint="default" w:ascii="宋体" w:hAnsi="宋体"/>
          <w:b/>
          <w:sz w:val="32"/>
          <w:szCs w:val="32"/>
        </w:rPr>
      </w:pPr>
    </w:p>
    <w:p>
      <w:pPr>
        <w:pStyle w:val="219"/>
        <w:spacing w:line="420" w:lineRule="auto"/>
        <w:ind w:left="1470" w:right="1470" w:firstLine="640"/>
        <w:rPr>
          <w:rFonts w:hint="default" w:ascii="宋体" w:hAnsi="宋体"/>
          <w:b/>
          <w:sz w:val="32"/>
          <w:szCs w:val="32"/>
        </w:rPr>
      </w:pPr>
    </w:p>
    <w:p>
      <w:pPr>
        <w:spacing w:before="50" w:after="145" w:line="420" w:lineRule="auto"/>
        <w:ind w:firstLine="643"/>
        <w:jc w:val="left"/>
        <w:rPr>
          <w:rFonts w:ascii="宋体" w:cs="宋体"/>
          <w:sz w:val="32"/>
          <w:szCs w:val="32"/>
        </w:rPr>
      </w:pPr>
    </w:p>
    <w:p>
      <w:pPr>
        <w:spacing w:before="50" w:after="145" w:line="420" w:lineRule="auto"/>
        <w:ind w:firstLine="643"/>
        <w:jc w:val="left"/>
        <w:rPr>
          <w:rFonts w:ascii="宋体" w:cs="宋体"/>
          <w:sz w:val="32"/>
          <w:szCs w:val="32"/>
        </w:rPr>
      </w:pPr>
    </w:p>
    <w:p>
      <w:pPr>
        <w:spacing w:before="50" w:after="145" w:line="420" w:lineRule="auto"/>
        <w:ind w:firstLine="643"/>
        <w:jc w:val="center"/>
        <w:rPr>
          <w:rFonts w:ascii="宋体" w:cs="宋体"/>
          <w:sz w:val="32"/>
          <w:szCs w:val="32"/>
        </w:rPr>
        <w:sectPr>
          <w:pgSz w:w="11906" w:h="16838"/>
          <w:pgMar w:top="1418" w:right="1588" w:bottom="1418" w:left="1365" w:header="851" w:footer="907" w:gutter="0"/>
          <w:cols w:space="1701" w:num="1"/>
          <w:titlePg/>
          <w:docGrid w:linePitch="360" w:charSpace="0"/>
        </w:sectPr>
      </w:pPr>
    </w:p>
    <w:p>
      <w:pPr>
        <w:spacing w:before="50" w:after="145" w:line="420" w:lineRule="auto"/>
        <w:ind w:firstLine="643"/>
        <w:jc w:val="center"/>
        <w:rPr>
          <w:rFonts w:ascii="宋体" w:cs="宋体"/>
          <w:sz w:val="32"/>
          <w:szCs w:val="32"/>
        </w:rPr>
      </w:pPr>
      <w:r>
        <w:rPr>
          <w:rFonts w:hint="eastAsia" w:ascii="宋体" w:cs="宋体"/>
          <w:sz w:val="32"/>
          <w:szCs w:val="32"/>
        </w:rPr>
        <w:t>开标一览表</w:t>
      </w:r>
    </w:p>
    <w:p>
      <w:pPr>
        <w:spacing w:line="420" w:lineRule="auto"/>
        <w:ind w:firstLine="482"/>
        <w:rPr>
          <w:rFonts w:ascii="宋体" w:hAnsi="宋体" w:cs="宋体"/>
          <w:sz w:val="24"/>
          <w:szCs w:val="24"/>
        </w:rPr>
      </w:pPr>
      <w:r>
        <w:rPr>
          <w:rFonts w:hint="eastAsia" w:ascii="宋体" w:hAnsi="宋体" w:cs="宋体"/>
          <w:sz w:val="24"/>
          <w:szCs w:val="24"/>
        </w:rPr>
        <w:t>投标人全称（加盖公章）：</w:t>
      </w:r>
    </w:p>
    <w:p>
      <w:pPr>
        <w:pStyle w:val="197"/>
        <w:spacing w:before="0" w:after="0" w:line="420" w:lineRule="auto"/>
        <w:ind w:firstLine="480"/>
        <w:jc w:val="both"/>
        <w:rPr>
          <w:rFonts w:ascii="宋体" w:hAnsi="宋体" w:eastAsia="宋体" w:cs="宋体"/>
          <w:b w:val="0"/>
          <w:bCs w:val="0"/>
          <w:sz w:val="24"/>
          <w:szCs w:val="24"/>
        </w:rPr>
      </w:pPr>
      <w:r>
        <w:rPr>
          <w:rFonts w:hint="eastAsia" w:ascii="宋体" w:hAnsi="宋体" w:eastAsia="宋体" w:cs="宋体"/>
          <w:b w:val="0"/>
          <w:bCs w:val="0"/>
          <w:sz w:val="24"/>
          <w:szCs w:val="24"/>
        </w:rPr>
        <w:t>项目名称：</w:t>
      </w:r>
    </w:p>
    <w:p>
      <w:pPr>
        <w:spacing w:line="420" w:lineRule="auto"/>
        <w:ind w:firstLine="482"/>
        <w:rPr>
          <w:rFonts w:ascii="宋体" w:hAnsi="宋体" w:cs="宋体"/>
          <w:sz w:val="24"/>
          <w:szCs w:val="24"/>
        </w:rPr>
      </w:pPr>
      <w:r>
        <w:rPr>
          <w:rFonts w:hint="eastAsia" w:ascii="宋体" w:hAnsi="宋体" w:cs="宋体"/>
          <w:sz w:val="24"/>
          <w:szCs w:val="24"/>
        </w:rPr>
        <w:t>项目编号：</w:t>
      </w:r>
    </w:p>
    <w:p>
      <w:pPr>
        <w:pStyle w:val="197"/>
        <w:spacing w:before="0" w:after="0" w:line="420" w:lineRule="auto"/>
        <w:ind w:firstLine="480"/>
        <w:jc w:val="both"/>
        <w:rPr>
          <w:rFonts w:ascii="宋体" w:hAnsi="宋体" w:eastAsia="宋体" w:cs="宋体"/>
          <w:b w:val="0"/>
          <w:bCs w:val="0"/>
          <w:sz w:val="24"/>
          <w:szCs w:val="24"/>
        </w:rPr>
      </w:pPr>
      <w:r>
        <w:rPr>
          <w:rFonts w:hint="eastAsia" w:ascii="宋体" w:hAnsi="宋体" w:eastAsia="宋体" w:cs="宋体"/>
          <w:b w:val="0"/>
          <w:bCs w:val="0"/>
          <w:sz w:val="24"/>
          <w:szCs w:val="24"/>
        </w:rPr>
        <w:t>分包号：</w:t>
      </w:r>
    </w:p>
    <w:tbl>
      <w:tblPr>
        <w:tblStyle w:val="39"/>
        <w:tblW w:w="10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74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jc w:val="center"/>
        </w:trPr>
        <w:tc>
          <w:tcPr>
            <w:tcW w:w="2700" w:type="dxa"/>
            <w:noWrap/>
            <w:vAlign w:val="center"/>
          </w:tcPr>
          <w:p>
            <w:pPr>
              <w:spacing w:line="420" w:lineRule="auto"/>
              <w:ind w:firstLine="482"/>
              <w:rPr>
                <w:rFonts w:ascii="宋体" w:cs="宋体"/>
                <w:sz w:val="24"/>
                <w:szCs w:val="24"/>
              </w:rPr>
            </w:pPr>
            <w:r>
              <w:rPr>
                <w:rFonts w:hint="eastAsia" w:ascii="宋体" w:cs="宋体"/>
                <w:sz w:val="24"/>
                <w:szCs w:val="24"/>
              </w:rPr>
              <w:t>投标货物名称</w:t>
            </w:r>
          </w:p>
        </w:tc>
        <w:tc>
          <w:tcPr>
            <w:tcW w:w="7445" w:type="dxa"/>
            <w:noWrap/>
            <w:vAlign w:val="center"/>
          </w:tcPr>
          <w:p>
            <w:pPr>
              <w:pStyle w:val="197"/>
              <w:spacing w:line="420" w:lineRule="auto"/>
              <w:jc w:val="both"/>
              <w:rPr>
                <w:rFonts w:ascii="宋体" w:eastAsia="宋体" w:cs="宋体"/>
                <w:b w:val="0"/>
                <w:bCs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0" w:hRule="atLeast"/>
          <w:jc w:val="center"/>
        </w:trPr>
        <w:tc>
          <w:tcPr>
            <w:tcW w:w="2700" w:type="dxa"/>
            <w:noWrap/>
            <w:vAlign w:val="center"/>
          </w:tcPr>
          <w:p>
            <w:pPr>
              <w:spacing w:line="420" w:lineRule="auto"/>
              <w:ind w:firstLine="482"/>
              <w:rPr>
                <w:rFonts w:ascii="宋体" w:cs="宋体"/>
                <w:sz w:val="24"/>
                <w:szCs w:val="24"/>
              </w:rPr>
            </w:pPr>
          </w:p>
        </w:tc>
        <w:tc>
          <w:tcPr>
            <w:tcW w:w="7445" w:type="dxa"/>
            <w:noWrap/>
            <w:vAlign w:val="center"/>
          </w:tcPr>
          <w:p>
            <w:pPr>
              <w:pStyle w:val="197"/>
              <w:spacing w:line="420" w:lineRule="auto"/>
              <w:ind w:firstLine="480"/>
              <w:jc w:val="both"/>
              <w:rPr>
                <w:rFonts w:ascii="宋体" w:hAnsi="Times New Roman" w:eastAsia="宋体" w:cs="宋体"/>
                <w:b w:val="0"/>
                <w:bCs w:val="0"/>
                <w:sz w:val="24"/>
                <w:szCs w:val="24"/>
              </w:rPr>
            </w:pPr>
            <w:r>
              <w:rPr>
                <w:rFonts w:hint="eastAsia" w:ascii="宋体" w:hAnsi="Times New Roman" w:eastAsia="宋体" w:cs="宋体"/>
                <w:b w:val="0"/>
                <w:bCs w:val="0"/>
                <w:sz w:val="24"/>
                <w:szCs w:val="24"/>
              </w:rPr>
              <w:t>小写：</w:t>
            </w:r>
          </w:p>
          <w:p>
            <w:pPr>
              <w:spacing w:line="420" w:lineRule="auto"/>
              <w:ind w:firstLine="482"/>
              <w:rPr>
                <w:rFonts w:ascii="宋体" w:cs="宋体"/>
                <w:sz w:val="24"/>
                <w:szCs w:val="24"/>
              </w:rPr>
            </w:pPr>
            <w:r>
              <w:rPr>
                <w:rFonts w:hint="eastAsia" w:ascii="宋体" w:cs="宋体"/>
                <w:sz w:val="24"/>
                <w:szCs w:val="24"/>
              </w:rPr>
              <w:t>大写：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0" w:hRule="atLeast"/>
          <w:jc w:val="center"/>
        </w:trPr>
        <w:tc>
          <w:tcPr>
            <w:tcW w:w="2700" w:type="dxa"/>
            <w:noWrap/>
            <w:vAlign w:val="center"/>
          </w:tcPr>
          <w:p>
            <w:pPr>
              <w:spacing w:line="420" w:lineRule="auto"/>
              <w:rPr>
                <w:rFonts w:ascii="宋体" w:cs="宋体"/>
                <w:sz w:val="24"/>
                <w:szCs w:val="24"/>
              </w:rPr>
            </w:pPr>
            <w:r>
              <w:rPr>
                <w:rFonts w:hint="eastAsia" w:ascii="宋体" w:cs="宋体"/>
                <w:sz w:val="24"/>
                <w:szCs w:val="24"/>
              </w:rPr>
              <w:t>主要货物制造商与产地</w:t>
            </w:r>
          </w:p>
        </w:tc>
        <w:tc>
          <w:tcPr>
            <w:tcW w:w="7445" w:type="dxa"/>
            <w:noWrap/>
            <w:vAlign w:val="center"/>
          </w:tcPr>
          <w:p>
            <w:pPr>
              <w:spacing w:line="420" w:lineRule="auto"/>
              <w:ind w:firstLine="482"/>
              <w:rPr>
                <w:rFonts w:ascii="宋体" w:cs="宋体"/>
                <w:sz w:val="24"/>
                <w:szCs w:val="24"/>
              </w:rPr>
            </w:pPr>
          </w:p>
        </w:tc>
      </w:tr>
    </w:tbl>
    <w:p>
      <w:pPr>
        <w:spacing w:line="420" w:lineRule="auto"/>
        <w:ind w:firstLine="482"/>
        <w:rPr>
          <w:rFonts w:ascii="宋体" w:cs="宋体"/>
          <w:sz w:val="24"/>
        </w:rPr>
      </w:pPr>
      <w:r>
        <w:rPr>
          <w:rFonts w:hint="eastAsia" w:ascii="宋体" w:cs="宋体"/>
          <w:sz w:val="24"/>
        </w:rPr>
        <w:t xml:space="preserve">                                              日期：    年   月   日</w:t>
      </w:r>
    </w:p>
    <w:p>
      <w:pPr>
        <w:spacing w:line="420" w:lineRule="auto"/>
        <w:ind w:firstLine="482"/>
        <w:rPr>
          <w:rFonts w:ascii="宋体" w:cs="宋体"/>
          <w:sz w:val="24"/>
        </w:rPr>
      </w:pPr>
    </w:p>
    <w:p>
      <w:pPr>
        <w:rPr>
          <w:rFonts w:ascii="宋体" w:cs="宋体"/>
          <w:sz w:val="24"/>
        </w:rPr>
      </w:pPr>
      <w:r>
        <w:rPr>
          <w:rFonts w:hint="eastAsia" w:ascii="宋体" w:cs="宋体"/>
          <w:sz w:val="24"/>
        </w:rPr>
        <w:t>填写说明：</w:t>
      </w:r>
    </w:p>
    <w:p>
      <w:pPr>
        <w:numPr>
          <w:ilvl w:val="0"/>
          <w:numId w:val="8"/>
        </w:numPr>
        <w:rPr>
          <w:rFonts w:ascii="宋体" w:cs="宋体"/>
          <w:b/>
          <w:bCs/>
          <w:color w:val="FF0000"/>
          <w:sz w:val="24"/>
        </w:rPr>
      </w:pPr>
      <w:r>
        <w:rPr>
          <w:rFonts w:hint="eastAsia" w:ascii="宋体" w:cs="宋体"/>
          <w:b/>
          <w:bCs/>
          <w:color w:val="FF0000"/>
          <w:sz w:val="24"/>
        </w:rPr>
        <w:t>如有分包，投标人投任何一个包的标的，都需单独填写开标一览表。</w:t>
      </w:r>
    </w:p>
    <w:p>
      <w:pPr>
        <w:jc w:val="center"/>
        <w:rPr>
          <w:rFonts w:hint="eastAsia" w:ascii="宋体" w:cs="宋体"/>
          <w:b/>
          <w:bCs/>
          <w:color w:val="auto"/>
          <w:sz w:val="24"/>
        </w:rPr>
      </w:pPr>
      <w:r>
        <w:rPr>
          <w:rFonts w:ascii="宋体" w:hAnsi="宋体"/>
        </w:rPr>
        <w:br w:type="page" w:clear="all"/>
      </w:r>
      <w:r>
        <w:rPr>
          <w:rFonts w:hint="eastAsia" w:ascii="宋体" w:cs="宋体"/>
          <w:b/>
          <w:bCs/>
          <w:color w:val="auto"/>
          <w:sz w:val="24"/>
        </w:rPr>
        <w:t>投标报价明细表</w:t>
      </w:r>
    </w:p>
    <w:p>
      <w:pPr>
        <w:pStyle w:val="2"/>
      </w:pPr>
    </w:p>
    <w:tbl>
      <w:tblPr>
        <w:tblStyle w:val="39"/>
        <w:tblW w:w="50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3"/>
        <w:gridCol w:w="2293"/>
        <w:gridCol w:w="2468"/>
        <w:gridCol w:w="2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pct"/>
            <w:noWrap w:val="0"/>
            <w:vAlign w:val="center"/>
          </w:tcPr>
          <w:p>
            <w:pPr>
              <w:jc w:val="center"/>
              <w:rPr>
                <w:rFonts w:ascii="宋体" w:cs="宋体"/>
                <w:b/>
                <w:bCs/>
                <w:color w:val="auto"/>
                <w:sz w:val="24"/>
              </w:rPr>
            </w:pPr>
            <w:r>
              <w:rPr>
                <w:rFonts w:hint="eastAsia" w:ascii="宋体" w:cs="宋体"/>
                <w:b/>
                <w:bCs/>
                <w:color w:val="auto"/>
                <w:sz w:val="24"/>
              </w:rPr>
              <w:t>所投标段</w:t>
            </w:r>
          </w:p>
        </w:tc>
        <w:tc>
          <w:tcPr>
            <w:tcW w:w="1230" w:type="pct"/>
            <w:noWrap w:val="0"/>
            <w:vAlign w:val="center"/>
          </w:tcPr>
          <w:p>
            <w:pPr>
              <w:rPr>
                <w:rFonts w:ascii="宋体" w:cs="宋体"/>
                <w:b/>
                <w:bCs/>
                <w:color w:val="auto"/>
                <w:sz w:val="24"/>
              </w:rPr>
            </w:pPr>
            <w:r>
              <w:rPr>
                <w:rFonts w:hint="eastAsia" w:ascii="宋体" w:cs="宋体"/>
                <w:b/>
                <w:bCs/>
                <w:color w:val="auto"/>
                <w:sz w:val="24"/>
              </w:rPr>
              <w:t>最高限价（万元）</w:t>
            </w:r>
          </w:p>
        </w:tc>
        <w:tc>
          <w:tcPr>
            <w:tcW w:w="1324" w:type="pct"/>
            <w:noWrap w:val="0"/>
            <w:vAlign w:val="center"/>
          </w:tcPr>
          <w:p>
            <w:pPr>
              <w:rPr>
                <w:rFonts w:hint="eastAsia" w:ascii="宋体" w:cs="宋体"/>
                <w:b/>
                <w:bCs/>
                <w:color w:val="auto"/>
                <w:sz w:val="24"/>
              </w:rPr>
            </w:pPr>
            <w:r>
              <w:rPr>
                <w:rFonts w:hint="eastAsia" w:ascii="宋体" w:cs="宋体"/>
                <w:b/>
                <w:bCs/>
                <w:color w:val="auto"/>
                <w:sz w:val="24"/>
              </w:rPr>
              <w:t>投标报价（折扣率）</w:t>
            </w:r>
          </w:p>
        </w:tc>
        <w:tc>
          <w:tcPr>
            <w:tcW w:w="1216" w:type="pct"/>
            <w:noWrap w:val="0"/>
            <w:vAlign w:val="center"/>
          </w:tcPr>
          <w:p>
            <w:pPr>
              <w:rPr>
                <w:rFonts w:ascii="宋体" w:cs="宋体"/>
                <w:b/>
                <w:bCs/>
                <w:color w:val="auto"/>
                <w:sz w:val="24"/>
              </w:rPr>
            </w:pPr>
            <w:r>
              <w:rPr>
                <w:rFonts w:hint="eastAsia" w:ascii="宋体" w:cs="宋体"/>
                <w:b/>
                <w:bCs/>
                <w:color w:val="auto"/>
                <w:sz w:val="24"/>
              </w:rPr>
              <w:t>投标总价（万元）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pct"/>
            <w:noWrap w:val="0"/>
            <w:vAlign w:val="center"/>
          </w:tcPr>
          <w:p>
            <w:pPr>
              <w:jc w:val="center"/>
              <w:rPr>
                <w:rFonts w:ascii="宋体" w:cs="宋体"/>
                <w:b/>
                <w:bCs/>
                <w:color w:val="auto"/>
                <w:sz w:val="24"/>
              </w:rPr>
            </w:pPr>
          </w:p>
        </w:tc>
        <w:tc>
          <w:tcPr>
            <w:tcW w:w="1230" w:type="pct"/>
            <w:noWrap w:val="0"/>
            <w:vAlign w:val="center"/>
          </w:tcPr>
          <w:p>
            <w:pPr>
              <w:jc w:val="center"/>
              <w:rPr>
                <w:rFonts w:ascii="宋体" w:cs="宋体"/>
                <w:b/>
                <w:bCs/>
                <w:color w:val="auto"/>
                <w:sz w:val="24"/>
              </w:rPr>
            </w:pPr>
          </w:p>
        </w:tc>
        <w:tc>
          <w:tcPr>
            <w:tcW w:w="1324" w:type="pct"/>
            <w:noWrap w:val="0"/>
            <w:vAlign w:val="center"/>
          </w:tcPr>
          <w:p>
            <w:pPr>
              <w:jc w:val="center"/>
              <w:rPr>
                <w:rFonts w:ascii="宋体" w:cs="宋体"/>
                <w:b/>
                <w:bCs/>
                <w:color w:val="auto"/>
                <w:sz w:val="24"/>
              </w:rPr>
            </w:pPr>
          </w:p>
        </w:tc>
        <w:tc>
          <w:tcPr>
            <w:tcW w:w="1216" w:type="pct"/>
            <w:noWrap w:val="0"/>
            <w:vAlign w:val="center"/>
          </w:tcPr>
          <w:p>
            <w:pPr>
              <w:jc w:val="center"/>
              <w:rPr>
                <w:rFonts w:asci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pct"/>
            <w:noWrap w:val="0"/>
            <w:vAlign w:val="center"/>
          </w:tcPr>
          <w:p>
            <w:pPr>
              <w:jc w:val="center"/>
              <w:rPr>
                <w:rFonts w:ascii="宋体" w:cs="宋体"/>
                <w:b/>
                <w:bCs/>
                <w:color w:val="auto"/>
                <w:sz w:val="24"/>
              </w:rPr>
            </w:pPr>
          </w:p>
        </w:tc>
        <w:tc>
          <w:tcPr>
            <w:tcW w:w="1230" w:type="pct"/>
            <w:noWrap w:val="0"/>
            <w:vAlign w:val="center"/>
          </w:tcPr>
          <w:p>
            <w:pPr>
              <w:jc w:val="center"/>
              <w:rPr>
                <w:rFonts w:ascii="宋体" w:cs="宋体"/>
                <w:b/>
                <w:bCs/>
                <w:color w:val="auto"/>
                <w:sz w:val="24"/>
              </w:rPr>
            </w:pPr>
          </w:p>
        </w:tc>
        <w:tc>
          <w:tcPr>
            <w:tcW w:w="1324" w:type="pct"/>
            <w:noWrap w:val="0"/>
            <w:vAlign w:val="center"/>
          </w:tcPr>
          <w:p>
            <w:pPr>
              <w:jc w:val="center"/>
              <w:rPr>
                <w:rFonts w:ascii="宋体" w:cs="宋体"/>
                <w:b/>
                <w:bCs/>
                <w:color w:val="auto"/>
                <w:sz w:val="24"/>
              </w:rPr>
            </w:pPr>
          </w:p>
        </w:tc>
        <w:tc>
          <w:tcPr>
            <w:tcW w:w="1216" w:type="pct"/>
            <w:noWrap w:val="0"/>
            <w:vAlign w:val="center"/>
          </w:tcPr>
          <w:p>
            <w:pPr>
              <w:jc w:val="center"/>
              <w:rPr>
                <w:rFonts w:asci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pct"/>
            <w:noWrap w:val="0"/>
            <w:vAlign w:val="center"/>
          </w:tcPr>
          <w:p>
            <w:pPr>
              <w:jc w:val="center"/>
              <w:rPr>
                <w:rFonts w:ascii="宋体" w:cs="宋体"/>
                <w:b/>
                <w:bCs/>
                <w:color w:val="auto"/>
                <w:sz w:val="24"/>
              </w:rPr>
            </w:pPr>
          </w:p>
        </w:tc>
        <w:tc>
          <w:tcPr>
            <w:tcW w:w="1230" w:type="pct"/>
            <w:noWrap w:val="0"/>
            <w:vAlign w:val="center"/>
          </w:tcPr>
          <w:p>
            <w:pPr>
              <w:jc w:val="center"/>
              <w:rPr>
                <w:rFonts w:ascii="宋体" w:cs="宋体"/>
                <w:b/>
                <w:bCs/>
                <w:color w:val="auto"/>
                <w:sz w:val="24"/>
              </w:rPr>
            </w:pPr>
          </w:p>
        </w:tc>
        <w:tc>
          <w:tcPr>
            <w:tcW w:w="1324" w:type="pct"/>
            <w:noWrap w:val="0"/>
            <w:vAlign w:val="center"/>
          </w:tcPr>
          <w:p>
            <w:pPr>
              <w:jc w:val="center"/>
              <w:rPr>
                <w:rFonts w:ascii="宋体" w:cs="宋体"/>
                <w:b/>
                <w:bCs/>
                <w:color w:val="auto"/>
                <w:sz w:val="24"/>
              </w:rPr>
            </w:pPr>
          </w:p>
        </w:tc>
        <w:tc>
          <w:tcPr>
            <w:tcW w:w="1216" w:type="pct"/>
            <w:noWrap w:val="0"/>
            <w:vAlign w:val="center"/>
          </w:tcPr>
          <w:p>
            <w:pPr>
              <w:jc w:val="center"/>
              <w:rPr>
                <w:rFonts w:ascii="宋体" w:cs="宋体"/>
                <w:b/>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pct"/>
            <w:noWrap w:val="0"/>
            <w:vAlign w:val="center"/>
          </w:tcPr>
          <w:p>
            <w:pPr>
              <w:jc w:val="center"/>
              <w:rPr>
                <w:rFonts w:hint="eastAsia" w:ascii="宋体" w:cs="宋体"/>
                <w:b/>
                <w:bCs/>
                <w:color w:val="auto"/>
                <w:sz w:val="24"/>
              </w:rPr>
            </w:pPr>
          </w:p>
        </w:tc>
        <w:tc>
          <w:tcPr>
            <w:tcW w:w="1230" w:type="pct"/>
            <w:noWrap w:val="0"/>
            <w:vAlign w:val="center"/>
          </w:tcPr>
          <w:p>
            <w:pPr>
              <w:jc w:val="center"/>
              <w:rPr>
                <w:rFonts w:ascii="宋体" w:cs="宋体"/>
                <w:b/>
                <w:bCs/>
                <w:color w:val="auto"/>
                <w:sz w:val="24"/>
              </w:rPr>
            </w:pPr>
          </w:p>
        </w:tc>
        <w:tc>
          <w:tcPr>
            <w:tcW w:w="1324" w:type="pct"/>
            <w:noWrap w:val="0"/>
            <w:vAlign w:val="center"/>
          </w:tcPr>
          <w:p>
            <w:pPr>
              <w:jc w:val="center"/>
              <w:rPr>
                <w:rFonts w:ascii="宋体" w:cs="宋体"/>
                <w:b/>
                <w:bCs/>
                <w:color w:val="auto"/>
                <w:sz w:val="24"/>
              </w:rPr>
            </w:pPr>
          </w:p>
        </w:tc>
        <w:tc>
          <w:tcPr>
            <w:tcW w:w="1216" w:type="pct"/>
            <w:noWrap w:val="0"/>
            <w:vAlign w:val="center"/>
          </w:tcPr>
          <w:p>
            <w:pPr>
              <w:jc w:val="center"/>
              <w:rPr>
                <w:rFonts w:ascii="宋体" w:cs="宋体"/>
                <w:b/>
                <w:bCs/>
                <w:color w:val="auto"/>
                <w:sz w:val="24"/>
              </w:rPr>
            </w:pPr>
          </w:p>
        </w:tc>
      </w:tr>
    </w:tbl>
    <w:p>
      <w:pPr>
        <w:rPr>
          <w:rFonts w:ascii="宋体" w:cs="宋体"/>
          <w:b/>
          <w:bCs/>
          <w:color w:val="auto"/>
          <w:sz w:val="24"/>
        </w:rPr>
      </w:pPr>
    </w:p>
    <w:p>
      <w:pPr>
        <w:rPr>
          <w:rFonts w:hint="eastAsia" w:ascii="宋体" w:cs="宋体"/>
          <w:b/>
          <w:bCs/>
          <w:color w:val="auto"/>
          <w:sz w:val="24"/>
        </w:rPr>
      </w:pPr>
      <w:r>
        <w:rPr>
          <w:rFonts w:hint="eastAsia" w:ascii="宋体" w:cs="宋体"/>
          <w:b/>
          <w:bCs/>
          <w:color w:val="auto"/>
          <w:sz w:val="24"/>
        </w:rPr>
        <w:t>注：1</w:t>
      </w:r>
      <w:r>
        <w:rPr>
          <w:rFonts w:ascii="宋体" w:cs="宋体"/>
          <w:b/>
          <w:bCs/>
          <w:color w:val="auto"/>
          <w:sz w:val="24"/>
        </w:rPr>
        <w:t>.</w:t>
      </w:r>
      <w:r>
        <w:rPr>
          <w:rFonts w:hint="eastAsia" w:ascii="宋体" w:cs="宋体"/>
          <w:b/>
          <w:bCs/>
          <w:color w:val="auto"/>
          <w:sz w:val="24"/>
        </w:rPr>
        <w:t>最高限价：</w:t>
      </w:r>
      <w:r>
        <w:rPr>
          <w:rFonts w:hint="eastAsia"/>
          <w:color w:val="auto"/>
        </w:rPr>
        <w:t xml:space="preserve"> </w:t>
      </w:r>
      <w:r>
        <w:rPr>
          <w:rFonts w:hint="eastAsia" w:ascii="宋体" w:cs="宋体"/>
          <w:b/>
          <w:bCs/>
          <w:color w:val="auto"/>
          <w:sz w:val="24"/>
        </w:rPr>
        <w:t>一标段</w:t>
      </w:r>
      <w:r>
        <w:rPr>
          <w:rFonts w:hint="eastAsia" w:ascii="宋体" w:cs="宋体"/>
          <w:b/>
          <w:bCs/>
          <w:color w:val="auto"/>
          <w:sz w:val="24"/>
          <w:lang w:val="en-US" w:eastAsia="zh-CN"/>
        </w:rPr>
        <w:t>71</w:t>
      </w:r>
      <w:r>
        <w:rPr>
          <w:rFonts w:hint="eastAsia" w:ascii="宋体" w:cs="宋体"/>
          <w:b/>
          <w:bCs/>
          <w:color w:val="auto"/>
          <w:sz w:val="24"/>
        </w:rPr>
        <w:t>万元、二标段7</w:t>
      </w:r>
      <w:r>
        <w:rPr>
          <w:rFonts w:hint="eastAsia" w:ascii="宋体" w:cs="宋体"/>
          <w:b/>
          <w:bCs/>
          <w:color w:val="auto"/>
          <w:sz w:val="24"/>
          <w:lang w:val="en-US" w:eastAsia="zh-CN"/>
        </w:rPr>
        <w:t>1</w:t>
      </w:r>
      <w:r>
        <w:rPr>
          <w:rFonts w:hint="eastAsia" w:ascii="宋体" w:cs="宋体"/>
          <w:b/>
          <w:bCs/>
          <w:color w:val="auto"/>
          <w:sz w:val="24"/>
        </w:rPr>
        <w:t>万元、三标段</w:t>
      </w:r>
      <w:r>
        <w:rPr>
          <w:rFonts w:hint="eastAsia" w:ascii="宋体" w:cs="宋体"/>
          <w:b/>
          <w:bCs/>
          <w:color w:val="auto"/>
          <w:sz w:val="24"/>
          <w:lang w:val="en-US" w:eastAsia="zh-CN"/>
        </w:rPr>
        <w:t>63</w:t>
      </w:r>
      <w:r>
        <w:rPr>
          <w:rFonts w:hint="eastAsia" w:ascii="宋体" w:cs="宋体"/>
          <w:b/>
          <w:bCs/>
          <w:color w:val="auto"/>
          <w:sz w:val="24"/>
        </w:rPr>
        <w:t>万元、四标段</w:t>
      </w:r>
      <w:r>
        <w:rPr>
          <w:rFonts w:hint="eastAsia" w:ascii="宋体" w:cs="宋体"/>
          <w:b/>
          <w:bCs/>
          <w:color w:val="auto"/>
          <w:sz w:val="24"/>
          <w:lang w:val="en-US" w:eastAsia="zh-CN"/>
        </w:rPr>
        <w:t>60</w:t>
      </w:r>
      <w:r>
        <w:rPr>
          <w:rFonts w:hint="eastAsia" w:ascii="宋体" w:cs="宋体"/>
          <w:b/>
          <w:bCs/>
          <w:color w:val="auto"/>
          <w:sz w:val="24"/>
        </w:rPr>
        <w:t>万元；</w:t>
      </w:r>
    </w:p>
    <w:p>
      <w:pPr>
        <w:rPr>
          <w:rFonts w:hint="eastAsia" w:ascii="宋体" w:cs="宋体"/>
          <w:b/>
          <w:bCs/>
          <w:color w:val="auto"/>
          <w:sz w:val="24"/>
        </w:rPr>
      </w:pPr>
      <w:r>
        <w:rPr>
          <w:rFonts w:ascii="宋体" w:cs="宋体"/>
          <w:b/>
          <w:bCs/>
          <w:color w:val="auto"/>
          <w:sz w:val="24"/>
        </w:rPr>
        <w:t>2</w:t>
      </w:r>
      <w:r>
        <w:rPr>
          <w:rFonts w:hint="eastAsia" w:ascii="宋体" w:cs="宋体"/>
          <w:b/>
          <w:bCs/>
          <w:color w:val="auto"/>
          <w:sz w:val="24"/>
        </w:rPr>
        <w:t>.评标标准中的投标报价得分，按照总价报价（见上表）得分进行计算，不以折扣率计算报价得分。【投标人投标报价=每标段招标人限定的最高投标限价*投标人所报折扣率进行报价得分的评审】；每标段的投标报价并不作为最终结算依据，最终结算方式见下述第4条；</w:t>
      </w:r>
    </w:p>
    <w:p>
      <w:pPr>
        <w:rPr>
          <w:rFonts w:ascii="宋体" w:cs="宋体"/>
          <w:b/>
          <w:bCs/>
          <w:color w:val="auto"/>
          <w:sz w:val="24"/>
        </w:rPr>
      </w:pPr>
      <w:r>
        <w:rPr>
          <w:rFonts w:ascii="宋体" w:cs="宋体"/>
          <w:b/>
          <w:bCs/>
          <w:color w:val="auto"/>
          <w:sz w:val="24"/>
        </w:rPr>
        <w:t>3</w:t>
      </w:r>
      <w:r>
        <w:rPr>
          <w:rFonts w:hint="eastAsia" w:ascii="宋体" w:cs="宋体"/>
          <w:b/>
          <w:bCs/>
          <w:color w:val="auto"/>
          <w:sz w:val="24"/>
        </w:rPr>
        <w:t>.</w:t>
      </w:r>
      <w:r>
        <w:rPr>
          <w:rFonts w:ascii="宋体" w:cs="宋体"/>
          <w:b/>
          <w:bCs/>
          <w:color w:val="auto"/>
          <w:sz w:val="24"/>
        </w:rPr>
        <w:t>本项目采用招标限价统一折扣率，要求第一至第四标段折扣率一次报定。</w:t>
      </w:r>
      <w:r>
        <w:rPr>
          <w:rFonts w:hint="eastAsia" w:ascii="宋体" w:cs="宋体"/>
          <w:b/>
          <w:bCs/>
          <w:color w:val="auto"/>
          <w:sz w:val="24"/>
        </w:rPr>
        <w:t>【</w:t>
      </w:r>
      <w:r>
        <w:rPr>
          <w:rFonts w:ascii="宋体" w:cs="宋体"/>
          <w:b/>
          <w:bCs/>
          <w:color w:val="auto"/>
          <w:sz w:val="24"/>
        </w:rPr>
        <w:t>即将所有费用均摊销至各单价中，投标供应商按限价折扣率报价，所有品种单价</w:t>
      </w:r>
      <w:r>
        <w:rPr>
          <w:rFonts w:hint="eastAsia" w:ascii="宋体" w:cs="宋体"/>
          <w:b/>
          <w:bCs/>
          <w:color w:val="auto"/>
          <w:sz w:val="24"/>
        </w:rPr>
        <w:t>折扣率与所投标段</w:t>
      </w:r>
      <w:r>
        <w:rPr>
          <w:rFonts w:ascii="宋体" w:cs="宋体"/>
          <w:b/>
          <w:bCs/>
          <w:color w:val="auto"/>
          <w:sz w:val="24"/>
        </w:rPr>
        <w:t>采用同一折扣率，供应商自行考虑单价平衡。项目结算时，中标的折扣率一律不作调整。（如</w:t>
      </w:r>
      <w:r>
        <w:rPr>
          <w:rFonts w:hint="eastAsia" w:ascii="宋体" w:cs="宋体"/>
          <w:b/>
          <w:bCs/>
          <w:color w:val="auto"/>
          <w:sz w:val="24"/>
        </w:rPr>
        <w:t>检测项目表中某项检验项目</w:t>
      </w:r>
      <w:r>
        <w:rPr>
          <w:rFonts w:ascii="宋体" w:cs="宋体"/>
          <w:b/>
          <w:bCs/>
          <w:color w:val="auto"/>
          <w:sz w:val="24"/>
        </w:rPr>
        <w:t>限价</w:t>
      </w:r>
      <w:r>
        <w:rPr>
          <w:rFonts w:hint="eastAsia" w:ascii="宋体" w:cs="宋体"/>
          <w:b/>
          <w:bCs/>
          <w:color w:val="auto"/>
          <w:sz w:val="24"/>
        </w:rPr>
        <w:t>为</w:t>
      </w:r>
      <w:r>
        <w:rPr>
          <w:rFonts w:ascii="宋体" w:cs="宋体"/>
          <w:b/>
          <w:bCs/>
          <w:color w:val="auto"/>
          <w:sz w:val="24"/>
        </w:rPr>
        <w:t>100</w:t>
      </w:r>
      <w:r>
        <w:rPr>
          <w:rFonts w:hint="eastAsia" w:ascii="宋体" w:cs="宋体"/>
          <w:b/>
          <w:bCs/>
          <w:color w:val="auto"/>
          <w:sz w:val="24"/>
        </w:rPr>
        <w:t>元</w:t>
      </w:r>
      <w:r>
        <w:rPr>
          <w:rFonts w:ascii="宋体" w:cs="宋体"/>
          <w:b/>
          <w:bCs/>
          <w:color w:val="auto"/>
          <w:sz w:val="24"/>
        </w:rPr>
        <w:t>，报价折扣率60%</w:t>
      </w:r>
      <w:r>
        <w:rPr>
          <w:rFonts w:hint="eastAsia" w:ascii="宋体" w:cs="宋体"/>
          <w:b/>
          <w:bCs/>
          <w:color w:val="auto"/>
          <w:sz w:val="24"/>
        </w:rPr>
        <w:t>，该检验项目</w:t>
      </w:r>
      <w:r>
        <w:rPr>
          <w:rFonts w:ascii="宋体" w:cs="宋体"/>
          <w:b/>
          <w:bCs/>
          <w:color w:val="auto"/>
          <w:sz w:val="24"/>
        </w:rPr>
        <w:t>报价</w:t>
      </w:r>
      <w:r>
        <w:rPr>
          <w:rFonts w:hint="eastAsia" w:ascii="宋体" w:cs="宋体"/>
          <w:b/>
          <w:bCs/>
          <w:color w:val="auto"/>
          <w:sz w:val="24"/>
        </w:rPr>
        <w:t>则为</w:t>
      </w:r>
      <w:r>
        <w:rPr>
          <w:rFonts w:ascii="宋体" w:cs="宋体"/>
          <w:b/>
          <w:bCs/>
          <w:color w:val="auto"/>
          <w:sz w:val="24"/>
        </w:rPr>
        <w:t>60</w:t>
      </w:r>
      <w:r>
        <w:rPr>
          <w:rFonts w:hint="eastAsia" w:ascii="宋体" w:cs="宋体"/>
          <w:b/>
          <w:bCs/>
          <w:color w:val="auto"/>
          <w:sz w:val="24"/>
        </w:rPr>
        <w:t>元</w:t>
      </w:r>
      <w:r>
        <w:rPr>
          <w:rFonts w:ascii="宋体" w:cs="宋体"/>
          <w:b/>
          <w:bCs/>
          <w:color w:val="auto"/>
          <w:sz w:val="24"/>
        </w:rPr>
        <w:t>）</w:t>
      </w:r>
      <w:r>
        <w:rPr>
          <w:rFonts w:hint="eastAsia" w:ascii="宋体" w:cs="宋体"/>
          <w:b/>
          <w:bCs/>
          <w:color w:val="auto"/>
          <w:sz w:val="24"/>
        </w:rPr>
        <w:t>】；</w:t>
      </w:r>
    </w:p>
    <w:p>
      <w:pPr>
        <w:rPr>
          <w:rFonts w:hint="eastAsia" w:ascii="宋体" w:cs="宋体"/>
          <w:b/>
          <w:bCs/>
          <w:color w:val="auto"/>
          <w:sz w:val="24"/>
        </w:rPr>
      </w:pPr>
      <w:r>
        <w:rPr>
          <w:rFonts w:ascii="宋体" w:cs="宋体"/>
          <w:b/>
          <w:bCs/>
          <w:color w:val="auto"/>
          <w:sz w:val="24"/>
        </w:rPr>
        <w:t>4</w:t>
      </w:r>
      <w:r>
        <w:rPr>
          <w:rFonts w:hint="eastAsia" w:ascii="宋体" w:cs="宋体"/>
          <w:b/>
          <w:bCs/>
          <w:color w:val="auto"/>
          <w:sz w:val="24"/>
        </w:rPr>
        <w:t>.结算按参数结算，具体方式为：甲方和乙方双方确认的检验项目及数量×乙方的投标单价（乙方的投标单价是指中标人折扣率*招标人限定的检验项目最高限价【详见招标文件第3</w:t>
      </w:r>
      <w:r>
        <w:rPr>
          <w:rFonts w:hint="eastAsia" w:ascii="宋体" w:cs="宋体"/>
          <w:b/>
          <w:bCs/>
          <w:color w:val="auto"/>
          <w:sz w:val="24"/>
          <w:lang w:val="en-US" w:eastAsia="zh-CN"/>
        </w:rPr>
        <w:t>2</w:t>
      </w:r>
      <w:r>
        <w:rPr>
          <w:rFonts w:hint="eastAsia" w:ascii="宋体" w:cs="宋体"/>
          <w:b/>
          <w:bCs/>
          <w:color w:val="auto"/>
          <w:sz w:val="24"/>
        </w:rPr>
        <w:t>页检测内容及最高限价表】）；</w:t>
      </w:r>
    </w:p>
    <w:p>
      <w:pPr>
        <w:rPr>
          <w:rFonts w:hint="eastAsia" w:ascii="宋体" w:cs="宋体"/>
          <w:b/>
          <w:bCs/>
          <w:color w:val="auto"/>
          <w:sz w:val="24"/>
        </w:rPr>
      </w:pPr>
      <w:r>
        <w:rPr>
          <w:rFonts w:ascii="宋体" w:cs="宋体"/>
          <w:b/>
          <w:bCs/>
          <w:color w:val="auto"/>
          <w:sz w:val="24"/>
        </w:rPr>
        <w:t>5</w:t>
      </w:r>
      <w:r>
        <w:rPr>
          <w:rFonts w:hint="eastAsia" w:ascii="宋体" w:cs="宋体"/>
          <w:b/>
          <w:bCs/>
          <w:color w:val="auto"/>
          <w:sz w:val="24"/>
        </w:rPr>
        <w:t>.中标单位根据《国家食品安全监督抽检实施细则》(2023 年版)要求开展对食品安全抽检；</w:t>
      </w:r>
    </w:p>
    <w:p>
      <w:pPr>
        <w:rPr>
          <w:rFonts w:hint="eastAsia" w:ascii="宋体" w:cs="宋体"/>
          <w:b/>
          <w:bCs/>
          <w:color w:val="auto"/>
          <w:sz w:val="24"/>
        </w:rPr>
      </w:pPr>
      <w:r>
        <w:rPr>
          <w:rFonts w:ascii="宋体" w:cs="宋体"/>
          <w:b/>
          <w:bCs/>
          <w:color w:val="auto"/>
          <w:sz w:val="24"/>
        </w:rPr>
        <w:t>6</w:t>
      </w:r>
      <w:r>
        <w:rPr>
          <w:rFonts w:hint="eastAsia" w:ascii="宋体" w:cs="宋体"/>
          <w:b/>
          <w:bCs/>
          <w:color w:val="auto"/>
          <w:sz w:val="24"/>
        </w:rPr>
        <w:t>.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p>
    <w:p>
      <w:pPr>
        <w:pStyle w:val="198"/>
        <w:spacing w:line="420" w:lineRule="auto"/>
        <w:ind w:firstLine="643"/>
        <w:jc w:val="center"/>
        <w:rPr>
          <w:rFonts w:hint="eastAsia" w:ascii="宋体" w:hAnsi="宋体"/>
          <w:sz w:val="24"/>
          <w:szCs w:val="24"/>
        </w:rPr>
      </w:pPr>
    </w:p>
    <w:p>
      <w:pPr>
        <w:pStyle w:val="198"/>
        <w:spacing w:line="420" w:lineRule="auto"/>
        <w:ind w:firstLine="643"/>
        <w:jc w:val="center"/>
        <w:rPr>
          <w:rFonts w:hint="eastAsia" w:ascii="宋体" w:hAnsi="宋体"/>
          <w:sz w:val="24"/>
          <w:szCs w:val="24"/>
        </w:rPr>
      </w:pPr>
    </w:p>
    <w:p>
      <w:pPr>
        <w:pStyle w:val="198"/>
        <w:spacing w:line="420" w:lineRule="auto"/>
        <w:ind w:firstLine="643"/>
        <w:jc w:val="center"/>
        <w:rPr>
          <w:rFonts w:hint="eastAsia" w:ascii="宋体" w:hAnsi="宋体"/>
          <w:sz w:val="24"/>
          <w:szCs w:val="24"/>
        </w:rPr>
      </w:pPr>
    </w:p>
    <w:p>
      <w:pPr>
        <w:pStyle w:val="198"/>
        <w:spacing w:line="420" w:lineRule="auto"/>
        <w:ind w:firstLine="643"/>
        <w:jc w:val="center"/>
        <w:rPr>
          <w:rFonts w:hint="eastAsia" w:ascii="宋体" w:hAnsi="宋体"/>
          <w:sz w:val="24"/>
          <w:szCs w:val="24"/>
        </w:rPr>
      </w:pPr>
    </w:p>
    <w:p>
      <w:pPr>
        <w:pStyle w:val="198"/>
        <w:spacing w:line="420" w:lineRule="auto"/>
        <w:ind w:firstLine="643"/>
        <w:jc w:val="center"/>
        <w:rPr>
          <w:rFonts w:hint="eastAsia" w:ascii="宋体" w:hAnsi="宋体"/>
          <w:sz w:val="24"/>
          <w:szCs w:val="24"/>
        </w:rPr>
      </w:pPr>
    </w:p>
    <w:p>
      <w:pPr>
        <w:pStyle w:val="198"/>
        <w:spacing w:line="420" w:lineRule="auto"/>
        <w:ind w:firstLine="643"/>
        <w:jc w:val="center"/>
        <w:rPr>
          <w:rFonts w:hint="eastAsia" w:ascii="宋体" w:hAnsi="宋体"/>
          <w:sz w:val="24"/>
          <w:szCs w:val="24"/>
        </w:rPr>
      </w:pPr>
    </w:p>
    <w:p>
      <w:pPr>
        <w:pStyle w:val="198"/>
        <w:spacing w:line="420" w:lineRule="auto"/>
        <w:ind w:firstLine="643"/>
        <w:jc w:val="center"/>
        <w:rPr>
          <w:rFonts w:ascii="黑体" w:hAnsi="宋体" w:eastAsia="黑体"/>
          <w:b w:val="0"/>
          <w:bCs w:val="0"/>
          <w:sz w:val="30"/>
          <w:szCs w:val="30"/>
        </w:rPr>
      </w:pPr>
      <w:r>
        <w:rPr>
          <w:rFonts w:hint="eastAsia" w:ascii="宋体" w:hAnsi="宋体"/>
          <w:sz w:val="24"/>
          <w:szCs w:val="24"/>
        </w:rPr>
        <w:t>具备履行合同所必需的设备和专业技术能力的书面声明</w:t>
      </w:r>
    </w:p>
    <w:p>
      <w:pPr>
        <w:spacing w:line="420" w:lineRule="auto"/>
        <w:ind w:firstLine="482"/>
        <w:rPr>
          <w:rFonts w:ascii="宋体" w:hAnsi="宋体"/>
          <w:bCs/>
          <w:sz w:val="24"/>
        </w:rPr>
      </w:pPr>
      <w:r>
        <w:rPr>
          <w:rFonts w:hint="eastAsia" w:ascii="宋体" w:hAnsi="宋体"/>
          <w:bCs/>
          <w:sz w:val="24"/>
        </w:rPr>
        <w:t>我公司郑重声明：我公司具备履行本项采购合同所必需的设备和专业技术能力，为履行本项采购合同我公司具备如下主要设备和主要专业技术能力：</w:t>
      </w:r>
    </w:p>
    <w:p>
      <w:pPr>
        <w:spacing w:line="420" w:lineRule="auto"/>
        <w:ind w:firstLine="482"/>
        <w:rPr>
          <w:rFonts w:ascii="宋体" w:hAnsi="宋体"/>
          <w:bCs/>
          <w:sz w:val="24"/>
        </w:rPr>
      </w:pPr>
      <w:r>
        <w:rPr>
          <w:rFonts w:hint="eastAsia" w:ascii="宋体" w:hAnsi="宋体"/>
          <w:bCs/>
          <w:sz w:val="24"/>
        </w:rPr>
        <w:t>主要设备有：。</w:t>
      </w:r>
    </w:p>
    <w:p>
      <w:pPr>
        <w:spacing w:line="420" w:lineRule="auto"/>
        <w:ind w:firstLine="482"/>
        <w:rPr>
          <w:rFonts w:ascii="宋体" w:hAnsi="宋体"/>
          <w:bCs/>
          <w:sz w:val="24"/>
        </w:rPr>
      </w:pPr>
      <w:r>
        <w:rPr>
          <w:rFonts w:hint="eastAsia" w:ascii="宋体" w:hAnsi="宋体"/>
          <w:bCs/>
          <w:sz w:val="24"/>
        </w:rPr>
        <w:t>主要专业技术能力有：。</w:t>
      </w:r>
    </w:p>
    <w:p>
      <w:pPr>
        <w:spacing w:line="420" w:lineRule="auto"/>
        <w:ind w:firstLine="482"/>
        <w:rPr>
          <w:rFonts w:ascii="宋体" w:hAnsi="宋体"/>
          <w:bCs/>
          <w:sz w:val="24"/>
        </w:rPr>
      </w:pPr>
    </w:p>
    <w:p>
      <w:pPr>
        <w:spacing w:line="420" w:lineRule="auto"/>
        <w:ind w:firstLine="482"/>
        <w:rPr>
          <w:rFonts w:ascii="宋体" w:hAnsi="宋体"/>
          <w:bCs/>
          <w:sz w:val="24"/>
        </w:rPr>
      </w:pPr>
    </w:p>
    <w:p>
      <w:pPr>
        <w:spacing w:line="420" w:lineRule="auto"/>
        <w:ind w:firstLine="482"/>
        <w:rPr>
          <w:rFonts w:ascii="宋体" w:hAnsi="宋体"/>
          <w:bCs/>
          <w:sz w:val="24"/>
        </w:rPr>
      </w:pPr>
    </w:p>
    <w:p>
      <w:pPr>
        <w:spacing w:line="420" w:lineRule="auto"/>
        <w:ind w:firstLine="482"/>
        <w:rPr>
          <w:rFonts w:ascii="宋体" w:hAnsi="宋体"/>
          <w:bCs/>
          <w:sz w:val="24"/>
        </w:rPr>
      </w:pPr>
      <w:r>
        <w:rPr>
          <w:rFonts w:hint="eastAsia" w:ascii="宋体" w:hAnsi="宋体"/>
          <w:bCs/>
          <w:sz w:val="24"/>
        </w:rPr>
        <w:t xml:space="preserve">                                      供应商名称（公章）：</w:t>
      </w:r>
    </w:p>
    <w:p>
      <w:pPr>
        <w:spacing w:line="420" w:lineRule="auto"/>
        <w:ind w:firstLine="482"/>
        <w:rPr>
          <w:rFonts w:ascii="宋体" w:hAnsi="宋体"/>
          <w:bCs/>
          <w:sz w:val="24"/>
        </w:rPr>
      </w:pPr>
    </w:p>
    <w:p>
      <w:pPr>
        <w:spacing w:line="420" w:lineRule="auto"/>
        <w:ind w:firstLine="482"/>
        <w:rPr>
          <w:rFonts w:ascii="宋体" w:hAnsi="宋体"/>
          <w:bCs/>
          <w:sz w:val="24"/>
        </w:rPr>
      </w:pPr>
      <w:r>
        <w:rPr>
          <w:rFonts w:hint="eastAsia" w:ascii="宋体" w:hAnsi="宋体"/>
          <w:bCs/>
          <w:sz w:val="24"/>
        </w:rPr>
        <w:t xml:space="preserve">                                     日期：</w:t>
      </w:r>
      <w:r>
        <w:rPr>
          <w:rFonts w:hint="eastAsia" w:ascii="宋体" w:hAnsi="宋体"/>
          <w:bCs/>
          <w:sz w:val="24"/>
          <w:u w:val="single"/>
        </w:rPr>
        <w:t>______</w:t>
      </w:r>
      <w:r>
        <w:rPr>
          <w:rFonts w:hint="eastAsia" w:ascii="宋体" w:hAnsi="宋体"/>
          <w:bCs/>
          <w:sz w:val="24"/>
        </w:rPr>
        <w:t>年</w:t>
      </w:r>
      <w:r>
        <w:rPr>
          <w:rFonts w:hint="eastAsia" w:ascii="宋体" w:hAnsi="宋体"/>
          <w:bCs/>
          <w:sz w:val="24"/>
          <w:u w:val="single"/>
        </w:rPr>
        <w:t>___</w:t>
      </w:r>
      <w:r>
        <w:rPr>
          <w:rFonts w:hint="eastAsia" w:ascii="宋体" w:hAnsi="宋体"/>
          <w:bCs/>
          <w:sz w:val="24"/>
        </w:rPr>
        <w:t>月</w:t>
      </w:r>
      <w:r>
        <w:rPr>
          <w:rFonts w:hint="eastAsia" w:ascii="宋体" w:hAnsi="宋体"/>
          <w:bCs/>
          <w:sz w:val="24"/>
          <w:u w:val="single"/>
        </w:rPr>
        <w:t>___</w:t>
      </w:r>
      <w:r>
        <w:rPr>
          <w:rFonts w:hint="eastAsia" w:ascii="宋体" w:hAnsi="宋体"/>
          <w:bCs/>
          <w:sz w:val="24"/>
        </w:rPr>
        <w:t>日</w:t>
      </w:r>
    </w:p>
    <w:p>
      <w:pPr>
        <w:pStyle w:val="199"/>
        <w:spacing w:line="420" w:lineRule="auto"/>
        <w:ind w:firstLine="482"/>
      </w:pPr>
      <w:r>
        <w:rPr/>
        <w:br w:type="page" w:clear="all"/>
      </w:r>
    </w:p>
    <w:p>
      <w:pPr>
        <w:pStyle w:val="199"/>
        <w:spacing w:line="420" w:lineRule="auto"/>
        <w:ind w:firstLine="482"/>
      </w:pPr>
    </w:p>
    <w:p>
      <w:pPr>
        <w:pStyle w:val="198"/>
        <w:spacing w:line="420" w:lineRule="auto"/>
        <w:ind w:firstLine="482"/>
        <w:jc w:val="center"/>
        <w:rPr>
          <w:rFonts w:ascii="宋体" w:hAnsi="宋体"/>
          <w:sz w:val="24"/>
          <w:szCs w:val="24"/>
        </w:rPr>
      </w:pPr>
      <w:r>
        <w:rPr>
          <w:rFonts w:hint="eastAsia" w:ascii="宋体" w:hAnsi="宋体"/>
          <w:sz w:val="24"/>
          <w:szCs w:val="24"/>
        </w:rPr>
        <w:t>参加政府采购活动前 3 年内在经营活动中没有重大违法记录的书面声明</w:t>
      </w:r>
    </w:p>
    <w:p>
      <w:pPr>
        <w:spacing w:line="420" w:lineRule="auto"/>
        <w:ind w:firstLine="880"/>
        <w:rPr>
          <w:rFonts w:ascii="宋体" w:hAnsi="宋体"/>
          <w:b/>
          <w:bCs/>
          <w:sz w:val="44"/>
          <w:szCs w:val="44"/>
        </w:rPr>
      </w:pPr>
    </w:p>
    <w:p>
      <w:pPr>
        <w:spacing w:line="420" w:lineRule="auto"/>
        <w:ind w:firstLine="883"/>
        <w:rPr>
          <w:rFonts w:ascii="宋体" w:hAnsi="宋体"/>
          <w:b/>
          <w:bCs/>
          <w:sz w:val="44"/>
          <w:szCs w:val="44"/>
        </w:rPr>
      </w:pPr>
      <w:r>
        <w:rPr>
          <w:rFonts w:hint="eastAsia" w:ascii="宋体" w:hAnsi="宋体"/>
          <w:b/>
          <w:bCs/>
          <w:sz w:val="44"/>
          <w:szCs w:val="44"/>
        </w:rPr>
        <w:t xml:space="preserve">              声  明</w:t>
      </w:r>
    </w:p>
    <w:p>
      <w:pPr>
        <w:spacing w:line="420" w:lineRule="auto"/>
        <w:ind w:firstLine="482"/>
        <w:rPr>
          <w:rFonts w:ascii="宋体" w:hAnsi="宋体"/>
          <w:bCs/>
          <w:sz w:val="24"/>
        </w:rPr>
      </w:pPr>
      <w:r>
        <w:rPr>
          <w:rFonts w:hint="eastAsia" w:ascii="宋体" w:hAnsi="宋体"/>
          <w:bCs/>
          <w:sz w:val="24"/>
        </w:rPr>
        <w:t>我公司郑重声明：参加本次政府采购活动前 3 年内，我公司在经营活动中没有因违法经营受到刑事处罚或者责令停产停业、吊销许可证或者执照、较大数额罚款等行政处罚。</w:t>
      </w:r>
    </w:p>
    <w:p>
      <w:pPr>
        <w:spacing w:line="420" w:lineRule="auto"/>
        <w:ind w:firstLine="482"/>
        <w:rPr>
          <w:rFonts w:ascii="宋体" w:hAnsi="宋体"/>
          <w:bCs/>
          <w:sz w:val="24"/>
        </w:rPr>
      </w:pPr>
      <w:r>
        <w:rPr>
          <w:rFonts w:hint="eastAsia" w:ascii="宋体" w:hAnsi="宋体"/>
          <w:bCs/>
          <w:sz w:val="24"/>
        </w:rPr>
        <w:t xml:space="preserve">                                      供应商名称（公章）：</w:t>
      </w:r>
    </w:p>
    <w:p>
      <w:pPr>
        <w:spacing w:line="420" w:lineRule="auto"/>
        <w:ind w:firstLine="482"/>
        <w:rPr>
          <w:rFonts w:ascii="宋体" w:hAnsi="宋体"/>
          <w:bCs/>
          <w:sz w:val="24"/>
        </w:rPr>
      </w:pPr>
      <w:r>
        <w:rPr>
          <w:rFonts w:hint="eastAsia" w:ascii="宋体" w:hAnsi="宋体"/>
          <w:bCs/>
          <w:sz w:val="24"/>
        </w:rPr>
        <w:t xml:space="preserve">                              授权代表签字：</w:t>
      </w:r>
      <w:r>
        <w:rPr>
          <w:rFonts w:hint="eastAsia" w:ascii="宋体" w:hAnsi="宋体"/>
          <w:bCs/>
          <w:sz w:val="24"/>
          <w:u w:val="single"/>
        </w:rPr>
        <w:t>_______________________</w:t>
      </w:r>
    </w:p>
    <w:p>
      <w:pPr>
        <w:spacing w:line="420" w:lineRule="auto"/>
        <w:ind w:firstLine="482"/>
        <w:rPr>
          <w:rFonts w:ascii="宋体" w:hAnsi="宋体"/>
          <w:bCs/>
          <w:sz w:val="24"/>
        </w:rPr>
      </w:pPr>
      <w:r>
        <w:rPr>
          <w:rFonts w:hint="eastAsia" w:ascii="宋体" w:hAnsi="宋体"/>
          <w:bCs/>
          <w:sz w:val="24"/>
        </w:rPr>
        <w:t xml:space="preserve">                                      日期：</w:t>
      </w:r>
      <w:r>
        <w:rPr>
          <w:rFonts w:hint="eastAsia" w:ascii="宋体" w:hAnsi="宋体"/>
          <w:bCs/>
          <w:sz w:val="24"/>
          <w:u w:val="single"/>
        </w:rPr>
        <w:t>______</w:t>
      </w:r>
      <w:r>
        <w:rPr>
          <w:rFonts w:hint="eastAsia" w:ascii="宋体" w:hAnsi="宋体"/>
          <w:bCs/>
          <w:sz w:val="24"/>
        </w:rPr>
        <w:t>年</w:t>
      </w:r>
      <w:r>
        <w:rPr>
          <w:rFonts w:hint="eastAsia" w:ascii="宋体" w:hAnsi="宋体"/>
          <w:bCs/>
          <w:sz w:val="24"/>
          <w:u w:val="single"/>
        </w:rPr>
        <w:t>___</w:t>
      </w:r>
      <w:r>
        <w:rPr>
          <w:rFonts w:hint="eastAsia" w:ascii="宋体" w:hAnsi="宋体"/>
          <w:bCs/>
          <w:sz w:val="24"/>
        </w:rPr>
        <w:t>月</w:t>
      </w:r>
      <w:r>
        <w:rPr>
          <w:rFonts w:hint="eastAsia" w:ascii="宋体" w:hAnsi="宋体"/>
          <w:bCs/>
          <w:sz w:val="24"/>
          <w:u w:val="single"/>
        </w:rPr>
        <w:t>___</w:t>
      </w:r>
      <w:r>
        <w:rPr>
          <w:rFonts w:hint="eastAsia" w:ascii="宋体" w:hAnsi="宋体"/>
          <w:bCs/>
          <w:sz w:val="24"/>
        </w:rPr>
        <w:t>日</w:t>
      </w:r>
    </w:p>
    <w:p>
      <w:pPr>
        <w:spacing w:line="420" w:lineRule="auto"/>
        <w:ind w:firstLine="482"/>
        <w:rPr>
          <w:rFonts w:ascii="宋体" w:hAnsi="宋体"/>
          <w:bCs/>
          <w:sz w:val="24"/>
        </w:rPr>
      </w:pPr>
    </w:p>
    <w:p>
      <w:pPr>
        <w:spacing w:line="420" w:lineRule="auto"/>
        <w:ind w:firstLine="482"/>
        <w:rPr>
          <w:rFonts w:ascii="宋体" w:hAnsi="宋体"/>
          <w:bCs/>
          <w:sz w:val="24"/>
        </w:rPr>
      </w:pPr>
    </w:p>
    <w:p>
      <w:pPr>
        <w:spacing w:line="420" w:lineRule="auto"/>
        <w:ind w:firstLine="482"/>
        <w:rPr>
          <w:rFonts w:ascii="宋体" w:hAnsi="宋体"/>
          <w:bCs/>
          <w:sz w:val="24"/>
        </w:rPr>
      </w:pPr>
    </w:p>
    <w:p>
      <w:pPr>
        <w:spacing w:line="420" w:lineRule="auto"/>
        <w:ind w:firstLine="482"/>
        <w:rPr>
          <w:rFonts w:ascii="宋体" w:hAnsi="宋体"/>
          <w:bCs/>
          <w:sz w:val="24"/>
        </w:rPr>
      </w:pPr>
    </w:p>
    <w:p>
      <w:pPr>
        <w:spacing w:line="420" w:lineRule="auto"/>
        <w:ind w:firstLine="482"/>
        <w:rPr>
          <w:rFonts w:ascii="宋体" w:hAnsi="宋体"/>
          <w:bCs/>
          <w:sz w:val="24"/>
        </w:rPr>
      </w:pPr>
    </w:p>
    <w:p>
      <w:pPr>
        <w:spacing w:line="420" w:lineRule="auto"/>
        <w:ind w:firstLine="482"/>
        <w:rPr>
          <w:rFonts w:ascii="宋体" w:hAnsi="宋体"/>
          <w:bCs/>
          <w:sz w:val="24"/>
        </w:rPr>
      </w:pPr>
    </w:p>
    <w:p>
      <w:pPr>
        <w:spacing w:line="420" w:lineRule="auto"/>
        <w:ind w:firstLine="482"/>
        <w:rPr>
          <w:rFonts w:ascii="宋体" w:hAnsi="宋体"/>
          <w:bCs/>
          <w:sz w:val="24"/>
        </w:rPr>
      </w:pPr>
    </w:p>
    <w:p>
      <w:pPr>
        <w:spacing w:line="420" w:lineRule="auto"/>
        <w:ind w:firstLine="482"/>
        <w:rPr>
          <w:rFonts w:ascii="宋体" w:hAnsi="宋体"/>
          <w:bCs/>
          <w:sz w:val="24"/>
        </w:rPr>
      </w:pPr>
    </w:p>
    <w:p>
      <w:pPr>
        <w:pStyle w:val="219"/>
        <w:spacing w:line="420" w:lineRule="auto"/>
        <w:ind w:left="1470" w:right="1470"/>
        <w:rPr>
          <w:rFonts w:hint="default" w:ascii="宋体" w:hAnsi="宋体"/>
          <w:bCs/>
          <w:sz w:val="24"/>
        </w:rPr>
      </w:pPr>
    </w:p>
    <w:p>
      <w:pPr>
        <w:pStyle w:val="219"/>
        <w:spacing w:line="420" w:lineRule="auto"/>
        <w:ind w:left="1470" w:right="1470"/>
        <w:rPr>
          <w:rFonts w:hint="default" w:ascii="宋体" w:hAnsi="宋体"/>
          <w:bCs/>
          <w:sz w:val="24"/>
        </w:rPr>
      </w:pPr>
    </w:p>
    <w:p>
      <w:pPr>
        <w:pStyle w:val="219"/>
        <w:spacing w:line="420" w:lineRule="auto"/>
        <w:ind w:left="1470" w:right="1470"/>
        <w:rPr>
          <w:rFonts w:hint="default" w:ascii="宋体" w:hAnsi="宋体"/>
          <w:bCs/>
          <w:sz w:val="24"/>
        </w:rPr>
      </w:pPr>
    </w:p>
    <w:p>
      <w:pPr>
        <w:spacing w:line="420" w:lineRule="auto"/>
        <w:ind w:firstLine="480"/>
        <w:rPr>
          <w:rFonts w:ascii="宋体" w:hAnsi="宋体"/>
          <w:b/>
          <w:bCs/>
          <w:sz w:val="24"/>
          <w:szCs w:val="24"/>
        </w:rPr>
      </w:pPr>
    </w:p>
    <w:bookmarkEnd w:id="185"/>
    <w:bookmarkEnd w:id="186"/>
    <w:bookmarkEnd w:id="187"/>
    <w:p>
      <w:pPr>
        <w:spacing w:line="420" w:lineRule="auto"/>
        <w:ind w:firstLine="640"/>
        <w:rPr>
          <w:rFonts w:ascii="宋体" w:hAnsi="宋体"/>
          <w:b/>
          <w:bCs/>
          <w:sz w:val="32"/>
          <w:szCs w:val="32"/>
        </w:rPr>
        <w:sectPr>
          <w:pgSz w:w="11906" w:h="16838"/>
          <w:pgMar w:top="1418" w:right="1588" w:bottom="1418" w:left="1365" w:header="851" w:footer="907" w:gutter="0"/>
          <w:cols w:space="1701" w:num="1"/>
          <w:titlePg/>
          <w:docGrid w:linePitch="360" w:charSpace="0"/>
        </w:sectPr>
      </w:pPr>
      <w:bookmarkStart w:id="188" w:name="_Toc120614284"/>
    </w:p>
    <w:p>
      <w:pPr>
        <w:spacing w:line="420" w:lineRule="auto"/>
        <w:ind w:firstLine="643"/>
        <w:jc w:val="center"/>
        <w:rPr>
          <w:rFonts w:ascii="宋体" w:hAnsi="宋体"/>
          <w:b/>
          <w:bCs/>
          <w:sz w:val="32"/>
          <w:szCs w:val="32"/>
        </w:rPr>
      </w:pPr>
    </w:p>
    <w:p>
      <w:pPr>
        <w:spacing w:line="420" w:lineRule="auto"/>
        <w:ind w:firstLine="643"/>
        <w:jc w:val="center"/>
        <w:rPr>
          <w:rFonts w:ascii="宋体" w:hAnsi="宋体"/>
          <w:b/>
          <w:bCs/>
          <w:sz w:val="32"/>
          <w:szCs w:val="32"/>
        </w:rPr>
      </w:pPr>
      <w:r>
        <w:rPr>
          <w:rFonts w:hint="eastAsia" w:ascii="宋体" w:hAnsi="宋体"/>
          <w:b/>
          <w:bCs/>
          <w:sz w:val="32"/>
          <w:szCs w:val="32"/>
        </w:rPr>
        <w:t>中小企业声明函（服务）</w:t>
      </w:r>
    </w:p>
    <w:p>
      <w:pPr>
        <w:spacing w:line="420" w:lineRule="auto"/>
        <w:ind w:firstLine="560"/>
        <w:rPr>
          <w:rFonts w:ascii="宋体" w:hAnsi="宋体"/>
          <w:b/>
          <w:bCs/>
          <w:sz w:val="28"/>
          <w:szCs w:val="28"/>
        </w:rPr>
      </w:pPr>
    </w:p>
    <w:p>
      <w:pPr>
        <w:widowControl/>
        <w:spacing w:line="420" w:lineRule="auto"/>
        <w:ind w:firstLine="482"/>
        <w:jc w:val="left"/>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widowControl/>
        <w:numPr>
          <w:ilvl w:val="0"/>
          <w:numId w:val="9"/>
        </w:numPr>
        <w:spacing w:line="420" w:lineRule="auto"/>
        <w:ind w:firstLine="482"/>
        <w:jc w:val="left"/>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，属于</w:t>
      </w:r>
      <w:r>
        <w:rPr>
          <w:rFonts w:hint="eastAsia" w:ascii="宋体" w:hAnsi="宋体" w:cs="宋体"/>
          <w:i/>
          <w:iCs/>
          <w:sz w:val="24"/>
          <w:szCs w:val="24"/>
          <w:u w:val="single"/>
        </w:rPr>
        <w:t>服务</w:t>
      </w:r>
      <w:r>
        <w:rPr>
          <w:rFonts w:hint="eastAsia" w:ascii="宋体" w:hAnsi="宋体" w:cs="宋体"/>
          <w:sz w:val="24"/>
          <w:szCs w:val="24"/>
        </w:rPr>
        <w:t>行业；承接（承接）企业为</w:t>
      </w:r>
      <w:r>
        <w:rPr>
          <w:rFonts w:hint="eastAsia" w:ascii="宋体" w:hAnsi="宋体" w:cs="宋体"/>
          <w:i/>
          <w:iCs/>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i/>
          <w:iCs/>
          <w:sz w:val="24"/>
          <w:szCs w:val="24"/>
          <w:u w:val="single"/>
        </w:rPr>
        <w:t>（中型企业、小型企业、微型企业）</w:t>
      </w:r>
      <w:r>
        <w:rPr>
          <w:rFonts w:hint="eastAsia" w:ascii="宋体" w:hAnsi="宋体" w:cs="宋体"/>
          <w:sz w:val="24"/>
          <w:szCs w:val="24"/>
        </w:rPr>
        <w:t>；</w:t>
      </w:r>
    </w:p>
    <w:p>
      <w:pPr>
        <w:widowControl/>
        <w:numPr>
          <w:ilvl w:val="0"/>
          <w:numId w:val="9"/>
        </w:numPr>
        <w:spacing w:line="420" w:lineRule="auto"/>
        <w:ind w:firstLine="482"/>
        <w:jc w:val="left"/>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，属于</w:t>
      </w:r>
      <w:r>
        <w:rPr>
          <w:rFonts w:hint="eastAsia" w:ascii="宋体" w:hAnsi="宋体" w:cs="宋体"/>
          <w:i/>
          <w:iCs/>
          <w:sz w:val="24"/>
          <w:szCs w:val="24"/>
          <w:u w:val="single"/>
        </w:rPr>
        <w:t>（采购文件中明确的所属行业）</w:t>
      </w:r>
      <w:r>
        <w:rPr>
          <w:rFonts w:hint="eastAsia" w:ascii="宋体" w:hAnsi="宋体" w:cs="宋体"/>
          <w:sz w:val="24"/>
          <w:szCs w:val="24"/>
        </w:rPr>
        <w:t>行业；承接（承接）企业为</w:t>
      </w:r>
      <w:r>
        <w:rPr>
          <w:rFonts w:hint="eastAsia" w:ascii="宋体" w:hAnsi="宋体" w:cs="宋体"/>
          <w:i/>
          <w:iCs/>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i/>
          <w:iCs/>
          <w:sz w:val="24"/>
          <w:szCs w:val="24"/>
          <w:u w:val="single"/>
        </w:rPr>
        <w:t>（中型企业、小型企业、微型企业）</w:t>
      </w:r>
      <w:r>
        <w:rPr>
          <w:rFonts w:hint="eastAsia" w:ascii="宋体" w:hAnsi="宋体" w:cs="宋体"/>
          <w:sz w:val="24"/>
          <w:szCs w:val="24"/>
        </w:rPr>
        <w:t>；</w:t>
      </w:r>
    </w:p>
    <w:p>
      <w:pPr>
        <w:widowControl/>
        <w:spacing w:line="420" w:lineRule="auto"/>
        <w:ind w:firstLine="482"/>
        <w:jc w:val="left"/>
        <w:rPr>
          <w:rFonts w:ascii="宋体" w:hAnsi="宋体" w:cs="宋体"/>
          <w:sz w:val="24"/>
          <w:szCs w:val="24"/>
        </w:rPr>
      </w:pPr>
      <w:r>
        <w:rPr>
          <w:rFonts w:hint="eastAsia" w:ascii="宋体" w:hAnsi="宋体" w:cs="宋体"/>
          <w:sz w:val="24"/>
          <w:szCs w:val="24"/>
        </w:rPr>
        <w:t>……</w:t>
      </w:r>
    </w:p>
    <w:p>
      <w:pPr>
        <w:widowControl/>
        <w:spacing w:line="420" w:lineRule="auto"/>
        <w:ind w:firstLine="482"/>
        <w:jc w:val="left"/>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pPr>
        <w:widowControl/>
        <w:spacing w:line="420" w:lineRule="auto"/>
        <w:ind w:firstLine="482"/>
        <w:jc w:val="left"/>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pPr>
        <w:widowControl/>
        <w:spacing w:line="420" w:lineRule="auto"/>
        <w:ind w:firstLine="482"/>
        <w:jc w:val="left"/>
        <w:rPr>
          <w:rFonts w:ascii="宋体" w:hAnsi="宋体" w:cs="宋体"/>
          <w:sz w:val="24"/>
          <w:szCs w:val="24"/>
        </w:rPr>
      </w:pPr>
      <w:r>
        <w:rPr>
          <w:rFonts w:hint="eastAsia" w:ascii="宋体" w:hAnsi="宋体" w:cs="宋体"/>
          <w:sz w:val="24"/>
          <w:szCs w:val="24"/>
        </w:rPr>
        <w:t>企业名称（盖章）：</w:t>
      </w:r>
    </w:p>
    <w:p>
      <w:pPr>
        <w:widowControl/>
        <w:spacing w:line="420" w:lineRule="auto"/>
        <w:ind w:firstLine="482"/>
        <w:jc w:val="left"/>
        <w:rPr>
          <w:rFonts w:ascii="宋体" w:hAnsi="宋体" w:cs="宋体"/>
          <w:sz w:val="24"/>
          <w:szCs w:val="24"/>
        </w:rPr>
      </w:pPr>
      <w:r>
        <w:rPr>
          <w:rFonts w:hint="eastAsia" w:ascii="宋体" w:hAnsi="宋体" w:cs="宋体"/>
          <w:sz w:val="24"/>
          <w:szCs w:val="24"/>
        </w:rPr>
        <w:t>日期：</w:t>
      </w:r>
    </w:p>
    <w:p>
      <w:pPr>
        <w:spacing w:line="420" w:lineRule="auto"/>
        <w:ind w:firstLine="482"/>
        <w:jc w:val="center"/>
        <w:rPr>
          <w:rFonts w:ascii="宋体" w:hAnsi="宋体"/>
          <w:b/>
          <w:bCs/>
        </w:rPr>
      </w:pPr>
      <w:r>
        <w:rPr>
          <w:rFonts w:hint="eastAsia" w:ascii="宋体" w:hAnsi="宋体"/>
          <w:b/>
          <w:bCs/>
        </w:rPr>
        <w:t>从业人员、营业收入、资产总额填报上一年度数据，无上一年度数据的新成立企业可不填报。</w:t>
      </w:r>
    </w:p>
    <w:p>
      <w:pPr>
        <w:widowControl/>
        <w:spacing w:before="100" w:beforeAutospacing="1" w:after="100" w:afterAutospacing="1" w:line="420" w:lineRule="auto"/>
        <w:ind w:firstLine="482"/>
        <w:jc w:val="left"/>
        <w:rPr>
          <w:rFonts w:ascii="宋体" w:hAnsi="宋体" w:cs="宋体"/>
        </w:rPr>
      </w:pPr>
    </w:p>
    <w:p>
      <w:pPr>
        <w:spacing w:line="420" w:lineRule="auto"/>
        <w:ind w:firstLine="480"/>
        <w:rPr>
          <w:b/>
        </w:rPr>
      </w:pPr>
    </w:p>
    <w:p>
      <w:pPr>
        <w:pStyle w:val="219"/>
        <w:spacing w:line="420" w:lineRule="auto"/>
        <w:ind w:left="0" w:right="1470" w:firstLine="480"/>
        <w:rPr>
          <w:rFonts w:hint="default"/>
          <w:b/>
        </w:rPr>
      </w:pPr>
    </w:p>
    <w:p>
      <w:pPr>
        <w:pStyle w:val="12"/>
        <w:ind w:firstLine="0"/>
      </w:pPr>
    </w:p>
    <w:p>
      <w:pPr>
        <w:ind w:firstLine="482"/>
      </w:pPr>
    </w:p>
    <w:bookmarkEnd w:id="165"/>
    <w:bookmarkEnd w:id="166"/>
    <w:bookmarkEnd w:id="188"/>
    <w:p>
      <w:pPr>
        <w:widowControl/>
        <w:spacing w:line="420" w:lineRule="auto"/>
        <w:ind w:firstLine="643"/>
        <w:jc w:val="center"/>
        <w:rPr>
          <w:rFonts w:ascii="黑体" w:eastAsia="黑体"/>
          <w:sz w:val="32"/>
          <w:szCs w:val="32"/>
        </w:rPr>
      </w:pPr>
      <w:r>
        <w:rPr>
          <w:rFonts w:hint="eastAsia" w:ascii="黑体" w:eastAsia="黑体"/>
          <w:sz w:val="32"/>
          <w:szCs w:val="32"/>
        </w:rPr>
        <w:t>盐城市政府采购事前信用承诺书</w:t>
      </w:r>
    </w:p>
    <w:p>
      <w:pPr>
        <w:widowControl/>
        <w:spacing w:line="420" w:lineRule="auto"/>
        <w:ind w:firstLine="482"/>
        <w:jc w:val="left"/>
        <w:rPr>
          <w:rFonts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pPr>
        <w:widowControl/>
        <w:spacing w:line="420" w:lineRule="auto"/>
        <w:ind w:firstLine="482"/>
        <w:jc w:val="left"/>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pPr>
        <w:widowControl/>
        <w:spacing w:line="420" w:lineRule="auto"/>
        <w:ind w:firstLine="482"/>
        <w:jc w:val="left"/>
        <w:rPr>
          <w:rFonts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pPr>
        <w:widowControl/>
        <w:spacing w:line="420" w:lineRule="auto"/>
        <w:ind w:firstLine="482"/>
        <w:jc w:val="left"/>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pPr>
        <w:widowControl/>
        <w:spacing w:line="420" w:lineRule="auto"/>
        <w:ind w:firstLine="482"/>
        <w:jc w:val="left"/>
        <w:rPr>
          <w:rFonts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pPr>
        <w:widowControl/>
        <w:spacing w:line="420" w:lineRule="auto"/>
        <w:ind w:firstLine="482"/>
        <w:jc w:val="left"/>
        <w:rPr>
          <w:rFonts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pPr>
        <w:widowControl/>
        <w:spacing w:line="420" w:lineRule="auto"/>
        <w:ind w:firstLine="482"/>
        <w:jc w:val="left"/>
        <w:rPr>
          <w:rFonts w:ascii="宋体" w:hAnsi="宋体"/>
          <w:sz w:val="24"/>
          <w:szCs w:val="24"/>
        </w:rPr>
      </w:pPr>
      <w:r>
        <w:rPr>
          <w:rFonts w:hint="eastAsia" w:ascii="宋体" w:hAnsi="宋体"/>
          <w:sz w:val="24"/>
          <w:szCs w:val="24"/>
        </w:rPr>
        <w:t>   （六）自觉接受政府、行业组织、社会公众、新闻舆论的监督；</w:t>
      </w:r>
    </w:p>
    <w:p>
      <w:pPr>
        <w:widowControl/>
        <w:spacing w:line="420" w:lineRule="auto"/>
        <w:ind w:firstLine="482"/>
        <w:jc w:val="left"/>
        <w:rPr>
          <w:rFonts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widowControl/>
        <w:spacing w:line="420" w:lineRule="auto"/>
        <w:ind w:firstLine="482"/>
        <w:jc w:val="left"/>
        <w:rPr>
          <w:rFonts w:ascii="宋体" w:hAnsi="宋体"/>
          <w:sz w:val="24"/>
          <w:szCs w:val="24"/>
        </w:rPr>
      </w:pPr>
      <w:r>
        <w:rPr>
          <w:rFonts w:hint="eastAsia" w:ascii="宋体" w:hAnsi="宋体"/>
          <w:sz w:val="24"/>
          <w:szCs w:val="24"/>
        </w:rPr>
        <w:t>   （八）本人已认真阅读了上述承诺，并向本单位员工作了宣传教育。</w:t>
      </w:r>
    </w:p>
    <w:p>
      <w:pPr>
        <w:widowControl/>
        <w:spacing w:line="420" w:lineRule="auto"/>
        <w:ind w:firstLine="482"/>
        <w:jc w:val="center"/>
        <w:rPr>
          <w:rFonts w:ascii="宋体" w:hAnsi="宋体"/>
          <w:sz w:val="24"/>
          <w:szCs w:val="24"/>
        </w:rPr>
      </w:pPr>
      <w:r>
        <w:rPr>
          <w:rFonts w:hint="eastAsia" w:ascii="宋体" w:hAnsi="宋体"/>
          <w:sz w:val="24"/>
          <w:szCs w:val="24"/>
        </w:rPr>
        <w:t xml:space="preserve">                 法定代表人签名：</w:t>
      </w:r>
    </w:p>
    <w:p>
      <w:pPr>
        <w:widowControl/>
        <w:spacing w:line="420" w:lineRule="auto"/>
        <w:ind w:firstLine="482"/>
        <w:jc w:val="center"/>
        <w:rPr>
          <w:rFonts w:ascii="宋体" w:hAnsi="宋体"/>
          <w:sz w:val="24"/>
          <w:szCs w:val="24"/>
        </w:rPr>
      </w:pPr>
      <w:r>
        <w:rPr>
          <w:rFonts w:hint="eastAsia" w:ascii="宋体" w:hAnsi="宋体"/>
          <w:sz w:val="24"/>
          <w:szCs w:val="24"/>
        </w:rPr>
        <w:t xml:space="preserve">                   单位名称（盖章）：</w:t>
      </w:r>
    </w:p>
    <w:p>
      <w:pPr>
        <w:widowControl/>
        <w:spacing w:line="420" w:lineRule="auto"/>
        <w:ind w:firstLine="482"/>
        <w:jc w:val="center"/>
      </w:pPr>
      <w:r>
        <w:rPr>
          <w:rFonts w:hint="eastAsia" w:ascii="宋体" w:hAnsi="宋体"/>
          <w:sz w:val="24"/>
          <w:szCs w:val="24"/>
        </w:rPr>
        <w:t xml:space="preserve">                      年    月    日</w:t>
      </w:r>
    </w:p>
    <w:sectPr>
      <w:footerReference r:id="rId5" w:type="default"/>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黑体_GBK">
    <w:altName w:val="Arial Unicode MS"/>
    <w:panose1 w:val="03000509000000000000"/>
    <w:charset w:val="86"/>
    <w:family w:val="auto"/>
    <w:pitch w:val="default"/>
    <w:sig w:usb0="00000000" w:usb1="00000000" w:usb2="00000000" w:usb3="00000000" w:csb0="00040000" w:csb1="00000000"/>
  </w:font>
  <w:font w:name="方正小标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Showcard Gothic">
    <w:panose1 w:val="04020904020102020604"/>
    <w:charset w:val="00"/>
    <w:family w:val="decorative"/>
    <w:pitch w:val="default"/>
    <w:sig w:usb0="00000003" w:usb1="00000000" w:usb2="00000000" w:usb3="00000000" w:csb0="20000001"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仿宋_GBK">
    <w:altName w:val="Arial Unicode MS"/>
    <w:panose1 w:val="03000509000000000000"/>
    <w:charset w:val="86"/>
    <w:family w:val="auto"/>
    <w:pitch w:val="default"/>
    <w:sig w:usb0="00000000" w:usb1="00000000" w:usb2="00000000" w:usb3="00000000" w:csb0="00040000" w:csb1="00000000"/>
  </w:font>
  <w:font w:name="方正楷体_GBK">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8"/>
      <w:framePr w:wrap="around" w:vAnchor="text" w:hAnchor="margin" w:xAlign="center" w:y="1"/>
      <w:rPr>
        <w:rStyle w:val="247"/>
        <w:rFonts w:ascii="宋体" w:hAnsi="宋体"/>
      </w:rPr>
    </w:pPr>
    <w:r>
      <w:rPr>
        <w:rFonts w:ascii="宋体" w:hAnsi="宋体"/>
      </w:rPr>
      <w:fldChar w:fldCharType="begin"/>
    </w:r>
    <w:r>
      <w:rPr>
        <w:rStyle w:val="247"/>
        <w:rFonts w:ascii="宋体" w:hAnsi="宋体"/>
      </w:rPr>
      <w:instrText xml:space="preserve">PAGE  </w:instrText>
    </w:r>
    <w:r>
      <w:rPr>
        <w:rFonts w:ascii="宋体" w:hAnsi="宋体"/>
      </w:rPr>
      <w:fldChar w:fldCharType="separate"/>
    </w:r>
    <w:r>
      <w:rPr>
        <w:rStyle w:val="247"/>
        <w:rFonts w:ascii="宋体" w:hAnsi="宋体"/>
      </w:rPr>
      <w:t>36</w:t>
    </w:r>
    <w:r>
      <w:rPr>
        <w:rFonts w:ascii="宋体" w:hAnsi="宋体"/>
      </w:rPr>
      <w:fldChar w:fldCharType="end"/>
    </w:r>
  </w:p>
  <w:p>
    <w:pPr>
      <w:pStyle w:val="228"/>
      <w:jc w:val="center"/>
      <w:rPr>
        <w:b/>
        <w:i/>
      </w:rPr>
    </w:pPr>
  </w:p>
  <w:p>
    <w:pP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9" w:lineRule="auto"/>
      <w:ind w:left="297" w:firstLine="542"/>
      <w:rPr>
        <w:rFonts w:eastAsia="Times New Roman"/>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pBdr>
        <w:bottom w:val="none" w:color="000000"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6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BF7085F"/>
    <w:multiLevelType w:val="singleLevel"/>
    <w:tmpl w:val="DBF7085F"/>
    <w:lvl w:ilvl="0" w:tentative="0">
      <w:start w:val="2"/>
      <w:numFmt w:val="chineseCounting"/>
      <w:suff w:val="nothing"/>
      <w:lvlText w:val="%1、"/>
      <w:lvlJc w:val="left"/>
      <w:pPr>
        <w:ind w:left="-10"/>
      </w:pPr>
      <w:rPr>
        <w:rFonts w:hint="eastAsia"/>
      </w:rPr>
    </w:lvl>
  </w:abstractNum>
  <w:abstractNum w:abstractNumId="4">
    <w:nsid w:val="F460B413"/>
    <w:multiLevelType w:val="singleLevel"/>
    <w:tmpl w:val="F460B413"/>
    <w:lvl w:ilvl="0" w:tentative="0">
      <w:start w:val="1"/>
      <w:numFmt w:val="decimal"/>
      <w:lvlText w:val="%1."/>
      <w:lvlJc w:val="left"/>
      <w:pPr>
        <w:tabs>
          <w:tab w:val="left" w:pos="312"/>
        </w:tabs>
      </w:pPr>
    </w:lvl>
  </w:abstractNum>
  <w:abstractNum w:abstractNumId="5">
    <w:nsid w:val="F82F5896"/>
    <w:multiLevelType w:val="singleLevel"/>
    <w:tmpl w:val="F82F5896"/>
    <w:lvl w:ilvl="0" w:tentative="0">
      <w:start w:val="1"/>
      <w:numFmt w:val="decimal"/>
      <w:suff w:val="nothing"/>
      <w:lvlText w:val="%1、"/>
      <w:lvlJc w:val="left"/>
    </w:lvl>
  </w:abstractNum>
  <w:abstractNum w:abstractNumId="6">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2"/>
      <w:suff w:val="nothing"/>
      <w:lvlText w:val=""/>
      <w:lvlJc w:val="left"/>
      <w:pPr>
        <w:ind w:left="0" w:firstLine="0"/>
      </w:pPr>
      <w:rPr>
        <w:rFonts w:hint="eastAsia"/>
      </w:rPr>
    </w:lvl>
    <w:lvl w:ilvl="6" w:tentative="0">
      <w:start w:val="1"/>
      <w:numFmt w:val="decimal"/>
      <w:pStyle w:val="203"/>
      <w:suff w:val="nothing"/>
      <w:lvlText w:val=""/>
      <w:lvlJc w:val="left"/>
      <w:pPr>
        <w:ind w:left="0" w:firstLine="0"/>
      </w:pPr>
      <w:rPr>
        <w:rFonts w:hint="eastAsia"/>
      </w:rPr>
    </w:lvl>
    <w:lvl w:ilvl="7" w:tentative="0">
      <w:start w:val="1"/>
      <w:numFmt w:val="decimal"/>
      <w:pStyle w:val="204"/>
      <w:suff w:val="nothing"/>
      <w:lvlText w:val=""/>
      <w:lvlJc w:val="left"/>
      <w:pPr>
        <w:ind w:left="0" w:firstLine="0"/>
      </w:pPr>
      <w:rPr>
        <w:rFonts w:hint="eastAsia"/>
      </w:rPr>
    </w:lvl>
    <w:lvl w:ilvl="8" w:tentative="0">
      <w:start w:val="1"/>
      <w:numFmt w:val="decimal"/>
      <w:pStyle w:val="205"/>
      <w:suff w:val="nothing"/>
      <w:lvlText w:val=""/>
      <w:lvlJc w:val="left"/>
      <w:pPr>
        <w:ind w:left="0" w:firstLine="0"/>
      </w:pPr>
      <w:rPr>
        <w:rFonts w:hint="eastAsia"/>
      </w:rPr>
    </w:lvl>
  </w:abstractNum>
  <w:abstractNum w:abstractNumId="7">
    <w:nsid w:val="23CA3DFE"/>
    <w:multiLevelType w:val="singleLevel"/>
    <w:tmpl w:val="23CA3DFE"/>
    <w:lvl w:ilvl="0" w:tentative="0">
      <w:start w:val="1"/>
      <w:numFmt w:val="decimal"/>
      <w:lvlText w:val="%1、"/>
      <w:lvlJc w:val="left"/>
      <w:pPr>
        <w:tabs>
          <w:tab w:val="left" w:pos="480"/>
        </w:tabs>
        <w:ind w:left="480" w:hanging="480"/>
      </w:pPr>
    </w:lvl>
  </w:abstractNum>
  <w:abstractNum w:abstractNumId="8">
    <w:nsid w:val="59ADCABA"/>
    <w:multiLevelType w:val="multilevel"/>
    <w:tmpl w:val="59ADCABA"/>
    <w:lvl w:ilvl="0" w:tentative="0">
      <w:start w:val="1"/>
      <w:numFmt w:val="decimal"/>
      <w:pStyle w:val="27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6"/>
  </w:num>
  <w:num w:numId="2">
    <w:abstractNumId w:val="2"/>
  </w:num>
  <w:num w:numId="3">
    <w:abstractNumId w:val="8"/>
  </w:num>
  <w:num w:numId="4">
    <w:abstractNumId w:val="1"/>
  </w:num>
  <w:num w:numId="5">
    <w:abstractNumId w:val="4"/>
  </w:num>
  <w:num w:numId="6">
    <w:abstractNumId w:val="5"/>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xNDlhZTg3NGZmMWRlY2M2OWRjMDI3ODBiNzM2NjUifQ=="/>
  </w:docVars>
  <w:rsids>
    <w:rsidRoot w:val="0010360E"/>
    <w:rsid w:val="00004F85"/>
    <w:rsid w:val="000573FA"/>
    <w:rsid w:val="000824E3"/>
    <w:rsid w:val="000A3675"/>
    <w:rsid w:val="000A5C11"/>
    <w:rsid w:val="0010360E"/>
    <w:rsid w:val="0010738E"/>
    <w:rsid w:val="001336DD"/>
    <w:rsid w:val="00147AEC"/>
    <w:rsid w:val="00147DCF"/>
    <w:rsid w:val="001965E2"/>
    <w:rsid w:val="001C0CAB"/>
    <w:rsid w:val="00204F76"/>
    <w:rsid w:val="00264E69"/>
    <w:rsid w:val="002E1F6F"/>
    <w:rsid w:val="00392DF6"/>
    <w:rsid w:val="0039556D"/>
    <w:rsid w:val="003E704A"/>
    <w:rsid w:val="004A615B"/>
    <w:rsid w:val="004D44CA"/>
    <w:rsid w:val="004F2572"/>
    <w:rsid w:val="00532BB1"/>
    <w:rsid w:val="00535E7A"/>
    <w:rsid w:val="00541730"/>
    <w:rsid w:val="006108C3"/>
    <w:rsid w:val="00633B63"/>
    <w:rsid w:val="00675D87"/>
    <w:rsid w:val="00731D63"/>
    <w:rsid w:val="00752ADD"/>
    <w:rsid w:val="007956FF"/>
    <w:rsid w:val="007C0F2D"/>
    <w:rsid w:val="007E3ED4"/>
    <w:rsid w:val="008B4539"/>
    <w:rsid w:val="008C3A38"/>
    <w:rsid w:val="008D313A"/>
    <w:rsid w:val="00930024"/>
    <w:rsid w:val="00955812"/>
    <w:rsid w:val="009D5715"/>
    <w:rsid w:val="00A073BA"/>
    <w:rsid w:val="00A9601E"/>
    <w:rsid w:val="00AD2F97"/>
    <w:rsid w:val="00AE290C"/>
    <w:rsid w:val="00B02198"/>
    <w:rsid w:val="00B22BA0"/>
    <w:rsid w:val="00B27D65"/>
    <w:rsid w:val="00B54281"/>
    <w:rsid w:val="00B642BD"/>
    <w:rsid w:val="00B71F65"/>
    <w:rsid w:val="00B84D36"/>
    <w:rsid w:val="00BF706B"/>
    <w:rsid w:val="00C4203E"/>
    <w:rsid w:val="00C445A3"/>
    <w:rsid w:val="00C84172"/>
    <w:rsid w:val="00CB335D"/>
    <w:rsid w:val="00D5032A"/>
    <w:rsid w:val="00D60B08"/>
    <w:rsid w:val="00D664ED"/>
    <w:rsid w:val="00D72607"/>
    <w:rsid w:val="00DA7D44"/>
    <w:rsid w:val="00DC1253"/>
    <w:rsid w:val="00DE6D20"/>
    <w:rsid w:val="00E13CC1"/>
    <w:rsid w:val="00E83837"/>
    <w:rsid w:val="00EA7121"/>
    <w:rsid w:val="00F00DB1"/>
    <w:rsid w:val="00F35E9E"/>
    <w:rsid w:val="00F67544"/>
    <w:rsid w:val="00F922B7"/>
    <w:rsid w:val="00F926E5"/>
    <w:rsid w:val="00F95FBA"/>
    <w:rsid w:val="011253ED"/>
    <w:rsid w:val="01154EDD"/>
    <w:rsid w:val="01633E9B"/>
    <w:rsid w:val="01826A17"/>
    <w:rsid w:val="0187402D"/>
    <w:rsid w:val="0196601E"/>
    <w:rsid w:val="019978BC"/>
    <w:rsid w:val="019C15D0"/>
    <w:rsid w:val="01BE7323"/>
    <w:rsid w:val="01D62C0E"/>
    <w:rsid w:val="01D6466C"/>
    <w:rsid w:val="01EC0334"/>
    <w:rsid w:val="01F176F8"/>
    <w:rsid w:val="02104DC9"/>
    <w:rsid w:val="028642E4"/>
    <w:rsid w:val="028B6646"/>
    <w:rsid w:val="029307AF"/>
    <w:rsid w:val="02B52A48"/>
    <w:rsid w:val="02BE01B7"/>
    <w:rsid w:val="02C46BBB"/>
    <w:rsid w:val="02DE5ECF"/>
    <w:rsid w:val="02FE20CD"/>
    <w:rsid w:val="034D6BB0"/>
    <w:rsid w:val="036839EA"/>
    <w:rsid w:val="039E63F9"/>
    <w:rsid w:val="03D35307"/>
    <w:rsid w:val="03F31506"/>
    <w:rsid w:val="03F4527E"/>
    <w:rsid w:val="040A4AA1"/>
    <w:rsid w:val="040E6340"/>
    <w:rsid w:val="043477C5"/>
    <w:rsid w:val="04510922"/>
    <w:rsid w:val="045B4047"/>
    <w:rsid w:val="04732647"/>
    <w:rsid w:val="04A40A52"/>
    <w:rsid w:val="04A42800"/>
    <w:rsid w:val="04A722F0"/>
    <w:rsid w:val="04B36EE7"/>
    <w:rsid w:val="04BF588C"/>
    <w:rsid w:val="04D255BF"/>
    <w:rsid w:val="04F75026"/>
    <w:rsid w:val="04F841B7"/>
    <w:rsid w:val="05340028"/>
    <w:rsid w:val="056703FD"/>
    <w:rsid w:val="05780E76"/>
    <w:rsid w:val="05834B0B"/>
    <w:rsid w:val="059A3C03"/>
    <w:rsid w:val="05B178CA"/>
    <w:rsid w:val="05BA58F6"/>
    <w:rsid w:val="05C93CD3"/>
    <w:rsid w:val="05D34E15"/>
    <w:rsid w:val="05E97064"/>
    <w:rsid w:val="05ED01D7"/>
    <w:rsid w:val="060519C4"/>
    <w:rsid w:val="062005AC"/>
    <w:rsid w:val="062A4F87"/>
    <w:rsid w:val="06367DD0"/>
    <w:rsid w:val="065B3A9A"/>
    <w:rsid w:val="06652463"/>
    <w:rsid w:val="06693D01"/>
    <w:rsid w:val="068648B3"/>
    <w:rsid w:val="06BD229F"/>
    <w:rsid w:val="06BE660C"/>
    <w:rsid w:val="06C629DA"/>
    <w:rsid w:val="06C74ECC"/>
    <w:rsid w:val="06CB0518"/>
    <w:rsid w:val="06DC0977"/>
    <w:rsid w:val="06F3181D"/>
    <w:rsid w:val="06F86E33"/>
    <w:rsid w:val="07155C37"/>
    <w:rsid w:val="071F0864"/>
    <w:rsid w:val="072365A6"/>
    <w:rsid w:val="072916E2"/>
    <w:rsid w:val="07372051"/>
    <w:rsid w:val="074958E1"/>
    <w:rsid w:val="07B90CB8"/>
    <w:rsid w:val="07B94814"/>
    <w:rsid w:val="07C37441"/>
    <w:rsid w:val="07CB4548"/>
    <w:rsid w:val="07DC6755"/>
    <w:rsid w:val="07EC2E3C"/>
    <w:rsid w:val="08275C22"/>
    <w:rsid w:val="0837398B"/>
    <w:rsid w:val="08470072"/>
    <w:rsid w:val="08585DDB"/>
    <w:rsid w:val="087370B9"/>
    <w:rsid w:val="08901A19"/>
    <w:rsid w:val="089D5EE4"/>
    <w:rsid w:val="08A92ADB"/>
    <w:rsid w:val="08B82D1E"/>
    <w:rsid w:val="08D8516E"/>
    <w:rsid w:val="08E6788B"/>
    <w:rsid w:val="08E7715F"/>
    <w:rsid w:val="08F655F4"/>
    <w:rsid w:val="08FF094D"/>
    <w:rsid w:val="09063A89"/>
    <w:rsid w:val="091E5277"/>
    <w:rsid w:val="093B0542"/>
    <w:rsid w:val="094B3B92"/>
    <w:rsid w:val="09A45050"/>
    <w:rsid w:val="09A6701A"/>
    <w:rsid w:val="09B5725D"/>
    <w:rsid w:val="09C676BC"/>
    <w:rsid w:val="09C92B54"/>
    <w:rsid w:val="09DC2A3C"/>
    <w:rsid w:val="09E638BB"/>
    <w:rsid w:val="09FE178A"/>
    <w:rsid w:val="0A0A6FE5"/>
    <w:rsid w:val="0A7B4003"/>
    <w:rsid w:val="0AA277E2"/>
    <w:rsid w:val="0AA80259"/>
    <w:rsid w:val="0AAC68B2"/>
    <w:rsid w:val="0ABB6AF5"/>
    <w:rsid w:val="0ACA0AE6"/>
    <w:rsid w:val="0ACD5008"/>
    <w:rsid w:val="0ACE05D7"/>
    <w:rsid w:val="0AFA5870"/>
    <w:rsid w:val="0B095AB3"/>
    <w:rsid w:val="0B1E46D2"/>
    <w:rsid w:val="0B204BAA"/>
    <w:rsid w:val="0B4765DB"/>
    <w:rsid w:val="0B6902FF"/>
    <w:rsid w:val="0B941820"/>
    <w:rsid w:val="0B971310"/>
    <w:rsid w:val="0BA47589"/>
    <w:rsid w:val="0BB772BD"/>
    <w:rsid w:val="0BC33EB3"/>
    <w:rsid w:val="0BC65752"/>
    <w:rsid w:val="0BD51E39"/>
    <w:rsid w:val="0C0149DC"/>
    <w:rsid w:val="0C0369A6"/>
    <w:rsid w:val="0C160487"/>
    <w:rsid w:val="0C1E10EA"/>
    <w:rsid w:val="0C22507E"/>
    <w:rsid w:val="0C236700"/>
    <w:rsid w:val="0C3E7A39"/>
    <w:rsid w:val="0C57284E"/>
    <w:rsid w:val="0C760F26"/>
    <w:rsid w:val="0C906874"/>
    <w:rsid w:val="0CCA1272"/>
    <w:rsid w:val="0CD30126"/>
    <w:rsid w:val="0CD43E9E"/>
    <w:rsid w:val="0CD8398F"/>
    <w:rsid w:val="0CD8573D"/>
    <w:rsid w:val="0D097FEC"/>
    <w:rsid w:val="0D6E60A1"/>
    <w:rsid w:val="0D705975"/>
    <w:rsid w:val="0D7731A8"/>
    <w:rsid w:val="0DA970D9"/>
    <w:rsid w:val="0DD71E98"/>
    <w:rsid w:val="0DD73C46"/>
    <w:rsid w:val="0DDE4FD5"/>
    <w:rsid w:val="0DF2282E"/>
    <w:rsid w:val="0E325320"/>
    <w:rsid w:val="0E39220B"/>
    <w:rsid w:val="0E43027C"/>
    <w:rsid w:val="0E4D5CB6"/>
    <w:rsid w:val="0E527771"/>
    <w:rsid w:val="0E796AAB"/>
    <w:rsid w:val="0E9C279A"/>
    <w:rsid w:val="0ED62150"/>
    <w:rsid w:val="0ED9579C"/>
    <w:rsid w:val="0EE04D7C"/>
    <w:rsid w:val="0F2C6214"/>
    <w:rsid w:val="0F895414"/>
    <w:rsid w:val="0FB6788B"/>
    <w:rsid w:val="0FB81855"/>
    <w:rsid w:val="0FEB5787"/>
    <w:rsid w:val="10014FAA"/>
    <w:rsid w:val="1034712E"/>
    <w:rsid w:val="10881228"/>
    <w:rsid w:val="108A4FA0"/>
    <w:rsid w:val="10BE4C49"/>
    <w:rsid w:val="10C20BDE"/>
    <w:rsid w:val="10CA7D60"/>
    <w:rsid w:val="10CC0EB2"/>
    <w:rsid w:val="10DE3C4D"/>
    <w:rsid w:val="10DE52EC"/>
    <w:rsid w:val="10EE19D3"/>
    <w:rsid w:val="10F93ED3"/>
    <w:rsid w:val="1121081D"/>
    <w:rsid w:val="11230F50"/>
    <w:rsid w:val="11513D10"/>
    <w:rsid w:val="118934A9"/>
    <w:rsid w:val="11AE2F10"/>
    <w:rsid w:val="11E20E0C"/>
    <w:rsid w:val="12174F59"/>
    <w:rsid w:val="12301B77"/>
    <w:rsid w:val="12486EC1"/>
    <w:rsid w:val="125C471A"/>
    <w:rsid w:val="12681311"/>
    <w:rsid w:val="12810624"/>
    <w:rsid w:val="128B3251"/>
    <w:rsid w:val="12911E50"/>
    <w:rsid w:val="12A762DD"/>
    <w:rsid w:val="12E27315"/>
    <w:rsid w:val="131119A8"/>
    <w:rsid w:val="13177B76"/>
    <w:rsid w:val="13280AA0"/>
    <w:rsid w:val="134D0507"/>
    <w:rsid w:val="134E0E21"/>
    <w:rsid w:val="134F427F"/>
    <w:rsid w:val="136314B7"/>
    <w:rsid w:val="13655850"/>
    <w:rsid w:val="13914897"/>
    <w:rsid w:val="13AC16D1"/>
    <w:rsid w:val="13BF1404"/>
    <w:rsid w:val="13DF1AA7"/>
    <w:rsid w:val="141259D8"/>
    <w:rsid w:val="14294AD0"/>
    <w:rsid w:val="145C30F7"/>
    <w:rsid w:val="147815B3"/>
    <w:rsid w:val="14983A03"/>
    <w:rsid w:val="14A423A8"/>
    <w:rsid w:val="14AD5701"/>
    <w:rsid w:val="14B7657F"/>
    <w:rsid w:val="14D64C58"/>
    <w:rsid w:val="14EB22D5"/>
    <w:rsid w:val="14F055ED"/>
    <w:rsid w:val="151A266A"/>
    <w:rsid w:val="15237771"/>
    <w:rsid w:val="152E4A94"/>
    <w:rsid w:val="154F3E15"/>
    <w:rsid w:val="155B33AF"/>
    <w:rsid w:val="15793835"/>
    <w:rsid w:val="15BD1974"/>
    <w:rsid w:val="15F236AE"/>
    <w:rsid w:val="16100AFF"/>
    <w:rsid w:val="16150DA6"/>
    <w:rsid w:val="161A5018"/>
    <w:rsid w:val="162714E3"/>
    <w:rsid w:val="16300397"/>
    <w:rsid w:val="16816E45"/>
    <w:rsid w:val="16907088"/>
    <w:rsid w:val="169E79F7"/>
    <w:rsid w:val="16A13043"/>
    <w:rsid w:val="16C136E5"/>
    <w:rsid w:val="16D03928"/>
    <w:rsid w:val="16EF2001"/>
    <w:rsid w:val="170535D2"/>
    <w:rsid w:val="171B25A3"/>
    <w:rsid w:val="178A3AD7"/>
    <w:rsid w:val="17AB3331"/>
    <w:rsid w:val="17D32FDC"/>
    <w:rsid w:val="17F673BF"/>
    <w:rsid w:val="17F8090D"/>
    <w:rsid w:val="180A6C38"/>
    <w:rsid w:val="181141F9"/>
    <w:rsid w:val="184243B2"/>
    <w:rsid w:val="18441ED8"/>
    <w:rsid w:val="186E164B"/>
    <w:rsid w:val="18925339"/>
    <w:rsid w:val="18A1557C"/>
    <w:rsid w:val="18A706B9"/>
    <w:rsid w:val="18B64F08"/>
    <w:rsid w:val="18B90B18"/>
    <w:rsid w:val="18DE5431"/>
    <w:rsid w:val="19157D18"/>
    <w:rsid w:val="19265A82"/>
    <w:rsid w:val="19404D95"/>
    <w:rsid w:val="19481E9C"/>
    <w:rsid w:val="19516FA3"/>
    <w:rsid w:val="19550115"/>
    <w:rsid w:val="19622356"/>
    <w:rsid w:val="1968609A"/>
    <w:rsid w:val="19805192"/>
    <w:rsid w:val="199D21E8"/>
    <w:rsid w:val="19C92FDD"/>
    <w:rsid w:val="19D379B8"/>
    <w:rsid w:val="1A116732"/>
    <w:rsid w:val="1A141D7E"/>
    <w:rsid w:val="1A197394"/>
    <w:rsid w:val="1A1C302B"/>
    <w:rsid w:val="1A5959E3"/>
    <w:rsid w:val="1A7867B1"/>
    <w:rsid w:val="1A794485"/>
    <w:rsid w:val="1A8D4554"/>
    <w:rsid w:val="1A8D771B"/>
    <w:rsid w:val="1A903AFB"/>
    <w:rsid w:val="1AA72BF2"/>
    <w:rsid w:val="1AD121B8"/>
    <w:rsid w:val="1AD734D7"/>
    <w:rsid w:val="1AD92515"/>
    <w:rsid w:val="1AED2CFB"/>
    <w:rsid w:val="1B19589E"/>
    <w:rsid w:val="1B1A25B8"/>
    <w:rsid w:val="1B281F85"/>
    <w:rsid w:val="1B3F107D"/>
    <w:rsid w:val="1B682381"/>
    <w:rsid w:val="1B803B6F"/>
    <w:rsid w:val="1B9B52EF"/>
    <w:rsid w:val="1BA57132"/>
    <w:rsid w:val="1BC341DC"/>
    <w:rsid w:val="1BCA6B98"/>
    <w:rsid w:val="1BD16179"/>
    <w:rsid w:val="1BE03A2E"/>
    <w:rsid w:val="1C0E2F29"/>
    <w:rsid w:val="1C2362A8"/>
    <w:rsid w:val="1C2C7853"/>
    <w:rsid w:val="1C760ACE"/>
    <w:rsid w:val="1CA53161"/>
    <w:rsid w:val="1CC17F9B"/>
    <w:rsid w:val="1CF35EB9"/>
    <w:rsid w:val="1D063C00"/>
    <w:rsid w:val="1D1A76AB"/>
    <w:rsid w:val="1D266050"/>
    <w:rsid w:val="1D2B18B9"/>
    <w:rsid w:val="1D3C1D18"/>
    <w:rsid w:val="1D865DA2"/>
    <w:rsid w:val="1D9531D6"/>
    <w:rsid w:val="1D9C6312"/>
    <w:rsid w:val="1D9E208B"/>
    <w:rsid w:val="1DA7376A"/>
    <w:rsid w:val="1DA90A2F"/>
    <w:rsid w:val="1DB16262"/>
    <w:rsid w:val="1DF20628"/>
    <w:rsid w:val="1DF223D6"/>
    <w:rsid w:val="1E0B307F"/>
    <w:rsid w:val="1E1660C5"/>
    <w:rsid w:val="1E200CF1"/>
    <w:rsid w:val="1E214A6A"/>
    <w:rsid w:val="1E3D5D47"/>
    <w:rsid w:val="1E641526"/>
    <w:rsid w:val="1E82375A"/>
    <w:rsid w:val="1EA00084"/>
    <w:rsid w:val="1EAE27A1"/>
    <w:rsid w:val="1EAE454F"/>
    <w:rsid w:val="1ED3045A"/>
    <w:rsid w:val="1EDA5344"/>
    <w:rsid w:val="1EEB55E8"/>
    <w:rsid w:val="1EF06916"/>
    <w:rsid w:val="1EF328AA"/>
    <w:rsid w:val="1EFB4E1D"/>
    <w:rsid w:val="1F3A4035"/>
    <w:rsid w:val="1F505606"/>
    <w:rsid w:val="1F5844BB"/>
    <w:rsid w:val="1F634808"/>
    <w:rsid w:val="1F737547"/>
    <w:rsid w:val="1F7D3F22"/>
    <w:rsid w:val="1F843502"/>
    <w:rsid w:val="1F971487"/>
    <w:rsid w:val="1FA607CC"/>
    <w:rsid w:val="1FAD4807"/>
    <w:rsid w:val="1FDB4292"/>
    <w:rsid w:val="1FEF6BCD"/>
    <w:rsid w:val="1FFC753C"/>
    <w:rsid w:val="200A1C59"/>
    <w:rsid w:val="201523AC"/>
    <w:rsid w:val="201B3E66"/>
    <w:rsid w:val="203171E6"/>
    <w:rsid w:val="20450EE3"/>
    <w:rsid w:val="205B04E9"/>
    <w:rsid w:val="205B0707"/>
    <w:rsid w:val="205B4263"/>
    <w:rsid w:val="205D622D"/>
    <w:rsid w:val="206A26F8"/>
    <w:rsid w:val="208714FC"/>
    <w:rsid w:val="20B41BC5"/>
    <w:rsid w:val="20DF30E6"/>
    <w:rsid w:val="20E02A5C"/>
    <w:rsid w:val="21110DC5"/>
    <w:rsid w:val="211B39F2"/>
    <w:rsid w:val="211D59BC"/>
    <w:rsid w:val="21262AC3"/>
    <w:rsid w:val="21294361"/>
    <w:rsid w:val="213276BA"/>
    <w:rsid w:val="216058A9"/>
    <w:rsid w:val="217F21D3"/>
    <w:rsid w:val="21983295"/>
    <w:rsid w:val="21B55BF5"/>
    <w:rsid w:val="21D342CD"/>
    <w:rsid w:val="21DC7625"/>
    <w:rsid w:val="222334A6"/>
    <w:rsid w:val="223B07F0"/>
    <w:rsid w:val="22401962"/>
    <w:rsid w:val="2245341D"/>
    <w:rsid w:val="228A0E2F"/>
    <w:rsid w:val="228D0920"/>
    <w:rsid w:val="22A16179"/>
    <w:rsid w:val="22D16A5E"/>
    <w:rsid w:val="22E240F2"/>
    <w:rsid w:val="22E449E3"/>
    <w:rsid w:val="231057D9"/>
    <w:rsid w:val="232C1EE7"/>
    <w:rsid w:val="232F19D7"/>
    <w:rsid w:val="233139A1"/>
    <w:rsid w:val="23353491"/>
    <w:rsid w:val="23367E9E"/>
    <w:rsid w:val="23533917"/>
    <w:rsid w:val="236D2C2B"/>
    <w:rsid w:val="23902475"/>
    <w:rsid w:val="23952182"/>
    <w:rsid w:val="239D1036"/>
    <w:rsid w:val="23A128D5"/>
    <w:rsid w:val="23A777BF"/>
    <w:rsid w:val="23BF0FAD"/>
    <w:rsid w:val="23C2431E"/>
    <w:rsid w:val="23CF0442"/>
    <w:rsid w:val="23ED1676"/>
    <w:rsid w:val="23F5677C"/>
    <w:rsid w:val="240864B0"/>
    <w:rsid w:val="24134E54"/>
    <w:rsid w:val="241E2C74"/>
    <w:rsid w:val="24305A06"/>
    <w:rsid w:val="243536A2"/>
    <w:rsid w:val="243F5C4A"/>
    <w:rsid w:val="244871F4"/>
    <w:rsid w:val="24487BCC"/>
    <w:rsid w:val="24613E12"/>
    <w:rsid w:val="2472601F"/>
    <w:rsid w:val="24755575"/>
    <w:rsid w:val="24857B00"/>
    <w:rsid w:val="24863878"/>
    <w:rsid w:val="24912949"/>
    <w:rsid w:val="249441E7"/>
    <w:rsid w:val="24A51F50"/>
    <w:rsid w:val="24BC0999"/>
    <w:rsid w:val="24DE5462"/>
    <w:rsid w:val="25180974"/>
    <w:rsid w:val="2524556B"/>
    <w:rsid w:val="25461985"/>
    <w:rsid w:val="255537D8"/>
    <w:rsid w:val="2560231B"/>
    <w:rsid w:val="2564005E"/>
    <w:rsid w:val="257B0F03"/>
    <w:rsid w:val="259A582D"/>
    <w:rsid w:val="259F2E44"/>
    <w:rsid w:val="25BC57A4"/>
    <w:rsid w:val="25BD776E"/>
    <w:rsid w:val="25D91503"/>
    <w:rsid w:val="25E01792"/>
    <w:rsid w:val="25F807A6"/>
    <w:rsid w:val="26151358"/>
    <w:rsid w:val="26215F4F"/>
    <w:rsid w:val="262D044F"/>
    <w:rsid w:val="26485289"/>
    <w:rsid w:val="26502390"/>
    <w:rsid w:val="26527EB6"/>
    <w:rsid w:val="265754CC"/>
    <w:rsid w:val="26630315"/>
    <w:rsid w:val="26834513"/>
    <w:rsid w:val="26AD1590"/>
    <w:rsid w:val="270E64D3"/>
    <w:rsid w:val="270F7B55"/>
    <w:rsid w:val="27111B1F"/>
    <w:rsid w:val="2714160F"/>
    <w:rsid w:val="272950BB"/>
    <w:rsid w:val="273B094A"/>
    <w:rsid w:val="27547C5E"/>
    <w:rsid w:val="276500BD"/>
    <w:rsid w:val="276A7481"/>
    <w:rsid w:val="27822A1D"/>
    <w:rsid w:val="27A02EA3"/>
    <w:rsid w:val="27A504B9"/>
    <w:rsid w:val="27D8263D"/>
    <w:rsid w:val="27FA2B83"/>
    <w:rsid w:val="281755C1"/>
    <w:rsid w:val="28220EEB"/>
    <w:rsid w:val="28795BCE"/>
    <w:rsid w:val="288307FB"/>
    <w:rsid w:val="288325A9"/>
    <w:rsid w:val="28A013AD"/>
    <w:rsid w:val="28B5472C"/>
    <w:rsid w:val="28E514B5"/>
    <w:rsid w:val="28F45076"/>
    <w:rsid w:val="28FE60D3"/>
    <w:rsid w:val="29221628"/>
    <w:rsid w:val="29341AF5"/>
    <w:rsid w:val="294855A0"/>
    <w:rsid w:val="294A57BC"/>
    <w:rsid w:val="294E0E09"/>
    <w:rsid w:val="296543A4"/>
    <w:rsid w:val="29656A81"/>
    <w:rsid w:val="2973086F"/>
    <w:rsid w:val="29826D04"/>
    <w:rsid w:val="29A46C7B"/>
    <w:rsid w:val="29DF7CB3"/>
    <w:rsid w:val="29E17ECF"/>
    <w:rsid w:val="2A2B2EF8"/>
    <w:rsid w:val="2A706EC2"/>
    <w:rsid w:val="2A7D127A"/>
    <w:rsid w:val="2A9036A3"/>
    <w:rsid w:val="2AB47391"/>
    <w:rsid w:val="2ACE1AD5"/>
    <w:rsid w:val="2AD43590"/>
    <w:rsid w:val="2ADA4B52"/>
    <w:rsid w:val="2AFA0B1C"/>
    <w:rsid w:val="2B2636BF"/>
    <w:rsid w:val="2B312790"/>
    <w:rsid w:val="2B3C1135"/>
    <w:rsid w:val="2B795EE5"/>
    <w:rsid w:val="2B8054C5"/>
    <w:rsid w:val="2B9F6A3D"/>
    <w:rsid w:val="2BB313F7"/>
    <w:rsid w:val="2BBB02AC"/>
    <w:rsid w:val="2BDA0F01"/>
    <w:rsid w:val="2C177E68"/>
    <w:rsid w:val="2C1856FE"/>
    <w:rsid w:val="2C1A7484"/>
    <w:rsid w:val="2C300C99"/>
    <w:rsid w:val="2C6B7F24"/>
    <w:rsid w:val="2C770676"/>
    <w:rsid w:val="2C8B2374"/>
    <w:rsid w:val="2C972AC7"/>
    <w:rsid w:val="2C9805ED"/>
    <w:rsid w:val="2C9C1E8B"/>
    <w:rsid w:val="2CC47634"/>
    <w:rsid w:val="2CC66F08"/>
    <w:rsid w:val="2CDE24A4"/>
    <w:rsid w:val="2CDE6947"/>
    <w:rsid w:val="2D1C7470"/>
    <w:rsid w:val="2D241E80"/>
    <w:rsid w:val="2D281971"/>
    <w:rsid w:val="2D636E4D"/>
    <w:rsid w:val="2D652BC5"/>
    <w:rsid w:val="2D8D5C78"/>
    <w:rsid w:val="2DBB0A37"/>
    <w:rsid w:val="2DE53D06"/>
    <w:rsid w:val="2DF950BB"/>
    <w:rsid w:val="2DFB4883"/>
    <w:rsid w:val="2E1F2D74"/>
    <w:rsid w:val="2E222864"/>
    <w:rsid w:val="2E3C1B78"/>
    <w:rsid w:val="2E3D58F0"/>
    <w:rsid w:val="2E456552"/>
    <w:rsid w:val="2E5073D1"/>
    <w:rsid w:val="2E6E5560"/>
    <w:rsid w:val="2E7110F5"/>
    <w:rsid w:val="2E7A26A0"/>
    <w:rsid w:val="2E953036"/>
    <w:rsid w:val="2EAB4607"/>
    <w:rsid w:val="2EB37960"/>
    <w:rsid w:val="2EBE493E"/>
    <w:rsid w:val="2EBF4557"/>
    <w:rsid w:val="2ED00512"/>
    <w:rsid w:val="2ED95618"/>
    <w:rsid w:val="2EE43FBD"/>
    <w:rsid w:val="2F2E6FE6"/>
    <w:rsid w:val="2F404439"/>
    <w:rsid w:val="2F544C9F"/>
    <w:rsid w:val="2F5729E1"/>
    <w:rsid w:val="2F713AA3"/>
    <w:rsid w:val="2F77098D"/>
    <w:rsid w:val="2FA63021"/>
    <w:rsid w:val="2FED29FE"/>
    <w:rsid w:val="2FEF6776"/>
    <w:rsid w:val="301015BF"/>
    <w:rsid w:val="301D1535"/>
    <w:rsid w:val="30422D49"/>
    <w:rsid w:val="307408EE"/>
    <w:rsid w:val="30843362"/>
    <w:rsid w:val="30B43247"/>
    <w:rsid w:val="30BF25EC"/>
    <w:rsid w:val="30F46739"/>
    <w:rsid w:val="31126BC0"/>
    <w:rsid w:val="311D0F11"/>
    <w:rsid w:val="311E37B6"/>
    <w:rsid w:val="312608BD"/>
    <w:rsid w:val="3126266B"/>
    <w:rsid w:val="3135465C"/>
    <w:rsid w:val="3136364E"/>
    <w:rsid w:val="3150593A"/>
    <w:rsid w:val="315947EF"/>
    <w:rsid w:val="31701B38"/>
    <w:rsid w:val="3183186B"/>
    <w:rsid w:val="31B62A3C"/>
    <w:rsid w:val="31C133BE"/>
    <w:rsid w:val="31F462C5"/>
    <w:rsid w:val="320C360F"/>
    <w:rsid w:val="32171FB4"/>
    <w:rsid w:val="32180206"/>
    <w:rsid w:val="32472899"/>
    <w:rsid w:val="32585D2D"/>
    <w:rsid w:val="326351F9"/>
    <w:rsid w:val="326571C3"/>
    <w:rsid w:val="326A2A2B"/>
    <w:rsid w:val="32851613"/>
    <w:rsid w:val="32A61CB5"/>
    <w:rsid w:val="32AA2E28"/>
    <w:rsid w:val="32AC3044"/>
    <w:rsid w:val="32B141B6"/>
    <w:rsid w:val="32DF0D23"/>
    <w:rsid w:val="32E53E60"/>
    <w:rsid w:val="32F3657D"/>
    <w:rsid w:val="3321758E"/>
    <w:rsid w:val="33AE06F6"/>
    <w:rsid w:val="33CD5020"/>
    <w:rsid w:val="33D80A95"/>
    <w:rsid w:val="33E32A95"/>
    <w:rsid w:val="33EA1532"/>
    <w:rsid w:val="33F16F60"/>
    <w:rsid w:val="342015F4"/>
    <w:rsid w:val="34313801"/>
    <w:rsid w:val="34474DD2"/>
    <w:rsid w:val="34480B4A"/>
    <w:rsid w:val="345B087E"/>
    <w:rsid w:val="347E631A"/>
    <w:rsid w:val="34873421"/>
    <w:rsid w:val="348E2A01"/>
    <w:rsid w:val="34AB779F"/>
    <w:rsid w:val="34B306BA"/>
    <w:rsid w:val="34E40873"/>
    <w:rsid w:val="34F07218"/>
    <w:rsid w:val="34F30AB6"/>
    <w:rsid w:val="350129DC"/>
    <w:rsid w:val="35076310"/>
    <w:rsid w:val="352073D1"/>
    <w:rsid w:val="35305866"/>
    <w:rsid w:val="35327830"/>
    <w:rsid w:val="355D23D3"/>
    <w:rsid w:val="35683252"/>
    <w:rsid w:val="356C2617"/>
    <w:rsid w:val="357111AD"/>
    <w:rsid w:val="35782183"/>
    <w:rsid w:val="35AD5109"/>
    <w:rsid w:val="35CF32D1"/>
    <w:rsid w:val="35D97CAC"/>
    <w:rsid w:val="35DE5986"/>
    <w:rsid w:val="35EA1EB9"/>
    <w:rsid w:val="36105698"/>
    <w:rsid w:val="36203B2D"/>
    <w:rsid w:val="362829E1"/>
    <w:rsid w:val="36356EAC"/>
    <w:rsid w:val="363D46DF"/>
    <w:rsid w:val="366A6B90"/>
    <w:rsid w:val="366C4FC4"/>
    <w:rsid w:val="369D6F2B"/>
    <w:rsid w:val="36CA5847"/>
    <w:rsid w:val="36DD5106"/>
    <w:rsid w:val="36F16E7F"/>
    <w:rsid w:val="36F62AE0"/>
    <w:rsid w:val="36FE5B80"/>
    <w:rsid w:val="37182A56"/>
    <w:rsid w:val="371B2546"/>
    <w:rsid w:val="371B42F4"/>
    <w:rsid w:val="372C4753"/>
    <w:rsid w:val="37405B09"/>
    <w:rsid w:val="37734130"/>
    <w:rsid w:val="37863E63"/>
    <w:rsid w:val="378B3228"/>
    <w:rsid w:val="379C5435"/>
    <w:rsid w:val="37E8067A"/>
    <w:rsid w:val="37F60FE9"/>
    <w:rsid w:val="37FF7772"/>
    <w:rsid w:val="38064FA4"/>
    <w:rsid w:val="382A2A41"/>
    <w:rsid w:val="38353194"/>
    <w:rsid w:val="383A69FC"/>
    <w:rsid w:val="383C2774"/>
    <w:rsid w:val="386D5023"/>
    <w:rsid w:val="387B4278"/>
    <w:rsid w:val="38926838"/>
    <w:rsid w:val="38A071A7"/>
    <w:rsid w:val="38B22A36"/>
    <w:rsid w:val="38DD7AB3"/>
    <w:rsid w:val="38E52BFD"/>
    <w:rsid w:val="3902576C"/>
    <w:rsid w:val="39033F48"/>
    <w:rsid w:val="390F1C37"/>
    <w:rsid w:val="391D4354"/>
    <w:rsid w:val="39225E0E"/>
    <w:rsid w:val="39227BBC"/>
    <w:rsid w:val="39316051"/>
    <w:rsid w:val="393F42CA"/>
    <w:rsid w:val="39400042"/>
    <w:rsid w:val="3942025E"/>
    <w:rsid w:val="39423DBA"/>
    <w:rsid w:val="39513FFD"/>
    <w:rsid w:val="398919E9"/>
    <w:rsid w:val="39A16D33"/>
    <w:rsid w:val="39A95BE7"/>
    <w:rsid w:val="39AB195F"/>
    <w:rsid w:val="39BC6A1A"/>
    <w:rsid w:val="39D4535A"/>
    <w:rsid w:val="39D76BF8"/>
    <w:rsid w:val="39DF3CFF"/>
    <w:rsid w:val="39EF3F42"/>
    <w:rsid w:val="3A0E1EEE"/>
    <w:rsid w:val="3A175247"/>
    <w:rsid w:val="3A2F2590"/>
    <w:rsid w:val="3A3F02FA"/>
    <w:rsid w:val="3A766411"/>
    <w:rsid w:val="3A8521B0"/>
    <w:rsid w:val="3A8A77C7"/>
    <w:rsid w:val="3A993EAE"/>
    <w:rsid w:val="3A9E3272"/>
    <w:rsid w:val="3AA54601"/>
    <w:rsid w:val="3AB02FA5"/>
    <w:rsid w:val="3B0640BF"/>
    <w:rsid w:val="3B0F4170"/>
    <w:rsid w:val="3B113E3C"/>
    <w:rsid w:val="3B4007CD"/>
    <w:rsid w:val="3B44206B"/>
    <w:rsid w:val="3B4C0F20"/>
    <w:rsid w:val="3B895CD0"/>
    <w:rsid w:val="3BA23236"/>
    <w:rsid w:val="3BC431AC"/>
    <w:rsid w:val="3BD86215"/>
    <w:rsid w:val="3BE56A31"/>
    <w:rsid w:val="3BFF41E4"/>
    <w:rsid w:val="3C096E11"/>
    <w:rsid w:val="3C0E1D15"/>
    <w:rsid w:val="3C1063F2"/>
    <w:rsid w:val="3C270B87"/>
    <w:rsid w:val="3C9E39FD"/>
    <w:rsid w:val="3CA07775"/>
    <w:rsid w:val="3CAD59EE"/>
    <w:rsid w:val="3CBC3E83"/>
    <w:rsid w:val="3CC50F8A"/>
    <w:rsid w:val="3CEB6517"/>
    <w:rsid w:val="3D0F0457"/>
    <w:rsid w:val="3D334FC3"/>
    <w:rsid w:val="3D3B56F0"/>
    <w:rsid w:val="3D436353"/>
    <w:rsid w:val="3D6A1B31"/>
    <w:rsid w:val="3D7200CB"/>
    <w:rsid w:val="3D8C1AA8"/>
    <w:rsid w:val="3DA768E2"/>
    <w:rsid w:val="3DBA4867"/>
    <w:rsid w:val="3DBD1D29"/>
    <w:rsid w:val="3DD376D7"/>
    <w:rsid w:val="3DD60F75"/>
    <w:rsid w:val="3DE6740A"/>
    <w:rsid w:val="3DFA79FE"/>
    <w:rsid w:val="3E173A67"/>
    <w:rsid w:val="3E1A5306"/>
    <w:rsid w:val="3E3D0FF4"/>
    <w:rsid w:val="3E614CE2"/>
    <w:rsid w:val="3E6622F9"/>
    <w:rsid w:val="3E66679D"/>
    <w:rsid w:val="3E6D3687"/>
    <w:rsid w:val="3E991274"/>
    <w:rsid w:val="3EA352FB"/>
    <w:rsid w:val="3EA370A9"/>
    <w:rsid w:val="3EAA6689"/>
    <w:rsid w:val="3EBC016B"/>
    <w:rsid w:val="3EC3599D"/>
    <w:rsid w:val="3EC60FE9"/>
    <w:rsid w:val="3EF773F5"/>
    <w:rsid w:val="3F5D36FC"/>
    <w:rsid w:val="3F632CDC"/>
    <w:rsid w:val="3F732F1F"/>
    <w:rsid w:val="3F823162"/>
    <w:rsid w:val="3FA4132B"/>
    <w:rsid w:val="3FC01EDD"/>
    <w:rsid w:val="3FC92B3F"/>
    <w:rsid w:val="3FE1257F"/>
    <w:rsid w:val="3FE21E53"/>
    <w:rsid w:val="3FEA0D08"/>
    <w:rsid w:val="40021593"/>
    <w:rsid w:val="400E2C48"/>
    <w:rsid w:val="400E49F6"/>
    <w:rsid w:val="406F42BD"/>
    <w:rsid w:val="4087309F"/>
    <w:rsid w:val="408D6263"/>
    <w:rsid w:val="409273D5"/>
    <w:rsid w:val="409A76D3"/>
    <w:rsid w:val="40AE7F87"/>
    <w:rsid w:val="40B05AAD"/>
    <w:rsid w:val="410A340F"/>
    <w:rsid w:val="41540B2E"/>
    <w:rsid w:val="417116E0"/>
    <w:rsid w:val="41790595"/>
    <w:rsid w:val="417F4CE2"/>
    <w:rsid w:val="418F1B67"/>
    <w:rsid w:val="419E624E"/>
    <w:rsid w:val="41A90E7A"/>
    <w:rsid w:val="41AF2209"/>
    <w:rsid w:val="41BD66D4"/>
    <w:rsid w:val="41C55588"/>
    <w:rsid w:val="41D61543"/>
    <w:rsid w:val="41EA1493"/>
    <w:rsid w:val="4214206C"/>
    <w:rsid w:val="42224789"/>
    <w:rsid w:val="422E312E"/>
    <w:rsid w:val="423050F8"/>
    <w:rsid w:val="42480C18"/>
    <w:rsid w:val="424E37D0"/>
    <w:rsid w:val="4265536A"/>
    <w:rsid w:val="426B25D4"/>
    <w:rsid w:val="426E3E72"/>
    <w:rsid w:val="427B20EB"/>
    <w:rsid w:val="42897915"/>
    <w:rsid w:val="42AB6E74"/>
    <w:rsid w:val="42CB3072"/>
    <w:rsid w:val="42ED2FE9"/>
    <w:rsid w:val="43226D2B"/>
    <w:rsid w:val="43853221"/>
    <w:rsid w:val="438751EB"/>
    <w:rsid w:val="43A37B4B"/>
    <w:rsid w:val="43BE4985"/>
    <w:rsid w:val="43C55D14"/>
    <w:rsid w:val="43DF5027"/>
    <w:rsid w:val="440606C4"/>
    <w:rsid w:val="441647C1"/>
    <w:rsid w:val="441B5933"/>
    <w:rsid w:val="442944F4"/>
    <w:rsid w:val="445A2900"/>
    <w:rsid w:val="445A46AE"/>
    <w:rsid w:val="44615A3C"/>
    <w:rsid w:val="44692B43"/>
    <w:rsid w:val="44753296"/>
    <w:rsid w:val="447C2876"/>
    <w:rsid w:val="4482744D"/>
    <w:rsid w:val="44913E48"/>
    <w:rsid w:val="44D05C73"/>
    <w:rsid w:val="44E93C84"/>
    <w:rsid w:val="44F468B0"/>
    <w:rsid w:val="451231DA"/>
    <w:rsid w:val="452627E2"/>
    <w:rsid w:val="453672D4"/>
    <w:rsid w:val="453942C3"/>
    <w:rsid w:val="45435142"/>
    <w:rsid w:val="45525385"/>
    <w:rsid w:val="4561381A"/>
    <w:rsid w:val="45682DFA"/>
    <w:rsid w:val="45835E86"/>
    <w:rsid w:val="458D2861"/>
    <w:rsid w:val="459C4852"/>
    <w:rsid w:val="45A8769B"/>
    <w:rsid w:val="45B941B6"/>
    <w:rsid w:val="45BB73CE"/>
    <w:rsid w:val="45BC4EF4"/>
    <w:rsid w:val="45CA7611"/>
    <w:rsid w:val="45D466E2"/>
    <w:rsid w:val="46130FB8"/>
    <w:rsid w:val="461C3D26"/>
    <w:rsid w:val="462F1B6A"/>
    <w:rsid w:val="462F3918"/>
    <w:rsid w:val="46364CA7"/>
    <w:rsid w:val="464B69A4"/>
    <w:rsid w:val="467001B9"/>
    <w:rsid w:val="467D4684"/>
    <w:rsid w:val="46BD7176"/>
    <w:rsid w:val="46CE1383"/>
    <w:rsid w:val="46E70DF5"/>
    <w:rsid w:val="470E1B77"/>
    <w:rsid w:val="473A07C7"/>
    <w:rsid w:val="474D1C13"/>
    <w:rsid w:val="4771627F"/>
    <w:rsid w:val="47775577"/>
    <w:rsid w:val="47811F51"/>
    <w:rsid w:val="47906638"/>
    <w:rsid w:val="47A10846"/>
    <w:rsid w:val="47BE6D02"/>
    <w:rsid w:val="47CF53B3"/>
    <w:rsid w:val="47D604EF"/>
    <w:rsid w:val="47D77DC3"/>
    <w:rsid w:val="47EB386F"/>
    <w:rsid w:val="48166B3E"/>
    <w:rsid w:val="484F2050"/>
    <w:rsid w:val="48831CF9"/>
    <w:rsid w:val="488717E9"/>
    <w:rsid w:val="48873598"/>
    <w:rsid w:val="48A73C3A"/>
    <w:rsid w:val="48AB197C"/>
    <w:rsid w:val="48B70DEA"/>
    <w:rsid w:val="48D367DD"/>
    <w:rsid w:val="48FF0F18"/>
    <w:rsid w:val="49221512"/>
    <w:rsid w:val="493923F5"/>
    <w:rsid w:val="49511FA8"/>
    <w:rsid w:val="496658A3"/>
    <w:rsid w:val="496F0BFB"/>
    <w:rsid w:val="49787384"/>
    <w:rsid w:val="497F0713"/>
    <w:rsid w:val="498126DD"/>
    <w:rsid w:val="49930CE1"/>
    <w:rsid w:val="49935F6C"/>
    <w:rsid w:val="49A02B7C"/>
    <w:rsid w:val="49FE5ADB"/>
    <w:rsid w:val="4A062BE2"/>
    <w:rsid w:val="4A4060F4"/>
    <w:rsid w:val="4A6C6EE9"/>
    <w:rsid w:val="4A7A7858"/>
    <w:rsid w:val="4AA04DE4"/>
    <w:rsid w:val="4AC24D5B"/>
    <w:rsid w:val="4AD8632C"/>
    <w:rsid w:val="4AFA2747"/>
    <w:rsid w:val="4B0E7FA0"/>
    <w:rsid w:val="4B320132"/>
    <w:rsid w:val="4B3A2B43"/>
    <w:rsid w:val="4B3B68BB"/>
    <w:rsid w:val="4B550EF7"/>
    <w:rsid w:val="4B5C0884"/>
    <w:rsid w:val="4B886815"/>
    <w:rsid w:val="4B9A1834"/>
    <w:rsid w:val="4B9D30D2"/>
    <w:rsid w:val="4B9F32EE"/>
    <w:rsid w:val="4BB072A9"/>
    <w:rsid w:val="4BED5E07"/>
    <w:rsid w:val="4BF47196"/>
    <w:rsid w:val="4C0513A3"/>
    <w:rsid w:val="4C2C4B82"/>
    <w:rsid w:val="4C3E2B07"/>
    <w:rsid w:val="4C4719BC"/>
    <w:rsid w:val="4C4D2D4A"/>
    <w:rsid w:val="4C6D0CF6"/>
    <w:rsid w:val="4CC4300C"/>
    <w:rsid w:val="4CC530DC"/>
    <w:rsid w:val="4D01600E"/>
    <w:rsid w:val="4D1473C4"/>
    <w:rsid w:val="4D203FBB"/>
    <w:rsid w:val="4D79196A"/>
    <w:rsid w:val="4D9E1AAF"/>
    <w:rsid w:val="4DD2500E"/>
    <w:rsid w:val="4DFD3B88"/>
    <w:rsid w:val="4E086F29"/>
    <w:rsid w:val="4E261AA5"/>
    <w:rsid w:val="4E4F2DA9"/>
    <w:rsid w:val="4E5B79A0"/>
    <w:rsid w:val="4E5E4D9B"/>
    <w:rsid w:val="4E600B13"/>
    <w:rsid w:val="4E663936"/>
    <w:rsid w:val="4E6C395B"/>
    <w:rsid w:val="4E7C16C5"/>
    <w:rsid w:val="4E881E17"/>
    <w:rsid w:val="4E9707D3"/>
    <w:rsid w:val="4EAF55F6"/>
    <w:rsid w:val="4EF83441"/>
    <w:rsid w:val="4F035942"/>
    <w:rsid w:val="4F164CB3"/>
    <w:rsid w:val="4F343D4D"/>
    <w:rsid w:val="4F4E4E0F"/>
    <w:rsid w:val="4F6208BA"/>
    <w:rsid w:val="4F624D5E"/>
    <w:rsid w:val="4F9F38BD"/>
    <w:rsid w:val="4FA15887"/>
    <w:rsid w:val="4FA72771"/>
    <w:rsid w:val="4FB8672C"/>
    <w:rsid w:val="4FBA06F6"/>
    <w:rsid w:val="4FBA24A4"/>
    <w:rsid w:val="4FE70DC0"/>
    <w:rsid w:val="50067F94"/>
    <w:rsid w:val="503E4E84"/>
    <w:rsid w:val="50506965"/>
    <w:rsid w:val="50616DC4"/>
    <w:rsid w:val="506C7B5A"/>
    <w:rsid w:val="508B5BEF"/>
    <w:rsid w:val="509727E6"/>
    <w:rsid w:val="509C7DFC"/>
    <w:rsid w:val="50A32F39"/>
    <w:rsid w:val="50BE7D72"/>
    <w:rsid w:val="50F47C38"/>
    <w:rsid w:val="50F639B0"/>
    <w:rsid w:val="5164091A"/>
    <w:rsid w:val="519802C1"/>
    <w:rsid w:val="51B22A66"/>
    <w:rsid w:val="51CC64BF"/>
    <w:rsid w:val="52232583"/>
    <w:rsid w:val="523C53F3"/>
    <w:rsid w:val="52466271"/>
    <w:rsid w:val="525070F0"/>
    <w:rsid w:val="52601BF3"/>
    <w:rsid w:val="52AB2578"/>
    <w:rsid w:val="52C8312A"/>
    <w:rsid w:val="52CA0C50"/>
    <w:rsid w:val="52D41ACF"/>
    <w:rsid w:val="52E33AC0"/>
    <w:rsid w:val="530F6FAB"/>
    <w:rsid w:val="534D53DE"/>
    <w:rsid w:val="537806AC"/>
    <w:rsid w:val="53784B50"/>
    <w:rsid w:val="53964FD7"/>
    <w:rsid w:val="53EC2E48"/>
    <w:rsid w:val="53FD5056"/>
    <w:rsid w:val="546B0211"/>
    <w:rsid w:val="547215A0"/>
    <w:rsid w:val="547C41CC"/>
    <w:rsid w:val="548152F7"/>
    <w:rsid w:val="54837309"/>
    <w:rsid w:val="548B2661"/>
    <w:rsid w:val="549E2395"/>
    <w:rsid w:val="54FC2DF4"/>
    <w:rsid w:val="55313209"/>
    <w:rsid w:val="555667CB"/>
    <w:rsid w:val="559B68D4"/>
    <w:rsid w:val="55B20493"/>
    <w:rsid w:val="55C45E2B"/>
    <w:rsid w:val="55D01C98"/>
    <w:rsid w:val="55EB785C"/>
    <w:rsid w:val="55EC35D4"/>
    <w:rsid w:val="55FD758F"/>
    <w:rsid w:val="561F12B3"/>
    <w:rsid w:val="562C1C22"/>
    <w:rsid w:val="563D5BDD"/>
    <w:rsid w:val="56513437"/>
    <w:rsid w:val="566B274A"/>
    <w:rsid w:val="56A30136"/>
    <w:rsid w:val="56F32B36"/>
    <w:rsid w:val="570A5ABF"/>
    <w:rsid w:val="570F30D6"/>
    <w:rsid w:val="571E77BD"/>
    <w:rsid w:val="575E22AF"/>
    <w:rsid w:val="578C2978"/>
    <w:rsid w:val="57996E43"/>
    <w:rsid w:val="57AA1051"/>
    <w:rsid w:val="57B91294"/>
    <w:rsid w:val="57F10A2D"/>
    <w:rsid w:val="58093FC9"/>
    <w:rsid w:val="5838665C"/>
    <w:rsid w:val="583A0626"/>
    <w:rsid w:val="584A6390"/>
    <w:rsid w:val="58507E4A"/>
    <w:rsid w:val="586456A3"/>
    <w:rsid w:val="58953AAF"/>
    <w:rsid w:val="589F0489"/>
    <w:rsid w:val="58E80082"/>
    <w:rsid w:val="58FF717A"/>
    <w:rsid w:val="591F15CA"/>
    <w:rsid w:val="59352B9C"/>
    <w:rsid w:val="593C3F2A"/>
    <w:rsid w:val="594D4389"/>
    <w:rsid w:val="595B4E18"/>
    <w:rsid w:val="5966544B"/>
    <w:rsid w:val="596D0588"/>
    <w:rsid w:val="59722042"/>
    <w:rsid w:val="597436C4"/>
    <w:rsid w:val="59831B59"/>
    <w:rsid w:val="599C0E6D"/>
    <w:rsid w:val="59AC5554"/>
    <w:rsid w:val="59CF2FF0"/>
    <w:rsid w:val="5A3410A5"/>
    <w:rsid w:val="5AA004E9"/>
    <w:rsid w:val="5AD52888"/>
    <w:rsid w:val="5B0867BA"/>
    <w:rsid w:val="5B120427"/>
    <w:rsid w:val="5B1213E7"/>
    <w:rsid w:val="5B1433B1"/>
    <w:rsid w:val="5B9938B6"/>
    <w:rsid w:val="5B9E2C7A"/>
    <w:rsid w:val="5BA83AF9"/>
    <w:rsid w:val="5BB22BCA"/>
    <w:rsid w:val="5BBE156E"/>
    <w:rsid w:val="5BFC5BF3"/>
    <w:rsid w:val="5C403D31"/>
    <w:rsid w:val="5C584A0D"/>
    <w:rsid w:val="5C7E485A"/>
    <w:rsid w:val="5CBB785C"/>
    <w:rsid w:val="5CCA23B9"/>
    <w:rsid w:val="5CD252D1"/>
    <w:rsid w:val="5CE2128D"/>
    <w:rsid w:val="5CFE3E21"/>
    <w:rsid w:val="5D0631CD"/>
    <w:rsid w:val="5D243653"/>
    <w:rsid w:val="5D2D075A"/>
    <w:rsid w:val="5D3141B6"/>
    <w:rsid w:val="5D414205"/>
    <w:rsid w:val="5D43311F"/>
    <w:rsid w:val="5D443CF5"/>
    <w:rsid w:val="5D4D1EEF"/>
    <w:rsid w:val="5D6E48CE"/>
    <w:rsid w:val="5D9562FF"/>
    <w:rsid w:val="5D99194B"/>
    <w:rsid w:val="5DC838F2"/>
    <w:rsid w:val="5DD45079"/>
    <w:rsid w:val="5DE04C1B"/>
    <w:rsid w:val="5DE66B5A"/>
    <w:rsid w:val="5DEF1556"/>
    <w:rsid w:val="5DF87281"/>
    <w:rsid w:val="5E437B09"/>
    <w:rsid w:val="5E4C4C10"/>
    <w:rsid w:val="5E541D16"/>
    <w:rsid w:val="5E7E6D93"/>
    <w:rsid w:val="5EBE53E1"/>
    <w:rsid w:val="5ECF75EF"/>
    <w:rsid w:val="5ED2780B"/>
    <w:rsid w:val="5EE72B8A"/>
    <w:rsid w:val="5EEB267A"/>
    <w:rsid w:val="5EFC4888"/>
    <w:rsid w:val="5F0E19C2"/>
    <w:rsid w:val="5F41229A"/>
    <w:rsid w:val="5F5C0E82"/>
    <w:rsid w:val="5F70492E"/>
    <w:rsid w:val="5F864151"/>
    <w:rsid w:val="5F93061C"/>
    <w:rsid w:val="5FA10F8B"/>
    <w:rsid w:val="5FB011CE"/>
    <w:rsid w:val="5FB54A36"/>
    <w:rsid w:val="5FBC7B73"/>
    <w:rsid w:val="5FCD7FD2"/>
    <w:rsid w:val="5FCF5AF8"/>
    <w:rsid w:val="5FE377F5"/>
    <w:rsid w:val="5FF23595"/>
    <w:rsid w:val="60017C7C"/>
    <w:rsid w:val="600B28A8"/>
    <w:rsid w:val="600C0AFA"/>
    <w:rsid w:val="600F2399"/>
    <w:rsid w:val="602D281F"/>
    <w:rsid w:val="603B4F3C"/>
    <w:rsid w:val="603D71AA"/>
    <w:rsid w:val="6042451C"/>
    <w:rsid w:val="60575AEE"/>
    <w:rsid w:val="60651FB9"/>
    <w:rsid w:val="6082700E"/>
    <w:rsid w:val="60A725D1"/>
    <w:rsid w:val="60AE7E03"/>
    <w:rsid w:val="60B13450"/>
    <w:rsid w:val="60B151FE"/>
    <w:rsid w:val="60B42F40"/>
    <w:rsid w:val="60C018E5"/>
    <w:rsid w:val="60C767CF"/>
    <w:rsid w:val="60C82547"/>
    <w:rsid w:val="60C90799"/>
    <w:rsid w:val="60D809DC"/>
    <w:rsid w:val="60E47381"/>
    <w:rsid w:val="61063291"/>
    <w:rsid w:val="6118527D"/>
    <w:rsid w:val="611C2FBF"/>
    <w:rsid w:val="61371BA7"/>
    <w:rsid w:val="615564D1"/>
    <w:rsid w:val="6162299C"/>
    <w:rsid w:val="616A0ED6"/>
    <w:rsid w:val="616D381B"/>
    <w:rsid w:val="61700C15"/>
    <w:rsid w:val="61706E67"/>
    <w:rsid w:val="61834DEC"/>
    <w:rsid w:val="618747A1"/>
    <w:rsid w:val="61A46B11"/>
    <w:rsid w:val="61E138C1"/>
    <w:rsid w:val="61E42F96"/>
    <w:rsid w:val="621F43E9"/>
    <w:rsid w:val="62361E5F"/>
    <w:rsid w:val="62797F9D"/>
    <w:rsid w:val="62943029"/>
    <w:rsid w:val="62CC27C3"/>
    <w:rsid w:val="62CF4061"/>
    <w:rsid w:val="62DD052C"/>
    <w:rsid w:val="62E23D94"/>
    <w:rsid w:val="62EE2739"/>
    <w:rsid w:val="62F37D50"/>
    <w:rsid w:val="630B1245"/>
    <w:rsid w:val="63100901"/>
    <w:rsid w:val="632E2B36"/>
    <w:rsid w:val="633A772C"/>
    <w:rsid w:val="635B76A3"/>
    <w:rsid w:val="63B84AF5"/>
    <w:rsid w:val="63D86F45"/>
    <w:rsid w:val="63EE0517"/>
    <w:rsid w:val="63F21DB5"/>
    <w:rsid w:val="64072C5A"/>
    <w:rsid w:val="641C6E32"/>
    <w:rsid w:val="64353CB0"/>
    <w:rsid w:val="644B64CE"/>
    <w:rsid w:val="6461518D"/>
    <w:rsid w:val="647E189B"/>
    <w:rsid w:val="64AD2180"/>
    <w:rsid w:val="64CC0858"/>
    <w:rsid w:val="64CC6AAA"/>
    <w:rsid w:val="64D140C0"/>
    <w:rsid w:val="64D836A1"/>
    <w:rsid w:val="64D911C7"/>
    <w:rsid w:val="651D10B4"/>
    <w:rsid w:val="65200BA4"/>
    <w:rsid w:val="653528A1"/>
    <w:rsid w:val="653D04DD"/>
    <w:rsid w:val="654210FF"/>
    <w:rsid w:val="654900FB"/>
    <w:rsid w:val="6556440D"/>
    <w:rsid w:val="655B7E2E"/>
    <w:rsid w:val="65A17F37"/>
    <w:rsid w:val="65A23448"/>
    <w:rsid w:val="65DA6A2F"/>
    <w:rsid w:val="65E63E7D"/>
    <w:rsid w:val="65F77B57"/>
    <w:rsid w:val="65F8567D"/>
    <w:rsid w:val="66124991"/>
    <w:rsid w:val="663366B5"/>
    <w:rsid w:val="66540B05"/>
    <w:rsid w:val="666D1BC7"/>
    <w:rsid w:val="66860EDB"/>
    <w:rsid w:val="66B15F58"/>
    <w:rsid w:val="670702FB"/>
    <w:rsid w:val="671D183F"/>
    <w:rsid w:val="6727446C"/>
    <w:rsid w:val="674C3ED2"/>
    <w:rsid w:val="67550FD9"/>
    <w:rsid w:val="676B230D"/>
    <w:rsid w:val="67746F85"/>
    <w:rsid w:val="6779459B"/>
    <w:rsid w:val="678278F4"/>
    <w:rsid w:val="678418BE"/>
    <w:rsid w:val="67890C82"/>
    <w:rsid w:val="67982C74"/>
    <w:rsid w:val="67C779FD"/>
    <w:rsid w:val="67FD6A75"/>
    <w:rsid w:val="68264723"/>
    <w:rsid w:val="6832131A"/>
    <w:rsid w:val="686B482C"/>
    <w:rsid w:val="68776D2D"/>
    <w:rsid w:val="68880F3A"/>
    <w:rsid w:val="68B65AA7"/>
    <w:rsid w:val="68B774E8"/>
    <w:rsid w:val="68CF4DBB"/>
    <w:rsid w:val="68E048D2"/>
    <w:rsid w:val="69006D22"/>
    <w:rsid w:val="69286279"/>
    <w:rsid w:val="6931512E"/>
    <w:rsid w:val="6953779A"/>
    <w:rsid w:val="696C03D9"/>
    <w:rsid w:val="698C6808"/>
    <w:rsid w:val="69992CD3"/>
    <w:rsid w:val="69D501AF"/>
    <w:rsid w:val="6A026ACA"/>
    <w:rsid w:val="6A0942FC"/>
    <w:rsid w:val="6A2922A9"/>
    <w:rsid w:val="6A2A10BB"/>
    <w:rsid w:val="6A55309E"/>
    <w:rsid w:val="6A687275"/>
    <w:rsid w:val="6A75729C"/>
    <w:rsid w:val="6A773014"/>
    <w:rsid w:val="6A835E5D"/>
    <w:rsid w:val="6AAE1D30"/>
    <w:rsid w:val="6AC36259"/>
    <w:rsid w:val="6AE508C6"/>
    <w:rsid w:val="6B170353"/>
    <w:rsid w:val="6B2D7B77"/>
    <w:rsid w:val="6B432119"/>
    <w:rsid w:val="6B607F4C"/>
    <w:rsid w:val="6B715CB5"/>
    <w:rsid w:val="6BC04E8F"/>
    <w:rsid w:val="6BD551E6"/>
    <w:rsid w:val="6BDB3A77"/>
    <w:rsid w:val="6BE50451"/>
    <w:rsid w:val="6C0905E4"/>
    <w:rsid w:val="6C3311BD"/>
    <w:rsid w:val="6CA0308B"/>
    <w:rsid w:val="6CC62031"/>
    <w:rsid w:val="6CC87B57"/>
    <w:rsid w:val="6CCA7D73"/>
    <w:rsid w:val="6CEB32F3"/>
    <w:rsid w:val="6CEB5F3B"/>
    <w:rsid w:val="6CFB58C9"/>
    <w:rsid w:val="6CFD06F6"/>
    <w:rsid w:val="6D107750"/>
    <w:rsid w:val="6DD32C57"/>
    <w:rsid w:val="6DFD1A82"/>
    <w:rsid w:val="6E337B9A"/>
    <w:rsid w:val="6E806A55"/>
    <w:rsid w:val="6EDD18B4"/>
    <w:rsid w:val="6EEA78A8"/>
    <w:rsid w:val="6EED7D49"/>
    <w:rsid w:val="6EF015E7"/>
    <w:rsid w:val="6EF2710D"/>
    <w:rsid w:val="6F1277AF"/>
    <w:rsid w:val="6F1C23DC"/>
    <w:rsid w:val="6F370FC4"/>
    <w:rsid w:val="6F4D07E7"/>
    <w:rsid w:val="6F54601A"/>
    <w:rsid w:val="6F6D70DC"/>
    <w:rsid w:val="6F8A37EA"/>
    <w:rsid w:val="6F8A5598"/>
    <w:rsid w:val="6FA36659"/>
    <w:rsid w:val="6FBB39A3"/>
    <w:rsid w:val="6FDB2297"/>
    <w:rsid w:val="6FE2755C"/>
    <w:rsid w:val="6FE80510"/>
    <w:rsid w:val="700923E6"/>
    <w:rsid w:val="700E61C9"/>
    <w:rsid w:val="70111815"/>
    <w:rsid w:val="701E3F32"/>
    <w:rsid w:val="70254AB1"/>
    <w:rsid w:val="70D64AC3"/>
    <w:rsid w:val="71066EA0"/>
    <w:rsid w:val="714F4CEB"/>
    <w:rsid w:val="71724535"/>
    <w:rsid w:val="717861DA"/>
    <w:rsid w:val="718801FD"/>
    <w:rsid w:val="71902C0D"/>
    <w:rsid w:val="71AB7A47"/>
    <w:rsid w:val="71BC3A02"/>
    <w:rsid w:val="71C11019"/>
    <w:rsid w:val="71CD79BE"/>
    <w:rsid w:val="71F5068D"/>
    <w:rsid w:val="71F66F14"/>
    <w:rsid w:val="71FD64F5"/>
    <w:rsid w:val="71FE226D"/>
    <w:rsid w:val="722021E3"/>
    <w:rsid w:val="72552B21"/>
    <w:rsid w:val="726E73F3"/>
    <w:rsid w:val="72850298"/>
    <w:rsid w:val="72B55021"/>
    <w:rsid w:val="72C2773E"/>
    <w:rsid w:val="72D54D7C"/>
    <w:rsid w:val="72F01CFE"/>
    <w:rsid w:val="73261A7B"/>
    <w:rsid w:val="7327134F"/>
    <w:rsid w:val="732C5510"/>
    <w:rsid w:val="73497518"/>
    <w:rsid w:val="73552361"/>
    <w:rsid w:val="7358775B"/>
    <w:rsid w:val="7361272B"/>
    <w:rsid w:val="73AF381F"/>
    <w:rsid w:val="73BE250E"/>
    <w:rsid w:val="73CF5C6F"/>
    <w:rsid w:val="73E3796C"/>
    <w:rsid w:val="741B2C62"/>
    <w:rsid w:val="743E2DF5"/>
    <w:rsid w:val="744228E5"/>
    <w:rsid w:val="74471CA9"/>
    <w:rsid w:val="74546174"/>
    <w:rsid w:val="748F3650"/>
    <w:rsid w:val="74942A15"/>
    <w:rsid w:val="74AB66DC"/>
    <w:rsid w:val="74C2084F"/>
    <w:rsid w:val="74C652C4"/>
    <w:rsid w:val="74DB04C3"/>
    <w:rsid w:val="750758DC"/>
    <w:rsid w:val="751122B7"/>
    <w:rsid w:val="752244C4"/>
    <w:rsid w:val="75265D63"/>
    <w:rsid w:val="753A180E"/>
    <w:rsid w:val="753A73B5"/>
    <w:rsid w:val="75644ADD"/>
    <w:rsid w:val="75734D20"/>
    <w:rsid w:val="75852311"/>
    <w:rsid w:val="75A153E9"/>
    <w:rsid w:val="75D457BF"/>
    <w:rsid w:val="75DA6B4D"/>
    <w:rsid w:val="76120095"/>
    <w:rsid w:val="76650B0D"/>
    <w:rsid w:val="76962A74"/>
    <w:rsid w:val="76A827A7"/>
    <w:rsid w:val="76D33EDE"/>
    <w:rsid w:val="76F679B7"/>
    <w:rsid w:val="770A5434"/>
    <w:rsid w:val="772C5186"/>
    <w:rsid w:val="77530965"/>
    <w:rsid w:val="77644920"/>
    <w:rsid w:val="7771703D"/>
    <w:rsid w:val="777F5BFE"/>
    <w:rsid w:val="77C67389"/>
    <w:rsid w:val="77CE4490"/>
    <w:rsid w:val="77E048EF"/>
    <w:rsid w:val="77FF289B"/>
    <w:rsid w:val="780305DD"/>
    <w:rsid w:val="78120820"/>
    <w:rsid w:val="782D7408"/>
    <w:rsid w:val="78340796"/>
    <w:rsid w:val="784529A4"/>
    <w:rsid w:val="786C571C"/>
    <w:rsid w:val="78715547"/>
    <w:rsid w:val="78880AE2"/>
    <w:rsid w:val="789456D9"/>
    <w:rsid w:val="78FB5758"/>
    <w:rsid w:val="79125D56"/>
    <w:rsid w:val="79200D1B"/>
    <w:rsid w:val="79386064"/>
    <w:rsid w:val="79442C5B"/>
    <w:rsid w:val="7954425A"/>
    <w:rsid w:val="7956298E"/>
    <w:rsid w:val="795E7CFE"/>
    <w:rsid w:val="79782905"/>
    <w:rsid w:val="79A61220"/>
    <w:rsid w:val="79CB0C87"/>
    <w:rsid w:val="79ED32F3"/>
    <w:rsid w:val="7A293BFF"/>
    <w:rsid w:val="7A2C34B2"/>
    <w:rsid w:val="7A2F56B9"/>
    <w:rsid w:val="7A3A5E0C"/>
    <w:rsid w:val="7A5F5873"/>
    <w:rsid w:val="7A652E89"/>
    <w:rsid w:val="7A807CC3"/>
    <w:rsid w:val="7AD55FE2"/>
    <w:rsid w:val="7ADE0E8D"/>
    <w:rsid w:val="7AEC35AA"/>
    <w:rsid w:val="7AF16E13"/>
    <w:rsid w:val="7B05641A"/>
    <w:rsid w:val="7B116B6D"/>
    <w:rsid w:val="7B4A02D1"/>
    <w:rsid w:val="7B4C229B"/>
    <w:rsid w:val="7B6F3E6E"/>
    <w:rsid w:val="7BA94FF8"/>
    <w:rsid w:val="7BB5764F"/>
    <w:rsid w:val="7BC57958"/>
    <w:rsid w:val="7BC65BA9"/>
    <w:rsid w:val="7C345209"/>
    <w:rsid w:val="7C464F3C"/>
    <w:rsid w:val="7C4A4A2C"/>
    <w:rsid w:val="7C4B4301"/>
    <w:rsid w:val="7C55517F"/>
    <w:rsid w:val="7C717FA2"/>
    <w:rsid w:val="7CB838AF"/>
    <w:rsid w:val="7D1110A6"/>
    <w:rsid w:val="7D1D3EEF"/>
    <w:rsid w:val="7D3923AB"/>
    <w:rsid w:val="7D494CE4"/>
    <w:rsid w:val="7D9D6DDE"/>
    <w:rsid w:val="7DC97BD3"/>
    <w:rsid w:val="7DCC321F"/>
    <w:rsid w:val="7DF6029C"/>
    <w:rsid w:val="7E1F77F3"/>
    <w:rsid w:val="7E282B4B"/>
    <w:rsid w:val="7E956EBF"/>
    <w:rsid w:val="7EB51F05"/>
    <w:rsid w:val="7EC30AC6"/>
    <w:rsid w:val="7ED24865"/>
    <w:rsid w:val="7EFB2583"/>
    <w:rsid w:val="7EFE1AFE"/>
    <w:rsid w:val="7F3D43D5"/>
    <w:rsid w:val="7F460DAF"/>
    <w:rsid w:val="7F4C0ABC"/>
    <w:rsid w:val="7F590AE3"/>
    <w:rsid w:val="7FA42529"/>
    <w:rsid w:val="7FB328E9"/>
    <w:rsid w:val="7FC06DB4"/>
    <w:rsid w:val="7FD91C23"/>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semiHidden="0" w:name="Table Web 2"/>
    <w:lsdException w:uiPriority="99" w:semiHidden="0" w:name="Table Web 3"/>
    <w:lsdException w:uiPriority="99" w:name="Balloon Text"/>
    <w:lsdException w:qFormat="1" w:unhideWhenUsed="0" w:uiPriority="39" w:semiHidden="0" w:name="Table Grid"/>
    <w:lsdException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48"/>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autoRedefine/>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link w:val="50"/>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autoRedefine/>
    <w:unhideWhenUsed/>
    <w:qFormat/>
    <w:uiPriority w:val="9"/>
    <w:pPr>
      <w:keepNext/>
      <w:keepLines/>
      <w:spacing w:before="320" w:after="200"/>
      <w:outlineLvl w:val="8"/>
    </w:pPr>
    <w:rPr>
      <w:rFonts w:ascii="Arial" w:hAnsi="Arial" w:eastAsia="Arial" w:cs="Arial"/>
      <w:i/>
      <w:iCs/>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autoRedefine/>
    <w:unhideWhenUsed/>
    <w:qFormat/>
    <w:uiPriority w:val="99"/>
    <w:pPr>
      <w:ind w:firstLine="420"/>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autoRedefine/>
    <w:semiHidden/>
    <w:unhideWhenUsed/>
    <w:qFormat/>
    <w:uiPriority w:val="99"/>
    <w:pPr>
      <w:jc w:val="left"/>
    </w:pPr>
  </w:style>
  <w:style w:type="paragraph" w:styleId="15">
    <w:name w:val="Body Text"/>
    <w:basedOn w:val="1"/>
    <w:link w:val="313"/>
    <w:autoRedefine/>
    <w:semiHidden/>
    <w:unhideWhenUsed/>
    <w:qFormat/>
    <w:uiPriority w:val="99"/>
    <w:pPr>
      <w:spacing w:after="120"/>
    </w:pPr>
  </w:style>
  <w:style w:type="paragraph" w:styleId="16">
    <w:name w:val="Body Text Indent"/>
    <w:basedOn w:val="1"/>
    <w:next w:val="17"/>
    <w:autoRedefine/>
    <w:qFormat/>
    <w:uiPriority w:val="99"/>
    <w:pPr>
      <w:adjustRightInd w:val="0"/>
      <w:snapToGrid w:val="0"/>
      <w:spacing w:line="460" w:lineRule="exact"/>
      <w:ind w:firstLine="560" w:firstLineChars="200"/>
    </w:pPr>
    <w:rPr>
      <w:rFonts w:ascii="仿宋_GB2312" w:hAnsi="Tahoma" w:eastAsia="仿宋_GB2312"/>
      <w:sz w:val="28"/>
    </w:rPr>
  </w:style>
  <w:style w:type="paragraph" w:styleId="17">
    <w:name w:val="envelope return"/>
    <w:basedOn w:val="1"/>
    <w:autoRedefine/>
    <w:qFormat/>
    <w:uiPriority w:val="0"/>
    <w:pPr>
      <w:snapToGrid w:val="0"/>
    </w:pPr>
    <w:rPr>
      <w:rFonts w:ascii="Arial" w:hAnsi="Arial"/>
    </w:rPr>
  </w:style>
  <w:style w:type="paragraph" w:styleId="18">
    <w:name w:val="Block Text"/>
    <w:basedOn w:val="1"/>
    <w:autoRedefine/>
    <w:unhideWhenUsed/>
    <w:qFormat/>
    <w:uiPriority w:val="0"/>
    <w:pPr>
      <w:ind w:left="1440" w:leftChars="700" w:right="700" w:rightChars="700"/>
    </w:pPr>
    <w:rPr>
      <w:rFonts w:hint="eastAsia"/>
      <w:szCs w:val="22"/>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Plain Text"/>
    <w:basedOn w:val="1"/>
    <w:autoRedefine/>
    <w:qFormat/>
    <w:uiPriority w:val="0"/>
    <w:rPr>
      <w:rFonts w:ascii="宋体" w:hAnsi="Courier New"/>
      <w:szCs w:val="22"/>
    </w:rPr>
  </w:style>
  <w:style w:type="paragraph" w:styleId="22">
    <w:name w:val="toc 8"/>
    <w:basedOn w:val="1"/>
    <w:next w:val="1"/>
    <w:autoRedefine/>
    <w:unhideWhenUsed/>
    <w:qFormat/>
    <w:uiPriority w:val="39"/>
    <w:pPr>
      <w:spacing w:after="57"/>
      <w:ind w:left="1984"/>
    </w:pPr>
  </w:style>
  <w:style w:type="paragraph" w:styleId="23">
    <w:name w:val="endnote text"/>
    <w:basedOn w:val="1"/>
    <w:link w:val="194"/>
    <w:autoRedefine/>
    <w:semiHidden/>
    <w:unhideWhenUsed/>
    <w:qFormat/>
    <w:uiPriority w:val="99"/>
    <w:rPr>
      <w:sz w:val="20"/>
    </w:rPr>
  </w:style>
  <w:style w:type="paragraph" w:styleId="24">
    <w:name w:val="footer"/>
    <w:basedOn w:val="1"/>
    <w:link w:val="67"/>
    <w:autoRedefine/>
    <w:unhideWhenUsed/>
    <w:qFormat/>
    <w:uiPriority w:val="99"/>
    <w:pPr>
      <w:tabs>
        <w:tab w:val="center" w:pos="7143"/>
        <w:tab w:val="right" w:pos="14287"/>
      </w:tabs>
    </w:pPr>
  </w:style>
  <w:style w:type="paragraph" w:styleId="25">
    <w:name w:val="header"/>
    <w:basedOn w:val="1"/>
    <w:link w:val="65"/>
    <w:autoRedefine/>
    <w:unhideWhenUsed/>
    <w:qFormat/>
    <w:uiPriority w:val="99"/>
    <w:pPr>
      <w:tabs>
        <w:tab w:val="center" w:pos="7143"/>
        <w:tab w:val="right" w:pos="14287"/>
      </w:tabs>
    </w:pPr>
  </w:style>
  <w:style w:type="paragraph" w:styleId="26">
    <w:name w:val="toc 1"/>
    <w:basedOn w:val="1"/>
    <w:next w:val="1"/>
    <w:autoRedefine/>
    <w:unhideWhenUsed/>
    <w:qFormat/>
    <w:uiPriority w:val="39"/>
    <w:pPr>
      <w:spacing w:after="57"/>
    </w:pPr>
  </w:style>
  <w:style w:type="paragraph" w:styleId="27">
    <w:name w:val="toc 4"/>
    <w:basedOn w:val="1"/>
    <w:next w:val="1"/>
    <w:autoRedefine/>
    <w:unhideWhenUsed/>
    <w:qFormat/>
    <w:uiPriority w:val="39"/>
    <w:pPr>
      <w:spacing w:after="57"/>
      <w:ind w:left="850"/>
    </w:pPr>
  </w:style>
  <w:style w:type="paragraph" w:styleId="28">
    <w:name w:val="Subtitle"/>
    <w:basedOn w:val="1"/>
    <w:next w:val="1"/>
    <w:link w:val="60"/>
    <w:autoRedefine/>
    <w:qFormat/>
    <w:uiPriority w:val="11"/>
    <w:pPr>
      <w:spacing w:before="200" w:after="200"/>
    </w:pPr>
    <w:rPr>
      <w:sz w:val="24"/>
      <w:szCs w:val="24"/>
    </w:rPr>
  </w:style>
  <w:style w:type="paragraph" w:styleId="29">
    <w:name w:val="footnote text"/>
    <w:basedOn w:val="1"/>
    <w:link w:val="193"/>
    <w:autoRedefine/>
    <w:semiHidden/>
    <w:unhideWhenUsed/>
    <w:qFormat/>
    <w:uiPriority w:val="99"/>
    <w:pPr>
      <w:spacing w:after="40"/>
    </w:pPr>
    <w:rPr>
      <w:sz w:val="18"/>
    </w:rPr>
  </w:style>
  <w:style w:type="paragraph" w:styleId="30">
    <w:name w:val="toc 6"/>
    <w:basedOn w:val="1"/>
    <w:next w:val="1"/>
    <w:autoRedefine/>
    <w:unhideWhenUsed/>
    <w:qFormat/>
    <w:uiPriority w:val="39"/>
    <w:pPr>
      <w:spacing w:after="57"/>
      <w:ind w:left="1417"/>
    </w:pPr>
  </w:style>
  <w:style w:type="paragraph" w:styleId="31">
    <w:name w:val="Body Text Indent 3"/>
    <w:basedOn w:val="1"/>
    <w:autoRedefine/>
    <w:qFormat/>
    <w:uiPriority w:val="0"/>
    <w:pPr>
      <w:ind w:left="645" w:firstLine="645"/>
    </w:pPr>
    <w:rPr>
      <w:rFonts w:ascii="Arial" w:hAnsi="Arial" w:eastAsia="仿宋_GB2312"/>
      <w:color w:val="FFFF00"/>
      <w:sz w:val="32"/>
      <w:szCs w:val="32"/>
    </w:r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autoRedefine/>
    <w:qFormat/>
    <w:uiPriority w:val="0"/>
    <w:pPr>
      <w:spacing w:beforeAutospacing="1" w:afterAutospacing="1"/>
      <w:jc w:val="left"/>
    </w:pPr>
    <w:rPr>
      <w:sz w:val="24"/>
    </w:rPr>
  </w:style>
  <w:style w:type="paragraph" w:styleId="36">
    <w:name w:val="Title"/>
    <w:basedOn w:val="1"/>
    <w:next w:val="1"/>
    <w:link w:val="59"/>
    <w:autoRedefine/>
    <w:qFormat/>
    <w:uiPriority w:val="10"/>
    <w:pPr>
      <w:spacing w:before="300" w:after="200"/>
      <w:contextualSpacing/>
    </w:pPr>
    <w:rPr>
      <w:sz w:val="48"/>
      <w:szCs w:val="48"/>
    </w:rPr>
  </w:style>
  <w:style w:type="paragraph" w:styleId="37">
    <w:name w:val="Body Text First Indent"/>
    <w:basedOn w:val="1"/>
    <w:link w:val="314"/>
    <w:autoRedefine/>
    <w:semiHidden/>
    <w:unhideWhenUsed/>
    <w:qFormat/>
    <w:uiPriority w:val="99"/>
    <w:pPr>
      <w:ind w:firstLine="420" w:firstLineChars="100"/>
    </w:pPr>
  </w:style>
  <w:style w:type="paragraph" w:styleId="38">
    <w:name w:val="Body Text First Indent 2"/>
    <w:basedOn w:val="16"/>
    <w:next w:val="1"/>
    <w:autoRedefine/>
    <w:unhideWhenUsed/>
    <w:qFormat/>
    <w:uiPriority w:val="0"/>
    <w:pPr>
      <w:adjustRightInd/>
      <w:snapToGrid/>
      <w:spacing w:after="120" w:line="360" w:lineRule="auto"/>
      <w:ind w:left="420" w:leftChars="200" w:firstLine="420"/>
    </w:pPr>
    <w:rPr>
      <w:rFonts w:ascii="Times New Roman" w:hAnsi="Times New Roman" w:eastAsia="宋体"/>
      <w:sz w:val="24"/>
      <w:szCs w:val="22"/>
    </w:rPr>
  </w:style>
  <w:style w:type="table" w:styleId="40">
    <w:name w:val="Table Grid"/>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autoRedefine/>
    <w:semiHidden/>
    <w:unhideWhenUsed/>
    <w:qFormat/>
    <w:uiPriority w:val="99"/>
    <w:rPr>
      <w:vertAlign w:val="superscript"/>
    </w:rPr>
  </w:style>
  <w:style w:type="character" w:styleId="43">
    <w:name w:val="Hyperlink"/>
    <w:autoRedefine/>
    <w:unhideWhenUsed/>
    <w:qFormat/>
    <w:uiPriority w:val="99"/>
    <w:rPr>
      <w:color w:val="0000FF" w:themeColor="hyperlink"/>
      <w:u w:val="single"/>
      <w14:textFill>
        <w14:solidFill>
          <w14:schemeClr w14:val="hlink"/>
        </w14:solidFill>
      </w14:textFill>
    </w:rPr>
  </w:style>
  <w:style w:type="character" w:styleId="44">
    <w:name w:val="footnote reference"/>
    <w:autoRedefine/>
    <w:unhideWhenUsed/>
    <w:qFormat/>
    <w:uiPriority w:val="99"/>
    <w:rPr>
      <w:vertAlign w:val="superscript"/>
    </w:rPr>
  </w:style>
  <w:style w:type="paragraph" w:customStyle="1" w:styleId="45">
    <w:name w:val="_Style 3"/>
    <w:next w:val="31"/>
    <w:autoRedefine/>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6">
    <w:name w:val="正文首行缩进1"/>
    <w:basedOn w:val="47"/>
    <w:next w:val="1"/>
    <w:link w:val="242"/>
    <w:autoRedefine/>
    <w:qFormat/>
    <w:uiPriority w:val="0"/>
    <w:pPr>
      <w:spacing w:line="360" w:lineRule="auto"/>
      <w:ind w:firstLine="200"/>
    </w:pPr>
    <w:rPr>
      <w:rFonts w:ascii="仿宋_GB2312" w:eastAsia="仿宋_GB2312"/>
      <w:sz w:val="30"/>
      <w:szCs w:val="30"/>
    </w:rPr>
  </w:style>
  <w:style w:type="paragraph" w:customStyle="1" w:styleId="47">
    <w:name w:val="正文文本1"/>
    <w:basedOn w:val="1"/>
    <w:next w:val="1"/>
    <w:autoRedefine/>
    <w:qFormat/>
    <w:uiPriority w:val="0"/>
    <w:rPr>
      <w:rFonts w:ascii="楷体_GB2312" w:hAnsi="Arial" w:eastAsia="楷体_GB2312"/>
      <w:sz w:val="28"/>
      <w:szCs w:val="28"/>
    </w:rPr>
  </w:style>
  <w:style w:type="character" w:customStyle="1" w:styleId="48">
    <w:name w:val="标题 1 Char"/>
    <w:link w:val="3"/>
    <w:autoRedefine/>
    <w:qFormat/>
    <w:uiPriority w:val="9"/>
    <w:rPr>
      <w:rFonts w:ascii="Arial" w:hAnsi="Arial" w:eastAsia="Arial" w:cs="Arial"/>
      <w:sz w:val="40"/>
      <w:szCs w:val="40"/>
    </w:rPr>
  </w:style>
  <w:style w:type="character" w:customStyle="1" w:styleId="49">
    <w:name w:val="标题 2 Char"/>
    <w:link w:val="4"/>
    <w:autoRedefine/>
    <w:qFormat/>
    <w:uiPriority w:val="9"/>
    <w:rPr>
      <w:rFonts w:ascii="Arial" w:hAnsi="Arial" w:eastAsia="Arial" w:cs="Arial"/>
      <w:sz w:val="34"/>
    </w:rPr>
  </w:style>
  <w:style w:type="character" w:customStyle="1" w:styleId="50">
    <w:name w:val="标题 3 Char1"/>
    <w:link w:val="2"/>
    <w:autoRedefine/>
    <w:qFormat/>
    <w:uiPriority w:val="9"/>
    <w:rPr>
      <w:rFonts w:ascii="Arial" w:hAnsi="Arial" w:eastAsia="Arial" w:cs="Arial"/>
      <w:sz w:val="30"/>
      <w:szCs w:val="30"/>
    </w:rPr>
  </w:style>
  <w:style w:type="character" w:customStyle="1" w:styleId="51">
    <w:name w:val="标题 4 Char1"/>
    <w:link w:val="5"/>
    <w:autoRedefine/>
    <w:qFormat/>
    <w:uiPriority w:val="9"/>
    <w:rPr>
      <w:rFonts w:ascii="Arial" w:hAnsi="Arial" w:eastAsia="Arial" w:cs="Arial"/>
      <w:b/>
      <w:bCs/>
      <w:sz w:val="26"/>
      <w:szCs w:val="26"/>
    </w:rPr>
  </w:style>
  <w:style w:type="character" w:customStyle="1" w:styleId="52">
    <w:name w:val="标题 5 Char"/>
    <w:link w:val="6"/>
    <w:autoRedefine/>
    <w:qFormat/>
    <w:uiPriority w:val="9"/>
    <w:rPr>
      <w:rFonts w:ascii="Arial" w:hAnsi="Arial" w:eastAsia="Arial" w:cs="Arial"/>
      <w:b/>
      <w:bCs/>
      <w:sz w:val="24"/>
      <w:szCs w:val="24"/>
    </w:rPr>
  </w:style>
  <w:style w:type="character" w:customStyle="1" w:styleId="53">
    <w:name w:val="标题 6 Char"/>
    <w:link w:val="7"/>
    <w:autoRedefine/>
    <w:qFormat/>
    <w:uiPriority w:val="9"/>
    <w:rPr>
      <w:rFonts w:ascii="Arial" w:hAnsi="Arial" w:eastAsia="Arial" w:cs="Arial"/>
      <w:b/>
      <w:bCs/>
      <w:sz w:val="22"/>
      <w:szCs w:val="22"/>
    </w:rPr>
  </w:style>
  <w:style w:type="character" w:customStyle="1" w:styleId="54">
    <w:name w:val="标题 7 Char"/>
    <w:link w:val="8"/>
    <w:autoRedefine/>
    <w:qFormat/>
    <w:uiPriority w:val="9"/>
    <w:rPr>
      <w:rFonts w:ascii="Arial" w:hAnsi="Arial" w:eastAsia="Arial" w:cs="Arial"/>
      <w:b/>
      <w:bCs/>
      <w:i/>
      <w:iCs/>
      <w:sz w:val="22"/>
      <w:szCs w:val="22"/>
    </w:rPr>
  </w:style>
  <w:style w:type="character" w:customStyle="1" w:styleId="55">
    <w:name w:val="标题 8 Char"/>
    <w:link w:val="9"/>
    <w:autoRedefine/>
    <w:qFormat/>
    <w:uiPriority w:val="9"/>
    <w:rPr>
      <w:rFonts w:ascii="Arial" w:hAnsi="Arial" w:eastAsia="Arial" w:cs="Arial"/>
      <w:i/>
      <w:iCs/>
      <w:sz w:val="22"/>
      <w:szCs w:val="22"/>
    </w:rPr>
  </w:style>
  <w:style w:type="character" w:customStyle="1" w:styleId="56">
    <w:name w:val="标题 9 Char"/>
    <w:link w:val="10"/>
    <w:autoRedefine/>
    <w:qFormat/>
    <w:uiPriority w:val="9"/>
    <w:rPr>
      <w:rFonts w:ascii="Arial" w:hAnsi="Arial" w:eastAsia="Arial" w:cs="Arial"/>
      <w:i/>
      <w:iCs/>
      <w:sz w:val="21"/>
      <w:szCs w:val="21"/>
    </w:rPr>
  </w:style>
  <w:style w:type="paragraph" w:styleId="57">
    <w:name w:val="List Paragraph"/>
    <w:basedOn w:val="1"/>
    <w:autoRedefine/>
    <w:qFormat/>
    <w:uiPriority w:val="34"/>
    <w:pPr>
      <w:ind w:left="720"/>
      <w:contextualSpacing/>
    </w:pPr>
  </w:style>
  <w:style w:type="paragraph" w:styleId="58">
    <w:name w:val="No Spacing"/>
    <w:autoRedefine/>
    <w:qFormat/>
    <w:uiPriority w:val="1"/>
    <w:rPr>
      <w:rFonts w:ascii="Times New Roman" w:hAnsi="Times New Roman" w:eastAsia="宋体" w:cs="Times New Roman"/>
      <w:lang w:val="en-US" w:eastAsia="zh-CN" w:bidi="ar-SA"/>
    </w:rPr>
  </w:style>
  <w:style w:type="character" w:customStyle="1" w:styleId="59">
    <w:name w:val="标题 Char"/>
    <w:link w:val="36"/>
    <w:autoRedefine/>
    <w:qFormat/>
    <w:uiPriority w:val="10"/>
    <w:rPr>
      <w:sz w:val="48"/>
      <w:szCs w:val="48"/>
    </w:rPr>
  </w:style>
  <w:style w:type="character" w:customStyle="1" w:styleId="60">
    <w:name w:val="副标题 Char"/>
    <w:link w:val="28"/>
    <w:autoRedefine/>
    <w:qFormat/>
    <w:uiPriority w:val="11"/>
    <w:rPr>
      <w:sz w:val="24"/>
      <w:szCs w:val="24"/>
    </w:rPr>
  </w:style>
  <w:style w:type="paragraph" w:styleId="61">
    <w:name w:val="Quote"/>
    <w:basedOn w:val="1"/>
    <w:next w:val="1"/>
    <w:link w:val="62"/>
    <w:autoRedefine/>
    <w:qFormat/>
    <w:uiPriority w:val="29"/>
    <w:pPr>
      <w:ind w:left="720" w:right="720"/>
    </w:pPr>
    <w:rPr>
      <w:i/>
    </w:rPr>
  </w:style>
  <w:style w:type="character" w:customStyle="1" w:styleId="62">
    <w:name w:val="引用 Char"/>
    <w:link w:val="61"/>
    <w:autoRedefine/>
    <w:qFormat/>
    <w:uiPriority w:val="29"/>
    <w:rPr>
      <w:i/>
    </w:rPr>
  </w:style>
  <w:style w:type="paragraph" w:styleId="63">
    <w:name w:val="Intense Quote"/>
    <w:basedOn w:val="1"/>
    <w:next w:val="1"/>
    <w:link w:val="6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autoRedefine/>
    <w:qFormat/>
    <w:uiPriority w:val="30"/>
    <w:rPr>
      <w:i/>
    </w:rPr>
  </w:style>
  <w:style w:type="character" w:customStyle="1" w:styleId="65">
    <w:name w:val="页眉 Char"/>
    <w:link w:val="25"/>
    <w:autoRedefine/>
    <w:qFormat/>
    <w:uiPriority w:val="99"/>
  </w:style>
  <w:style w:type="character" w:customStyle="1" w:styleId="66">
    <w:name w:val="Footer Char"/>
    <w:autoRedefine/>
    <w:qFormat/>
    <w:uiPriority w:val="99"/>
  </w:style>
  <w:style w:type="character" w:customStyle="1" w:styleId="67">
    <w:name w:val="页脚 Char"/>
    <w:link w:val="24"/>
    <w:autoRedefine/>
    <w:qFormat/>
    <w:uiPriority w:val="99"/>
  </w:style>
  <w:style w:type="table" w:customStyle="1" w:styleId="68">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Char"/>
    <w:link w:val="29"/>
    <w:autoRedefine/>
    <w:qFormat/>
    <w:uiPriority w:val="99"/>
    <w:rPr>
      <w:sz w:val="18"/>
    </w:rPr>
  </w:style>
  <w:style w:type="character" w:customStyle="1" w:styleId="194">
    <w:name w:val="尾注文本 Char"/>
    <w:link w:val="23"/>
    <w:autoRedefine/>
    <w:qFormat/>
    <w:uiPriority w:val="99"/>
    <w:rPr>
      <w:sz w:val="20"/>
    </w:rPr>
  </w:style>
  <w:style w:type="paragraph" w:customStyle="1" w:styleId="195">
    <w:name w:val="TOC 标题1"/>
    <w:autoRedefine/>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autoRedefine/>
    <w:qFormat/>
    <w:uiPriority w:val="0"/>
    <w:pPr>
      <w:keepNext/>
      <w:jc w:val="center"/>
      <w:outlineLvl w:val="0"/>
    </w:pPr>
    <w:rPr>
      <w:rFonts w:ascii="楷体_GB2312" w:eastAsia="楷体_GB2312"/>
      <w:sz w:val="28"/>
      <w:szCs w:val="28"/>
    </w:rPr>
  </w:style>
  <w:style w:type="paragraph" w:customStyle="1" w:styleId="197">
    <w:name w:val="标题 21"/>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8">
    <w:name w:val="标题 31"/>
    <w:basedOn w:val="1"/>
    <w:next w:val="199"/>
    <w:link w:val="208"/>
    <w:autoRedefine/>
    <w:qFormat/>
    <w:uiPriority w:val="0"/>
    <w:pPr>
      <w:keepNext/>
      <w:keepLines/>
      <w:spacing w:before="260" w:after="260" w:line="416" w:lineRule="auto"/>
      <w:outlineLvl w:val="2"/>
    </w:pPr>
    <w:rPr>
      <w:b/>
      <w:bCs/>
      <w:sz w:val="32"/>
      <w:szCs w:val="32"/>
    </w:rPr>
  </w:style>
  <w:style w:type="paragraph" w:customStyle="1" w:styleId="199">
    <w:name w:val="正文缩进1"/>
    <w:basedOn w:val="1"/>
    <w:link w:val="209"/>
    <w:autoRedefine/>
    <w:qFormat/>
    <w:uiPriority w:val="0"/>
    <w:pPr>
      <w:ind w:firstLine="420"/>
    </w:pPr>
  </w:style>
  <w:style w:type="paragraph" w:customStyle="1" w:styleId="200">
    <w:name w:val="标题 41"/>
    <w:basedOn w:val="1"/>
    <w:next w:val="1"/>
    <w:link w:val="210"/>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1">
    <w:name w:val="标题 51"/>
    <w:basedOn w:val="1"/>
    <w:next w:val="199"/>
    <w:autoRedefine/>
    <w:qFormat/>
    <w:uiPriority w:val="0"/>
    <w:pPr>
      <w:keepNext/>
      <w:outlineLvl w:val="4"/>
    </w:pPr>
    <w:rPr>
      <w:rFonts w:ascii="宋体"/>
      <w:color w:val="000000"/>
      <w:sz w:val="28"/>
      <w:szCs w:val="28"/>
    </w:rPr>
  </w:style>
  <w:style w:type="paragraph" w:customStyle="1" w:styleId="202">
    <w:name w:val="标题 61"/>
    <w:basedOn w:val="1"/>
    <w:next w:val="1"/>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3">
    <w:name w:val="标题 71"/>
    <w:basedOn w:val="1"/>
    <w:next w:val="1"/>
    <w:autoRedefine/>
    <w:qFormat/>
    <w:uiPriority w:val="0"/>
    <w:pPr>
      <w:keepNext/>
      <w:keepLines/>
      <w:numPr>
        <w:ilvl w:val="6"/>
        <w:numId w:val="1"/>
      </w:numPr>
      <w:spacing w:before="240" w:after="64" w:line="320" w:lineRule="auto"/>
      <w:outlineLvl w:val="6"/>
    </w:pPr>
    <w:rPr>
      <w:b/>
      <w:bCs/>
      <w:sz w:val="24"/>
      <w:szCs w:val="24"/>
    </w:rPr>
  </w:style>
  <w:style w:type="paragraph" w:customStyle="1" w:styleId="204">
    <w:name w:val="标题 81"/>
    <w:basedOn w:val="1"/>
    <w:next w:val="1"/>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5">
    <w:name w:val="标题 91"/>
    <w:basedOn w:val="1"/>
    <w:next w:val="1"/>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06">
    <w:name w:val="默认段落字体1"/>
    <w:autoRedefine/>
    <w:semiHidden/>
    <w:qFormat/>
    <w:uiPriority w:val="0"/>
  </w:style>
  <w:style w:type="table" w:customStyle="1" w:styleId="207">
    <w:name w:val="普通表格1"/>
    <w:autoRedefine/>
    <w:semiHidden/>
    <w:qFormat/>
    <w:uiPriority w:val="0"/>
    <w:tblPr>
      <w:tblCellMar>
        <w:top w:w="0" w:type="dxa"/>
        <w:left w:w="0" w:type="dxa"/>
        <w:bottom w:w="0" w:type="dxa"/>
        <w:right w:w="0" w:type="dxa"/>
      </w:tblCellMar>
    </w:tblPr>
  </w:style>
  <w:style w:type="character" w:customStyle="1" w:styleId="208">
    <w:name w:val="标题 3 Char"/>
    <w:link w:val="198"/>
    <w:autoRedefine/>
    <w:qFormat/>
    <w:uiPriority w:val="0"/>
    <w:rPr>
      <w:rFonts w:eastAsia="宋体"/>
      <w:b/>
      <w:bCs/>
      <w:sz w:val="32"/>
      <w:szCs w:val="32"/>
      <w:lang w:val="en-US" w:eastAsia="zh-CN" w:bidi="ar-SA"/>
    </w:rPr>
  </w:style>
  <w:style w:type="character" w:customStyle="1" w:styleId="209">
    <w:name w:val="正文缩进 Char"/>
    <w:link w:val="199"/>
    <w:autoRedefine/>
    <w:qFormat/>
    <w:uiPriority w:val="0"/>
    <w:rPr>
      <w:sz w:val="21"/>
      <w:szCs w:val="21"/>
    </w:rPr>
  </w:style>
  <w:style w:type="character" w:customStyle="1" w:styleId="210">
    <w:name w:val="标题 4 Char"/>
    <w:link w:val="200"/>
    <w:autoRedefine/>
    <w:qFormat/>
    <w:uiPriority w:val="0"/>
    <w:rPr>
      <w:rFonts w:ascii="Arial" w:hAnsi="Arial" w:eastAsia="黑体" w:cs="Arial"/>
      <w:b/>
      <w:bCs/>
      <w:sz w:val="28"/>
      <w:szCs w:val="28"/>
    </w:rPr>
  </w:style>
  <w:style w:type="paragraph" w:customStyle="1" w:styleId="211">
    <w:name w:val="列表 31"/>
    <w:basedOn w:val="1"/>
    <w:autoRedefine/>
    <w:qFormat/>
    <w:uiPriority w:val="0"/>
    <w:pPr>
      <w:ind w:left="100" w:hanging="200"/>
    </w:pPr>
  </w:style>
  <w:style w:type="paragraph" w:customStyle="1" w:styleId="212">
    <w:name w:val="目录 71"/>
    <w:basedOn w:val="1"/>
    <w:next w:val="1"/>
    <w:autoRedefine/>
    <w:semiHidden/>
    <w:qFormat/>
    <w:uiPriority w:val="0"/>
    <w:pPr>
      <w:ind w:left="1260"/>
      <w:jc w:val="left"/>
    </w:pPr>
  </w:style>
  <w:style w:type="paragraph" w:customStyle="1" w:styleId="213">
    <w:name w:val="文档结构图1"/>
    <w:basedOn w:val="1"/>
    <w:link w:val="214"/>
    <w:autoRedefine/>
    <w:semiHidden/>
    <w:qFormat/>
    <w:uiPriority w:val="0"/>
    <w:pPr>
      <w:shd w:val="clear" w:color="auto" w:fill="000080"/>
    </w:pPr>
  </w:style>
  <w:style w:type="character" w:customStyle="1" w:styleId="214">
    <w:name w:val="文档结构图 Char"/>
    <w:link w:val="213"/>
    <w:autoRedefine/>
    <w:qFormat/>
    <w:uiPriority w:val="0"/>
    <w:rPr>
      <w:rFonts w:eastAsia="宋体"/>
      <w:sz w:val="21"/>
      <w:szCs w:val="21"/>
      <w:lang w:val="en-US" w:eastAsia="zh-CN" w:bidi="ar-SA"/>
    </w:rPr>
  </w:style>
  <w:style w:type="paragraph" w:customStyle="1" w:styleId="215">
    <w:name w:val="批注文字1"/>
    <w:basedOn w:val="1"/>
    <w:autoRedefine/>
    <w:qFormat/>
    <w:uiPriority w:val="99"/>
    <w:pPr>
      <w:jc w:val="left"/>
    </w:pPr>
  </w:style>
  <w:style w:type="paragraph" w:customStyle="1" w:styleId="216">
    <w:name w:val="正文文本 31"/>
    <w:basedOn w:val="1"/>
    <w:autoRedefine/>
    <w:qFormat/>
    <w:uiPriority w:val="0"/>
    <w:rPr>
      <w:rFonts w:ascii="仿宋_GB2312" w:hAnsi="Arial" w:eastAsia="仿宋_GB2312"/>
      <w:sz w:val="32"/>
      <w:szCs w:val="32"/>
    </w:rPr>
  </w:style>
  <w:style w:type="paragraph" w:customStyle="1" w:styleId="217">
    <w:name w:val="正文文本缩进1"/>
    <w:basedOn w:val="1"/>
    <w:autoRedefine/>
    <w:qFormat/>
    <w:uiPriority w:val="0"/>
    <w:pPr>
      <w:ind w:firstLine="645"/>
    </w:pPr>
    <w:rPr>
      <w:rFonts w:ascii="楷体_GB2312" w:eastAsia="楷体_GB2312"/>
      <w:sz w:val="32"/>
      <w:szCs w:val="32"/>
    </w:rPr>
  </w:style>
  <w:style w:type="paragraph" w:customStyle="1" w:styleId="218">
    <w:name w:val="列表 21"/>
    <w:basedOn w:val="1"/>
    <w:autoRedefine/>
    <w:qFormat/>
    <w:uiPriority w:val="0"/>
    <w:pPr>
      <w:ind w:left="100" w:hanging="200"/>
    </w:pPr>
  </w:style>
  <w:style w:type="paragraph" w:customStyle="1" w:styleId="219">
    <w:name w:val="文本块1"/>
    <w:basedOn w:val="1"/>
    <w:autoRedefine/>
    <w:unhideWhenUsed/>
    <w:qFormat/>
    <w:uiPriority w:val="0"/>
    <w:pPr>
      <w:spacing w:after="120"/>
      <w:ind w:left="1440"/>
    </w:pPr>
    <w:rPr>
      <w:rFonts w:hint="eastAsia"/>
    </w:rPr>
  </w:style>
  <w:style w:type="paragraph" w:customStyle="1" w:styleId="220">
    <w:name w:val="目录 51"/>
    <w:basedOn w:val="1"/>
    <w:next w:val="1"/>
    <w:autoRedefine/>
    <w:semiHidden/>
    <w:qFormat/>
    <w:uiPriority w:val="0"/>
    <w:pPr>
      <w:ind w:left="840"/>
      <w:jc w:val="left"/>
    </w:pPr>
  </w:style>
  <w:style w:type="paragraph" w:customStyle="1" w:styleId="221">
    <w:name w:val="目录 31"/>
    <w:basedOn w:val="1"/>
    <w:next w:val="1"/>
    <w:autoRedefine/>
    <w:semiHidden/>
    <w:qFormat/>
    <w:uiPriority w:val="0"/>
    <w:pPr>
      <w:ind w:left="420"/>
      <w:jc w:val="left"/>
    </w:pPr>
    <w:rPr>
      <w:i/>
      <w:iCs/>
      <w:szCs w:val="24"/>
    </w:rPr>
  </w:style>
  <w:style w:type="paragraph" w:customStyle="1" w:styleId="222">
    <w:name w:val="纯文本11"/>
    <w:basedOn w:val="1"/>
    <w:link w:val="223"/>
    <w:autoRedefine/>
    <w:qFormat/>
    <w:uiPriority w:val="99"/>
    <w:rPr>
      <w:rFonts w:ascii="宋体" w:hAnsi="Courier New"/>
    </w:rPr>
  </w:style>
  <w:style w:type="character" w:customStyle="1" w:styleId="223">
    <w:name w:val="纯文本 Char"/>
    <w:link w:val="222"/>
    <w:autoRedefine/>
    <w:qFormat/>
    <w:uiPriority w:val="99"/>
    <w:rPr>
      <w:rFonts w:ascii="宋体" w:hAnsi="Courier New" w:cs="Courier New"/>
      <w:sz w:val="21"/>
      <w:szCs w:val="21"/>
    </w:rPr>
  </w:style>
  <w:style w:type="paragraph" w:customStyle="1" w:styleId="224">
    <w:name w:val="目录 81"/>
    <w:basedOn w:val="1"/>
    <w:next w:val="1"/>
    <w:autoRedefine/>
    <w:semiHidden/>
    <w:qFormat/>
    <w:uiPriority w:val="0"/>
    <w:pPr>
      <w:ind w:left="1470"/>
      <w:jc w:val="left"/>
    </w:pPr>
  </w:style>
  <w:style w:type="paragraph" w:customStyle="1" w:styleId="225">
    <w:name w:val="日期1"/>
    <w:basedOn w:val="1"/>
    <w:next w:val="1"/>
    <w:autoRedefine/>
    <w:qFormat/>
    <w:uiPriority w:val="0"/>
    <w:rPr>
      <w:sz w:val="24"/>
      <w:szCs w:val="24"/>
    </w:rPr>
  </w:style>
  <w:style w:type="paragraph" w:customStyle="1" w:styleId="226">
    <w:name w:val="正文文本缩进 21"/>
    <w:basedOn w:val="1"/>
    <w:autoRedefine/>
    <w:qFormat/>
    <w:uiPriority w:val="0"/>
    <w:pPr>
      <w:ind w:left="630" w:firstLine="645"/>
    </w:pPr>
    <w:rPr>
      <w:rFonts w:ascii="Arial" w:hAnsi="Arial" w:eastAsia="仿宋_GB2312" w:cs="Arial"/>
      <w:sz w:val="32"/>
      <w:szCs w:val="32"/>
    </w:rPr>
  </w:style>
  <w:style w:type="paragraph" w:customStyle="1" w:styleId="227">
    <w:name w:val="批注框文本1"/>
    <w:basedOn w:val="1"/>
    <w:autoRedefine/>
    <w:semiHidden/>
    <w:qFormat/>
    <w:uiPriority w:val="0"/>
    <w:rPr>
      <w:sz w:val="18"/>
      <w:szCs w:val="18"/>
    </w:rPr>
  </w:style>
  <w:style w:type="paragraph" w:customStyle="1" w:styleId="228">
    <w:name w:val="页脚1"/>
    <w:basedOn w:val="1"/>
    <w:autoRedefine/>
    <w:qFormat/>
    <w:uiPriority w:val="0"/>
    <w:pPr>
      <w:tabs>
        <w:tab w:val="center" w:pos="4153"/>
        <w:tab w:val="right" w:pos="8306"/>
      </w:tabs>
      <w:jc w:val="left"/>
    </w:pPr>
    <w:rPr>
      <w:sz w:val="18"/>
      <w:szCs w:val="18"/>
    </w:rPr>
  </w:style>
  <w:style w:type="paragraph" w:customStyle="1" w:styleId="229">
    <w:name w:val="页眉1"/>
    <w:basedOn w:val="1"/>
    <w:autoRedefine/>
    <w:qFormat/>
    <w:uiPriority w:val="0"/>
    <w:pPr>
      <w:pBdr>
        <w:bottom w:val="single" w:color="000000" w:sz="6" w:space="1"/>
      </w:pBdr>
      <w:tabs>
        <w:tab w:val="center" w:pos="4153"/>
        <w:tab w:val="right" w:pos="8306"/>
      </w:tabs>
      <w:jc w:val="center"/>
    </w:pPr>
    <w:rPr>
      <w:sz w:val="18"/>
      <w:szCs w:val="18"/>
    </w:rPr>
  </w:style>
  <w:style w:type="paragraph" w:customStyle="1" w:styleId="230">
    <w:name w:val="目录 1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1">
    <w:name w:val="目录 41"/>
    <w:basedOn w:val="1"/>
    <w:next w:val="1"/>
    <w:autoRedefine/>
    <w:semiHidden/>
    <w:qFormat/>
    <w:uiPriority w:val="0"/>
    <w:pPr>
      <w:ind w:left="630"/>
      <w:jc w:val="left"/>
    </w:pPr>
  </w:style>
  <w:style w:type="paragraph" w:customStyle="1" w:styleId="232">
    <w:name w:val="列表1"/>
    <w:basedOn w:val="1"/>
    <w:autoRedefine/>
    <w:qFormat/>
    <w:uiPriority w:val="0"/>
    <w:pPr>
      <w:ind w:left="200" w:hanging="200"/>
    </w:pPr>
  </w:style>
  <w:style w:type="paragraph" w:customStyle="1" w:styleId="233">
    <w:name w:val="目录 61"/>
    <w:basedOn w:val="1"/>
    <w:next w:val="1"/>
    <w:autoRedefine/>
    <w:semiHidden/>
    <w:qFormat/>
    <w:uiPriority w:val="0"/>
    <w:pPr>
      <w:ind w:left="1050"/>
      <w:jc w:val="left"/>
    </w:pPr>
  </w:style>
  <w:style w:type="paragraph" w:customStyle="1" w:styleId="234">
    <w:name w:val="正文文本缩进 31"/>
    <w:basedOn w:val="1"/>
    <w:autoRedefine/>
    <w:qFormat/>
    <w:uiPriority w:val="0"/>
    <w:pPr>
      <w:ind w:left="645" w:firstLine="645"/>
    </w:pPr>
    <w:rPr>
      <w:rFonts w:ascii="Arial" w:hAnsi="Arial" w:eastAsia="仿宋_GB2312" w:cs="Arial"/>
      <w:color w:val="FFFF00"/>
      <w:sz w:val="32"/>
      <w:szCs w:val="32"/>
    </w:rPr>
  </w:style>
  <w:style w:type="paragraph" w:customStyle="1" w:styleId="235">
    <w:name w:val="图表目录1"/>
    <w:basedOn w:val="1"/>
    <w:next w:val="1"/>
    <w:autoRedefine/>
    <w:semiHidden/>
    <w:qFormat/>
    <w:uiPriority w:val="0"/>
    <w:pPr>
      <w:ind w:left="840" w:hanging="420"/>
    </w:pPr>
  </w:style>
  <w:style w:type="paragraph" w:customStyle="1" w:styleId="236">
    <w:name w:val="目录 21"/>
    <w:basedOn w:val="1"/>
    <w:next w:val="1"/>
    <w:autoRedefine/>
    <w:semiHidden/>
    <w:qFormat/>
    <w:uiPriority w:val="0"/>
    <w:pPr>
      <w:ind w:left="210"/>
      <w:jc w:val="left"/>
    </w:pPr>
    <w:rPr>
      <w:smallCaps/>
      <w:szCs w:val="24"/>
    </w:rPr>
  </w:style>
  <w:style w:type="paragraph" w:customStyle="1" w:styleId="237">
    <w:name w:val="目录 91"/>
    <w:basedOn w:val="1"/>
    <w:next w:val="1"/>
    <w:autoRedefine/>
    <w:semiHidden/>
    <w:qFormat/>
    <w:uiPriority w:val="0"/>
    <w:pPr>
      <w:ind w:left="1680"/>
      <w:jc w:val="left"/>
    </w:pPr>
  </w:style>
  <w:style w:type="paragraph" w:customStyle="1" w:styleId="238">
    <w:name w:val="正文文本 21"/>
    <w:basedOn w:val="1"/>
    <w:autoRedefine/>
    <w:qFormat/>
    <w:uiPriority w:val="0"/>
    <w:pPr>
      <w:widowControl/>
      <w:jc w:val="center"/>
    </w:pPr>
    <w:rPr>
      <w:rFonts w:ascii="楷体_GB2312" w:eastAsia="楷体_GB2312"/>
      <w:sz w:val="28"/>
      <w:szCs w:val="28"/>
    </w:rPr>
  </w:style>
  <w:style w:type="paragraph" w:customStyle="1" w:styleId="239">
    <w:name w:val="普通(网站)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40">
    <w:name w:val="索引 11"/>
    <w:basedOn w:val="1"/>
    <w:next w:val="1"/>
    <w:autoRedefine/>
    <w:semiHidden/>
    <w:qFormat/>
    <w:uiPriority w:val="0"/>
    <w:pPr>
      <w:spacing w:line="240" w:lineRule="atLeast"/>
    </w:pPr>
    <w:rPr>
      <w:b/>
      <w:bCs/>
    </w:rPr>
  </w:style>
  <w:style w:type="paragraph" w:customStyle="1" w:styleId="241">
    <w:name w:val="批注主题1"/>
    <w:basedOn w:val="215"/>
    <w:next w:val="215"/>
    <w:autoRedefine/>
    <w:semiHidden/>
    <w:qFormat/>
    <w:uiPriority w:val="0"/>
    <w:rPr>
      <w:b/>
      <w:bCs/>
    </w:rPr>
  </w:style>
  <w:style w:type="character" w:customStyle="1" w:styleId="242">
    <w:name w:val="正文首行缩进 Char"/>
    <w:link w:val="46"/>
    <w:autoRedefine/>
    <w:qFormat/>
    <w:uiPriority w:val="0"/>
    <w:rPr>
      <w:rFonts w:ascii="仿宋_GB2312" w:eastAsia="仿宋_GB2312"/>
      <w:sz w:val="30"/>
      <w:szCs w:val="30"/>
    </w:rPr>
  </w:style>
  <w:style w:type="paragraph" w:customStyle="1" w:styleId="243">
    <w:name w:val="正文首行缩进 21"/>
    <w:basedOn w:val="217"/>
    <w:link w:val="244"/>
    <w:autoRedefine/>
    <w:qFormat/>
    <w:uiPriority w:val="99"/>
    <w:pPr>
      <w:spacing w:line="360" w:lineRule="auto"/>
      <w:ind w:firstLine="420"/>
    </w:pPr>
    <w:rPr>
      <w:rFonts w:ascii="宋体" w:hAnsi="宋体" w:eastAsia="宋体"/>
      <w:sz w:val="21"/>
      <w:szCs w:val="20"/>
    </w:rPr>
  </w:style>
  <w:style w:type="character" w:customStyle="1" w:styleId="244">
    <w:name w:val="正文首行缩进 2 Char"/>
    <w:link w:val="243"/>
    <w:autoRedefine/>
    <w:qFormat/>
    <w:uiPriority w:val="99"/>
    <w:rPr>
      <w:rFonts w:ascii="宋体" w:hAnsi="宋体"/>
      <w:sz w:val="21"/>
    </w:rPr>
  </w:style>
  <w:style w:type="table" w:customStyle="1" w:styleId="245">
    <w:name w:val="网格型1"/>
    <w:basedOn w:val="207"/>
    <w:autoRedefine/>
    <w:qFormat/>
    <w:uiPriority w:val="0"/>
    <w:pPr>
      <w:widowControl w:val="0"/>
      <w:jc w:val="both"/>
    </w:pPr>
    <w:tblPr>
      <w:tblCellMar>
        <w:top w:w="0" w:type="dxa"/>
        <w:left w:w="0" w:type="dxa"/>
        <w:bottom w:w="0" w:type="dxa"/>
        <w:right w:w="0" w:type="dxa"/>
      </w:tblCellMar>
    </w:tblPr>
  </w:style>
  <w:style w:type="character" w:customStyle="1" w:styleId="246">
    <w:name w:val="要点1"/>
    <w:autoRedefine/>
    <w:qFormat/>
    <w:uiPriority w:val="0"/>
    <w:rPr>
      <w:b/>
      <w:bCs/>
    </w:rPr>
  </w:style>
  <w:style w:type="character" w:customStyle="1" w:styleId="247">
    <w:name w:val="页码1"/>
    <w:autoRedefine/>
    <w:qFormat/>
    <w:uiPriority w:val="0"/>
  </w:style>
  <w:style w:type="character" w:customStyle="1" w:styleId="248">
    <w:name w:val="已访问的超链接1"/>
    <w:autoRedefine/>
    <w:qFormat/>
    <w:uiPriority w:val="0"/>
    <w:rPr>
      <w:color w:val="800080"/>
      <w:u w:val="single"/>
    </w:rPr>
  </w:style>
  <w:style w:type="character" w:customStyle="1" w:styleId="249">
    <w:name w:val="超链接1"/>
    <w:autoRedefine/>
    <w:qFormat/>
    <w:uiPriority w:val="0"/>
    <w:rPr>
      <w:color w:val="0000FF"/>
      <w:u w:val="single"/>
    </w:rPr>
  </w:style>
  <w:style w:type="character" w:customStyle="1" w:styleId="250">
    <w:name w:val="批注引用1"/>
    <w:autoRedefine/>
    <w:semiHidden/>
    <w:qFormat/>
    <w:uiPriority w:val="0"/>
    <w:rPr>
      <w:sz w:val="21"/>
      <w:szCs w:val="21"/>
    </w:rPr>
  </w:style>
  <w:style w:type="paragraph" w:customStyle="1" w:styleId="251">
    <w:name w:val="Default"/>
    <w:autoRedefine/>
    <w:unhideWhenUsed/>
    <w:qFormat/>
    <w:uiPriority w:val="99"/>
    <w:pPr>
      <w:widowControl w:val="0"/>
    </w:pPr>
    <w:rPr>
      <w:rFonts w:hint="eastAsia" w:ascii="仿宋_GB2312" w:hAnsi="仿宋_GB2312" w:eastAsia="仿宋_GB2312" w:cs="Times New Roman"/>
      <w:color w:val="000000"/>
      <w:sz w:val="24"/>
      <w:lang w:val="en-US" w:eastAsia="zh-CN" w:bidi="ar-SA"/>
    </w:rPr>
  </w:style>
  <w:style w:type="character" w:customStyle="1" w:styleId="252">
    <w:name w:val="font5 Char"/>
    <w:autoRedefine/>
    <w:qFormat/>
    <w:uiPriority w:val="0"/>
    <w:rPr>
      <w:rFonts w:ascii="宋体" w:hAnsi="宋体" w:eastAsia="宋体"/>
      <w:sz w:val="28"/>
      <w:szCs w:val="28"/>
      <w:lang w:val="en-US" w:eastAsia="zh-CN" w:bidi="ar-SA"/>
    </w:rPr>
  </w:style>
  <w:style w:type="character" w:customStyle="1" w:styleId="253">
    <w:name w:val="apple-converted-space"/>
    <w:autoRedefine/>
    <w:qFormat/>
    <w:uiPriority w:val="99"/>
  </w:style>
  <w:style w:type="character" w:customStyle="1" w:styleId="254">
    <w:name w:val="列出段落 Char"/>
    <w:link w:val="255"/>
    <w:autoRedefine/>
    <w:qFormat/>
    <w:uiPriority w:val="0"/>
    <w:rPr>
      <w:rFonts w:ascii="Calibri" w:hAnsi="Calibri"/>
      <w:sz w:val="24"/>
      <w:szCs w:val="24"/>
      <w:lang w:eastAsia="en-US" w:bidi="en-US"/>
    </w:rPr>
  </w:style>
  <w:style w:type="paragraph" w:customStyle="1" w:styleId="255">
    <w:name w:val="列出段落1"/>
    <w:basedOn w:val="1"/>
    <w:link w:val="254"/>
    <w:autoRedefine/>
    <w:qFormat/>
    <w:uiPriority w:val="0"/>
    <w:pPr>
      <w:widowControl/>
      <w:ind w:left="720"/>
      <w:contextualSpacing/>
      <w:jc w:val="left"/>
    </w:pPr>
    <w:rPr>
      <w:rFonts w:ascii="Calibri" w:hAnsi="Calibri"/>
      <w:sz w:val="24"/>
      <w:szCs w:val="24"/>
      <w:lang w:eastAsia="en-US" w:bidi="en-US"/>
    </w:rPr>
  </w:style>
  <w:style w:type="character" w:customStyle="1" w:styleId="256">
    <w:name w:val="Char Char Char Char Char"/>
    <w:link w:val="257"/>
    <w:autoRedefine/>
    <w:qFormat/>
    <w:uiPriority w:val="0"/>
    <w:rPr>
      <w:rFonts w:ascii="Tahoma" w:hAnsi="Tahoma" w:eastAsia="宋体"/>
      <w:sz w:val="24"/>
      <w:szCs w:val="24"/>
      <w:lang w:val="en-US" w:eastAsia="zh-CN" w:bidi="ar-SA"/>
    </w:rPr>
  </w:style>
  <w:style w:type="paragraph" w:customStyle="1" w:styleId="257">
    <w:name w:val="Char Char Char Char"/>
    <w:basedOn w:val="213"/>
    <w:link w:val="256"/>
    <w:autoRedefine/>
    <w:qFormat/>
    <w:uiPriority w:val="0"/>
    <w:pPr>
      <w:spacing w:line="360" w:lineRule="auto"/>
    </w:pPr>
    <w:rPr>
      <w:rFonts w:ascii="Tahoma" w:hAnsi="Tahoma"/>
      <w:sz w:val="24"/>
      <w:szCs w:val="24"/>
    </w:rPr>
  </w:style>
  <w:style w:type="character" w:customStyle="1" w:styleId="258">
    <w:name w:val="普通正文 Char"/>
    <w:link w:val="259"/>
    <w:autoRedefine/>
    <w:qFormat/>
    <w:uiPriority w:val="0"/>
    <w:rPr>
      <w:rFonts w:ascii="Arial" w:hAnsi="Arial"/>
      <w:sz w:val="24"/>
      <w:szCs w:val="24"/>
    </w:rPr>
  </w:style>
  <w:style w:type="paragraph" w:customStyle="1" w:styleId="259">
    <w:name w:val="普通正文"/>
    <w:basedOn w:val="1"/>
    <w:link w:val="258"/>
    <w:autoRedefine/>
    <w:qFormat/>
    <w:uiPriority w:val="0"/>
    <w:pPr>
      <w:spacing w:before="120" w:after="120" w:line="360" w:lineRule="auto"/>
      <w:ind w:firstLine="480"/>
      <w:jc w:val="left"/>
    </w:pPr>
    <w:rPr>
      <w:rFonts w:ascii="Arial" w:hAnsi="Arial"/>
      <w:sz w:val="24"/>
      <w:szCs w:val="24"/>
    </w:rPr>
  </w:style>
  <w:style w:type="character" w:customStyle="1" w:styleId="260">
    <w:name w:val="二级目录 Char"/>
    <w:link w:val="261"/>
    <w:autoRedefine/>
    <w:qFormat/>
    <w:uiPriority w:val="0"/>
    <w:rPr>
      <w:b/>
      <w:sz w:val="30"/>
      <w:szCs w:val="28"/>
    </w:rPr>
  </w:style>
  <w:style w:type="paragraph" w:customStyle="1" w:styleId="261">
    <w:name w:val="二级目录"/>
    <w:next w:val="1"/>
    <w:link w:val="260"/>
    <w:autoRedefine/>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62">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3">
    <w:name w:val="Char Char Char Char Char Char Char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4">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5">
    <w:name w:val="Body Text(ch)"/>
    <w:basedOn w:val="1"/>
    <w:next w:val="47"/>
    <w:autoRedefine/>
    <w:qFormat/>
    <w:uiPriority w:val="0"/>
    <w:pPr>
      <w:spacing w:after="120"/>
    </w:pPr>
    <w:rPr>
      <w:rFonts w:ascii="宋体" w:hAnsi="Arial"/>
      <w:bCs/>
      <w:iCs/>
      <w:szCs w:val="24"/>
    </w:rPr>
  </w:style>
  <w:style w:type="paragraph" w:customStyle="1" w:styleId="266">
    <w:name w:val="附录1"/>
    <w:autoRedefine/>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67">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68">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270">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71">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272">
    <w:name w:val="Char Char Char Char Char Char Char Char Char Char"/>
    <w:basedOn w:val="1"/>
    <w:autoRedefine/>
    <w:qFormat/>
    <w:uiPriority w:val="0"/>
    <w:pPr>
      <w:spacing w:line="360" w:lineRule="auto"/>
    </w:pPr>
    <w:rPr>
      <w:sz w:val="24"/>
      <w:szCs w:val="20"/>
    </w:rPr>
  </w:style>
  <w:style w:type="paragraph" w:customStyle="1" w:styleId="273">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274">
    <w:name w:val="列出段落2"/>
    <w:basedOn w:val="1"/>
    <w:autoRedefine/>
    <w:qFormat/>
    <w:uiPriority w:val="99"/>
    <w:pPr>
      <w:widowControl/>
      <w:ind w:left="720"/>
      <w:contextualSpacing/>
      <w:jc w:val="left"/>
    </w:pPr>
    <w:rPr>
      <w:rFonts w:ascii="Calibri" w:hAnsi="Calibri"/>
      <w:sz w:val="24"/>
      <w:szCs w:val="24"/>
      <w:lang w:eastAsia="en-US" w:bidi="en-US"/>
    </w:rPr>
  </w:style>
  <w:style w:type="paragraph" w:customStyle="1" w:styleId="275">
    <w:name w:val="样式1"/>
    <w:basedOn w:val="1"/>
    <w:autoRedefine/>
    <w:qFormat/>
    <w:uiPriority w:val="0"/>
    <w:pPr>
      <w:numPr>
        <w:ilvl w:val="0"/>
        <w:numId w:val="3"/>
      </w:numPr>
    </w:pPr>
    <w:rPr>
      <w:rFonts w:ascii="宋体" w:hAnsi="宋体"/>
    </w:rPr>
  </w:style>
  <w:style w:type="paragraph" w:customStyle="1" w:styleId="276">
    <w:name w:val="Char Char Char Char1"/>
    <w:basedOn w:val="213"/>
    <w:autoRedefine/>
    <w:qFormat/>
    <w:uiPriority w:val="0"/>
    <w:pPr>
      <w:spacing w:line="360" w:lineRule="auto"/>
    </w:pPr>
    <w:rPr>
      <w:rFonts w:ascii="Tahoma" w:hAnsi="Tahoma"/>
      <w:sz w:val="24"/>
      <w:szCs w:val="24"/>
    </w:rPr>
  </w:style>
  <w:style w:type="paragraph" w:customStyle="1" w:styleId="277">
    <w:name w:val="table_lines"/>
    <w:basedOn w:val="1"/>
    <w:autoRedefine/>
    <w:qFormat/>
    <w:uiPriority w:val="0"/>
    <w:pPr>
      <w:widowControl/>
      <w:jc w:val="left"/>
    </w:pPr>
    <w:rPr>
      <w:sz w:val="20"/>
      <w:szCs w:val="20"/>
      <w:lang w:val="de-DE" w:eastAsia="de-DE"/>
    </w:rPr>
  </w:style>
  <w:style w:type="paragraph" w:customStyle="1" w:styleId="278">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9">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0">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1">
    <w:name w:val="table_1stline"/>
    <w:basedOn w:val="1"/>
    <w:autoRedefine/>
    <w:qFormat/>
    <w:uiPriority w:val="0"/>
    <w:pPr>
      <w:widowControl/>
      <w:spacing w:before="120"/>
      <w:jc w:val="left"/>
    </w:pPr>
    <w:rPr>
      <w:bCs/>
      <w:sz w:val="20"/>
      <w:szCs w:val="20"/>
      <w:lang w:val="de-DE" w:eastAsia="de-DE"/>
    </w:rPr>
  </w:style>
  <w:style w:type="paragraph" w:customStyle="1" w:styleId="282">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3">
    <w:name w:val="4"/>
    <w:basedOn w:val="1"/>
    <w:next w:val="234"/>
    <w:autoRedefine/>
    <w:qFormat/>
    <w:uiPriority w:val="99"/>
    <w:pPr>
      <w:spacing w:line="360" w:lineRule="auto"/>
      <w:ind w:firstLine="420"/>
    </w:pPr>
    <w:rPr>
      <w:color w:val="FF0000"/>
      <w:sz w:val="24"/>
      <w:szCs w:val="24"/>
    </w:rPr>
  </w:style>
  <w:style w:type="paragraph" w:customStyle="1" w:styleId="284">
    <w:name w:val="Char"/>
    <w:basedOn w:val="1"/>
    <w:autoRedefine/>
    <w:qFormat/>
    <w:uiPriority w:val="0"/>
    <w:pPr>
      <w:tabs>
        <w:tab w:val="left" w:pos="360"/>
      </w:tabs>
      <w:ind w:firstLine="200"/>
    </w:pPr>
    <w:rPr>
      <w:sz w:val="28"/>
      <w:szCs w:val="30"/>
    </w:rPr>
  </w:style>
  <w:style w:type="paragraph" w:customStyle="1" w:styleId="285">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6">
    <w:name w:val="Char1"/>
    <w:basedOn w:val="213"/>
    <w:autoRedefine/>
    <w:qFormat/>
    <w:uiPriority w:val="0"/>
    <w:rPr>
      <w:rFonts w:ascii="Tahoma" w:hAnsi="Tahoma"/>
      <w:sz w:val="24"/>
      <w:szCs w:val="24"/>
    </w:rPr>
  </w:style>
  <w:style w:type="paragraph" w:customStyle="1" w:styleId="287">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9">
    <w:name w:val="BodyText1I21"/>
    <w:basedOn w:val="1"/>
    <w:autoRedefine/>
    <w:qFormat/>
    <w:uiPriority w:val="0"/>
    <w:pPr>
      <w:ind w:firstLine="420"/>
    </w:pPr>
    <w:rPr>
      <w:u w:val="single"/>
    </w:rPr>
  </w:style>
  <w:style w:type="paragraph" w:customStyle="1" w:styleId="290">
    <w:name w:val="正文_2_1"/>
    <w:autoRedefine/>
    <w:qFormat/>
    <w:uiPriority w:val="0"/>
    <w:pPr>
      <w:widowControl w:val="0"/>
      <w:jc w:val="both"/>
    </w:pPr>
    <w:rPr>
      <w:rFonts w:ascii="Calibri" w:hAnsi="Calibri" w:eastAsia="宋体" w:cs="Times New Roman"/>
      <w:sz w:val="21"/>
      <w:szCs w:val="22"/>
      <w:lang w:val="en-US" w:eastAsia="zh-CN" w:bidi="ar-SA"/>
    </w:rPr>
  </w:style>
  <w:style w:type="character" w:customStyle="1" w:styleId="291">
    <w:name w:val="Body text|1_"/>
    <w:link w:val="292"/>
    <w:autoRedefine/>
    <w:qFormat/>
    <w:uiPriority w:val="0"/>
    <w:rPr>
      <w:rFonts w:ascii="宋体" w:hAnsi="宋体" w:cs="宋体"/>
      <w:sz w:val="30"/>
      <w:szCs w:val="30"/>
      <w:lang w:val="zh-TW" w:eastAsia="zh-TW" w:bidi="zh-TW"/>
    </w:rPr>
  </w:style>
  <w:style w:type="paragraph" w:customStyle="1" w:styleId="292">
    <w:name w:val="Body text|1"/>
    <w:basedOn w:val="1"/>
    <w:link w:val="291"/>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293">
    <w:name w:val="Header or footer|1_"/>
    <w:link w:val="294"/>
    <w:autoRedefine/>
    <w:qFormat/>
    <w:uiPriority w:val="0"/>
    <w:rPr>
      <w:sz w:val="28"/>
      <w:szCs w:val="28"/>
      <w:lang w:val="zh-TW" w:eastAsia="zh-TW" w:bidi="zh-TW"/>
    </w:rPr>
  </w:style>
  <w:style w:type="paragraph" w:customStyle="1" w:styleId="294">
    <w:name w:val="Header or footer|1"/>
    <w:basedOn w:val="1"/>
    <w:link w:val="293"/>
    <w:autoRedefine/>
    <w:qFormat/>
    <w:uiPriority w:val="0"/>
    <w:pPr>
      <w:jc w:val="left"/>
    </w:pPr>
    <w:rPr>
      <w:sz w:val="28"/>
      <w:szCs w:val="28"/>
      <w:lang w:val="zh-TW" w:eastAsia="zh-TW" w:bidi="zh-TW"/>
    </w:rPr>
  </w:style>
  <w:style w:type="character" w:customStyle="1" w:styleId="295">
    <w:name w:val="Body text|8_"/>
    <w:link w:val="296"/>
    <w:autoRedefine/>
    <w:qFormat/>
    <w:uiPriority w:val="0"/>
    <w:rPr>
      <w:b/>
      <w:bCs/>
      <w:sz w:val="11"/>
      <w:szCs w:val="11"/>
      <w:lang w:val="zh-TW" w:eastAsia="zh-TW" w:bidi="zh-TW"/>
    </w:rPr>
  </w:style>
  <w:style w:type="paragraph" w:customStyle="1" w:styleId="296">
    <w:name w:val="Body text|8"/>
    <w:basedOn w:val="1"/>
    <w:link w:val="295"/>
    <w:autoRedefine/>
    <w:qFormat/>
    <w:uiPriority w:val="0"/>
    <w:pPr>
      <w:spacing w:after="140" w:line="204" w:lineRule="auto"/>
      <w:jc w:val="center"/>
    </w:pPr>
    <w:rPr>
      <w:b/>
      <w:bCs/>
      <w:sz w:val="11"/>
      <w:szCs w:val="11"/>
      <w:lang w:val="zh-TW" w:eastAsia="zh-TW" w:bidi="zh-TW"/>
    </w:rPr>
  </w:style>
  <w:style w:type="character" w:customStyle="1" w:styleId="297">
    <w:name w:val="Other|1_"/>
    <w:link w:val="298"/>
    <w:autoRedefine/>
    <w:qFormat/>
    <w:uiPriority w:val="0"/>
    <w:rPr>
      <w:rFonts w:ascii="宋体" w:hAnsi="宋体" w:cs="宋体"/>
      <w:sz w:val="30"/>
      <w:szCs w:val="30"/>
      <w:lang w:val="zh-TW" w:eastAsia="zh-TW" w:bidi="zh-TW"/>
    </w:rPr>
  </w:style>
  <w:style w:type="paragraph" w:customStyle="1" w:styleId="298">
    <w:name w:val="Other|1"/>
    <w:basedOn w:val="1"/>
    <w:link w:val="297"/>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299">
    <w:name w:val="Heading #1|1_"/>
    <w:link w:val="300"/>
    <w:autoRedefine/>
    <w:qFormat/>
    <w:uiPriority w:val="0"/>
    <w:rPr>
      <w:rFonts w:ascii="宋体" w:hAnsi="宋体" w:cs="宋体"/>
      <w:sz w:val="42"/>
      <w:szCs w:val="42"/>
      <w:lang w:val="zh-TW" w:eastAsia="zh-TW" w:bidi="zh-TW"/>
    </w:rPr>
  </w:style>
  <w:style w:type="paragraph" w:customStyle="1" w:styleId="300">
    <w:name w:val="Heading #1|1"/>
    <w:basedOn w:val="1"/>
    <w:link w:val="299"/>
    <w:autoRedefine/>
    <w:qFormat/>
    <w:uiPriority w:val="0"/>
    <w:pPr>
      <w:spacing w:after="480" w:line="619" w:lineRule="exact"/>
      <w:jc w:val="center"/>
      <w:outlineLvl w:val="0"/>
    </w:pPr>
    <w:rPr>
      <w:rFonts w:ascii="宋体" w:hAnsi="宋体" w:cs="宋体"/>
      <w:sz w:val="42"/>
      <w:szCs w:val="42"/>
      <w:lang w:val="zh-TW" w:eastAsia="zh-TW" w:bidi="zh-TW"/>
    </w:rPr>
  </w:style>
  <w:style w:type="paragraph" w:customStyle="1" w:styleId="301">
    <w:name w:val="纯文本1"/>
    <w:basedOn w:val="1"/>
    <w:autoRedefine/>
    <w:qFormat/>
    <w:uiPriority w:val="0"/>
    <w:rPr>
      <w:rFonts w:ascii="宋体" w:hAnsi="Courier New" w:cs="Courier New"/>
    </w:rPr>
  </w:style>
  <w:style w:type="character" w:customStyle="1" w:styleId="302">
    <w:name w:val="NormalCharacter"/>
    <w:autoRedefine/>
    <w:qFormat/>
    <w:uiPriority w:val="0"/>
    <w:rPr>
      <w:rFonts w:ascii="Times New Roman" w:hAnsi="Times New Roman" w:eastAsia="宋体" w:cs="Times New Roman"/>
    </w:rPr>
  </w:style>
  <w:style w:type="paragraph" w:customStyle="1" w:styleId="303">
    <w:name w:val="Body Text First Indent 21"/>
    <w:basedOn w:val="304"/>
    <w:autoRedefine/>
    <w:qFormat/>
    <w:uiPriority w:val="0"/>
    <w:pPr>
      <w:spacing w:after="120"/>
      <w:ind w:left="420" w:leftChars="200" w:firstLine="420" w:firstLineChars="200"/>
    </w:pPr>
    <w:rPr>
      <w:sz w:val="21"/>
    </w:rPr>
  </w:style>
  <w:style w:type="paragraph" w:customStyle="1" w:styleId="304">
    <w:name w:val="Body Text Indent1"/>
    <w:basedOn w:val="1"/>
    <w:next w:val="305"/>
    <w:autoRedefine/>
    <w:qFormat/>
    <w:uiPriority w:val="0"/>
    <w:pPr>
      <w:spacing w:line="360" w:lineRule="auto"/>
      <w:ind w:firstLine="570"/>
    </w:pPr>
    <w:rPr>
      <w:sz w:val="24"/>
      <w:lang w:val="zh-CN"/>
    </w:rPr>
  </w:style>
  <w:style w:type="paragraph" w:customStyle="1" w:styleId="305">
    <w:name w:val="寄信人地址1"/>
    <w:basedOn w:val="1"/>
    <w:autoRedefine/>
    <w:qFormat/>
    <w:uiPriority w:val="0"/>
    <w:pPr>
      <w:snapToGrid w:val="0"/>
    </w:pPr>
    <w:rPr>
      <w:rFonts w:ascii="Arial" w:hAnsi="Arial" w:cs="Arial"/>
    </w:rPr>
  </w:style>
  <w:style w:type="paragraph" w:customStyle="1" w:styleId="306">
    <w:name w:val="Table Text"/>
    <w:basedOn w:val="1"/>
    <w:autoRedefine/>
    <w:semiHidden/>
    <w:qFormat/>
    <w:uiPriority w:val="0"/>
    <w:rPr>
      <w:rFonts w:ascii="宋体" w:hAnsi="宋体" w:cs="宋体"/>
      <w:lang w:eastAsia="en-US"/>
    </w:rPr>
  </w:style>
  <w:style w:type="table" w:customStyle="1" w:styleId="307">
    <w:name w:val="Table Normal"/>
    <w:autoRedefine/>
    <w:semiHidden/>
    <w:unhideWhenUsed/>
    <w:qFormat/>
    <w:uiPriority w:val="0"/>
    <w:tblPr>
      <w:tblCellMar>
        <w:top w:w="0" w:type="dxa"/>
        <w:left w:w="0" w:type="dxa"/>
        <w:bottom w:w="0" w:type="dxa"/>
        <w:right w:w="0" w:type="dxa"/>
      </w:tblCellMar>
    </w:tblPr>
  </w:style>
  <w:style w:type="paragraph" w:customStyle="1" w:styleId="308">
    <w:name w:val="标题二、"/>
    <w:basedOn w:val="1"/>
    <w:autoRedefine/>
    <w:qFormat/>
    <w:uiPriority w:val="99"/>
    <w:pPr>
      <w:spacing w:line="360" w:lineRule="auto"/>
      <w:ind w:firstLine="200" w:firstLineChars="200"/>
      <w:outlineLvl w:val="2"/>
    </w:pPr>
    <w:rPr>
      <w:rFonts w:ascii="宋体" w:hAnsi="宋体"/>
      <w:b/>
    </w:rPr>
  </w:style>
  <w:style w:type="character" w:customStyle="1" w:styleId="309">
    <w:name w:val="font41"/>
    <w:basedOn w:val="41"/>
    <w:autoRedefine/>
    <w:qFormat/>
    <w:uiPriority w:val="0"/>
    <w:rPr>
      <w:rFonts w:hint="default" w:ascii="Times New Roman" w:hAnsi="Times New Roman" w:cs="Times New Roman"/>
      <w:color w:val="000000"/>
      <w:sz w:val="22"/>
      <w:szCs w:val="22"/>
      <w:u w:val="none"/>
    </w:rPr>
  </w:style>
  <w:style w:type="character" w:customStyle="1" w:styleId="310">
    <w:name w:val="font01"/>
    <w:basedOn w:val="41"/>
    <w:autoRedefine/>
    <w:qFormat/>
    <w:uiPriority w:val="0"/>
    <w:rPr>
      <w:rFonts w:hint="eastAsia" w:ascii="宋体" w:hAnsi="宋体" w:eastAsia="宋体" w:cs="宋体"/>
      <w:color w:val="000000"/>
      <w:sz w:val="22"/>
      <w:szCs w:val="22"/>
      <w:u w:val="none"/>
    </w:rPr>
  </w:style>
  <w:style w:type="character" w:customStyle="1" w:styleId="311">
    <w:name w:val="fc01294d3e-4153-482a-aea1-4b54892b7913-1"/>
    <w:basedOn w:val="41"/>
    <w:autoRedefine/>
    <w:qFormat/>
    <w:uiPriority w:val="0"/>
  </w:style>
  <w:style w:type="paragraph" w:customStyle="1" w:styleId="312">
    <w:name w:val="正文缩进11"/>
    <w:basedOn w:val="1"/>
    <w:autoRedefine/>
    <w:qFormat/>
    <w:uiPriority w:val="0"/>
    <w:pPr>
      <w:ind w:firstLine="420"/>
    </w:pPr>
    <w:rPr>
      <w:szCs w:val="20"/>
    </w:rPr>
  </w:style>
  <w:style w:type="character" w:customStyle="1" w:styleId="313">
    <w:name w:val="正文文本 Char"/>
    <w:basedOn w:val="41"/>
    <w:link w:val="15"/>
    <w:autoRedefine/>
    <w:semiHidden/>
    <w:qFormat/>
    <w:uiPriority w:val="99"/>
    <w:rPr>
      <w:sz w:val="21"/>
      <w:szCs w:val="21"/>
    </w:rPr>
  </w:style>
  <w:style w:type="character" w:customStyle="1" w:styleId="314">
    <w:name w:val="正文首行缩进 Char1"/>
    <w:basedOn w:val="313"/>
    <w:link w:val="37"/>
    <w:autoRedefine/>
    <w:semiHidden/>
    <w:qFormat/>
    <w:uiPriority w:val="99"/>
    <w:rPr>
      <w:sz w:val="21"/>
      <w:szCs w:val="21"/>
    </w:rPr>
  </w:style>
  <w:style w:type="paragraph" w:customStyle="1" w:styleId="315">
    <w:name w:val="Normal_19"/>
    <w:autoRedefine/>
    <w:qFormat/>
    <w:uiPriority w:val="0"/>
    <w:rPr>
      <w:rFonts w:ascii="Times New Roman" w:hAnsi="Times New Roman" w:eastAsia="Times New Roman" w:cs="Times New Roman"/>
      <w:sz w:val="24"/>
      <w:szCs w:val="24"/>
      <w:lang w:val="en-US" w:eastAsia="zh-CN" w:bidi="ar-SA"/>
    </w:rPr>
  </w:style>
  <w:style w:type="paragraph" w:customStyle="1" w:styleId="316">
    <w:name w:val="首行缩进"/>
    <w:basedOn w:val="1"/>
    <w:autoRedefine/>
    <w:qFormat/>
    <w:uiPriority w:val="0"/>
    <w:pPr>
      <w:ind w:firstLine="480" w:firstLineChars="200"/>
    </w:pPr>
    <w:rPr>
      <w:rFonts w:ascii="Times New Roman" w:hAnsi="Times New Roman" w:eastAsia="宋体" w:cs="Times New Roman"/>
      <w:szCs w:val="20"/>
      <w:lang w:val="zh-CN"/>
    </w:rPr>
  </w:style>
  <w:style w:type="paragraph" w:customStyle="1" w:styleId="317">
    <w:name w:val="Table Paragraph"/>
    <w:basedOn w:val="1"/>
    <w:autoRedefine/>
    <w:qFormat/>
    <w:uiPriority w:val="0"/>
    <w:pPr>
      <w:autoSpaceDE w:val="0"/>
      <w:autoSpaceDN w:val="0"/>
      <w:jc w:val="left"/>
    </w:pPr>
    <w:rPr>
      <w:rFonts w:ascii="宋体" w:hAnsi="宋体" w:cs="宋体"/>
      <w:kern w:val="0"/>
      <w:sz w:val="22"/>
      <w:szCs w:val="22"/>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 </Company>
  <Pages>40</Pages>
  <Words>4146</Words>
  <Characters>23635</Characters>
  <Lines>196</Lines>
  <Paragraphs>55</Paragraphs>
  <TotalTime>1</TotalTime>
  <ScaleCrop>false</ScaleCrop>
  <LinksUpToDate>false</LinksUpToDate>
  <CharactersWithSpaces>27726</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2024-02-06T10:20:00Z</dcterms:created>
  <dc:creator>滨海县自然资源和</dc:creator>
  <cp:lastModifiedBy>Lisa</cp:lastModifiedBy>
  <cp:lastPrinted>2024-04-01T05:20:00Z</cp:lastPrinted>
  <dcterms:modified xsi:type="dcterms:W3CDTF">2024-04-03T05:32:49Z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FCFD8029A89346EBAA5C0E661453A4D3_13</vt:lpwstr>
  </property>
</Properties>
</file>