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default" w:ascii="Times New Roman" w:hAnsi="Times New Roman" w:cs="Times New Roman" w:eastAsiaTheme="minorEastAsia"/>
          <w:bCs/>
          <w:sz w:val="72"/>
        </w:rPr>
      </w:pPr>
      <w:r>
        <w:rPr>
          <w:rFonts w:hint="default" w:ascii="Times New Roman" w:hAnsi="Times New Roman" w:cs="Times New Roman" w:eastAsiaTheme="minorEastAsia"/>
          <w:bCs/>
          <w:sz w:val="72"/>
        </w:rPr>
      </w:r>
      <w:r/>
    </w:p>
    <w:p>
      <w:pPr>
        <w:jc w:val="center"/>
        <w:spacing w:line="360" w:lineRule="auto"/>
        <w:rPr>
          <w:rFonts w:hint="default" w:ascii="Times New Roman" w:hAnsi="Times New Roman" w:eastAsia="楷体" w:cs="Times New Roman"/>
          <w:b/>
          <w:sz w:val="72"/>
          <w:szCs w:val="72"/>
        </w:rPr>
      </w:pPr>
      <w:r>
        <w:rPr>
          <w:rFonts w:hint="default" w:ascii="Times New Roman" w:hAnsi="Times New Roman" w:eastAsia="楷体" w:cs="Times New Roman"/>
          <w:b/>
          <w:sz w:val="72"/>
          <w:szCs w:val="72"/>
        </w:rPr>
        <w:t xml:space="preserve">苏州工业园区政府采购</w:t>
      </w:r>
      <w:r/>
    </w:p>
    <w:p>
      <w:pPr>
        <w:jc w:val="center"/>
        <w:spacing w:line="360" w:lineRule="auto"/>
        <w:rPr>
          <w:rFonts w:hint="default" w:ascii="Times New Roman" w:hAnsi="Times New Roman" w:eastAsia="楷体" w:cs="Times New Roman"/>
          <w:b/>
          <w:sz w:val="72"/>
          <w:szCs w:val="72"/>
        </w:rPr>
      </w:pPr>
      <w:r>
        <w:rPr>
          <w:rFonts w:hint="default" w:ascii="Times New Roman" w:hAnsi="Times New Roman" w:eastAsia="楷体" w:cs="Times New Roman"/>
          <w:b/>
          <w:sz w:val="72"/>
          <w:szCs w:val="72"/>
        </w:rPr>
        <w:t xml:space="preserve">招标文件</w:t>
      </w:r>
      <w:r/>
    </w:p>
    <w:p>
      <w:pPr>
        <w:jc w:val="center"/>
        <w:spacing w:line="360" w:lineRule="auto"/>
        <w:rPr>
          <w:rFonts w:hint="default" w:ascii="Times New Roman" w:hAnsi="Times New Roman" w:eastAsia="楷体" w:cs="Times New Roman"/>
          <w:b/>
          <w:sz w:val="32"/>
          <w:szCs w:val="32"/>
        </w:rPr>
      </w:pPr>
      <w:r>
        <w:rPr>
          <w:rFonts w:hint="default" w:ascii="Times New Roman" w:hAnsi="Times New Roman" w:eastAsia="楷体" w:cs="Times New Roman"/>
          <w:b/>
          <w:sz w:val="32"/>
          <w:szCs w:val="32"/>
        </w:rPr>
        <w:t xml:space="preserve">（公开招标---综合评分法）</w:t>
      </w:r>
      <w:r/>
    </w:p>
    <w:p>
      <w:pPr>
        <w:spacing w:line="360" w:lineRule="auto"/>
        <w:rPr>
          <w:rFonts w:hint="default" w:ascii="Times New Roman" w:hAnsi="Times New Roman" w:eastAsia="楷体" w:cs="Times New Roman"/>
          <w:b/>
          <w:bCs/>
          <w:sz w:val="32"/>
        </w:rPr>
      </w:pPr>
      <w:r>
        <w:rPr>
          <w:rFonts w:hint="default" w:ascii="Times New Roman" w:hAnsi="Times New Roman" w:eastAsia="楷体" w:cs="Times New Roman"/>
          <w:b/>
          <w:bCs/>
          <w:sz w:val="32"/>
        </w:rPr>
      </w:r>
      <w:r/>
    </w:p>
    <w:tbl>
      <w:tblPr>
        <w:tblStyle w:val="858"/>
        <w:tblpPr w:horzAnchor="page" w:tblpX="1741" w:vertAnchor="text" w:tblpY="908" w:leftFromText="180" w:topFromText="0" w:rightFromText="180" w:bottomFromText="0"/>
        <w:tblW w:w="8931" w:type="dxa"/>
        <w:tblInd w:w="0" w:type="dxa"/>
        <w:tblLayout w:type="autofit"/>
        <w:tblCellMar>
          <w:left w:w="108" w:type="dxa"/>
          <w:top w:w="0" w:type="dxa"/>
          <w:right w:w="108" w:type="dxa"/>
          <w:bottom w:w="0" w:type="dxa"/>
        </w:tblCellMar>
        <w:tblLook w:val="04A0" w:firstRow="1" w:lastRow="0" w:firstColumn="1" w:lastColumn="0" w:noHBand="0" w:noVBand="1"/>
      </w:tblPr>
      <w:tblGrid>
        <w:gridCol w:w="2694"/>
        <w:gridCol w:w="6474"/>
      </w:tblGrid>
      <w:tr>
        <w:trPr>
          <w:trHeight w:val="1248"/>
        </w:trPr>
        <w:tc>
          <w:tcPr>
            <w:shd w:val="clear" w:color="auto" w:fill="auto"/>
            <w:tcW w:w="2694" w:type="dxa"/>
            <w:vAlign w:val="center"/>
            <w:textDirection w:val="lrTb"/>
            <w:noWrap/>
          </w:tcPr>
          <w:p>
            <w:pPr>
              <w:spacing w:line="360" w:lineRule="auto"/>
              <w:rPr>
                <w:rFonts w:hint="default" w:ascii="Times New Roman" w:hAnsi="Times New Roman" w:eastAsia="楷体" w:cs="Times New Roman"/>
                <w:b/>
                <w:bCs/>
                <w:sz w:val="32"/>
              </w:rPr>
            </w:pPr>
            <w:r/>
            <w:bookmarkStart w:id="0" w:name="_Hlk90649612"/>
            <w:r/>
            <w:r/>
          </w:p>
          <w:p>
            <w:pPr>
              <w:jc w:val="left"/>
              <w:widowControl/>
              <w:rPr>
                <w:rFonts w:hint="default" w:ascii="Times New Roman" w:hAnsi="Times New Roman" w:eastAsia="楷体" w:cs="Times New Roman"/>
                <w:b/>
                <w:bCs/>
                <w:sz w:val="44"/>
                <w:szCs w:val="44"/>
              </w:rPr>
            </w:pPr>
            <w:r>
              <w:rPr>
                <w:rFonts w:hint="default" w:ascii="Times New Roman" w:hAnsi="Times New Roman" w:eastAsia="楷体" w:cs="Times New Roman"/>
                <w:b/>
                <w:bCs/>
                <w:sz w:val="44"/>
                <w:szCs w:val="44"/>
              </w:rPr>
              <w:t xml:space="preserve">采购编号：</w:t>
            </w:r>
            <w:r/>
          </w:p>
        </w:tc>
        <w:tc>
          <w:tcPr>
            <w:shd w:val="clear" w:color="auto" w:fill="auto"/>
            <w:tcW w:w="6237" w:type="dxa"/>
            <w:vAlign w:val="center"/>
            <w:textDirection w:val="lrTb"/>
            <w:noWrap w:val="false"/>
          </w:tcPr>
          <w:p>
            <w:pPr>
              <w:jc w:val="left"/>
              <w:widowControl/>
              <w:rPr>
                <w:rFonts w:hint="default" w:ascii="Times New Roman" w:hAnsi="Times New Roman" w:eastAsia="楷体" w:cs="Times New Roman"/>
                <w:b/>
                <w:bCs/>
                <w:sz w:val="44"/>
                <w:szCs w:val="44"/>
              </w:rPr>
            </w:pPr>
            <w:r>
              <w:rPr>
                <w:rFonts w:hint="default" w:ascii="Times New Roman" w:hAnsi="Times New Roman" w:eastAsia="楷体" w:cs="Times New Roman"/>
                <w:b/>
                <w:bCs/>
                <w:sz w:val="44"/>
                <w:szCs w:val="44"/>
              </w:rPr>
              <w:t xml:space="preserve">JSZC-320591-JZCG-G2024-0044</w:t>
            </w:r>
            <w:r/>
          </w:p>
        </w:tc>
      </w:tr>
      <w:tr>
        <w:trPr>
          <w:trHeight w:val="1248"/>
        </w:trPr>
        <w:tc>
          <w:tcPr>
            <w:shd w:val="clear" w:color="auto" w:fill="auto"/>
            <w:tcW w:w="2694" w:type="dxa"/>
            <w:vAlign w:val="center"/>
            <w:textDirection w:val="lrTb"/>
            <w:noWrap/>
          </w:tcPr>
          <w:p>
            <w:pPr>
              <w:jc w:val="left"/>
              <w:widowControl/>
              <w:rPr>
                <w:rFonts w:hint="default" w:ascii="Times New Roman" w:hAnsi="Times New Roman" w:eastAsia="楷体" w:cs="Times New Roman"/>
                <w:b/>
                <w:bCs/>
                <w:sz w:val="44"/>
                <w:szCs w:val="44"/>
              </w:rPr>
            </w:pPr>
            <w:r>
              <w:rPr>
                <w:rFonts w:hint="default" w:ascii="Times New Roman" w:hAnsi="Times New Roman" w:eastAsia="楷体" w:cs="Times New Roman"/>
                <w:b/>
                <w:bCs/>
                <w:sz w:val="44"/>
                <w:szCs w:val="44"/>
              </w:rPr>
              <w:t xml:space="preserve">项目名称：</w:t>
            </w:r>
            <w:r/>
          </w:p>
        </w:tc>
        <w:tc>
          <w:tcPr>
            <w:shd w:val="clear" w:color="auto" w:fill="auto"/>
            <w:tcW w:w="6237" w:type="dxa"/>
            <w:vAlign w:val="center"/>
            <w:textDirection w:val="lrTb"/>
            <w:noWrap w:val="false"/>
          </w:tcPr>
          <w:p>
            <w:pPr>
              <w:jc w:val="left"/>
              <w:widowControl/>
              <w:rPr>
                <w:rFonts w:hint="default" w:ascii="Times New Roman" w:hAnsi="Times New Roman" w:eastAsia="楷体" w:cs="Times New Roman"/>
                <w:b/>
                <w:bCs/>
                <w:sz w:val="44"/>
                <w:szCs w:val="44"/>
              </w:rPr>
            </w:pPr>
            <w:r>
              <w:rPr>
                <w:rFonts w:hint="default" w:ascii="Times New Roman" w:hAnsi="Times New Roman" w:eastAsia="楷体" w:cs="Times New Roman"/>
                <w:b/>
                <w:bCs/>
                <w:sz w:val="44"/>
                <w:szCs w:val="44"/>
              </w:rPr>
              <w:t xml:space="preserve">唯亭街道区域性养老服务中心及</w:t>
            </w:r>
            <w:bookmarkStart w:id="1" w:name="_Hlk172815373"/>
            <w:r>
              <w:rPr>
                <w:rFonts w:hint="default" w:ascii="Times New Roman" w:hAnsi="Times New Roman" w:eastAsia="楷体" w:cs="Times New Roman"/>
                <w:b/>
                <w:bCs/>
                <w:sz w:val="44"/>
                <w:szCs w:val="44"/>
              </w:rPr>
              <w:t xml:space="preserve">胜浦街道医养项目</w:t>
            </w:r>
            <w:bookmarkEnd w:id="1"/>
            <w:r>
              <w:rPr>
                <w:rFonts w:hint="default" w:ascii="Times New Roman" w:hAnsi="Times New Roman" w:eastAsia="楷体" w:cs="Times New Roman"/>
                <w:b/>
                <w:bCs/>
                <w:sz w:val="44"/>
                <w:szCs w:val="44"/>
              </w:rPr>
              <w:t xml:space="preserve">家具采购</w:t>
            </w:r>
            <w:r/>
          </w:p>
        </w:tc>
      </w:tr>
      <w:tr>
        <w:trPr>
          <w:trHeight w:val="1248"/>
        </w:trPr>
        <w:tc>
          <w:tcPr>
            <w:shd w:val="clear" w:color="auto" w:fill="auto"/>
            <w:tcW w:w="2694" w:type="dxa"/>
            <w:vAlign w:val="center"/>
            <w:textDirection w:val="lrTb"/>
            <w:noWrap/>
          </w:tcPr>
          <w:p>
            <w:pPr>
              <w:jc w:val="left"/>
              <w:widowControl/>
              <w:rPr>
                <w:rFonts w:hint="default" w:ascii="Times New Roman" w:hAnsi="Times New Roman" w:eastAsia="楷体" w:cs="Times New Roman"/>
                <w:b/>
                <w:bCs/>
                <w:sz w:val="44"/>
                <w:szCs w:val="44"/>
              </w:rPr>
            </w:pPr>
            <w:r>
              <w:rPr>
                <w:rFonts w:hint="default" w:ascii="Times New Roman" w:hAnsi="Times New Roman" w:eastAsia="楷体" w:cs="Times New Roman"/>
                <w:b/>
                <w:bCs/>
                <w:spacing w:val="75"/>
                <w:sz w:val="44"/>
                <w:szCs w:val="44"/>
              </w:rPr>
              <w:t xml:space="preserve">采购人</w:t>
            </w:r>
            <w:r>
              <w:rPr>
                <w:rFonts w:hint="default" w:ascii="Times New Roman" w:hAnsi="Times New Roman" w:eastAsia="楷体" w:cs="Times New Roman"/>
                <w:b/>
                <w:bCs/>
                <w:spacing w:val="0"/>
                <w:sz w:val="44"/>
                <w:szCs w:val="44"/>
              </w:rPr>
              <w:t xml:space="preserve">：</w:t>
            </w:r>
            <w:r/>
          </w:p>
        </w:tc>
        <w:tc>
          <w:tcPr>
            <w:shd w:val="clear" w:color="auto" w:fill="auto"/>
            <w:tcW w:w="6237" w:type="dxa"/>
            <w:vAlign w:val="center"/>
            <w:textDirection w:val="lrTb"/>
            <w:noWrap w:val="false"/>
          </w:tcPr>
          <w:p>
            <w:pPr>
              <w:widowControl/>
              <w:rPr>
                <w:rFonts w:hint="default" w:ascii="Times New Roman" w:hAnsi="Times New Roman" w:eastAsia="楷体" w:cs="Times New Roman"/>
                <w:b/>
                <w:bCs/>
                <w:sz w:val="44"/>
                <w:szCs w:val="44"/>
              </w:rPr>
            </w:pPr>
            <w:r>
              <w:rPr>
                <w:rFonts w:hint="default" w:ascii="Times New Roman" w:hAnsi="Times New Roman" w:eastAsia="楷体" w:cs="Times New Roman"/>
                <w:b/>
                <w:bCs/>
                <w:sz w:val="44"/>
                <w:szCs w:val="44"/>
              </w:rPr>
              <w:t xml:space="preserve">苏州工业园区胜浦街道办事处</w:t>
            </w:r>
            <w:r/>
          </w:p>
          <w:p>
            <w:pPr>
              <w:widowControl/>
              <w:rPr>
                <w:rFonts w:hint="default" w:ascii="Times New Roman" w:hAnsi="Times New Roman" w:eastAsia="楷体" w:cs="Times New Roman"/>
                <w:b/>
                <w:bCs/>
                <w:sz w:val="44"/>
                <w:szCs w:val="44"/>
              </w:rPr>
            </w:pPr>
            <w:r>
              <w:rPr>
                <w:rFonts w:hint="default" w:ascii="Times New Roman" w:hAnsi="Times New Roman" w:eastAsia="楷体" w:cs="Times New Roman"/>
                <w:b/>
                <w:bCs/>
                <w:sz w:val="44"/>
                <w:szCs w:val="44"/>
              </w:rPr>
              <w:t xml:space="preserve">苏州工业园区唯亭街道办事处</w:t>
            </w:r>
            <w:r/>
          </w:p>
        </w:tc>
      </w:tr>
      <w:tr>
        <w:trPr>
          <w:trHeight w:val="1248"/>
        </w:trPr>
        <w:tc>
          <w:tcPr>
            <w:shd w:val="clear" w:color="auto" w:fill="auto"/>
            <w:tcW w:w="2694" w:type="dxa"/>
            <w:vAlign w:val="center"/>
            <w:textDirection w:val="lrTb"/>
            <w:noWrap/>
          </w:tcPr>
          <w:p>
            <w:pPr>
              <w:jc w:val="left"/>
              <w:widowControl/>
              <w:rPr>
                <w:rFonts w:hint="default" w:ascii="Times New Roman" w:hAnsi="Times New Roman" w:eastAsia="楷体" w:cs="Times New Roman"/>
                <w:b/>
                <w:bCs/>
                <w:sz w:val="44"/>
                <w:szCs w:val="44"/>
              </w:rPr>
            </w:pPr>
            <w:r>
              <w:rPr>
                <w:rFonts w:hint="default" w:ascii="Times New Roman" w:hAnsi="Times New Roman" w:eastAsia="楷体" w:cs="Times New Roman"/>
                <w:b/>
                <w:bCs/>
                <w:sz w:val="44"/>
                <w:szCs w:val="44"/>
              </w:rPr>
              <w:t xml:space="preserve">项目类别：</w:t>
            </w:r>
            <w:r/>
          </w:p>
        </w:tc>
        <w:tc>
          <w:tcPr>
            <w:shd w:val="clear" w:color="auto" w:fill="auto"/>
            <w:tcW w:w="6237" w:type="dxa"/>
            <w:vAlign w:val="center"/>
            <w:textDirection w:val="lrTb"/>
            <w:noWrap w:val="false"/>
          </w:tcPr>
          <w:p>
            <w:pPr>
              <w:widowControl/>
              <w:rPr>
                <w:rFonts w:hint="default" w:ascii="Times New Roman" w:hAnsi="Times New Roman" w:eastAsia="楷体" w:cs="Times New Roman"/>
                <w:b/>
                <w:bCs/>
                <w:sz w:val="44"/>
                <w:szCs w:val="44"/>
                <w:highlight w:val="yellow"/>
              </w:rPr>
            </w:pPr>
            <w:r>
              <w:rPr>
                <w:rFonts w:hint="default" w:ascii="Times New Roman" w:hAnsi="Times New Roman" w:eastAsia="楷体" w:cs="Times New Roman"/>
                <w:b/>
                <w:bCs/>
                <w:sz w:val="44"/>
                <w:szCs w:val="44"/>
              </w:rPr>
              <w:t xml:space="preserve">货物类</w:t>
            </w:r>
            <w:bookmarkEnd w:id="0"/>
            <w:r/>
            <w:r/>
          </w:p>
        </w:tc>
      </w:tr>
    </w:tbl>
    <w:p>
      <w:pPr>
        <w:spacing w:line="360" w:lineRule="auto"/>
        <w:rPr>
          <w:rFonts w:hint="default" w:ascii="Times New Roman" w:hAnsi="Times New Roman" w:eastAsia="楷体" w:cs="Times New Roman"/>
          <w:b/>
          <w:bCs/>
          <w:sz w:val="32"/>
        </w:rPr>
      </w:pPr>
      <w:r>
        <w:rPr>
          <w:rFonts w:hint="default" w:ascii="Times New Roman" w:hAnsi="Times New Roman" w:eastAsia="楷体" w:cs="Times New Roman"/>
          <w:b/>
          <w:bCs/>
          <w:sz w:val="32"/>
        </w:rPr>
      </w:r>
      <w:r/>
    </w:p>
    <w:p>
      <w:pPr>
        <w:spacing w:line="360" w:lineRule="auto"/>
        <w:rPr>
          <w:rFonts w:hint="default" w:ascii="Times New Roman" w:hAnsi="Times New Roman" w:eastAsia="楷体" w:cs="Times New Roman"/>
          <w:b/>
          <w:bCs/>
          <w:sz w:val="32"/>
        </w:rPr>
      </w:pPr>
      <w:r>
        <w:rPr>
          <w:rFonts w:hint="default" w:ascii="Times New Roman" w:hAnsi="Times New Roman" w:eastAsia="楷体" w:cs="Times New Roman"/>
          <w:b/>
          <w:bCs/>
          <w:sz w:val="32"/>
        </w:rPr>
      </w:r>
      <w:r/>
    </w:p>
    <w:p>
      <w:pPr>
        <w:pStyle w:val="869"/>
        <w:rPr>
          <w:rFonts w:hint="default" w:ascii="Times New Roman" w:hAnsi="Times New Roman" w:cs="Times New Roman"/>
        </w:rPr>
      </w:pPr>
      <w:r>
        <w:rPr>
          <w:rFonts w:hint="default" w:ascii="Times New Roman" w:hAnsi="Times New Roman" w:cs="Times New Roman"/>
        </w:rPr>
      </w:r>
      <w:r/>
    </w:p>
    <w:p>
      <w:pPr>
        <w:pStyle w:val="869"/>
        <w:rPr>
          <w:rFonts w:hint="default" w:ascii="Times New Roman" w:hAnsi="Times New Roman" w:cs="Times New Roman"/>
        </w:rPr>
      </w:pPr>
      <w:r>
        <w:rPr>
          <w:rFonts w:hint="default" w:ascii="Times New Roman" w:hAnsi="Times New Roman" w:cs="Times New Roman"/>
        </w:rPr>
      </w:r>
      <w:r/>
    </w:p>
    <w:p>
      <w:pPr>
        <w:pStyle w:val="869"/>
        <w:rPr>
          <w:rFonts w:hint="default" w:ascii="Times New Roman" w:hAnsi="Times New Roman" w:cs="Times New Roman"/>
        </w:rPr>
      </w:pPr>
      <w:r>
        <w:rPr>
          <w:rFonts w:hint="default" w:ascii="Times New Roman" w:hAnsi="Times New Roman" w:cs="Times New Roman"/>
        </w:rPr>
      </w:r>
      <w:r/>
    </w:p>
    <w:p>
      <w:pPr>
        <w:pStyle w:val="869"/>
        <w:rPr>
          <w:rFonts w:hint="default" w:ascii="Times New Roman" w:hAnsi="Times New Roman" w:cs="Times New Roman"/>
        </w:rPr>
      </w:pPr>
      <w:r>
        <w:rPr>
          <w:rFonts w:hint="default" w:ascii="Times New Roman" w:hAnsi="Times New Roman" w:cs="Times New Roman"/>
        </w:rPr>
      </w:r>
      <w:r/>
    </w:p>
    <w:p>
      <w:pPr>
        <w:pStyle w:val="869"/>
        <w:rPr>
          <w:rFonts w:hint="default" w:ascii="Times New Roman" w:hAnsi="Times New Roman" w:cs="Times New Roman"/>
        </w:rPr>
      </w:pPr>
      <w:r>
        <w:rPr>
          <w:rFonts w:hint="default" w:ascii="Times New Roman" w:hAnsi="Times New Roman" w:cs="Times New Roman"/>
        </w:rPr>
      </w:r>
      <w:r/>
    </w:p>
    <w:p>
      <w:pPr>
        <w:pStyle w:val="869"/>
        <w:rPr>
          <w:rFonts w:hint="default" w:ascii="Times New Roman" w:hAnsi="Times New Roman" w:cs="Times New Roman"/>
        </w:rPr>
      </w:pPr>
      <w:r>
        <w:rPr>
          <w:rFonts w:hint="default" w:ascii="Times New Roman" w:hAnsi="Times New Roman" w:cs="Times New Roman"/>
        </w:rPr>
      </w:r>
      <w:r/>
    </w:p>
    <w:p>
      <w:pPr>
        <w:pStyle w:val="869"/>
        <w:rPr>
          <w:rFonts w:hint="default" w:ascii="Times New Roman" w:hAnsi="Times New Roman" w:cs="Times New Roman"/>
        </w:rPr>
      </w:pPr>
      <w:r>
        <w:rPr>
          <w:rFonts w:hint="default" w:ascii="Times New Roman" w:hAnsi="Times New Roman" w:cs="Times New Roman"/>
        </w:rPr>
      </w:r>
      <w:r/>
    </w:p>
    <w:p>
      <w:pPr>
        <w:pStyle w:val="869"/>
        <w:rPr>
          <w:rFonts w:hint="default" w:ascii="Times New Roman" w:hAnsi="Times New Roman" w:cs="Times New Roman"/>
        </w:rPr>
      </w:pPr>
      <w:r>
        <w:rPr>
          <w:rFonts w:hint="default" w:ascii="Times New Roman" w:hAnsi="Times New Roman" w:cs="Times New Roman"/>
        </w:rPr>
      </w:r>
      <w:r/>
    </w:p>
    <w:p>
      <w:pPr>
        <w:pStyle w:val="869"/>
        <w:rPr>
          <w:rFonts w:hint="default" w:ascii="Times New Roman" w:hAnsi="Times New Roman" w:cs="Times New Roman"/>
        </w:rPr>
      </w:pPr>
      <w:r>
        <w:rPr>
          <w:rFonts w:hint="default" w:ascii="Times New Roman" w:hAnsi="Times New Roman" w:cs="Times New Roman"/>
        </w:rPr>
      </w:r>
      <w:r/>
    </w:p>
    <w:p>
      <w:pPr>
        <w:pStyle w:val="869"/>
        <w:rPr>
          <w:rFonts w:hint="default" w:ascii="Times New Roman" w:hAnsi="Times New Roman" w:cs="Times New Roman"/>
        </w:rPr>
      </w:pPr>
      <w:r>
        <w:rPr>
          <w:rFonts w:hint="default" w:ascii="Times New Roman" w:hAnsi="Times New Roman" w:cs="Times New Roman"/>
        </w:rPr>
      </w:r>
      <w:r/>
    </w:p>
    <w:p>
      <w:pPr>
        <w:pStyle w:val="869"/>
        <w:rPr>
          <w:rFonts w:hint="default" w:ascii="Times New Roman" w:hAnsi="Times New Roman" w:cs="Times New Roman"/>
        </w:rPr>
      </w:pPr>
      <w:r>
        <w:rPr>
          <w:rFonts w:hint="default" w:ascii="Times New Roman" w:hAnsi="Times New Roman" w:cs="Times New Roman"/>
        </w:rPr>
      </w:r>
      <w:r/>
    </w:p>
    <w:p>
      <w:pPr>
        <w:spacing w:line="360" w:lineRule="auto"/>
        <w:rPr>
          <w:rFonts w:hint="default" w:ascii="Times New Roman" w:hAnsi="Times New Roman" w:eastAsia="楷体" w:cs="Times New Roman"/>
          <w:bCs/>
          <w:sz w:val="32"/>
        </w:rPr>
      </w:pPr>
      <w:r>
        <w:rPr>
          <w:rFonts w:hint="default" w:ascii="Times New Roman" w:hAnsi="Times New Roman" w:eastAsia="楷体" w:cs="Times New Roman"/>
          <w:bCs/>
          <w:sz w:val="32"/>
        </w:rPr>
      </w:r>
      <w:r/>
    </w:p>
    <w:p>
      <w:pPr>
        <w:spacing w:line="360" w:lineRule="auto"/>
        <w:rPr>
          <w:rFonts w:hint="default" w:ascii="Times New Roman" w:hAnsi="Times New Roman" w:eastAsia="楷体" w:cs="Times New Roman"/>
          <w:bCs/>
          <w:sz w:val="32"/>
        </w:rPr>
      </w:pPr>
      <w:r>
        <w:rPr>
          <w:rFonts w:hint="default" w:ascii="Times New Roman" w:hAnsi="Times New Roman" w:eastAsia="楷体" w:cs="Times New Roman"/>
          <w:bCs/>
          <w:sz w:val="32"/>
        </w:rPr>
      </w:r>
      <w:r/>
    </w:p>
    <w:p>
      <w:pPr>
        <w:spacing w:line="360" w:lineRule="auto"/>
        <w:rPr>
          <w:rFonts w:hint="default" w:ascii="Times New Roman" w:hAnsi="Times New Roman" w:eastAsia="楷体" w:cs="Times New Roman"/>
          <w:bCs/>
          <w:sz w:val="32"/>
        </w:rPr>
      </w:pPr>
      <w:r>
        <w:rPr>
          <w:rFonts w:hint="default" w:ascii="Times New Roman" w:hAnsi="Times New Roman" w:eastAsia="楷体" w:cs="Times New Roman"/>
          <w:bCs/>
          <w:sz w:val="32"/>
        </w:rPr>
      </w:r>
      <w:r/>
    </w:p>
    <w:p>
      <w:pPr>
        <w:jc w:val="center"/>
        <w:rPr>
          <w:rFonts w:hint="default" w:ascii="Times New Roman" w:hAnsi="Times New Roman" w:eastAsia="楷体" w:cs="Times New Roman"/>
          <w:b/>
          <w:bCs/>
          <w:sz w:val="44"/>
          <w:szCs w:val="44"/>
        </w:rPr>
      </w:pPr>
      <w:r>
        <w:rPr>
          <w:rFonts w:hint="default" w:ascii="Times New Roman" w:hAnsi="Times New Roman" w:eastAsia="楷体" w:cs="Times New Roman"/>
          <w:b/>
          <w:bCs/>
          <w:sz w:val="44"/>
          <w:szCs w:val="44"/>
        </w:rPr>
        <w:t xml:space="preserve">苏州工业园区集中采购中心</w:t>
      </w:r>
      <w:r/>
    </w:p>
    <w:p>
      <w:pPr>
        <w:jc w:val="center"/>
        <w:spacing w:line="360" w:lineRule="auto"/>
        <w:rPr>
          <w:rFonts w:hint="default" w:ascii="Times New Roman" w:hAnsi="Times New Roman" w:eastAsia="楷体" w:cs="Times New Roman"/>
          <w:b/>
          <w:bCs/>
          <w:sz w:val="44"/>
          <w:szCs w:val="44"/>
        </w:rPr>
      </w:pPr>
      <w:r/>
      <w:bookmarkStart w:id="2" w:name="_Hlk159250057"/>
      <w:r>
        <w:rPr>
          <w:rFonts w:hint="default" w:ascii="Times New Roman" w:hAnsi="Times New Roman" w:eastAsia="楷体" w:cs="Times New Roman"/>
          <w:b/>
          <w:bCs/>
          <w:sz w:val="44"/>
          <w:szCs w:val="44"/>
        </w:rPr>
        <w:t xml:space="preserve">二0二四年</w:t>
      </w:r>
      <w:r>
        <w:rPr>
          <w:rFonts w:hint="default" w:ascii="Times New Roman" w:hAnsi="Times New Roman" w:eastAsia="楷体" w:cs="Times New Roman"/>
          <w:b/>
          <w:bCs/>
          <w:sz w:val="44"/>
          <w:szCs w:val="44"/>
          <w:highlight w:val="none"/>
        </w:rPr>
        <w:t xml:space="preserve">八</w:t>
      </w:r>
      <w:r>
        <w:rPr>
          <w:rFonts w:hint="default" w:ascii="Times New Roman" w:hAnsi="Times New Roman" w:eastAsia="楷体" w:cs="Times New Roman"/>
          <w:b/>
          <w:bCs/>
          <w:sz w:val="44"/>
          <w:szCs w:val="44"/>
        </w:rPr>
        <w:t xml:space="preserve">月</w:t>
      </w:r>
      <w:bookmarkEnd w:id="2"/>
      <w:r/>
      <w:r/>
    </w:p>
    <w:p>
      <w:pPr>
        <w:jc w:val="center"/>
        <w:spacing w:line="360" w:lineRule="auto"/>
        <w:rPr>
          <w:rFonts w:hint="default" w:ascii="Times New Roman" w:hAnsi="Times New Roman" w:cs="Times New Roman" w:eastAsiaTheme="minorEastAsia"/>
          <w:sz w:val="48"/>
        </w:rPr>
      </w:pPr>
      <w:r>
        <w:rPr>
          <w:rFonts w:hint="default" w:ascii="Times New Roman" w:hAnsi="Times New Roman" w:cs="Times New Roman" w:eastAsiaTheme="minorEastAsia"/>
          <w:sz w:val="48"/>
        </w:rPr>
        <w:br w:type="page" w:clear="all"/>
      </w:r>
      <w:r/>
    </w:p>
    <w:p>
      <w:pPr>
        <w:jc w:val="center"/>
        <w:spacing w:line="360" w:lineRule="auto"/>
        <w:rPr>
          <w:rFonts w:hint="default" w:ascii="Times New Roman" w:hAnsi="Times New Roman" w:cs="Times New Roman" w:eastAsiaTheme="minorEastAsia"/>
          <w:b/>
          <w:bCs/>
          <w:sz w:val="44"/>
          <w:szCs w:val="44"/>
        </w:rPr>
      </w:pPr>
      <w:r>
        <w:rPr>
          <w:rFonts w:hint="default" w:ascii="Times New Roman" w:hAnsi="Times New Roman" w:cs="Times New Roman" w:eastAsiaTheme="minorEastAsia"/>
          <w:b/>
          <w:bCs/>
          <w:sz w:val="44"/>
          <w:szCs w:val="44"/>
        </w:rPr>
      </w:r>
      <w:r/>
    </w:p>
    <w:p>
      <w:pPr>
        <w:jc w:val="center"/>
        <w:spacing w:line="360" w:lineRule="auto"/>
        <w:rPr>
          <w:rFonts w:hint="default" w:ascii="Times New Roman" w:hAnsi="Times New Roman" w:cs="Times New Roman" w:eastAsiaTheme="minorEastAsia"/>
          <w:b/>
          <w:bCs/>
          <w:sz w:val="44"/>
          <w:szCs w:val="44"/>
        </w:rPr>
      </w:pPr>
      <w:r>
        <w:rPr>
          <w:rFonts w:hint="default" w:ascii="Times New Roman" w:hAnsi="Times New Roman" w:cs="Times New Roman" w:eastAsiaTheme="minorEastAsia"/>
          <w:b/>
          <w:bCs/>
          <w:sz w:val="44"/>
          <w:szCs w:val="44"/>
        </w:rPr>
        <w:t xml:space="preserve">目    录</w:t>
      </w:r>
      <w:r/>
    </w:p>
    <w:p>
      <w:pPr>
        <w:spacing w:line="360" w:lineRule="auto"/>
        <w:rPr>
          <w:rFonts w:hint="default" w:ascii="Times New Roman" w:hAnsi="Times New Roman" w:cs="Times New Roman" w:eastAsiaTheme="minorEastAsia"/>
          <w:sz w:val="32"/>
          <w:szCs w:val="32"/>
        </w:rPr>
      </w:pPr>
      <w:r>
        <w:rPr>
          <w:rFonts w:hint="default" w:ascii="Times New Roman" w:hAnsi="Times New Roman" w:cs="Times New Roman" w:eastAsiaTheme="minorEastAsia"/>
          <w:sz w:val="32"/>
          <w:szCs w:val="32"/>
        </w:rPr>
      </w:r>
      <w:r/>
    </w:p>
    <w:p>
      <w:pPr>
        <w:ind w:firstLine="640"/>
        <w:spacing w:line="360" w:lineRule="auto"/>
        <w:rPr>
          <w:rFonts w:hint="default" w:ascii="Times New Roman" w:hAnsi="Times New Roman" w:cs="Times New Roman" w:eastAsiaTheme="minorEastAsia"/>
          <w:sz w:val="32"/>
          <w:szCs w:val="32"/>
        </w:rPr>
      </w:pPr>
      <w:r>
        <w:rPr>
          <w:rFonts w:hint="default" w:ascii="Times New Roman" w:hAnsi="Times New Roman" w:cs="Times New Roman" w:eastAsiaTheme="minorEastAsia"/>
          <w:sz w:val="32"/>
          <w:szCs w:val="32"/>
        </w:rPr>
      </w:r>
      <w:r/>
    </w:p>
    <w:p>
      <w:pPr>
        <w:numPr>
          <w:ilvl w:val="0"/>
          <w:numId w:val="1"/>
        </w:numPr>
        <w:spacing w:line="360" w:lineRule="auto"/>
        <w:rPr>
          <w:rFonts w:hint="default" w:ascii="Times New Roman" w:hAnsi="Times New Roman" w:cs="Times New Roman" w:eastAsiaTheme="minorEastAsia"/>
          <w:sz w:val="32"/>
          <w:szCs w:val="32"/>
        </w:rPr>
      </w:pPr>
      <w:r>
        <w:rPr>
          <w:rFonts w:hint="default" w:ascii="Times New Roman" w:hAnsi="Times New Roman" w:cs="Times New Roman" w:eastAsiaTheme="minorEastAsia"/>
          <w:sz w:val="32"/>
          <w:szCs w:val="32"/>
        </w:rPr>
        <w:t xml:space="preserve">  招标公告</w:t>
      </w:r>
      <w:r/>
    </w:p>
    <w:p>
      <w:pPr>
        <w:numPr>
          <w:ilvl w:val="0"/>
          <w:numId w:val="1"/>
        </w:numPr>
        <w:spacing w:line="360" w:lineRule="auto"/>
        <w:rPr>
          <w:rFonts w:hint="default" w:ascii="Times New Roman" w:hAnsi="Times New Roman" w:cs="Times New Roman" w:eastAsiaTheme="minorEastAsia"/>
          <w:sz w:val="32"/>
          <w:szCs w:val="32"/>
        </w:rPr>
      </w:pPr>
      <w:r>
        <w:rPr>
          <w:rFonts w:hint="default" w:ascii="Times New Roman" w:hAnsi="Times New Roman" w:cs="Times New Roman" w:eastAsiaTheme="minorEastAsia"/>
          <w:sz w:val="32"/>
          <w:szCs w:val="32"/>
        </w:rPr>
        <w:t xml:space="preserve">  投标人须知　</w:t>
      </w:r>
      <w:r/>
    </w:p>
    <w:p>
      <w:pPr>
        <w:numPr>
          <w:ilvl w:val="0"/>
          <w:numId w:val="1"/>
        </w:numPr>
        <w:spacing w:line="360" w:lineRule="auto"/>
        <w:rPr>
          <w:rFonts w:hint="default" w:ascii="Times New Roman" w:hAnsi="Times New Roman" w:cs="Times New Roman" w:eastAsiaTheme="minorEastAsia"/>
          <w:sz w:val="32"/>
          <w:szCs w:val="32"/>
        </w:rPr>
      </w:pPr>
      <w:r>
        <w:rPr>
          <w:rFonts w:hint="default" w:ascii="Times New Roman" w:hAnsi="Times New Roman" w:cs="Times New Roman" w:eastAsiaTheme="minorEastAsia"/>
          <w:sz w:val="32"/>
          <w:szCs w:val="32"/>
        </w:rPr>
        <w:t xml:space="preserve">  投标文件格式</w:t>
      </w:r>
      <w:r/>
    </w:p>
    <w:p>
      <w:pPr>
        <w:numPr>
          <w:ilvl w:val="0"/>
          <w:numId w:val="1"/>
        </w:numPr>
        <w:spacing w:line="360" w:lineRule="auto"/>
        <w:rPr>
          <w:rFonts w:hint="default" w:ascii="Times New Roman" w:hAnsi="Times New Roman" w:cs="Times New Roman" w:eastAsiaTheme="minorEastAsia"/>
          <w:sz w:val="32"/>
          <w:szCs w:val="32"/>
        </w:rPr>
      </w:pPr>
      <w:r>
        <w:rPr>
          <w:rFonts w:hint="default" w:ascii="Times New Roman" w:hAnsi="Times New Roman" w:cs="Times New Roman" w:eastAsiaTheme="minorEastAsia"/>
          <w:sz w:val="32"/>
          <w:szCs w:val="32"/>
        </w:rPr>
        <w:t xml:space="preserve">  采购需求　</w:t>
      </w:r>
      <w:r/>
    </w:p>
    <w:p>
      <w:pPr>
        <w:numPr>
          <w:ilvl w:val="0"/>
          <w:numId w:val="1"/>
        </w:numPr>
        <w:spacing w:line="360" w:lineRule="auto"/>
        <w:rPr>
          <w:rFonts w:hint="default" w:ascii="Times New Roman" w:hAnsi="Times New Roman" w:cs="Times New Roman" w:eastAsiaTheme="minorEastAsia"/>
          <w:sz w:val="32"/>
          <w:szCs w:val="32"/>
        </w:rPr>
      </w:pPr>
      <w:r>
        <w:rPr>
          <w:rFonts w:hint="default" w:ascii="Times New Roman" w:hAnsi="Times New Roman" w:cs="Times New Roman" w:eastAsiaTheme="minorEastAsia"/>
          <w:sz w:val="32"/>
          <w:szCs w:val="32"/>
        </w:rPr>
        <w:t xml:space="preserve">  合同文本　</w:t>
      </w:r>
      <w:r/>
    </w:p>
    <w:p>
      <w:pPr>
        <w:numPr>
          <w:ilvl w:val="0"/>
          <w:numId w:val="1"/>
        </w:numPr>
        <w:spacing w:line="360" w:lineRule="auto"/>
        <w:rPr>
          <w:rFonts w:hint="default" w:ascii="Times New Roman" w:hAnsi="Times New Roman" w:cs="Times New Roman" w:eastAsiaTheme="minorEastAsia"/>
          <w:sz w:val="32"/>
          <w:szCs w:val="32"/>
        </w:rPr>
      </w:pPr>
      <w:r>
        <w:rPr>
          <w:rFonts w:hint="default" w:ascii="Times New Roman" w:hAnsi="Times New Roman" w:cs="Times New Roman" w:eastAsiaTheme="minorEastAsia"/>
          <w:sz w:val="32"/>
          <w:szCs w:val="32"/>
        </w:rPr>
        <w:t xml:space="preserve">  评标办法及评分标准　</w:t>
      </w:r>
      <w:r/>
    </w:p>
    <w:p>
      <w:pPr>
        <w:pStyle w:val="868"/>
        <w:numPr>
          <w:ilvl w:val="0"/>
          <w:numId w:val="2"/>
        </w:numPr>
        <w:jc w:val="center"/>
        <w:rPr>
          <w:rFonts w:hint="default" w:ascii="Times New Roman" w:hAnsi="Times New Roman" w:cs="Times New Roman" w:eastAsiaTheme="minorEastAsia"/>
          <w:bCs/>
          <w:sz w:val="44"/>
          <w:szCs w:val="44"/>
        </w:rPr>
      </w:pPr>
      <w:r>
        <w:rPr>
          <w:rFonts w:hint="default" w:ascii="Times New Roman" w:hAnsi="Times New Roman" w:cs="Times New Roman"/>
          <w:spacing w:val="20"/>
          <w:sz w:val="32"/>
          <w:szCs w:val="32"/>
        </w:rPr>
        <w:br w:type="page" w:clear="all"/>
      </w:r>
      <w:r>
        <w:rPr>
          <w:rFonts w:hint="default" w:ascii="Times New Roman" w:hAnsi="Times New Roman" w:cs="Times New Roman" w:eastAsiaTheme="minorEastAsia"/>
          <w:bCs/>
          <w:sz w:val="44"/>
          <w:szCs w:val="44"/>
        </w:rPr>
        <w:t xml:space="preserve">招标公告</w:t>
      </w:r>
      <w:r/>
    </w:p>
    <w:p>
      <w:pPr>
        <w:pStyle w:val="868"/>
        <w:rPr>
          <w:rFonts w:hint="default" w:ascii="Times New Roman" w:hAnsi="Times New Roman" w:cs="Times New Roman"/>
        </w:rPr>
      </w:pPr>
      <w:r>
        <w:rPr>
          <w:rFonts w:hint="default" w:ascii="Times New Roman" w:hAnsi="Times New Roman" w:cs="Times New Roman"/>
        </w:rPr>
      </w:r>
      <w:r/>
    </w:p>
    <w:tbl>
      <w:tblPr>
        <w:tblStyle w:val="85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73"/>
      </w:tblGrid>
      <w:tr>
        <w:trPr/>
        <w:tc>
          <w:tcPr>
            <w:tcW w:w="10173" w:type="dxa"/>
            <w:textDirection w:val="lrTb"/>
            <w:noWrap w:val="false"/>
          </w:tcPr>
          <w:p>
            <w:pPr>
              <w:ind w:firstLine="420"/>
              <w:spacing w:line="360" w:lineRule="auto"/>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项目概况：</w:t>
            </w:r>
            <w:r/>
          </w:p>
          <w:p>
            <w:pPr>
              <w:ind w:left="105" w:firstLine="315"/>
              <w:spacing w:line="360" w:lineRule="auto"/>
              <w:rPr>
                <w:rFonts w:hint="default" w:ascii="Times New Roman" w:hAnsi="Times New Roman" w:cs="Times New Roman" w:eastAsiaTheme="minorEastAsia"/>
                <w:szCs w:val="21"/>
              </w:rPr>
            </w:pPr>
            <w:r>
              <w:rPr>
                <w:rFonts w:hint="default" w:ascii="Times New Roman" w:hAnsi="Times New Roman" w:cs="Times New Roman" w:eastAsiaTheme="minorEastAsia"/>
                <w:szCs w:val="21"/>
                <w:u w:val="single"/>
              </w:rPr>
              <w:t xml:space="preserve">唯亭街道区域性养老服务中心及胜浦街道医养项目家具采购</w:t>
            </w:r>
            <w:r>
              <w:rPr>
                <w:rFonts w:hint="default" w:ascii="Times New Roman" w:hAnsi="Times New Roman" w:cs="Times New Roman" w:eastAsiaTheme="minorEastAsia"/>
                <w:szCs w:val="21"/>
              </w:rPr>
              <w:t xml:space="preserve">的潜在投标人应在</w:t>
            </w:r>
            <w:r>
              <w:rPr>
                <w:rFonts w:hint="default" w:ascii="Times New Roman" w:hAnsi="Times New Roman" w:cs="Times New Roman"/>
                <w:color w:val="000000" w:themeColor="text1"/>
                <w14:textFill>
                  <w14:solidFill>
                    <w14:schemeClr w14:val="tx1"/>
                  </w14:solidFill>
                </w14:textFill>
              </w:rPr>
              <w:t xml:space="preserve">江苏省政府采购一体化平台“苏采云”系统自行免费下载</w:t>
            </w:r>
            <w:r>
              <w:rPr>
                <w:rFonts w:hint="default" w:ascii="Times New Roman" w:hAnsi="Times New Roman" w:cs="Times New Roman" w:eastAsiaTheme="minorEastAsia"/>
                <w:szCs w:val="21"/>
              </w:rPr>
              <w:t xml:space="preserve">招标文件</w:t>
            </w:r>
            <w:r>
              <w:rPr>
                <w:rFonts w:hint="default" w:ascii="Times New Roman" w:hAnsi="Times New Roman" w:cs="Times New Roman" w:eastAsiaTheme="minorEastAsia"/>
                <w:szCs w:val="21"/>
              </w:rPr>
              <w:t xml:space="preserve">，并于</w:t>
            </w:r>
            <w:r>
              <w:rPr>
                <w:rFonts w:hint="default" w:ascii="Times New Roman" w:hAnsi="Times New Roman" w:cs="Times New Roman" w:eastAsiaTheme="minorEastAsia"/>
                <w:szCs w:val="21"/>
                <w:u w:val="single"/>
              </w:rPr>
              <w:t xml:space="preserve">2024年8月23日9点30分</w:t>
            </w:r>
            <w:r>
              <w:rPr>
                <w:rFonts w:hint="default" w:ascii="Times New Roman" w:hAnsi="Times New Roman" w:cs="Times New Roman" w:eastAsiaTheme="minorEastAsia"/>
                <w:szCs w:val="21"/>
              </w:rPr>
              <w:t xml:space="preserve">（北京时间）前递交投标文件。</w:t>
            </w:r>
            <w:r/>
          </w:p>
        </w:tc>
      </w:tr>
    </w:tbl>
    <w:p>
      <w:pPr>
        <w:jc w:val="left"/>
        <w:spacing w:line="360" w:lineRule="auto"/>
        <w:shd w:val="clear" w:color="auto" w:fill="ffffff"/>
        <w:widowControl/>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 xml:space="preserve">一、项目基本情况</w:t>
      </w:r>
      <w:r/>
    </w:p>
    <w:p>
      <w:pPr>
        <w:ind w:firstLine="420"/>
        <w:spacing w:line="360" w:lineRule="auto"/>
        <w:rPr>
          <w:rFonts w:hint="default" w:ascii="Times New Roman" w:hAnsi="Times New Roman" w:cs="Times New Roman" w:eastAsiaTheme="minorEastAsia"/>
          <w:szCs w:val="21"/>
          <w:highlight w:val="yellow"/>
        </w:rPr>
      </w:pPr>
      <w:r>
        <w:rPr>
          <w:rFonts w:hint="default" w:ascii="Times New Roman" w:hAnsi="Times New Roman" w:cs="Times New Roman" w:eastAsiaTheme="minorEastAsia"/>
          <w:szCs w:val="21"/>
        </w:rPr>
        <w:t xml:space="preserve">项目编号：JSZC-320591-JZCG-G2024-0044</w:t>
      </w:r>
      <w:r/>
    </w:p>
    <w:p>
      <w:pPr>
        <w:ind w:firstLine="420"/>
        <w:spacing w:line="360" w:lineRule="auto"/>
        <w:rPr>
          <w:rFonts w:hint="default" w:ascii="Times New Roman" w:hAnsi="Times New Roman" w:cs="Times New Roman"/>
          <w:szCs w:val="21"/>
        </w:rPr>
      </w:pPr>
      <w:r>
        <w:rPr>
          <w:rFonts w:hint="default" w:ascii="Times New Roman" w:hAnsi="Times New Roman" w:cs="Times New Roman" w:eastAsiaTheme="minorEastAsia"/>
          <w:szCs w:val="21"/>
        </w:rPr>
        <w:t xml:space="preserve">项目名称</w:t>
      </w:r>
      <w:bookmarkStart w:id="3" w:name="_Hlk172820088"/>
      <w:r>
        <w:rPr>
          <w:rFonts w:hint="default" w:ascii="Times New Roman" w:hAnsi="Times New Roman" w:cs="Times New Roman" w:eastAsiaTheme="minorEastAsia"/>
          <w:szCs w:val="21"/>
        </w:rPr>
        <w:t xml:space="preserve">：</w:t>
      </w:r>
      <w:r>
        <w:rPr>
          <w:rFonts w:hint="default" w:ascii="Times New Roman" w:hAnsi="Times New Roman" w:eastAsia="Segoe UI" w:cs="Times New Roman"/>
          <w:szCs w:val="21"/>
          <w:shd w:val="clear" w:color="auto" w:fill="ffffff"/>
        </w:rPr>
        <w:t xml:space="preserve">唯亭街道区域性养老服务中心及胜</w:t>
      </w:r>
      <w:r>
        <w:rPr>
          <w:rFonts w:hint="default" w:ascii="Times New Roman" w:hAnsi="Times New Roman" w:eastAsia="Segoe UI" w:cs="Times New Roman"/>
          <w:szCs w:val="21"/>
        </w:rPr>
        <w:t xml:space="preserve">浦街道医养项目</w:t>
      </w:r>
      <w:r>
        <w:rPr>
          <w:rFonts w:hint="default" w:ascii="Times New Roman" w:hAnsi="Times New Roman" w:eastAsia="Segoe UI" w:cs="Times New Roman"/>
          <w:szCs w:val="21"/>
          <w:shd w:val="clear" w:color="auto" w:fill="ffffff"/>
        </w:rPr>
        <w:t xml:space="preserve">家具</w:t>
      </w:r>
      <w:r>
        <w:rPr>
          <w:rFonts w:hint="default" w:ascii="Times New Roman" w:hAnsi="Times New Roman" w:cs="Times New Roman"/>
          <w:szCs w:val="21"/>
          <w:shd w:val="clear" w:color="auto" w:fill="ffffff"/>
        </w:rPr>
        <w:t xml:space="preserve">采购</w:t>
      </w:r>
      <w:bookmarkEnd w:id="3"/>
      <w:r/>
      <w:r/>
    </w:p>
    <w:p>
      <w:pPr>
        <w:ind w:firstLine="420"/>
        <w:spacing w:line="360" w:lineRule="auto"/>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预算金额：</w:t>
      </w:r>
      <w:r>
        <w:rPr>
          <w:rFonts w:hint="default" w:ascii="Times New Roman" w:hAnsi="Times New Roman" w:cs="Times New Roman"/>
          <w:szCs w:val="21"/>
        </w:rPr>
        <w:t xml:space="preserve">人民币伍佰伍拾伍万元整（￥5550000），本项目为合并项目，其中，唯亭街道预算金额为4030000元，胜浦街道预算金额为1520000元，报价要求详见各采购包招标文件第四章第二条报</w:t>
      </w:r>
      <w:r>
        <w:rPr>
          <w:rFonts w:hint="default" w:ascii="Times New Roman" w:hAnsi="Times New Roman" w:cs="Times New Roman" w:eastAsiaTheme="minorEastAsia"/>
          <w:szCs w:val="21"/>
        </w:rPr>
        <w:t xml:space="preserve">价要求。</w:t>
      </w:r>
      <w:r/>
    </w:p>
    <w:p>
      <w:pPr>
        <w:ind w:firstLine="420"/>
        <w:spacing w:line="360" w:lineRule="auto"/>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最高限价：</w:t>
      </w:r>
      <w:r>
        <w:rPr>
          <w:rFonts w:hint="default" w:ascii="Times New Roman" w:hAnsi="Times New Roman" w:cs="Times New Roman"/>
          <w:szCs w:val="21"/>
        </w:rPr>
        <w:t xml:space="preserve">人民币伍佰贰拾柒万元整（￥5270000.00）</w:t>
      </w:r>
      <w:r/>
    </w:p>
    <w:p>
      <w:pPr>
        <w:ind w:firstLine="420"/>
        <w:spacing w:line="360" w:lineRule="auto"/>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采购需求：</w:t>
      </w:r>
      <w:r>
        <w:rPr>
          <w:rFonts w:hint="default" w:ascii="Times New Roman" w:hAnsi="Times New Roman" w:eastAsia="Segoe UI" w:cs="Times New Roman"/>
          <w:szCs w:val="21"/>
          <w:highlight w:val="none"/>
          <w:shd w:val="clear" w:color="auto" w:fill="fafafa"/>
        </w:rPr>
        <w:t xml:space="preserve">唯亭街道区域性养老服务中心</w:t>
      </w:r>
      <w:r>
        <w:rPr>
          <w:rFonts w:hint="default" w:ascii="Times New Roman" w:hAnsi="Times New Roman" w:cs="Times New Roman"/>
          <w:szCs w:val="21"/>
          <w:highlight w:val="none"/>
          <w:shd w:val="clear" w:color="auto" w:fill="fafafa"/>
        </w:rPr>
        <w:t xml:space="preserve">及</w:t>
      </w:r>
      <w:r>
        <w:rPr>
          <w:rFonts w:hint="default" w:ascii="Times New Roman" w:hAnsi="Times New Roman" w:eastAsia="Segoe UI" w:cs="Times New Roman"/>
          <w:szCs w:val="21"/>
          <w:highlight w:val="none"/>
        </w:rPr>
        <w:t xml:space="preserve">胜浦街道医养项目</w:t>
      </w:r>
      <w:r>
        <w:rPr>
          <w:rFonts w:hint="default" w:ascii="Times New Roman" w:hAnsi="Times New Roman" w:cs="Times New Roman"/>
          <w:szCs w:val="21"/>
          <w:highlight w:val="none"/>
        </w:rPr>
        <w:t xml:space="preserve">采</w:t>
      </w:r>
      <w:r>
        <w:rPr>
          <w:rFonts w:hint="default" w:ascii="Times New Roman" w:hAnsi="Times New Roman" w:cs="Times New Roman"/>
          <w:szCs w:val="21"/>
        </w:rPr>
        <w:t xml:space="preserve">购一批家具，适老床（含床垫）、适老床头柜、电视柜、铝合金休闲椅等一批家具</w:t>
      </w:r>
      <w:r>
        <w:rPr>
          <w:rFonts w:hint="default" w:ascii="Times New Roman" w:hAnsi="Times New Roman" w:cs="Times New Roman" w:eastAsiaTheme="minorEastAsia"/>
          <w:szCs w:val="21"/>
        </w:rPr>
        <w:t xml:space="preserve">，具体采购需求详见招标文件第四章。</w:t>
      </w:r>
      <w:r/>
    </w:p>
    <w:p>
      <w:pPr>
        <w:ind w:firstLine="420"/>
        <w:spacing w:line="360" w:lineRule="auto"/>
        <w:rPr>
          <w:rFonts w:hint="default" w:ascii="Times New Roman" w:hAnsi="Times New Roman" w:cs="Times New Roman"/>
        </w:rPr>
      </w:pPr>
      <w:r>
        <w:rPr>
          <w:rFonts w:hint="default" w:ascii="Times New Roman" w:hAnsi="Times New Roman" w:cs="Times New Roman" w:eastAsiaTheme="minorEastAsia"/>
          <w:szCs w:val="21"/>
        </w:rPr>
        <w:t xml:space="preserve">合同履行期限：合同签订之日起</w:t>
      </w:r>
      <w:r>
        <w:rPr>
          <w:rFonts w:hint="default" w:ascii="Times New Roman" w:hAnsi="Times New Roman" w:cs="Times New Roman" w:eastAsiaTheme="minorEastAsia"/>
          <w:szCs w:val="21"/>
          <w:u w:val="single"/>
        </w:rPr>
        <w:t xml:space="preserve">  35  </w:t>
      </w:r>
      <w:r>
        <w:rPr>
          <w:rFonts w:hint="default" w:ascii="Times New Roman" w:hAnsi="Times New Roman" w:cs="Times New Roman" w:eastAsiaTheme="minorEastAsia"/>
          <w:szCs w:val="21"/>
        </w:rPr>
        <w:t xml:space="preserve">日内供货并安装调试完毕。如因现场不具备进场安装条件的，采购人将书面或邮件通知成交供应商调整履行期限的起算日。</w:t>
      </w:r>
      <w:r/>
    </w:p>
    <w:p>
      <w:pPr>
        <w:ind w:firstLine="420"/>
        <w:spacing w:line="360" w:lineRule="auto"/>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本项目</w:t>
      </w:r>
      <w:r>
        <w:rPr>
          <w:rFonts w:hint="default" w:ascii="Times New Roman" w:hAnsi="Times New Roman" w:cs="Times New Roman" w:eastAsiaTheme="minorEastAsia"/>
          <w:b/>
          <w:szCs w:val="21"/>
        </w:rPr>
        <w:t xml:space="preserve">不接受</w:t>
      </w:r>
      <w:r>
        <w:rPr>
          <w:rFonts w:hint="default" w:ascii="Times New Roman" w:hAnsi="Times New Roman" w:cs="Times New Roman" w:eastAsiaTheme="minorEastAsia"/>
          <w:szCs w:val="21"/>
        </w:rPr>
        <w:t xml:space="preserve">联合体投标。</w:t>
      </w:r>
      <w:r/>
    </w:p>
    <w:p>
      <w:pPr>
        <w:jc w:val="left"/>
        <w:spacing w:line="360" w:lineRule="auto"/>
        <w:shd w:val="clear" w:color="auto" w:fill="ffffff"/>
        <w:widowControl/>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 xml:space="preserve">二、申请人的资格要求：</w:t>
      </w:r>
      <w:r/>
    </w:p>
    <w:p>
      <w:pPr>
        <w:ind w:firstLine="420"/>
        <w:spacing w:line="360" w:lineRule="auto"/>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1、满足《中华人民共和国政府采购法》第二十二条规定； </w:t>
      </w:r>
      <w:r/>
    </w:p>
    <w:p>
      <w:pPr>
        <w:ind w:firstLine="420"/>
        <w:spacing w:line="360" w:lineRule="auto"/>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(1)具有独立承担民事责任的能力；</w:t>
      </w:r>
      <w:r/>
    </w:p>
    <w:p>
      <w:pPr>
        <w:ind w:firstLine="420"/>
        <w:spacing w:line="360" w:lineRule="auto"/>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(2)具有良好的商业信誉和健全的财务会计制度；</w:t>
      </w:r>
      <w:r/>
    </w:p>
    <w:p>
      <w:pPr>
        <w:ind w:firstLine="420"/>
        <w:spacing w:line="360" w:lineRule="auto"/>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(3)具有履行合同所必需的设备和专业技术能力； </w:t>
      </w:r>
      <w:r/>
    </w:p>
    <w:p>
      <w:pPr>
        <w:ind w:firstLine="420"/>
        <w:spacing w:line="360" w:lineRule="auto"/>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(4)有依法缴纳税收和社会保障资金的良好记录；</w:t>
      </w:r>
      <w:r/>
    </w:p>
    <w:p>
      <w:pPr>
        <w:ind w:firstLine="420"/>
        <w:spacing w:line="360" w:lineRule="auto"/>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(5)参加政府采购活动前三年内，在经营活动中没有出现重大违法记录；</w:t>
      </w:r>
      <w:r/>
    </w:p>
    <w:p>
      <w:pPr>
        <w:ind w:firstLine="420"/>
        <w:spacing w:line="360" w:lineRule="auto"/>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(6)法律、行政法规规定的其他条件。</w:t>
      </w:r>
      <w:r/>
    </w:p>
    <w:p>
      <w:pPr>
        <w:ind w:firstLine="420"/>
        <w:spacing w:line="360" w:lineRule="auto"/>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2、落实政府采购政策需满足的资格要求：</w:t>
      </w:r>
      <w:r/>
    </w:p>
    <w:p>
      <w:pPr>
        <w:ind w:firstLine="420"/>
        <w:spacing w:line="360" w:lineRule="auto"/>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根据《政府采购促进中小企业发展管理办法》的相关规定，本项目</w:t>
      </w:r>
      <w:r>
        <w:rPr>
          <w:rFonts w:hint="default" w:ascii="Times New Roman" w:hAnsi="Times New Roman" w:cs="Times New Roman" w:eastAsiaTheme="minorEastAsia"/>
          <w:b/>
          <w:szCs w:val="21"/>
        </w:rPr>
        <w:t xml:space="preserve">专门面向中小企业</w:t>
      </w:r>
      <w:r>
        <w:rPr>
          <w:rFonts w:hint="default" w:ascii="Times New Roman" w:hAnsi="Times New Roman" w:cs="Times New Roman" w:eastAsiaTheme="minorEastAsia"/>
          <w:szCs w:val="21"/>
        </w:rPr>
        <w:t xml:space="preserve">，所属行业为</w:t>
      </w:r>
      <w:r>
        <w:rPr>
          <w:rFonts w:hint="default" w:ascii="Times New Roman" w:hAnsi="Times New Roman" w:cs="Times New Roman" w:eastAsiaTheme="minorEastAsia"/>
          <w:b/>
          <w:szCs w:val="21"/>
        </w:rPr>
        <w:t xml:space="preserve">工业</w:t>
      </w:r>
      <w:r>
        <w:rPr>
          <w:rFonts w:hint="default" w:ascii="Times New Roman" w:hAnsi="Times New Roman" w:cs="Times New Roman" w:eastAsiaTheme="minorEastAsia"/>
          <w:szCs w:val="21"/>
        </w:rPr>
        <w:t xml:space="preserve">，投标人所提供货物的制造商应为中小微企业、监狱企业、残疾人福利性单位。</w:t>
      </w:r>
      <w:r/>
    </w:p>
    <w:p>
      <w:pPr>
        <w:ind w:firstLine="420"/>
        <w:spacing w:line="360" w:lineRule="auto"/>
        <w:rPr>
          <w:rFonts w:hint="default" w:ascii="Times New Roman" w:hAnsi="Times New Roman" w:cs="Times New Roman"/>
          <w:b/>
          <w:szCs w:val="21"/>
        </w:rPr>
      </w:pPr>
      <w:r>
        <w:rPr>
          <w:rFonts w:hint="default" w:ascii="Times New Roman" w:hAnsi="Times New Roman" w:cs="Times New Roman" w:eastAsiaTheme="minorEastAsia"/>
          <w:szCs w:val="21"/>
        </w:rPr>
        <w:t xml:space="preserve">3、本项目的特定资格要求：无</w:t>
      </w:r>
      <w:r/>
    </w:p>
    <w:p>
      <w:pPr>
        <w:jc w:val="left"/>
        <w:spacing w:line="360" w:lineRule="auto"/>
        <w:shd w:val="clear" w:color="auto" w:fill="ffffff"/>
        <w:widowControl/>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 xml:space="preserve">三、获取招标文件</w:t>
      </w:r>
      <w:r/>
    </w:p>
    <w:p>
      <w:pPr>
        <w:ind w:firstLine="420"/>
        <w:jc w:val="left"/>
        <w:spacing w:line="360" w:lineRule="auto"/>
        <w:shd w:val="clear" w:color="auto" w:fill="ffffff"/>
        <w:widowControl/>
        <w:rPr>
          <w:rFonts w:hint="default" w:ascii="Times New Roman" w:hAnsi="Times New Roman" w:cs="Times New Roman" w:eastAsiaTheme="minorEastAsia"/>
          <w:szCs w:val="21"/>
        </w:rPr>
      </w:pPr>
      <w:r/>
      <w:bookmarkStart w:id="4" w:name="_Hlk159250121"/>
      <w:r>
        <w:rPr>
          <w:rFonts w:hint="default" w:ascii="Times New Roman" w:hAnsi="Times New Roman" w:cs="Times New Roman" w:eastAsiaTheme="minorEastAsia"/>
          <w:szCs w:val="21"/>
        </w:rPr>
        <w:t xml:space="preserve">1、时间：</w:t>
      </w:r>
      <w:r>
        <w:rPr>
          <w:rFonts w:hint="default" w:ascii="Times New Roman" w:hAnsi="Times New Roman" w:cs="Times New Roman" w:eastAsiaTheme="minorEastAsia"/>
          <w:b/>
          <w:bCs/>
          <w:szCs w:val="21"/>
          <w:u w:val="single"/>
        </w:rPr>
        <w:t xml:space="preserve">2024年8月2日至2024年8月9日</w:t>
      </w:r>
      <w:r>
        <w:rPr>
          <w:rFonts w:hint="default" w:ascii="Times New Roman" w:hAnsi="Times New Roman" w:cs="Times New Roman" w:eastAsiaTheme="minorEastAsia"/>
          <w:szCs w:val="21"/>
        </w:rPr>
        <w:t xml:space="preserve">。</w:t>
      </w:r>
      <w:r/>
    </w:p>
    <w:p>
      <w:pPr>
        <w:ind w:firstLine="420"/>
        <w:spacing w:line="360" w:lineRule="auto"/>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2、地点：</w:t>
      </w:r>
      <w:r>
        <w:rPr>
          <w:rFonts w:hint="default" w:ascii="Times New Roman" w:hAnsi="Times New Roman" w:cs="Times New Roman"/>
          <w:color w:val="000000" w:themeColor="text1"/>
          <w14:textFill>
            <w14:solidFill>
              <w14:schemeClr w14:val="tx1"/>
            </w14:solidFill>
          </w14:textFill>
        </w:rPr>
        <w:t xml:space="preserve">江苏省政府采购一体化平台“苏采云”系统自行免费下载</w:t>
      </w:r>
      <w:r>
        <w:rPr>
          <w:rFonts w:hint="default" w:ascii="Times New Roman" w:hAnsi="Times New Roman" w:cs="Times New Roman" w:eastAsiaTheme="minorEastAsia"/>
          <w:szCs w:val="21"/>
        </w:rPr>
        <w:t xml:space="preserve">。</w:t>
      </w:r>
      <w:r/>
    </w:p>
    <w:p>
      <w:pPr>
        <w:ind w:firstLine="420"/>
        <w:spacing w:line="360" w:lineRule="auto"/>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3、方式：</w:t>
      </w:r>
      <w:r/>
    </w:p>
    <w:p>
      <w:pPr>
        <w:ind w:firstLine="420"/>
        <w:spacing w:line="360" w:lineRule="auto"/>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（1）CA办理</w:t>
      </w:r>
      <w:r/>
    </w:p>
    <w:p>
      <w:pPr>
        <w:ind w:firstLine="420"/>
        <w:spacing w:line="360" w:lineRule="auto"/>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供应商通过江苏省政府采购一体化平台“苏采云”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w:t>
      </w:r>
      <w:r>
        <w:rPr>
          <w:rFonts w:hint="default" w:ascii="Times New Roman" w:hAnsi="Times New Roman" w:cs="Times New Roman" w:eastAsiaTheme="minorEastAsia"/>
          <w:b/>
          <w:szCs w:val="21"/>
        </w:rPr>
        <w:t xml:space="preserve">“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default" w:ascii="Times New Roman" w:hAnsi="Times New Roman" w:cs="Times New Roman" w:eastAsiaTheme="minorEastAsia"/>
          <w:szCs w:val="21"/>
        </w:rPr>
        <w:t xml:space="preserve">。</w:t>
      </w:r>
      <w:r/>
    </w:p>
    <w:p>
      <w:pPr>
        <w:ind w:firstLine="420"/>
        <w:spacing w:line="360" w:lineRule="auto"/>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（2）依法获取采购文件</w:t>
      </w:r>
      <w:r/>
    </w:p>
    <w:p>
      <w:pPr>
        <w:ind w:firstLine="420"/>
        <w:spacing w:line="360" w:lineRule="auto"/>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供应商插入CA证书登陆“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20"/>
        <w:spacing w:line="360" w:lineRule="auto"/>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考虑到熟悉“苏采云”系统、办理</w:t>
      </w:r>
      <w:r>
        <w:rPr>
          <w:rFonts w:hint="default" w:ascii="Times New Roman" w:hAnsi="Times New Roman" w:cs="Times New Roman" w:eastAsiaTheme="minorEastAsia"/>
          <w:szCs w:val="21"/>
        </w:rPr>
        <w:t xml:space="preserve">CA证书都</w:t>
      </w:r>
      <w:r>
        <w:rPr>
          <w:rFonts w:hint="default" w:ascii="Times New Roman" w:hAnsi="Times New Roman" w:cs="Times New Roman" w:eastAsiaTheme="minorEastAsia"/>
          <w:szCs w:val="21"/>
        </w:rPr>
        <w:t xml:space="preserve">需要一定的时间，请提早准备以免耽误招标采购活动。</w:t>
      </w:r>
      <w:r/>
    </w:p>
    <w:p>
      <w:pPr>
        <w:ind w:firstLine="420"/>
        <w:jc w:val="left"/>
        <w:spacing w:line="360" w:lineRule="auto"/>
        <w:shd w:val="clear" w:color="auto" w:fill="ffffff"/>
        <w:widowControl/>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4、售价：</w:t>
      </w:r>
      <w:r>
        <w:rPr>
          <w:rFonts w:hint="default" w:ascii="Times New Roman" w:hAnsi="Times New Roman" w:cs="Times New Roman" w:eastAsiaTheme="minorEastAsia"/>
          <w:b/>
          <w:szCs w:val="21"/>
        </w:rPr>
        <w:t xml:space="preserve">免费</w:t>
      </w:r>
      <w:r>
        <w:rPr>
          <w:rFonts w:hint="default" w:ascii="Times New Roman" w:hAnsi="Times New Roman" w:cs="Times New Roman" w:eastAsiaTheme="minorEastAsia"/>
          <w:szCs w:val="21"/>
        </w:rPr>
        <w:t xml:space="preserve">。</w:t>
      </w:r>
      <w:r/>
    </w:p>
    <w:p>
      <w:pPr>
        <w:ind w:firstLine="420"/>
        <w:jc w:val="left"/>
        <w:spacing w:line="360" w:lineRule="auto"/>
        <w:shd w:val="clear" w:color="auto" w:fill="ffffff"/>
        <w:widowControl/>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5、</w:t>
      </w:r>
      <w:r>
        <w:rPr>
          <w:rFonts w:hint="default" w:ascii="Times New Roman" w:hAnsi="Times New Roman" w:cs="Times New Roman" w:eastAsiaTheme="minorEastAsia"/>
          <w:b/>
          <w:szCs w:val="21"/>
        </w:rPr>
        <w:t xml:space="preserve">未依照招标公告要求获取招标文件的投标人，视为未参加该项政府采购活动，不具备对该政府采购项目提出质疑的法定权利。</w:t>
      </w:r>
      <w:r/>
    </w:p>
    <w:p>
      <w:pPr>
        <w:ind w:firstLine="420"/>
        <w:jc w:val="left"/>
        <w:spacing w:line="360" w:lineRule="auto"/>
        <w:shd w:val="clear" w:color="auto" w:fill="ffffff"/>
        <w:widowControl/>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6、更正（补充）公告及附件的获取：投标人应及时关注政府采购信息发布媒体上发布的更正（补充）公告，同时在</w:t>
      </w:r>
      <w:r>
        <w:rPr>
          <w:rFonts w:hint="default" w:ascii="Times New Roman" w:hAnsi="Times New Roman" w:cs="Times New Roman" w:eastAsiaTheme="minorEastAsia"/>
          <w:szCs w:val="21"/>
        </w:rPr>
        <w:t xml:space="preserve">“苏采云”系统中</w:t>
      </w:r>
      <w:r>
        <w:rPr>
          <w:rFonts w:hint="default" w:ascii="Times New Roman" w:hAnsi="Times New Roman" w:cs="Times New Roman" w:eastAsiaTheme="minorEastAsia"/>
          <w:szCs w:val="21"/>
        </w:rPr>
        <w:t xml:space="preserve">下载更正（补充）资料，</w:t>
      </w:r>
      <w:r>
        <w:rPr>
          <w:rFonts w:hint="default" w:ascii="Times New Roman" w:hAnsi="Times New Roman" w:cs="Times New Roman" w:eastAsiaTheme="minorEastAsia"/>
          <w:b/>
          <w:szCs w:val="21"/>
        </w:rPr>
        <w:t xml:space="preserve">如有遗漏（包括但不限于文件未下载或下载不完整），可能无法解密投标文件，由此所造成的投标失败或损失由投标人自行负责。</w:t>
      </w:r>
      <w:bookmarkEnd w:id="4"/>
      <w:r/>
      <w:r/>
    </w:p>
    <w:p>
      <w:pPr>
        <w:jc w:val="left"/>
        <w:spacing w:line="360" w:lineRule="auto"/>
        <w:shd w:val="clear" w:color="auto" w:fill="ffffff"/>
        <w:widowControl/>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 xml:space="preserve">四、提交投标文件截止时间、开标时间和地点</w:t>
      </w:r>
      <w:r/>
    </w:p>
    <w:p>
      <w:pPr>
        <w:ind w:firstLine="420"/>
        <w:spacing w:line="360" w:lineRule="auto"/>
        <w:rPr>
          <w:rFonts w:hint="default" w:ascii="Times New Roman" w:hAnsi="Times New Roman" w:cs="Times New Roman" w:eastAsiaTheme="minorEastAsia"/>
          <w:b/>
          <w:szCs w:val="21"/>
          <w:highlight w:val="none"/>
        </w:rPr>
      </w:pPr>
      <w:r/>
      <w:bookmarkStart w:id="6" w:name="_Hlk159250143"/>
      <w:r>
        <w:rPr>
          <w:rFonts w:hint="default" w:ascii="Times New Roman" w:hAnsi="Times New Roman" w:cs="Times New Roman" w:eastAsiaTheme="minorEastAsia"/>
          <w:szCs w:val="21"/>
        </w:rPr>
        <w:t xml:space="preserve">1、时间：</w:t>
      </w:r>
      <w:r>
        <w:rPr>
          <w:rFonts w:hint="default" w:ascii="Times New Roman" w:hAnsi="Times New Roman" w:cs="Times New Roman" w:eastAsiaTheme="minorEastAsia"/>
          <w:b/>
          <w:szCs w:val="21"/>
          <w:highlight w:val="none"/>
          <w:u w:val="single"/>
        </w:rPr>
        <w:t xml:space="preserve">2024年8月23日9点30分（北京时间）</w:t>
      </w:r>
      <w:r>
        <w:rPr>
          <w:highlight w:val="none"/>
        </w:rPr>
      </w:r>
      <w:r/>
    </w:p>
    <w:p>
      <w:pPr>
        <w:ind w:firstLine="420"/>
        <w:jc w:val="left"/>
        <w:spacing w:line="360" w:lineRule="auto"/>
        <w:shd w:val="clear" w:color="auto" w:fill="ffffff"/>
        <w:widowControl/>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2、地点：“</w:t>
      </w:r>
      <w:bookmarkStart w:id="7" w:name="_Hlk158214238"/>
      <w:r>
        <w:rPr>
          <w:rFonts w:hint="default" w:ascii="Times New Roman" w:hAnsi="Times New Roman" w:cs="Times New Roman" w:eastAsiaTheme="minorEastAsia"/>
          <w:szCs w:val="21"/>
        </w:rPr>
        <w:t xml:space="preserve">苏采云”系统（网址：http://jszfcg.jsczt.cn/）“开标大厅”</w:t>
      </w:r>
      <w:bookmarkEnd w:id="7"/>
      <w:r/>
      <w:r/>
    </w:p>
    <w:p>
      <w:pPr>
        <w:ind w:firstLine="420"/>
        <w:jc w:val="left"/>
        <w:spacing w:line="360" w:lineRule="auto"/>
        <w:shd w:val="clear" w:color="auto" w:fill="ffffff"/>
        <w:widowControl/>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3、方式：</w:t>
      </w:r>
      <w:r>
        <w:rPr>
          <w:rFonts w:hint="default" w:ascii="Times New Roman" w:hAnsi="Times New Roman" w:cs="Times New Roman" w:eastAsiaTheme="minorEastAsia"/>
          <w:b/>
          <w:szCs w:val="21"/>
        </w:rPr>
        <w:t xml:space="preserve">投标文件</w:t>
      </w:r>
      <w:bookmarkStart w:id="8" w:name="_Hlk90650305"/>
      <w:r>
        <w:rPr>
          <w:rFonts w:hint="default" w:ascii="Times New Roman" w:hAnsi="Times New Roman" w:cs="Times New Roman" w:eastAsiaTheme="minorEastAsia"/>
          <w:b/>
          <w:szCs w:val="21"/>
        </w:rPr>
        <w:t xml:space="preserve">网上递交</w:t>
      </w:r>
      <w:bookmarkEnd w:id="8"/>
      <w:r/>
      <w:bookmarkStart w:id="9" w:name="_Hlk90650417"/>
      <w:r/>
      <w:r/>
    </w:p>
    <w:p>
      <w:pPr>
        <w:ind w:firstLine="420"/>
        <w:jc w:val="left"/>
        <w:spacing w:line="360" w:lineRule="auto"/>
        <w:shd w:val="clear" w:color="auto" w:fill="ffffff"/>
        <w:widowControl/>
        <w:rPr>
          <w:rFonts w:hint="default" w:ascii="Times New Roman" w:hAnsi="Times New Roman" w:cs="Times New Roman" w:eastAsiaTheme="minorEastAsia"/>
          <w:szCs w:val="21"/>
        </w:rPr>
      </w:pPr>
      <w:r/>
      <w:bookmarkStart w:id="10" w:name="_Hlk158214269"/>
      <w:r>
        <w:rPr>
          <w:rFonts w:hint="default" w:ascii="Times New Roman" w:hAnsi="Times New Roman" w:cs="Times New Roman" w:eastAsiaTheme="minorEastAsia"/>
          <w:szCs w:val="21"/>
        </w:rPr>
        <w:t xml:space="preserve">线上参加开标（开启）会方式：供应商登录“苏采云”系统，点击“开标大厅”，选择对应项目，点击进入不见面开标系统。</w:t>
      </w:r>
      <w:r/>
    </w:p>
    <w:p>
      <w:pPr>
        <w:ind w:firstLine="422"/>
        <w:jc w:val="left"/>
        <w:spacing w:line="360" w:lineRule="auto"/>
        <w:shd w:val="clear" w:color="auto" w:fill="ffffff"/>
        <w:widowControl/>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 xml:space="preserve">本项目为不见面开标（开启）项目，开标阶段供应商在【解密环节】必须使用 CA证书解密电子（投标）响应文件，如在“苏采云”系统规定的时间内未能成功解密的视为放弃参与本项目，投标无效。</w:t>
      </w:r>
      <w:r/>
    </w:p>
    <w:p>
      <w:pPr>
        <w:ind w:firstLine="422"/>
        <w:jc w:val="left"/>
        <w:spacing w:line="360" w:lineRule="auto"/>
        <w:shd w:val="clear" w:color="auto" w:fill="ffffff"/>
        <w:widowControl/>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 xml:space="preserve">请供应商确保电脑、系统及其他设备（视频输入输出设备等）无误，且开启直至项目结束始终保持系统在线状态。</w:t>
      </w:r>
      <w:bookmarkEnd w:id="6"/>
      <w:r/>
      <w:bookmarkEnd w:id="10"/>
      <w:r/>
      <w:bookmarkEnd w:id="9"/>
      <w:r/>
      <w:r/>
    </w:p>
    <w:p>
      <w:pPr>
        <w:jc w:val="left"/>
        <w:spacing w:line="360" w:lineRule="auto"/>
        <w:shd w:val="clear" w:color="auto" w:fill="ffffff"/>
        <w:widowControl/>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 xml:space="preserve">五、公告期限</w:t>
      </w:r>
      <w:r/>
    </w:p>
    <w:p>
      <w:pPr>
        <w:ind w:firstLine="420"/>
        <w:jc w:val="left"/>
        <w:spacing w:line="360" w:lineRule="auto"/>
        <w:shd w:val="clear" w:color="auto" w:fill="ffffff"/>
        <w:widowControl/>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自本公告发布之日起5个工作日。 </w:t>
      </w:r>
      <w:r/>
    </w:p>
    <w:p>
      <w:pPr>
        <w:jc w:val="left"/>
        <w:spacing w:line="360" w:lineRule="auto"/>
        <w:shd w:val="clear" w:color="auto" w:fill="ffffff"/>
        <w:widowControl/>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 xml:space="preserve">六、其他补充事宜</w:t>
      </w:r>
      <w:r/>
    </w:p>
    <w:p>
      <w:pPr>
        <w:ind w:firstLine="420"/>
        <w:spacing w:line="360" w:lineRule="auto"/>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1、</w:t>
      </w:r>
      <w:r>
        <w:rPr>
          <w:rFonts w:hint="default" w:ascii="Times New Roman" w:hAnsi="Times New Roman" w:cs="Times New Roman"/>
        </w:rPr>
        <w:t xml:space="preserve">胜</w:t>
      </w:r>
      <w:r>
        <w:rPr>
          <w:rFonts w:hint="default" w:ascii="Times New Roman" w:hAnsi="Times New Roman" w:cs="Times New Roman" w:eastAsiaTheme="minorEastAsia"/>
        </w:rPr>
        <w:t xml:space="preserve">浦街道政采监督电话：0512-62821299，</w:t>
      </w:r>
      <w:r>
        <w:rPr>
          <w:rFonts w:hint="default" w:ascii="Times New Roman" w:hAnsi="Times New Roman" w:cs="Times New Roman"/>
        </w:rPr>
        <w:t xml:space="preserve">唯亭街道政采监督电话：0512-69996857。</w:t>
      </w:r>
      <w:r>
        <w:rPr>
          <w:rFonts w:hint="default" w:ascii="Times New Roman" w:hAnsi="Times New Roman" w:cs="Times New Roman" w:eastAsiaTheme="minorEastAsia"/>
          <w:szCs w:val="21"/>
        </w:rPr>
        <w:t xml:space="preserve">苏州工业园区财政审计局政府采购监督电话：0512-66681110。</w:t>
      </w:r>
      <w:r/>
    </w:p>
    <w:p>
      <w:pPr>
        <w:ind w:firstLine="422"/>
        <w:spacing w:line="360" w:lineRule="auto"/>
        <w:rPr>
          <w:rFonts w:hint="default" w:ascii="Times New Roman" w:hAnsi="Times New Roman" w:cs="Times New Roman" w:eastAsiaTheme="minorEastAsia"/>
          <w:b/>
          <w:color w:val="ff0000"/>
          <w:szCs w:val="21"/>
        </w:rPr>
      </w:pPr>
      <w:r>
        <w:rPr>
          <w:rFonts w:hint="default" w:ascii="Times New Roman" w:hAnsi="Times New Roman" w:cs="Times New Roman" w:eastAsiaTheme="minorEastAsia"/>
          <w:b/>
          <w:color w:val="ff0000"/>
          <w:szCs w:val="21"/>
        </w:rPr>
        <w:t xml:space="preserve">2、</w:t>
      </w:r>
      <w:bookmarkStart w:id="11" w:name="_Hlk172721226"/>
      <w:r>
        <w:rPr>
          <w:rFonts w:hint="default" w:ascii="Times New Roman" w:hAnsi="Times New Roman" w:cs="Times New Roman" w:eastAsiaTheme="minorEastAsia"/>
          <w:b/>
          <w:color w:val="ff0000"/>
          <w:szCs w:val="21"/>
        </w:rPr>
        <w:t xml:space="preserve">本项目将按照《关于试点开展园区政府采购投标（响应）文件核查管理的通知》的要求，开展政府采购投标（响应）文件核查工作，核查程序规则及结果应用详见招标文件“第二章投标人须知”。</w:t>
      </w:r>
      <w:bookmarkEnd w:id="11"/>
      <w:r/>
      <w:r/>
    </w:p>
    <w:p>
      <w:pPr>
        <w:ind w:firstLine="420"/>
        <w:spacing w:line="360" w:lineRule="auto"/>
        <w:rPr>
          <w:rFonts w:hint="default" w:ascii="Times New Roman" w:hAnsi="Times New Roman" w:cs="Times New Roman" w:eastAsiaTheme="minorEastAsia"/>
          <w:b/>
          <w:szCs w:val="21"/>
        </w:rPr>
      </w:pPr>
      <w:r>
        <w:rPr>
          <w:rFonts w:hint="default" w:ascii="Times New Roman" w:hAnsi="Times New Roman" w:cs="Times New Roman" w:eastAsiaTheme="minorEastAsia"/>
          <w:szCs w:val="21"/>
        </w:rPr>
        <w:t xml:space="preserve">3、</w:t>
      </w:r>
      <w:bookmarkStart w:id="12" w:name="_Hlk159250294"/>
      <w:r>
        <w:rPr>
          <w:rFonts w:hint="default" w:ascii="Times New Roman" w:hAnsi="Times New Roman" w:cs="Times New Roman" w:eastAsiaTheme="minorEastAsia"/>
          <w:szCs w:val="21"/>
        </w:rPr>
        <w:t xml:space="preserve">制作电子投标文件：</w:t>
      </w:r>
      <w:r>
        <w:rPr>
          <w:rFonts w:hint="default" w:ascii="Times New Roman" w:hAnsi="Times New Roman" w:cs="Times New Roman" w:eastAsiaTheme="minorEastAsia"/>
          <w:color w:val="000000" w:themeColor="text1"/>
          <w:szCs w:val="21"/>
          <w14:textFill>
            <w14:solidFill>
              <w14:schemeClr w14:val="tx1"/>
            </w14:solidFill>
          </w14:textFill>
        </w:rPr>
        <w:t xml:space="preserve">本项目采用电子网上招投标，请供应商插入CA 证书登陆“苏采云”系统下载客户端（参与项目页面可下载客户端及客户端使用说明），在客户端编制电子投标（响应）文件并进行CA加密，操作步骤详见“苏采云”系统页面提示。操作手册见《苏采云系统供应商操作手册》（以下简称《操作手册》）（链接：</w:t>
      </w:r>
      <w:r>
        <w:rPr>
          <w:rFonts w:hint="default" w:ascii="Times New Roman" w:hAnsi="Times New Roman" w:cs="Times New Roman"/>
        </w:rPr>
        <w:fldChar w:fldCharType="begin"/>
      </w:r>
      <w:r>
        <w:rPr>
          <w:rFonts w:hint="default" w:ascii="Times New Roman" w:hAnsi="Times New Roman" w:cs="Times New Roman"/>
        </w:rPr>
        <w:instrText xml:space="preserve"> HYPERLINK "http://www.ccgp-jiangsu.gov.cn/jiangsu/zlxz/ee/ee3a4bc5a3454aa2b0d9312230633ce9.html" </w:instrText>
      </w:r>
      <w:r>
        <w:rPr>
          <w:rFonts w:hint="default" w:ascii="Times New Roman" w:hAnsi="Times New Roman" w:cs="Times New Roman"/>
        </w:rPr>
        <w:fldChar w:fldCharType="separate"/>
      </w:r>
      <w:r>
        <w:rPr>
          <w:rStyle w:val="908"/>
          <w:rFonts w:hint="default" w:ascii="Times New Roman" w:hAnsi="Times New Roman" w:cs="Times New Roman" w:eastAsiaTheme="minorEastAsia"/>
          <w:szCs w:val="21"/>
        </w:rPr>
        <w:t xml:space="preserve">http://www.ccgp-jiangsu.gov.cn/jiangsu/zlxz/ee/ee3a4bc5a3454aa2b0d9312230633ce9.html</w:t>
      </w:r>
      <w:r>
        <w:rPr>
          <w:rStyle w:val="908"/>
          <w:rFonts w:hint="default" w:ascii="Times New Roman" w:hAnsi="Times New Roman" w:cs="Times New Roman" w:eastAsiaTheme="minorEastAsia"/>
          <w:szCs w:val="21"/>
        </w:rPr>
        <w:fldChar w:fldCharType="end"/>
      </w:r>
      <w:r>
        <w:rPr>
          <w:rFonts w:hint="default" w:ascii="Times New Roman" w:hAnsi="Times New Roman" w:cs="Times New Roman" w:eastAsiaTheme="minorEastAsia"/>
          <w:color w:val="000000" w:themeColor="text1"/>
          <w:szCs w:val="21"/>
          <w14:textFill>
            <w14:solidFill>
              <w14:schemeClr w14:val="tx1"/>
            </w14:solidFill>
          </w14:textFill>
        </w:rPr>
        <w:t xml:space="preserve">）。</w:t>
      </w:r>
      <w:r>
        <w:rPr>
          <w:rFonts w:hint="default" w:ascii="Times New Roman" w:hAnsi="Times New Roman" w:cs="Times New Roman"/>
          <w:color w:val="333333"/>
          <w:shd w:val="clear" w:color="auto" w:fill="ffffff"/>
        </w:rPr>
        <w:t xml:space="preserve">电子投标（响应）文件制作完成后请于投标（响应）截止时间前成功上传，</w:t>
      </w:r>
      <w:r>
        <w:rPr>
          <w:rFonts w:hint="default" w:ascii="Times New Roman" w:hAnsi="Times New Roman" w:cs="Times New Roman"/>
          <w:b/>
          <w:color w:val="000000" w:themeColor="text1"/>
          <w:szCs w:val="21"/>
          <w14:textFill>
            <w14:solidFill>
              <w14:schemeClr w14:val="tx1"/>
            </w14:solidFill>
          </w14:textFill>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bookmarkEnd w:id="12"/>
      <w:r/>
      <w:r/>
    </w:p>
    <w:p>
      <w:pPr>
        <w:ind w:firstLine="420"/>
        <w:spacing w:line="360" w:lineRule="auto"/>
        <w:rPr>
          <w:rFonts w:hint="default" w:ascii="Times New Roman" w:hAnsi="Times New Roman" w:cs="Times New Roman" w:eastAsiaTheme="minorEastAsia"/>
          <w:b/>
          <w:szCs w:val="21"/>
        </w:rPr>
      </w:pPr>
      <w:r>
        <w:rPr>
          <w:rFonts w:hint="default" w:ascii="Times New Roman" w:hAnsi="Times New Roman" w:cs="Times New Roman" w:eastAsiaTheme="minorEastAsia"/>
          <w:szCs w:val="21"/>
        </w:rPr>
        <w:t xml:space="preserve">4、</w:t>
      </w:r>
      <w:bookmarkStart w:id="13" w:name="_Hlk159250316"/>
      <w:r>
        <w:rPr>
          <w:rFonts w:hint="default" w:ascii="Times New Roman" w:hAnsi="Times New Roman" w:cs="Times New Roman"/>
          <w:b/>
          <w:shd w:val="clear" w:color="auto" w:fill="ffffff"/>
        </w:rPr>
        <w:t xml:space="preserve">投标供应商需保持</w:t>
      </w:r>
      <w:r>
        <w:rPr>
          <w:rFonts w:hint="default" w:ascii="Times New Roman" w:hAnsi="Times New Roman" w:cs="Times New Roman" w:eastAsiaTheme="minorEastAsia"/>
          <w:b/>
          <w:szCs w:val="21"/>
        </w:rPr>
        <w:t xml:space="preserve">“苏采云”系统不见面开标大厅</w:t>
      </w:r>
      <w:r>
        <w:rPr>
          <w:rFonts w:hint="default" w:ascii="Times New Roman" w:hAnsi="Times New Roman" w:cs="Times New Roman"/>
          <w:b/>
          <w:shd w:val="clear" w:color="auto" w:fill="ffffff"/>
        </w:rPr>
        <w:t xml:space="preserve">在线状态，并按要求在规定时间内进行响应。</w:t>
      </w:r>
      <w:r>
        <w:rPr>
          <w:rFonts w:hint="default" w:ascii="Times New Roman" w:hAnsi="Times New Roman" w:cs="Times New Roman" w:eastAsiaTheme="minorEastAsia"/>
          <w:szCs w:val="21"/>
        </w:rPr>
        <w:t xml:space="preserve">在评审过程中系统如有特殊情况，工作人员会及时通过《投标供应商确认函》或法人授权委托书（如有）中留存的手机号与供应商联系。</w:t>
      </w:r>
      <w:r>
        <w:rPr>
          <w:rFonts w:hint="default" w:ascii="Times New Roman" w:hAnsi="Times New Roman" w:cs="Times New Roman" w:eastAsiaTheme="minorEastAsia"/>
          <w:b/>
          <w:szCs w:val="21"/>
        </w:rPr>
        <w:t xml:space="preserve">请供应商确保系统在线状态且该手机号开评标当日通讯畅通，否则导致的对供应商不利的后果由供应商自行承担。</w:t>
      </w:r>
      <w:bookmarkEnd w:id="13"/>
      <w:r/>
      <w:r/>
    </w:p>
    <w:p>
      <w:pPr>
        <w:ind w:firstLine="420"/>
        <w:spacing w:line="360" w:lineRule="auto"/>
        <w:rPr>
          <w:rFonts w:hint="default" w:ascii="Times New Roman" w:hAnsi="Times New Roman" w:cs="Times New Roman" w:eastAsiaTheme="minorEastAsia"/>
          <w:b/>
          <w:szCs w:val="21"/>
        </w:rPr>
      </w:pPr>
      <w:r>
        <w:rPr>
          <w:rFonts w:hint="default" w:ascii="Times New Roman" w:hAnsi="Times New Roman" w:cs="Times New Roman" w:eastAsiaTheme="minorEastAsia"/>
          <w:color w:val="000000" w:themeColor="text1"/>
          <w:shd w:val="clear" w:color="auto" w:fill="ffffff"/>
          <w14:textFill>
            <w14:solidFill>
              <w14:schemeClr w14:val="tx1"/>
            </w14:solidFill>
          </w14:textFill>
        </w:rPr>
        <w:t xml:space="preserve">5、</w:t>
      </w:r>
      <w:bookmarkStart w:id="14" w:name="_Hlk159250331"/>
      <w:r>
        <w:rPr>
          <w:rFonts w:hint="default" w:ascii="Times New Roman" w:hAnsi="Times New Roman" w:cs="Times New Roman"/>
          <w:szCs w:val="21"/>
          <w:lang w:val="zh-CN"/>
        </w:rPr>
        <w:t xml:space="preserve">本项目获取采购文件截止日期之后仍可以下载采购文件，但截止日期之后下载的采购文件，视为非有效方式且不作为供应商权益受到损害的证明材料和依据。</w:t>
      </w:r>
      <w:bookmarkEnd w:id="14"/>
      <w:r/>
      <w:r/>
    </w:p>
    <w:p>
      <w:pPr>
        <w:pStyle w:val="869"/>
        <w:rPr>
          <w:rFonts w:hint="default" w:ascii="Times New Roman" w:hAnsi="Times New Roman" w:cs="Times New Roman"/>
        </w:rPr>
      </w:pPr>
      <w:r>
        <w:rPr>
          <w:rFonts w:hint="default" w:ascii="Times New Roman" w:hAnsi="Times New Roman" w:cs="Times New Roman"/>
          <w:shd w:val="clear" w:color="auto" w:fill="ffffff"/>
        </w:rPr>
        <w:t xml:space="preserve">6、技术支持</w:t>
      </w:r>
      <w:r/>
    </w:p>
    <w:p>
      <w:pPr>
        <w:ind w:firstLine="420"/>
        <w:spacing w:line="360" w:lineRule="auto"/>
        <w:rPr>
          <w:rFonts w:hint="default" w:ascii="Times New Roman" w:hAnsi="Times New Roman" w:cs="Times New Roman" w:eastAsiaTheme="minorEastAsia"/>
          <w:szCs w:val="21"/>
        </w:rPr>
      </w:pPr>
      <w:r/>
      <w:bookmarkStart w:id="15" w:name="_Hlk159250355"/>
      <w:r>
        <w:rPr>
          <w:rFonts w:hint="default" w:ascii="Times New Roman" w:hAnsi="Times New Roman" w:cs="Times New Roman" w:eastAsiaTheme="minorEastAsia"/>
          <w:szCs w:val="21"/>
        </w:rPr>
        <w:t xml:space="preserve">CA技术咨询服务电话：400-608-6099</w:t>
      </w:r>
      <w:r/>
    </w:p>
    <w:p>
      <w:pPr>
        <w:ind w:firstLine="420"/>
        <w:spacing w:line="360" w:lineRule="auto"/>
        <w:rPr>
          <w:rFonts w:hint="default" w:ascii="Times New Roman" w:hAnsi="Times New Roman" w:cs="Times New Roman"/>
          <w:szCs w:val="24"/>
        </w:rPr>
      </w:pPr>
      <w:r>
        <w:rPr>
          <w:rFonts w:hint="default" w:ascii="Times New Roman" w:hAnsi="Times New Roman" w:cs="Times New Roman" w:eastAsiaTheme="minorEastAsia"/>
          <w:szCs w:val="21"/>
        </w:rPr>
        <w:t xml:space="preserve">电子签章技术咨询服务电话：15380932027、15371015030 、13675197356、 13675197221</w:t>
      </w:r>
      <w:r/>
    </w:p>
    <w:p>
      <w:pPr>
        <w:jc w:val="left"/>
        <w:spacing w:line="360" w:lineRule="auto"/>
        <w:shd w:val="clear" w:color="auto" w:fill="ffffff"/>
        <w:widowControl/>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“苏采云”平台技术咨询电话：0512-69820854、0519-86722802、13914088964、18261002950</w:t>
      </w:r>
      <w:bookmarkEnd w:id="15"/>
      <w:r/>
      <w:r/>
    </w:p>
    <w:p>
      <w:pPr>
        <w:jc w:val="left"/>
        <w:spacing w:line="360" w:lineRule="auto"/>
        <w:shd w:val="clear" w:color="auto" w:fill="ffffff"/>
        <w:widowControl/>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 xml:space="preserve">七、对本次招标提出询问，请按以下方式联系</w:t>
      </w:r>
      <w:r/>
    </w:p>
    <w:p>
      <w:pPr>
        <w:ind w:firstLine="420"/>
        <w:jc w:val="left"/>
        <w:spacing w:line="360" w:lineRule="auto"/>
        <w:shd w:val="clear" w:color="auto" w:fill="ffffff"/>
        <w:widowControl/>
        <w:rPr>
          <w:rFonts w:hint="default" w:ascii="Times New Roman" w:hAnsi="Times New Roman" w:cs="Times New Roman" w:eastAsiaTheme="minorEastAsia"/>
          <w:szCs w:val="21"/>
        </w:rPr>
      </w:pPr>
      <w:r/>
      <w:bookmarkStart w:id="16" w:name="_Hlk172721291"/>
      <w:r>
        <w:rPr>
          <w:rFonts w:hint="default" w:ascii="Times New Roman" w:hAnsi="Times New Roman" w:cs="Times New Roman" w:eastAsiaTheme="minorEastAsia"/>
          <w:szCs w:val="21"/>
        </w:rPr>
        <w:t xml:space="preserve">1、采购人信息 </w:t>
      </w:r>
      <w:r/>
    </w:p>
    <w:p>
      <w:pPr>
        <w:ind w:firstLine="420"/>
        <w:jc w:val="left"/>
        <w:spacing w:line="360" w:lineRule="auto"/>
        <w:shd w:val="clear" w:color="auto" w:fill="ffffff"/>
        <w:widowControl/>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名称：苏州工业园区胜浦街道办事处 </w:t>
      </w:r>
      <w:r/>
    </w:p>
    <w:p>
      <w:pPr>
        <w:ind w:firstLine="420"/>
        <w:jc w:val="left"/>
        <w:spacing w:line="360" w:lineRule="auto"/>
        <w:shd w:val="clear" w:color="auto" w:fill="ffffff"/>
        <w:widowControl/>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地址：苏州工业园区2.5产业园D2栋</w:t>
      </w:r>
      <w:r/>
    </w:p>
    <w:p>
      <w:pPr>
        <w:ind w:firstLine="420"/>
        <w:jc w:val="left"/>
        <w:spacing w:line="360" w:lineRule="auto"/>
        <w:shd w:val="clear" w:color="auto" w:fill="ffffff"/>
        <w:widowControl/>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联系方式：0512-62811296</w:t>
      </w:r>
      <w:r/>
    </w:p>
    <w:p>
      <w:pPr>
        <w:ind w:firstLine="420"/>
        <w:jc w:val="left"/>
        <w:spacing w:line="360" w:lineRule="auto"/>
        <w:shd w:val="clear" w:color="auto" w:fill="ffffff"/>
        <w:widowControl/>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名称：</w:t>
      </w:r>
      <w:r>
        <w:rPr>
          <w:rFonts w:hint="default" w:ascii="Times New Roman" w:hAnsi="Times New Roman" w:eastAsia="Segoe UI" w:cs="Times New Roman"/>
          <w:szCs w:val="21"/>
        </w:rPr>
        <w:t xml:space="preserve">苏州工业园区唯亭街道办事处</w:t>
      </w:r>
      <w:r/>
    </w:p>
    <w:p>
      <w:pPr>
        <w:ind w:firstLine="420"/>
        <w:jc w:val="left"/>
        <w:spacing w:line="360" w:lineRule="auto"/>
        <w:shd w:val="clear" w:color="auto" w:fill="ffffff"/>
        <w:widowControl/>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地址：苏州工业园区</w:t>
      </w:r>
      <w:r>
        <w:rPr>
          <w:rFonts w:hint="default" w:ascii="Times New Roman" w:hAnsi="Times New Roman" w:cs="Times New Roman"/>
        </w:rPr>
        <w:t xml:space="preserve">唯亭街道唯正路8号便民服务中心</w:t>
      </w:r>
      <w:r/>
    </w:p>
    <w:p>
      <w:pPr>
        <w:ind w:firstLine="420"/>
        <w:jc w:val="left"/>
        <w:spacing w:line="360" w:lineRule="auto"/>
        <w:shd w:val="clear" w:color="auto" w:fill="ffffff"/>
        <w:widowControl/>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联系方式：</w:t>
      </w:r>
      <w:r>
        <w:rPr>
          <w:rFonts w:hint="default" w:ascii="Times New Roman" w:hAnsi="Times New Roman" w:cs="Times New Roman"/>
        </w:rPr>
        <w:t xml:space="preserve">0512-69996957</w:t>
      </w:r>
      <w:bookmarkEnd w:id="16"/>
      <w:r/>
      <w:r/>
    </w:p>
    <w:p>
      <w:pPr>
        <w:ind w:firstLine="420"/>
        <w:jc w:val="left"/>
        <w:spacing w:line="360" w:lineRule="auto"/>
        <w:shd w:val="clear" w:color="auto" w:fill="ffffff"/>
        <w:widowControl/>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2、采购代理机构信息</w:t>
      </w:r>
      <w:r/>
    </w:p>
    <w:p>
      <w:pPr>
        <w:ind w:firstLine="420"/>
        <w:jc w:val="left"/>
        <w:spacing w:line="360" w:lineRule="auto"/>
        <w:shd w:val="clear" w:color="auto" w:fill="ffffff"/>
        <w:widowControl/>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名称：苏州工业园区集中采购中心</w:t>
      </w:r>
      <w:r/>
    </w:p>
    <w:p>
      <w:pPr>
        <w:ind w:firstLine="420"/>
        <w:jc w:val="left"/>
        <w:spacing w:line="360" w:lineRule="auto"/>
        <w:shd w:val="clear" w:color="auto" w:fill="ffffff"/>
        <w:widowControl/>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地址：苏州工业园区旺墩路168号市场大厦2楼苏州工业园区集中采购中心</w:t>
      </w:r>
      <w:r/>
    </w:p>
    <w:p>
      <w:pPr>
        <w:ind w:firstLine="420"/>
        <w:jc w:val="left"/>
        <w:spacing w:line="360" w:lineRule="auto"/>
        <w:shd w:val="clear" w:color="auto" w:fill="ffffff"/>
        <w:widowControl/>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联系方式：0512-66605633</w:t>
      </w:r>
      <w:r/>
    </w:p>
    <w:p>
      <w:pPr>
        <w:ind w:firstLine="420"/>
        <w:jc w:val="left"/>
        <w:spacing w:line="360" w:lineRule="auto"/>
        <w:shd w:val="clear" w:color="auto" w:fill="ffffff"/>
        <w:widowControl/>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3、项目联系方式</w:t>
      </w:r>
      <w:r/>
    </w:p>
    <w:p>
      <w:pPr>
        <w:ind w:firstLine="420"/>
        <w:jc w:val="left"/>
        <w:spacing w:line="360" w:lineRule="auto"/>
        <w:shd w:val="clear" w:color="auto" w:fill="ffffff"/>
        <w:widowControl/>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项目联系人：柳涵</w:t>
      </w:r>
      <w:r/>
    </w:p>
    <w:p>
      <w:pPr>
        <w:ind w:firstLine="420"/>
        <w:jc w:val="left"/>
        <w:spacing w:line="360" w:lineRule="auto"/>
        <w:shd w:val="clear" w:color="auto" w:fill="ffffff"/>
        <w:widowControl/>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电话：0512-66605633</w:t>
      </w:r>
      <w:r/>
    </w:p>
    <w:p>
      <w:pPr>
        <w:pStyle w:val="868"/>
        <w:rPr>
          <w:rFonts w:hint="default" w:ascii="Times New Roman" w:hAnsi="Times New Roman" w:cs="Times New Roman"/>
        </w:rPr>
      </w:pPr>
      <w:r>
        <w:rPr>
          <w:rFonts w:hint="default" w:ascii="Times New Roman" w:hAnsi="Times New Roman" w:cs="Times New Roman"/>
        </w:rPr>
      </w:r>
      <w:r/>
    </w:p>
    <w:p>
      <w:pPr>
        <w:pStyle w:val="868"/>
        <w:numPr>
          <w:ilvl w:val="0"/>
          <w:numId w:val="2"/>
        </w:numPr>
        <w:jc w:val="center"/>
        <w:rPr>
          <w:rFonts w:hint="default" w:ascii="Times New Roman" w:hAnsi="Times New Roman" w:cs="Times New Roman" w:eastAsiaTheme="minorEastAsia"/>
          <w:bCs/>
          <w:sz w:val="44"/>
          <w:szCs w:val="44"/>
        </w:rPr>
      </w:pPr>
      <w:r>
        <w:rPr>
          <w:rFonts w:hint="default" w:ascii="Times New Roman" w:hAnsi="Times New Roman" w:cs="Times New Roman"/>
          <w:sz w:val="21"/>
          <w:szCs w:val="21"/>
        </w:rPr>
        <w:br w:type="page" w:clear="all"/>
      </w:r>
      <w:bookmarkStart w:id="17" w:name="投标人须知"/>
      <w:r>
        <w:rPr>
          <w:rFonts w:hint="default" w:ascii="Times New Roman" w:hAnsi="Times New Roman" w:cs="Times New Roman" w:eastAsiaTheme="minorEastAsia"/>
          <w:bCs/>
          <w:sz w:val="44"/>
          <w:szCs w:val="44"/>
        </w:rPr>
        <w:t xml:space="preserve">投标人须知</w:t>
      </w:r>
      <w:bookmarkEnd w:id="17"/>
      <w:r/>
      <w:r/>
    </w:p>
    <w:p>
      <w:pPr>
        <w:pStyle w:val="868"/>
        <w:rPr>
          <w:rFonts w:hint="default" w:ascii="Times New Roman" w:hAnsi="Times New Roman" w:cs="Times New Roman"/>
        </w:rPr>
      </w:pPr>
      <w:r>
        <w:rPr>
          <w:rFonts w:hint="default" w:ascii="Times New Roman" w:hAnsi="Times New Roman" w:cs="Times New Roman"/>
        </w:rPr>
      </w:r>
      <w:r/>
    </w:p>
    <w:p>
      <w:pPr>
        <w:numPr>
          <w:ilvl w:val="0"/>
          <w:numId w:val="3"/>
        </w:numPr>
        <w:ind w:left="0" w:firstLine="567"/>
        <w:spacing w:line="360" w:lineRule="auto"/>
        <w:tabs>
          <w:tab w:val="left" w:pos="142" w:leader="none"/>
          <w:tab w:val="left" w:pos="600" w:leader="none"/>
        </w:tabs>
        <w:rPr>
          <w:rFonts w:hint="default" w:ascii="Times New Roman" w:hAnsi="Times New Roman" w:cs="Times New Roman" w:eastAsiaTheme="minorEastAsia"/>
          <w:b/>
          <w:bCs/>
          <w:szCs w:val="21"/>
        </w:rPr>
      </w:pPr>
      <w:r>
        <w:rPr>
          <w:rFonts w:hint="default" w:ascii="Times New Roman" w:hAnsi="Times New Roman" w:cs="Times New Roman" w:eastAsiaTheme="minorEastAsia"/>
          <w:b/>
          <w:bCs/>
          <w:szCs w:val="21"/>
        </w:rPr>
        <w:t xml:space="preserve">总则</w:t>
      </w:r>
      <w:r/>
    </w:p>
    <w:p>
      <w:pPr>
        <w:numPr>
          <w:ilvl w:val="1"/>
          <w:numId w:val="4"/>
        </w:numPr>
        <w:ind w:left="0" w:firstLine="426"/>
        <w:spacing w:line="360" w:lineRule="auto"/>
        <w:tabs>
          <w:tab w:val="left" w:pos="851" w:leader="none"/>
        </w:tabs>
        <w:rPr>
          <w:rFonts w:hint="default" w:ascii="Times New Roman" w:hAnsi="Times New Roman" w:cs="Times New Roman" w:eastAsiaTheme="minorEastAsia"/>
          <w:b/>
          <w:bCs/>
          <w:szCs w:val="21"/>
        </w:rPr>
      </w:pPr>
      <w:r>
        <w:rPr>
          <w:rFonts w:hint="default" w:ascii="Times New Roman" w:hAnsi="Times New Roman" w:cs="Times New Roman" w:eastAsiaTheme="minorEastAsia"/>
          <w:b/>
          <w:szCs w:val="21"/>
        </w:rPr>
        <w:t xml:space="preserve">投标人</w:t>
      </w:r>
      <w:r>
        <w:rPr>
          <w:rFonts w:hint="default" w:ascii="Times New Roman" w:hAnsi="Times New Roman" w:cs="Times New Roman" w:eastAsiaTheme="minorEastAsia"/>
          <w:b/>
          <w:bCs/>
          <w:szCs w:val="21"/>
        </w:rPr>
        <w:t xml:space="preserve">资格要求</w:t>
      </w:r>
      <w:r/>
    </w:p>
    <w:p>
      <w:pPr>
        <w:numPr>
          <w:ilvl w:val="2"/>
          <w:numId w:val="4"/>
        </w:numPr>
        <w:ind w:left="0" w:firstLine="424"/>
        <w:spacing w:line="360" w:lineRule="auto"/>
        <w:tabs>
          <w:tab w:val="left" w:pos="851" w:leader="none"/>
        </w:tabs>
        <w:rPr>
          <w:rFonts w:hint="default" w:ascii="Times New Roman" w:hAnsi="Times New Roman" w:cs="Times New Roman" w:eastAsiaTheme="minorEastAsia"/>
          <w:bCs/>
          <w:szCs w:val="21"/>
        </w:rPr>
      </w:pPr>
      <w:r>
        <w:rPr>
          <w:rFonts w:hint="default" w:ascii="Times New Roman" w:hAnsi="Times New Roman" w:cs="Times New Roman" w:eastAsiaTheme="minorEastAsia"/>
          <w:szCs w:val="21"/>
        </w:rPr>
        <w:t xml:space="preserve">详见第一章招标公告中“二、申请人的资格要求”。</w:t>
      </w:r>
      <w:r/>
    </w:p>
    <w:p>
      <w:pPr>
        <w:numPr>
          <w:ilvl w:val="2"/>
          <w:numId w:val="4"/>
        </w:numPr>
        <w:ind w:left="0" w:firstLine="424"/>
        <w:spacing w:line="360" w:lineRule="auto"/>
        <w:tabs>
          <w:tab w:val="left" w:pos="851"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投标人不得存在下列情形之一：</w:t>
      </w:r>
      <w:r/>
    </w:p>
    <w:p>
      <w:pPr>
        <w:ind w:firstLine="426"/>
        <w:spacing w:line="360" w:lineRule="auto"/>
        <w:tabs>
          <w:tab w:val="left" w:pos="540" w:leader="none"/>
          <w:tab w:val="left" w:pos="600"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（1）苏州市财政局《关于印发苏州市市级政府采购信用记录查询和使用工作试行办法的通知》（苏财购（2017）11号）文件规定应拒绝的失信信息。</w:t>
      </w:r>
      <w:r/>
    </w:p>
    <w:p>
      <w:pPr>
        <w:ind w:firstLine="426"/>
        <w:spacing w:line="360" w:lineRule="auto"/>
        <w:tabs>
          <w:tab w:val="left" w:pos="540" w:leader="none"/>
          <w:tab w:val="left" w:pos="600"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（2）为采购项目提供整体设计、规范编制或者项目管理、监理、监测等服务的投标人，不得再参加该采购项目的其他采购活动；本项目的此类投标人是：无 。</w:t>
      </w:r>
      <w:r/>
    </w:p>
    <w:p>
      <w:pPr>
        <w:ind w:firstLine="426"/>
        <w:spacing w:line="360" w:lineRule="auto"/>
        <w:tabs>
          <w:tab w:val="left" w:pos="540" w:leader="none"/>
          <w:tab w:val="left" w:pos="600"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（3）单位负责人为同一人或者存在直接控股、管理关系的不同投标人，不得参加同一合同项下的政府采购活动。</w:t>
      </w:r>
      <w:r/>
    </w:p>
    <w:p>
      <w:pPr>
        <w:numPr>
          <w:ilvl w:val="2"/>
          <w:numId w:val="4"/>
        </w:numPr>
        <w:ind w:left="0" w:firstLine="424"/>
        <w:spacing w:line="360" w:lineRule="auto"/>
        <w:tabs>
          <w:tab w:val="left" w:pos="851" w:leader="none"/>
        </w:tabs>
        <w:rPr>
          <w:rFonts w:hint="default" w:ascii="Times New Roman" w:hAnsi="Times New Roman" w:cs="Times New Roman" w:eastAsiaTheme="minorEastAsia"/>
          <w:bCs/>
          <w:szCs w:val="21"/>
        </w:rPr>
      </w:pPr>
      <w:r>
        <w:rPr>
          <w:rFonts w:hint="default" w:ascii="Times New Roman" w:hAnsi="Times New Roman" w:cs="Times New Roman" w:eastAsiaTheme="minorEastAsia"/>
          <w:bCs/>
          <w:szCs w:val="21"/>
        </w:rPr>
        <w:t xml:space="preserve">联合体投标：第一章招标公告规定接受联合体投标的，联合体除应符合上述资格要求外，还应遵守以下规定：</w:t>
      </w:r>
      <w:r/>
    </w:p>
    <w:p>
      <w:pPr>
        <w:ind w:firstLine="426"/>
        <w:spacing w:line="360" w:lineRule="auto"/>
        <w:tabs>
          <w:tab w:val="left" w:pos="851" w:leader="none"/>
        </w:tabs>
        <w:rPr>
          <w:rFonts w:hint="default" w:ascii="Times New Roman" w:hAnsi="Times New Roman" w:cs="Times New Roman" w:eastAsiaTheme="minorEastAsia"/>
          <w:b/>
          <w:bCs/>
          <w:szCs w:val="21"/>
        </w:rPr>
      </w:pPr>
      <w:r>
        <w:rPr>
          <w:rFonts w:hint="default" w:ascii="Times New Roman" w:hAnsi="Times New Roman" w:cs="Times New Roman" w:eastAsiaTheme="minorEastAsia"/>
          <w:b/>
          <w:bCs/>
          <w:szCs w:val="21"/>
        </w:rPr>
        <w:t xml:space="preserve">（1）联合体各方应当向采购人提交联合体协议书，载明联合体各方承担的工作和义务，否则投标无效。</w:t>
      </w:r>
      <w:r/>
    </w:p>
    <w:p>
      <w:pPr>
        <w:ind w:firstLine="424"/>
        <w:spacing w:line="360" w:lineRule="auto"/>
        <w:tabs>
          <w:tab w:val="left" w:pos="851" w:leader="none"/>
        </w:tabs>
        <w:rPr>
          <w:rFonts w:hint="default" w:ascii="Times New Roman" w:hAnsi="Times New Roman" w:cs="Times New Roman" w:eastAsiaTheme="minorEastAsia"/>
          <w:bCs/>
          <w:szCs w:val="21"/>
        </w:rPr>
      </w:pPr>
      <w:r>
        <w:rPr>
          <w:rFonts w:hint="default" w:ascii="Times New Roman" w:hAnsi="Times New Roman" w:cs="Times New Roman" w:eastAsiaTheme="minorEastAsia"/>
          <w:bCs/>
          <w:szCs w:val="21"/>
        </w:rPr>
        <w:t xml:space="preserve">（2）联合体中有同类资质的投标人按照联合体分工承担相同工作的，应当按照资质等级较低的投标人确定资质等级。</w:t>
      </w:r>
      <w:r/>
    </w:p>
    <w:p>
      <w:pPr>
        <w:ind w:firstLine="426"/>
        <w:spacing w:line="360" w:lineRule="auto"/>
        <w:tabs>
          <w:tab w:val="left" w:pos="851" w:leader="none"/>
        </w:tabs>
        <w:rPr>
          <w:rFonts w:hint="default" w:ascii="Times New Roman" w:hAnsi="Times New Roman" w:cs="Times New Roman" w:eastAsiaTheme="minorEastAsia"/>
          <w:b/>
          <w:bCs/>
          <w:szCs w:val="21"/>
        </w:rPr>
      </w:pPr>
      <w:r>
        <w:rPr>
          <w:rFonts w:hint="default" w:ascii="Times New Roman" w:hAnsi="Times New Roman" w:cs="Times New Roman" w:eastAsiaTheme="minorEastAsia"/>
          <w:b/>
          <w:bCs/>
          <w:szCs w:val="21"/>
        </w:rPr>
        <w:t xml:space="preserve">（3）联合体各方不得再单独参加或者与其他投标人另外组成联合体参加同一合同项下的政府采购活动，否则各相关投标均无效。</w:t>
      </w:r>
      <w:r/>
    </w:p>
    <w:p>
      <w:pPr>
        <w:ind w:firstLine="424"/>
        <w:spacing w:line="360" w:lineRule="auto"/>
        <w:tabs>
          <w:tab w:val="left" w:pos="851" w:leader="none"/>
        </w:tabs>
        <w:rPr>
          <w:rFonts w:hint="default" w:ascii="Times New Roman" w:hAnsi="Times New Roman" w:cs="Times New Roman" w:eastAsiaTheme="minorEastAsia"/>
          <w:bCs/>
          <w:szCs w:val="21"/>
        </w:rPr>
      </w:pPr>
      <w:r>
        <w:rPr>
          <w:rFonts w:hint="default" w:ascii="Times New Roman" w:hAnsi="Times New Roman" w:cs="Times New Roman" w:eastAsiaTheme="minorEastAsia"/>
          <w:bCs/>
          <w:szCs w:val="21"/>
        </w:rPr>
        <w:t xml:space="preserve">（4）联合体各方应当共同与采购人签订采购合同，就采购合同约定的事项对采购人承担连带责任。</w:t>
      </w:r>
      <w:r/>
    </w:p>
    <w:p>
      <w:pPr>
        <w:numPr>
          <w:ilvl w:val="1"/>
          <w:numId w:val="4"/>
        </w:numPr>
        <w:ind w:left="0" w:firstLine="426"/>
        <w:spacing w:line="360" w:lineRule="auto"/>
        <w:tabs>
          <w:tab w:val="left" w:pos="851" w:leader="none"/>
        </w:tabs>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 xml:space="preserve">分包</w:t>
      </w:r>
      <w:r/>
    </w:p>
    <w:p>
      <w:pPr>
        <w:ind w:left="424" w:firstLine="634"/>
        <w:spacing w:line="360" w:lineRule="auto"/>
        <w:tabs>
          <w:tab w:val="left" w:pos="540" w:leader="none"/>
          <w:tab w:val="left" w:pos="600"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本项目</w:t>
      </w:r>
      <w:r>
        <w:rPr>
          <w:rFonts w:hint="default" w:ascii="Times New Roman" w:hAnsi="Times New Roman" w:cs="Times New Roman" w:eastAsiaTheme="minorEastAsia"/>
          <w:color w:val="000000" w:themeColor="text1"/>
          <w:szCs w:val="21"/>
          <w14:textFill>
            <w14:solidFill>
              <w14:schemeClr w14:val="tx1"/>
            </w14:solidFill>
          </w14:textFill>
        </w:rPr>
        <w:t xml:space="preserve">☑</w:t>
      </w:r>
      <w:r>
        <w:rPr>
          <w:rFonts w:hint="default" w:ascii="Times New Roman" w:hAnsi="Times New Roman" w:cs="Times New Roman" w:eastAsiaTheme="minorEastAsia"/>
          <w:szCs w:val="21"/>
        </w:rPr>
        <w:t xml:space="preserve">不允许分包</w:t>
      </w:r>
      <w:r/>
    </w:p>
    <w:p>
      <w:pPr>
        <w:ind w:left="424" w:firstLine="424"/>
        <w:spacing w:line="360" w:lineRule="auto"/>
        <w:tabs>
          <w:tab w:val="left" w:pos="540" w:leader="none"/>
          <w:tab w:val="left" w:pos="600"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□允许分包，分包要求：</w:t>
      </w:r>
      <w:r/>
    </w:p>
    <w:p>
      <w:pPr>
        <w:numPr>
          <w:ilvl w:val="1"/>
          <w:numId w:val="4"/>
        </w:numPr>
        <w:ind w:left="0" w:firstLine="426"/>
        <w:spacing w:line="360" w:lineRule="auto"/>
        <w:tabs>
          <w:tab w:val="left" w:pos="851" w:leader="none"/>
        </w:tabs>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 xml:space="preserve">投标费用</w:t>
      </w:r>
      <w:r/>
    </w:p>
    <w:p>
      <w:pPr>
        <w:ind w:firstLine="424"/>
        <w:spacing w:line="360" w:lineRule="auto"/>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（1）投标人应自行承担所有准备及参加投标的相关费用。不论采购结果如何，采购代理机构在任何情况下均无义务也无责任承担这些费用。</w:t>
      </w:r>
      <w:r/>
    </w:p>
    <w:p>
      <w:pPr>
        <w:ind w:firstLine="424"/>
        <w:spacing w:line="360" w:lineRule="auto"/>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（2）本次招标不收取招标文件费用及代理服务费用。</w:t>
      </w:r>
      <w:r/>
    </w:p>
    <w:p>
      <w:pPr>
        <w:numPr>
          <w:ilvl w:val="1"/>
          <w:numId w:val="4"/>
        </w:numPr>
        <w:ind w:left="0" w:firstLine="426"/>
        <w:spacing w:line="360" w:lineRule="auto"/>
        <w:tabs>
          <w:tab w:val="left" w:pos="851" w:leader="none"/>
        </w:tabs>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 xml:space="preserve">保密</w:t>
      </w:r>
      <w:r/>
    </w:p>
    <w:p>
      <w:pPr>
        <w:ind w:firstLine="424"/>
        <w:spacing w:line="360" w:lineRule="auto"/>
        <w:tabs>
          <w:tab w:val="left" w:pos="540" w:leader="none"/>
          <w:tab w:val="left" w:pos="851"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参与采购活动的各方应对招标文件和投标文件中的商业和技术等秘密保密，否则应承担相应的法律责任。</w:t>
      </w:r>
      <w:r/>
    </w:p>
    <w:p>
      <w:pPr>
        <w:numPr>
          <w:ilvl w:val="1"/>
          <w:numId w:val="4"/>
        </w:numPr>
        <w:ind w:left="0" w:firstLine="426"/>
        <w:spacing w:line="360" w:lineRule="auto"/>
        <w:tabs>
          <w:tab w:val="left" w:pos="851" w:leader="none"/>
        </w:tabs>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 xml:space="preserve">语言文字</w:t>
      </w:r>
      <w:r/>
    </w:p>
    <w:p>
      <w:pPr>
        <w:ind w:firstLine="424"/>
        <w:spacing w:line="360" w:lineRule="auto"/>
        <w:tabs>
          <w:tab w:val="left" w:pos="0" w:leader="none"/>
          <w:tab w:val="left" w:pos="851"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招标投标文件使用的语言文字为中文。使用外文的，应附有中文注释或译本，对不同文本投标文件的解释发生异议的，以中文文本为准。因未附注释或译本引起的对投标人不利的后果由投标人自行承担。</w:t>
      </w:r>
      <w:r/>
    </w:p>
    <w:p>
      <w:pPr>
        <w:numPr>
          <w:ilvl w:val="1"/>
          <w:numId w:val="4"/>
        </w:numPr>
        <w:ind w:left="0" w:firstLine="426"/>
        <w:spacing w:line="360" w:lineRule="auto"/>
        <w:tabs>
          <w:tab w:val="left" w:pos="851" w:leader="none"/>
        </w:tabs>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 xml:space="preserve">计量单位</w:t>
      </w:r>
      <w:r/>
    </w:p>
    <w:p>
      <w:pPr>
        <w:ind w:firstLine="424"/>
        <w:spacing w:line="360" w:lineRule="auto"/>
        <w:tabs>
          <w:tab w:val="left" w:pos="540" w:leader="none"/>
          <w:tab w:val="left" w:pos="600"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除招标文件有特殊要求外，所有计量均采用中华人民共和国法定计量单位。</w:t>
      </w:r>
      <w:r/>
    </w:p>
    <w:p>
      <w:pPr>
        <w:numPr>
          <w:ilvl w:val="1"/>
          <w:numId w:val="4"/>
        </w:numPr>
        <w:spacing w:line="360" w:lineRule="auto"/>
        <w:tabs>
          <w:tab w:val="left" w:pos="851" w:leader="none"/>
        </w:tabs>
        <w:rPr>
          <w:rFonts w:hint="default" w:ascii="Times New Roman" w:hAnsi="Times New Roman" w:cs="Times New Roman" w:eastAsiaTheme="minorEastAsia"/>
          <w:b/>
          <w:bCs/>
          <w:szCs w:val="21"/>
        </w:rPr>
      </w:pPr>
      <w:r>
        <w:rPr>
          <w:rFonts w:hint="default" w:ascii="Times New Roman" w:hAnsi="Times New Roman" w:cs="Times New Roman" w:eastAsiaTheme="minorEastAsia"/>
          <w:b/>
          <w:bCs/>
          <w:szCs w:val="21"/>
        </w:rPr>
        <w:t xml:space="preserve">扫描件</w:t>
      </w:r>
      <w:r/>
    </w:p>
    <w:p>
      <w:pPr>
        <w:ind w:left="425"/>
        <w:spacing w:line="360" w:lineRule="auto"/>
        <w:tabs>
          <w:tab w:val="left" w:pos="851" w:leader="none"/>
        </w:tabs>
        <w:rPr>
          <w:rFonts w:hint="default" w:ascii="Times New Roman" w:hAnsi="Times New Roman" w:cs="Times New Roman" w:eastAsiaTheme="minorEastAsia"/>
          <w:bCs/>
          <w:szCs w:val="21"/>
        </w:rPr>
      </w:pPr>
      <w:r>
        <w:rPr>
          <w:rFonts w:hint="default" w:ascii="Times New Roman" w:hAnsi="Times New Roman" w:cs="Times New Roman" w:eastAsiaTheme="minorEastAsia"/>
          <w:bCs/>
          <w:szCs w:val="21"/>
        </w:rPr>
        <w:t xml:space="preserve">扫描件是指原件的各种彩色复制件，包括扫描、照片等。</w:t>
      </w:r>
      <w:r/>
    </w:p>
    <w:p>
      <w:pPr>
        <w:numPr>
          <w:ilvl w:val="1"/>
          <w:numId w:val="4"/>
        </w:numPr>
        <w:ind w:left="0" w:firstLine="426"/>
        <w:spacing w:line="360" w:lineRule="auto"/>
        <w:tabs>
          <w:tab w:val="left" w:pos="851" w:leader="none"/>
        </w:tabs>
        <w:rPr>
          <w:rFonts w:hint="default" w:ascii="Times New Roman" w:hAnsi="Times New Roman" w:cs="Times New Roman" w:eastAsiaTheme="minorEastAsia"/>
          <w:b/>
          <w:bCs/>
          <w:szCs w:val="21"/>
        </w:rPr>
      </w:pPr>
      <w:r>
        <w:rPr>
          <w:rFonts w:hint="default" w:ascii="Times New Roman" w:hAnsi="Times New Roman" w:cs="Times New Roman" w:eastAsiaTheme="minorEastAsia"/>
          <w:b/>
          <w:bCs/>
          <w:szCs w:val="21"/>
        </w:rPr>
        <w:t xml:space="preserve">知识产权</w:t>
      </w:r>
      <w:r/>
    </w:p>
    <w:p>
      <w:pPr>
        <w:ind w:firstLine="424"/>
        <w:spacing w:line="360" w:lineRule="auto"/>
        <w:tabs>
          <w:tab w:val="left" w:pos="540"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numPr>
          <w:ilvl w:val="1"/>
          <w:numId w:val="4"/>
        </w:numPr>
        <w:ind w:left="0" w:firstLine="426"/>
        <w:spacing w:line="360" w:lineRule="auto"/>
        <w:tabs>
          <w:tab w:val="left" w:pos="851" w:leader="none"/>
        </w:tabs>
        <w:rPr>
          <w:rFonts w:hint="default" w:ascii="Times New Roman" w:hAnsi="Times New Roman" w:cs="Times New Roman" w:eastAsiaTheme="minorEastAsia"/>
          <w:b/>
          <w:bCs/>
          <w:szCs w:val="21"/>
        </w:rPr>
      </w:pPr>
      <w:r>
        <w:rPr>
          <w:rFonts w:hint="default" w:ascii="Times New Roman" w:hAnsi="Times New Roman" w:cs="Times New Roman" w:eastAsiaTheme="minorEastAsia"/>
          <w:b/>
          <w:bCs/>
          <w:szCs w:val="21"/>
        </w:rPr>
        <w:t xml:space="preserve">现场踏勘</w:t>
      </w:r>
      <w:r/>
    </w:p>
    <w:p>
      <w:pPr>
        <w:ind w:firstLine="424"/>
        <w:spacing w:line="360" w:lineRule="auto"/>
        <w:tabs>
          <w:tab w:val="left" w:pos="540"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供应商可自行对有关现场和周围环境进行踏勘，以获取编制投标文件和签署合同所需的信息，踏勘现场所发生的费用由供应商自己承担。</w:t>
      </w:r>
      <w:r/>
    </w:p>
    <w:p>
      <w:pPr>
        <w:numPr>
          <w:ilvl w:val="1"/>
          <w:numId w:val="4"/>
        </w:numPr>
        <w:ind w:left="0" w:firstLine="426"/>
        <w:spacing w:line="360" w:lineRule="auto"/>
        <w:tabs>
          <w:tab w:val="left" w:pos="851" w:leader="none"/>
        </w:tabs>
        <w:rPr>
          <w:rFonts w:hint="default" w:ascii="Times New Roman" w:hAnsi="Times New Roman" w:cs="Times New Roman" w:eastAsiaTheme="minorEastAsia"/>
          <w:b/>
          <w:bCs/>
          <w:szCs w:val="21"/>
        </w:rPr>
      </w:pPr>
      <w:r>
        <w:rPr>
          <w:rFonts w:hint="default" w:ascii="Times New Roman" w:hAnsi="Times New Roman" w:cs="Times New Roman" w:eastAsiaTheme="minorEastAsia"/>
          <w:b/>
          <w:bCs/>
          <w:szCs w:val="21"/>
        </w:rPr>
        <w:t xml:space="preserve">集中现场考察</w:t>
      </w:r>
      <w:r/>
    </w:p>
    <w:p>
      <w:pPr>
        <w:pStyle w:val="869"/>
        <w:ind w:left="0" w:firstLine="420"/>
        <w:spacing w:after="0" w:line="360" w:lineRule="auto"/>
        <w:rPr>
          <w:rFonts w:hint="default" w:ascii="Times New Roman" w:hAnsi="Times New Roman" w:cs="Times New Roman" w:eastAsiaTheme="minorEastAsia"/>
          <w:color w:val="000000" w:themeColor="text1"/>
          <w:szCs w:val="21"/>
          <w14:textFill>
            <w14:solidFill>
              <w14:schemeClr w14:val="tx1"/>
            </w14:solidFill>
          </w14:textFill>
        </w:rPr>
      </w:pPr>
      <w:r>
        <w:rPr>
          <w:rFonts w:hint="default" w:ascii="Times New Roman" w:hAnsi="Times New Roman" w:cs="Times New Roman" w:eastAsiaTheme="minorEastAsia"/>
          <w:color w:val="000000" w:themeColor="text1"/>
          <w:szCs w:val="21"/>
          <w14:textFill>
            <w14:solidFill>
              <w14:schemeClr w14:val="tx1"/>
            </w14:solidFill>
          </w14:textFill>
        </w:rPr>
        <w:t xml:space="preserve">本项目按以下第</w:t>
      </w:r>
      <w:r>
        <w:rPr>
          <w:rFonts w:hint="default" w:ascii="Times New Roman" w:hAnsi="Times New Roman" w:cs="Times New Roman" w:eastAsiaTheme="minorEastAsia"/>
          <w:color w:val="000000" w:themeColor="text1"/>
          <w:szCs w:val="21"/>
          <w:u w:val="single"/>
          <w14:textFill>
            <w14:solidFill>
              <w14:schemeClr w14:val="tx1"/>
            </w14:solidFill>
          </w14:textFill>
        </w:rPr>
        <w:t xml:space="preserve">①</w:t>
      </w:r>
      <w:r>
        <w:rPr>
          <w:rFonts w:hint="default" w:ascii="Times New Roman" w:hAnsi="Times New Roman" w:cs="Times New Roman" w:eastAsiaTheme="minorEastAsia"/>
          <w:color w:val="000000" w:themeColor="text1"/>
          <w:szCs w:val="21"/>
          <w14:textFill>
            <w14:solidFill>
              <w14:schemeClr w14:val="tx1"/>
            </w14:solidFill>
          </w14:textFill>
        </w:rPr>
        <w:t xml:space="preserve">种方式组织集中现场考察：</w:t>
      </w:r>
      <w:r/>
    </w:p>
    <w:p>
      <w:pPr>
        <w:pStyle w:val="869"/>
        <w:ind w:left="0" w:firstLine="420"/>
        <w:spacing w:after="0" w:line="360" w:lineRule="auto"/>
        <w:rPr>
          <w:rFonts w:hint="default" w:ascii="Times New Roman" w:hAnsi="Times New Roman" w:cs="Times New Roman" w:eastAsiaTheme="minorEastAsia"/>
          <w:color w:val="000000" w:themeColor="text1"/>
          <w:szCs w:val="21"/>
          <w14:textFill>
            <w14:solidFill>
              <w14:schemeClr w14:val="tx1"/>
            </w14:solidFill>
          </w14:textFill>
        </w:rPr>
      </w:pPr>
      <w:r>
        <w:rPr>
          <w:rFonts w:hint="default" w:ascii="Times New Roman" w:hAnsi="Times New Roman" w:cs="Times New Roman" w:eastAsiaTheme="minorEastAsia"/>
          <w:color w:val="000000" w:themeColor="text1"/>
          <w:szCs w:val="21"/>
          <w14:textFill>
            <w14:solidFill>
              <w14:schemeClr w14:val="tx1"/>
            </w14:solidFill>
          </w14:textFill>
        </w:rPr>
        <w:t xml:space="preserve">①采购人不组织集中现场考察；</w:t>
      </w:r>
      <w:r/>
    </w:p>
    <w:p>
      <w:pPr>
        <w:pStyle w:val="869"/>
        <w:ind w:left="0" w:firstLine="420"/>
        <w:spacing w:after="0" w:line="360" w:lineRule="auto"/>
        <w:rPr>
          <w:rFonts w:hint="default" w:ascii="Times New Roman" w:hAnsi="Times New Roman" w:cs="Times New Roman" w:eastAsiaTheme="minorEastAsia"/>
          <w:color w:val="000000" w:themeColor="text1"/>
          <w:szCs w:val="21"/>
          <w14:textFill>
            <w14:solidFill>
              <w14:schemeClr w14:val="tx1"/>
            </w14:solidFill>
          </w14:textFill>
        </w:rPr>
      </w:pPr>
      <w:r>
        <w:rPr>
          <w:rFonts w:hint="default" w:ascii="Times New Roman" w:hAnsi="Times New Roman" w:cs="Times New Roman" w:eastAsiaTheme="minorEastAsia"/>
          <w:color w:val="000000" w:themeColor="text1"/>
          <w:szCs w:val="21"/>
          <w14:textFill>
            <w14:solidFill>
              <w14:schemeClr w14:val="tx1"/>
            </w14:solidFill>
          </w14:textFill>
        </w:rPr>
        <w:t xml:space="preserve">②采购人组织集中现场考察，请供应商持在“苏采云”系统中下载本项目采购文件的</w:t>
      </w:r>
      <w:r>
        <w:rPr>
          <w:rFonts w:hint="default" w:ascii="Times New Roman" w:hAnsi="Times New Roman" w:cs="Times New Roman" w:eastAsiaTheme="minorEastAsia"/>
          <w:b/>
          <w:color w:val="000000" w:themeColor="text1"/>
          <w:szCs w:val="21"/>
          <w14:textFill>
            <w14:solidFill>
              <w14:schemeClr w14:val="tx1"/>
            </w14:solidFill>
          </w14:textFill>
        </w:rPr>
        <w:t xml:space="preserve">《投标供应商确认函》</w:t>
      </w:r>
      <w:r>
        <w:rPr>
          <w:rFonts w:hint="default" w:ascii="Times New Roman" w:hAnsi="Times New Roman" w:cs="Times New Roman" w:eastAsiaTheme="minorEastAsia"/>
          <w:color w:val="000000" w:themeColor="text1"/>
          <w:szCs w:val="21"/>
          <w14:textFill>
            <w14:solidFill>
              <w14:schemeClr w14:val="tx1"/>
            </w14:solidFill>
          </w14:textFill>
        </w:rPr>
        <w:t xml:space="preserve">，按以下时间地点参加集中现场考察：</w:t>
      </w:r>
      <w:r/>
    </w:p>
    <w:p>
      <w:pPr>
        <w:pStyle w:val="869"/>
        <w:ind w:left="0" w:firstLine="420"/>
        <w:spacing w:after="0" w:line="360" w:lineRule="auto"/>
        <w:rPr>
          <w:rFonts w:hint="default" w:ascii="Times New Roman" w:hAnsi="Times New Roman" w:cs="Times New Roman" w:eastAsiaTheme="minorEastAsia"/>
          <w:color w:val="000000" w:themeColor="text1"/>
          <w:szCs w:val="21"/>
          <w14:textFill>
            <w14:solidFill>
              <w14:schemeClr w14:val="tx1"/>
            </w14:solidFill>
          </w14:textFill>
        </w:rPr>
      </w:pPr>
      <w:r>
        <w:rPr>
          <w:rFonts w:hint="default" w:ascii="Times New Roman" w:hAnsi="Times New Roman" w:cs="Times New Roman" w:eastAsiaTheme="minorEastAsia"/>
          <w:color w:val="000000" w:themeColor="text1"/>
          <w:szCs w:val="21"/>
          <w14:textFill>
            <w14:solidFill>
              <w14:schemeClr w14:val="tx1"/>
            </w14:solidFill>
          </w14:textFill>
        </w:rPr>
        <w:t xml:space="preserve">集合时间：</w:t>
      </w:r>
      <w:r>
        <w:rPr>
          <w:rFonts w:hint="default" w:ascii="Times New Roman" w:hAnsi="Times New Roman" w:cs="Times New Roman" w:eastAsiaTheme="minorEastAsia"/>
          <w:color w:val="000000" w:themeColor="text1"/>
          <w:szCs w:val="21"/>
          <w:u w:val="single"/>
          <w14:textFill>
            <w14:solidFill>
              <w14:schemeClr w14:val="tx1"/>
            </w14:solidFill>
          </w14:textFill>
        </w:rPr>
        <w:t xml:space="preserve">   /年/月/日/时/分（北京时间）</w:t>
      </w:r>
      <w:r>
        <w:rPr>
          <w:rFonts w:hint="default" w:ascii="Times New Roman" w:hAnsi="Times New Roman" w:cs="Times New Roman" w:eastAsiaTheme="minorEastAsia"/>
          <w:color w:val="000000" w:themeColor="text1"/>
          <w:szCs w:val="21"/>
          <w14:textFill>
            <w14:solidFill>
              <w14:schemeClr w14:val="tx1"/>
            </w14:solidFill>
          </w14:textFill>
        </w:rPr>
        <w:t xml:space="preserve">；</w:t>
      </w:r>
      <w:r/>
    </w:p>
    <w:p>
      <w:pPr>
        <w:pStyle w:val="869"/>
        <w:ind w:left="0" w:firstLine="420"/>
        <w:spacing w:after="0" w:line="360" w:lineRule="auto"/>
        <w:rPr>
          <w:rFonts w:hint="default" w:ascii="Times New Roman" w:hAnsi="Times New Roman" w:cs="Times New Roman" w:eastAsiaTheme="minorEastAsia"/>
          <w:color w:val="000000" w:themeColor="text1"/>
          <w:szCs w:val="21"/>
          <w14:textFill>
            <w14:solidFill>
              <w14:schemeClr w14:val="tx1"/>
            </w14:solidFill>
          </w14:textFill>
        </w:rPr>
      </w:pPr>
      <w:r>
        <w:rPr>
          <w:rFonts w:hint="default" w:ascii="Times New Roman" w:hAnsi="Times New Roman" w:cs="Times New Roman" w:eastAsiaTheme="minorEastAsia"/>
          <w:color w:val="000000" w:themeColor="text1"/>
          <w:szCs w:val="21"/>
          <w14:textFill>
            <w14:solidFill>
              <w14:schemeClr w14:val="tx1"/>
            </w14:solidFill>
          </w14:textFill>
        </w:rPr>
        <w:t xml:space="preserve">集合地点：</w:t>
      </w:r>
      <w:r>
        <w:rPr>
          <w:rFonts w:hint="default" w:ascii="Times New Roman" w:hAnsi="Times New Roman" w:cs="Times New Roman" w:eastAsiaTheme="minorEastAsia"/>
          <w:color w:val="000000" w:themeColor="text1"/>
          <w:szCs w:val="21"/>
          <w:u w:val="single"/>
          <w14:textFill>
            <w14:solidFill>
              <w14:schemeClr w14:val="tx1"/>
            </w14:solidFill>
          </w14:textFill>
        </w:rPr>
        <w:t xml:space="preserve">    /     </w:t>
      </w:r>
      <w:r>
        <w:rPr>
          <w:rFonts w:hint="default" w:ascii="Times New Roman" w:hAnsi="Times New Roman" w:cs="Times New Roman" w:eastAsiaTheme="minorEastAsia"/>
          <w:color w:val="000000" w:themeColor="text1"/>
          <w:szCs w:val="21"/>
          <w14:textFill>
            <w14:solidFill>
              <w14:schemeClr w14:val="tx1"/>
            </w14:solidFill>
          </w14:textFill>
        </w:rPr>
        <w:t xml:space="preserve">。</w:t>
      </w:r>
      <w:r/>
    </w:p>
    <w:p>
      <w:pPr>
        <w:pStyle w:val="869"/>
        <w:ind w:left="0" w:firstLine="420"/>
        <w:spacing w:after="0" w:line="360" w:lineRule="auto"/>
        <w:rPr>
          <w:rFonts w:hint="default" w:ascii="Times New Roman" w:hAnsi="Times New Roman" w:cs="Times New Roman" w:eastAsiaTheme="minorEastAsia"/>
          <w:color w:val="000000" w:themeColor="text1"/>
          <w:szCs w:val="21"/>
          <w14:textFill>
            <w14:solidFill>
              <w14:schemeClr w14:val="tx1"/>
            </w14:solidFill>
          </w14:textFill>
        </w:rPr>
      </w:pPr>
      <w:r>
        <w:rPr>
          <w:rFonts w:hint="default" w:ascii="Times New Roman" w:hAnsi="Times New Roman" w:cs="Times New Roman" w:eastAsiaTheme="minorEastAsia"/>
          <w:color w:val="000000" w:themeColor="text1"/>
          <w:szCs w:val="21"/>
          <w14:textFill>
            <w14:solidFill>
              <w14:schemeClr w14:val="tx1"/>
            </w14:solidFill>
          </w14:textFill>
        </w:rPr>
        <w:t xml:space="preserve">联系人：</w:t>
      </w:r>
      <w:r>
        <w:rPr>
          <w:rFonts w:hint="default" w:ascii="Times New Roman" w:hAnsi="Times New Roman" w:cs="Times New Roman" w:eastAsiaTheme="minorEastAsia"/>
          <w:color w:val="000000" w:themeColor="text1"/>
          <w:szCs w:val="21"/>
          <w:u w:val="single"/>
          <w14:textFill>
            <w14:solidFill>
              <w14:schemeClr w14:val="tx1"/>
            </w14:solidFill>
          </w14:textFill>
        </w:rPr>
        <w:t xml:space="preserve">    /     </w:t>
      </w:r>
      <w:r>
        <w:rPr>
          <w:rFonts w:hint="default" w:ascii="Times New Roman" w:hAnsi="Times New Roman" w:cs="Times New Roman" w:eastAsiaTheme="minorEastAsia"/>
          <w:color w:val="000000" w:themeColor="text1"/>
          <w:szCs w:val="21"/>
          <w14:textFill>
            <w14:solidFill>
              <w14:schemeClr w14:val="tx1"/>
            </w14:solidFill>
          </w14:textFill>
        </w:rPr>
        <w:t xml:space="preserve">；联系电话：</w:t>
      </w:r>
      <w:r>
        <w:rPr>
          <w:rFonts w:hint="default" w:ascii="Times New Roman" w:hAnsi="Times New Roman" w:cs="Times New Roman" w:eastAsiaTheme="minorEastAsia"/>
          <w:color w:val="000000" w:themeColor="text1"/>
          <w:szCs w:val="21"/>
          <w:u w:val="single"/>
          <w14:textFill>
            <w14:solidFill>
              <w14:schemeClr w14:val="tx1"/>
            </w14:solidFill>
          </w14:textFill>
        </w:rPr>
        <w:t xml:space="preserve">    /     </w:t>
      </w:r>
      <w:r>
        <w:rPr>
          <w:rFonts w:hint="default" w:ascii="Times New Roman" w:hAnsi="Times New Roman" w:cs="Times New Roman" w:eastAsiaTheme="minorEastAsia"/>
          <w:color w:val="000000" w:themeColor="text1"/>
          <w:szCs w:val="21"/>
          <w14:textFill>
            <w14:solidFill>
              <w14:schemeClr w14:val="tx1"/>
            </w14:solidFill>
          </w14:textFill>
        </w:rPr>
        <w:t xml:space="preserve">。</w:t>
      </w:r>
      <w:r/>
    </w:p>
    <w:p>
      <w:pPr>
        <w:pStyle w:val="869"/>
        <w:ind w:left="0" w:firstLine="422"/>
        <w:spacing w:after="0" w:line="360" w:lineRule="auto"/>
        <w:rPr>
          <w:rFonts w:hint="default" w:ascii="Times New Roman" w:hAnsi="Times New Roman" w:cs="Times New Roman" w:eastAsiaTheme="minorEastAsia"/>
          <w:b/>
          <w:color w:val="000000" w:themeColor="text1"/>
          <w:szCs w:val="21"/>
          <w14:textFill>
            <w14:solidFill>
              <w14:schemeClr w14:val="tx1"/>
            </w14:solidFill>
          </w14:textFill>
        </w:rPr>
      </w:pPr>
      <w:r>
        <w:rPr>
          <w:rFonts w:hint="default" w:ascii="Times New Roman" w:hAnsi="Times New Roman" w:cs="Times New Roman" w:eastAsiaTheme="minorEastAsia"/>
          <w:b/>
          <w:color w:val="000000" w:themeColor="text1"/>
          <w:szCs w:val="21"/>
          <w14:textFill>
            <w14:solidFill>
              <w14:schemeClr w14:val="tx1"/>
            </w14:solidFill>
          </w14:textFill>
        </w:rPr>
        <w:t xml:space="preserve">请供应商安排好行程，不得迟到。未提供《投标供应商确认函》或迟到者，恕不接待。</w:t>
      </w:r>
      <w:r/>
    </w:p>
    <w:p>
      <w:pPr>
        <w:ind w:firstLine="424"/>
        <w:spacing w:line="360" w:lineRule="auto"/>
        <w:tabs>
          <w:tab w:val="left" w:pos="540"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（1）根据自身投标需要，供应商可对项目相关情况进行考察，以获取编制投标文件和签署合同所需的信息。考察现场所发生的费用由供应商自己承担。</w:t>
      </w:r>
      <w:r/>
    </w:p>
    <w:p>
      <w:pPr>
        <w:ind w:firstLine="424"/>
        <w:spacing w:line="360" w:lineRule="auto"/>
        <w:tabs>
          <w:tab w:val="left" w:pos="540"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24"/>
        <w:spacing w:line="360" w:lineRule="auto"/>
        <w:tabs>
          <w:tab w:val="left" w:pos="540"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（3）经采购人允许，供应商可为考察目的进入采购人的项目现场，但供应商不得因此使采购人承担有关的责任和蒙受损失。供应商应承担考察现场的责任和风险。</w:t>
      </w:r>
      <w:r/>
    </w:p>
    <w:p>
      <w:pPr>
        <w:ind w:firstLine="424"/>
        <w:spacing w:line="360" w:lineRule="auto"/>
        <w:tabs>
          <w:tab w:val="left" w:pos="540"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4）供应商应在现场考察时，熟悉现场及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考虑。</w:t>
      </w:r>
      <w:r/>
    </w:p>
    <w:p>
      <w:pPr>
        <w:ind w:firstLine="424"/>
        <w:spacing w:line="360" w:lineRule="auto"/>
        <w:tabs>
          <w:tab w:val="left" w:pos="540"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（5）由于未进行现场考察造成的任何问题由供应商自行承担。</w:t>
      </w:r>
      <w:r/>
    </w:p>
    <w:p>
      <w:pPr>
        <w:numPr>
          <w:ilvl w:val="1"/>
          <w:numId w:val="4"/>
        </w:numPr>
        <w:ind w:left="0" w:firstLine="426"/>
        <w:spacing w:line="360" w:lineRule="auto"/>
        <w:tabs>
          <w:tab w:val="left" w:pos="851" w:leader="none"/>
        </w:tabs>
        <w:rPr>
          <w:rFonts w:hint="default" w:ascii="Times New Roman" w:hAnsi="Times New Roman" w:cs="Times New Roman" w:eastAsiaTheme="minorEastAsia"/>
          <w:b/>
          <w:bCs/>
          <w:szCs w:val="21"/>
        </w:rPr>
      </w:pPr>
      <w:r>
        <w:rPr>
          <w:rFonts w:hint="default" w:ascii="Times New Roman" w:hAnsi="Times New Roman" w:cs="Times New Roman"/>
          <w:b/>
        </w:rPr>
        <w:t xml:space="preserve">法律适用</w:t>
      </w:r>
      <w:r/>
    </w:p>
    <w:p>
      <w:pPr>
        <w:ind w:firstLine="424"/>
        <w:spacing w:line="360" w:lineRule="auto"/>
        <w:tabs>
          <w:tab w:val="left" w:pos="540"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本次招标活动及因本次招标产生的合同受中华人民共和国有关的法律法规制约和保护</w:t>
      </w:r>
      <w:r/>
    </w:p>
    <w:p>
      <w:pPr>
        <w:numPr>
          <w:ilvl w:val="0"/>
          <w:numId w:val="3"/>
        </w:numPr>
        <w:ind w:left="0" w:firstLine="567"/>
        <w:spacing w:line="360" w:lineRule="auto"/>
        <w:tabs>
          <w:tab w:val="left" w:pos="142" w:leader="none"/>
          <w:tab w:val="left" w:pos="600" w:leader="none"/>
        </w:tabs>
        <w:rPr>
          <w:rFonts w:hint="default" w:ascii="Times New Roman" w:hAnsi="Times New Roman" w:cs="Times New Roman" w:eastAsiaTheme="minorEastAsia"/>
          <w:b/>
          <w:szCs w:val="21"/>
        </w:rPr>
      </w:pPr>
      <w:r>
        <w:rPr>
          <w:rFonts w:hint="default" w:ascii="Times New Roman" w:hAnsi="Times New Roman" w:cs="Times New Roman" w:eastAsiaTheme="minorEastAsia"/>
          <w:b/>
          <w:bCs/>
          <w:szCs w:val="21"/>
        </w:rPr>
        <w:t xml:space="preserve">招标文件的说明</w:t>
      </w:r>
      <w:r/>
    </w:p>
    <w:p>
      <w:pPr>
        <w:numPr>
          <w:ilvl w:val="1"/>
          <w:numId w:val="3"/>
        </w:numPr>
        <w:ind w:left="0" w:firstLine="426"/>
        <w:spacing w:line="360" w:lineRule="auto"/>
        <w:tabs>
          <w:tab w:val="left" w:pos="0" w:leader="none"/>
          <w:tab w:val="left" w:pos="600" w:leader="none"/>
        </w:tabs>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 xml:space="preserve">招标文件的获取</w:t>
      </w:r>
      <w:r/>
    </w:p>
    <w:p>
      <w:pPr>
        <w:ind w:left="426"/>
        <w:spacing w:line="360" w:lineRule="auto"/>
        <w:tabs>
          <w:tab w:val="left" w:pos="0" w:leader="none"/>
          <w:tab w:val="left" w:pos="600"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见第一章招标公告</w:t>
      </w:r>
      <w:r/>
    </w:p>
    <w:p>
      <w:pPr>
        <w:numPr>
          <w:ilvl w:val="1"/>
          <w:numId w:val="3"/>
        </w:numPr>
        <w:ind w:left="0" w:firstLine="426"/>
        <w:spacing w:line="360" w:lineRule="auto"/>
        <w:tabs>
          <w:tab w:val="left" w:pos="0" w:leader="none"/>
          <w:tab w:val="left" w:pos="600" w:leader="none"/>
        </w:tabs>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 xml:space="preserve">招标文件的询问</w:t>
      </w:r>
      <w:r/>
    </w:p>
    <w:p>
      <w:pPr>
        <w:ind w:firstLine="424"/>
        <w:spacing w:line="360" w:lineRule="auto"/>
        <w:tabs>
          <w:tab w:val="left" w:pos="0" w:leader="none"/>
        </w:tabs>
        <w:rPr>
          <w:rFonts w:hint="default" w:ascii="Times New Roman" w:hAnsi="Times New Roman" w:cs="Times New Roman" w:eastAsiaTheme="minorEastAsia"/>
          <w:szCs w:val="21"/>
        </w:rPr>
      </w:pPr>
      <w:r/>
      <w:bookmarkStart w:id="18" w:name="_Hlk159250396"/>
      <w:r>
        <w:rPr>
          <w:rFonts w:hint="default" w:ascii="Times New Roman" w:hAnsi="Times New Roman" w:cs="Times New Roman" w:eastAsiaTheme="minorEastAsia"/>
          <w:szCs w:val="21"/>
        </w:rPr>
        <w:t xml:space="preserve">投标人在收到招标文件后，若有问题需要询问，应于下载招标文件后，可通过公告中的联系方式及时提出，采购人或采购代理机构将予以解答，但答复内容不得涉及商业秘密。</w:t>
      </w:r>
      <w:bookmarkEnd w:id="18"/>
      <w:r/>
      <w:r/>
    </w:p>
    <w:p>
      <w:pPr>
        <w:numPr>
          <w:ilvl w:val="1"/>
          <w:numId w:val="3"/>
        </w:numPr>
        <w:ind w:left="0" w:firstLine="426"/>
        <w:spacing w:line="360" w:lineRule="auto"/>
        <w:tabs>
          <w:tab w:val="left" w:pos="0" w:leader="none"/>
          <w:tab w:val="left" w:pos="600" w:leader="none"/>
        </w:tabs>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 xml:space="preserve">招标文件的澄清或修改</w:t>
      </w:r>
      <w:r/>
    </w:p>
    <w:p>
      <w:pPr>
        <w:ind w:firstLine="424"/>
        <w:spacing w:line="360" w:lineRule="auto"/>
        <w:tabs>
          <w:tab w:val="left" w:pos="0"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1）在投标截止时间前，采购代理机构有权在出于实际需要的情况下，以“更正（补充）公告”的形式在原公告发布媒体上对招标文件进行澄清或修改，澄清或修改不得改变采购标的和资格条件。更正内容作为招标文件的组成部分，对所有投标人具有约束力。</w:t>
      </w:r>
      <w:r/>
    </w:p>
    <w:p>
      <w:pPr>
        <w:ind w:firstLine="424"/>
        <w:spacing w:line="360" w:lineRule="auto"/>
        <w:tabs>
          <w:tab w:val="left" w:pos="0"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（2）为保证投标人有足够时间修正投标文件，或出于其他合理原因，采购代理机构可依法顺延投标截止时间和开标时间。</w:t>
      </w:r>
      <w:r/>
    </w:p>
    <w:p>
      <w:pPr>
        <w:ind w:firstLine="424"/>
        <w:spacing w:line="360" w:lineRule="auto"/>
        <w:tabs>
          <w:tab w:val="left" w:pos="0"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（3）</w:t>
      </w:r>
      <w:bookmarkStart w:id="19" w:name="_Hlk159250406"/>
      <w:r>
        <w:rPr>
          <w:rFonts w:hint="default" w:ascii="Times New Roman" w:hAnsi="Times New Roman" w:cs="Times New Roman" w:eastAsiaTheme="minorEastAsia"/>
          <w:szCs w:val="21"/>
        </w:rPr>
        <w:t xml:space="preserve">投标人应及时关注政府采购信息发布媒体上发布的更正（补充）公告，同时在“苏采云”系统中下载更正（补充）资料，</w:t>
      </w:r>
      <w:r>
        <w:rPr>
          <w:rFonts w:hint="default" w:ascii="Times New Roman" w:hAnsi="Times New Roman" w:cs="Times New Roman" w:eastAsiaTheme="minorEastAsia"/>
          <w:b/>
          <w:szCs w:val="21"/>
        </w:rPr>
        <w:t xml:space="preserve">如有遗漏（包括但不限于文件未下载或下载不完整），可能无法解密投标（响应）文件，由此所造成的投标失败或损失由投标人自行负责。</w:t>
      </w:r>
      <w:bookmarkEnd w:id="19"/>
      <w:r/>
      <w:r/>
    </w:p>
    <w:p>
      <w:pPr>
        <w:pStyle w:val="869"/>
        <w:spacing w:after="0" w:line="360" w:lineRule="auto"/>
        <w:rPr>
          <w:rFonts w:hint="default" w:ascii="Times New Roman" w:hAnsi="Times New Roman" w:cs="Times New Roman"/>
        </w:rPr>
      </w:pPr>
      <w:r>
        <w:rPr>
          <w:rFonts w:hint="default" w:ascii="Times New Roman" w:hAnsi="Times New Roman" w:cs="Times New Roman"/>
        </w:rPr>
        <w:t xml:space="preserve">2.4招标文件的约束力</w:t>
      </w:r>
      <w:r/>
    </w:p>
    <w:p>
      <w:pPr>
        <w:pStyle w:val="869"/>
        <w:spacing w:after="0" w:line="360" w:lineRule="auto"/>
        <w:rPr>
          <w:rFonts w:hint="default" w:ascii="Times New Roman" w:hAnsi="Times New Roman" w:cs="Times New Roman"/>
        </w:rPr>
      </w:pPr>
      <w:r>
        <w:rPr>
          <w:rFonts w:hint="default" w:ascii="Times New Roman" w:hAnsi="Times New Roman" w:cs="Times New Roman"/>
        </w:rPr>
        <w:t xml:space="preserve">（1）投标人一旦参加本项目采购活动，即被认为接受了本招标文件的规定和约束。</w:t>
      </w:r>
      <w:r/>
    </w:p>
    <w:p>
      <w:pPr>
        <w:pStyle w:val="869"/>
        <w:ind w:left="0" w:firstLine="420"/>
        <w:spacing w:after="0" w:line="360" w:lineRule="auto"/>
        <w:rPr>
          <w:rFonts w:hint="default" w:ascii="Times New Roman" w:hAnsi="Times New Roman" w:cs="Times New Roman"/>
        </w:rPr>
      </w:pPr>
      <w:r>
        <w:rPr>
          <w:rFonts w:hint="default" w:ascii="Times New Roman" w:hAnsi="Times New Roman" w:cs="Times New Roman"/>
        </w:rPr>
        <w:t xml:space="preserve">（2）投标人应认真阅读招标文件中所有的事项、条款和规范等要求，按招标文件要求和规定编制投标文件，并保证所提供的全部资料的真实性，以使其投标文件对招标文件作出实质性响应，否则其风险由投标人自行承担。</w:t>
      </w:r>
      <w:r/>
    </w:p>
    <w:p>
      <w:pPr>
        <w:numPr>
          <w:ilvl w:val="0"/>
          <w:numId w:val="3"/>
        </w:numPr>
        <w:ind w:left="0" w:firstLine="567"/>
        <w:spacing w:line="360" w:lineRule="auto"/>
        <w:tabs>
          <w:tab w:val="left" w:pos="142" w:leader="none"/>
          <w:tab w:val="left" w:pos="600" w:leader="none"/>
        </w:tabs>
        <w:rPr>
          <w:rFonts w:hint="default" w:ascii="Times New Roman" w:hAnsi="Times New Roman" w:cs="Times New Roman" w:eastAsiaTheme="minorEastAsia"/>
          <w:b/>
          <w:bCs/>
          <w:szCs w:val="21"/>
        </w:rPr>
      </w:pPr>
      <w:r>
        <w:rPr>
          <w:rFonts w:hint="default" w:ascii="Times New Roman" w:hAnsi="Times New Roman" w:cs="Times New Roman" w:eastAsiaTheme="minorEastAsia"/>
          <w:b/>
          <w:bCs/>
          <w:szCs w:val="21"/>
        </w:rPr>
        <w:t xml:space="preserve">投标文件的说明</w:t>
      </w:r>
      <w:r/>
    </w:p>
    <w:p>
      <w:pPr>
        <w:ind w:firstLine="426"/>
        <w:spacing w:line="360" w:lineRule="auto"/>
        <w:tabs>
          <w:tab w:val="left" w:pos="142" w:leader="none"/>
          <w:tab w:val="left" w:pos="600" w:leader="none"/>
        </w:tabs>
        <w:rPr>
          <w:rFonts w:hint="default" w:ascii="Times New Roman" w:hAnsi="Times New Roman" w:cs="Times New Roman" w:eastAsiaTheme="minorEastAsia"/>
          <w:bCs/>
          <w:szCs w:val="21"/>
        </w:rPr>
      </w:pPr>
      <w:r>
        <w:rPr>
          <w:rFonts w:hint="default" w:ascii="Times New Roman" w:hAnsi="Times New Roman" w:cs="Times New Roman" w:eastAsiaTheme="minorEastAsia"/>
          <w:b/>
          <w:bCs/>
          <w:szCs w:val="21"/>
        </w:rPr>
        <w:t xml:space="preserve">投标人应详细阅读招标文件的全部内容，不按招标文件的要求提供的投标文件和资料，其风险由投标人自行承担，并根据有关条款规定，可能导致投标无效</w:t>
      </w:r>
      <w:r>
        <w:rPr>
          <w:rFonts w:hint="default" w:ascii="Times New Roman" w:hAnsi="Times New Roman" w:cs="Times New Roman" w:eastAsiaTheme="minorEastAsia"/>
          <w:bCs/>
          <w:szCs w:val="21"/>
        </w:rPr>
        <w:t xml:space="preserve">。</w:t>
      </w:r>
      <w:r/>
    </w:p>
    <w:p>
      <w:pPr>
        <w:numPr>
          <w:ilvl w:val="1"/>
          <w:numId w:val="3"/>
        </w:numPr>
        <w:ind w:left="0" w:firstLine="426"/>
        <w:spacing w:line="360" w:lineRule="auto"/>
        <w:tabs>
          <w:tab w:val="left" w:pos="142" w:leader="none"/>
          <w:tab w:val="left" w:pos="600" w:leader="none"/>
        </w:tabs>
        <w:rPr>
          <w:rFonts w:hint="default" w:ascii="Times New Roman" w:hAnsi="Times New Roman" w:cs="Times New Roman" w:eastAsiaTheme="minorEastAsia"/>
          <w:b/>
          <w:bCs/>
          <w:szCs w:val="21"/>
        </w:rPr>
      </w:pPr>
      <w:r>
        <w:rPr>
          <w:rFonts w:hint="default" w:ascii="Times New Roman" w:hAnsi="Times New Roman" w:cs="Times New Roman" w:eastAsiaTheme="minorEastAsia"/>
          <w:b/>
          <w:bCs/>
          <w:szCs w:val="21"/>
        </w:rPr>
        <w:t xml:space="preserve">投标文件的组成</w:t>
      </w:r>
      <w:r/>
    </w:p>
    <w:p>
      <w:pPr>
        <w:pStyle w:val="1038"/>
        <w:numPr>
          <w:ilvl w:val="2"/>
          <w:numId w:val="3"/>
        </w:numPr>
        <w:ind w:left="0" w:firstLine="708"/>
        <w:spacing w:line="400" w:lineRule="exact"/>
        <w:tabs>
          <w:tab w:val="left" w:pos="851" w:leader="none"/>
        </w:tabs>
        <w:rPr>
          <w:rFonts w:hint="default" w:ascii="Times New Roman" w:hAnsi="Times New Roman" w:cs="Times New Roman" w:eastAsiaTheme="minorEastAsia"/>
          <w:b/>
          <w:sz w:val="21"/>
          <w:szCs w:val="21"/>
        </w:rPr>
      </w:pPr>
      <w:r/>
      <w:bookmarkStart w:id="20" w:name="_Hlk159250506"/>
      <w:r/>
      <w:bookmarkStart w:id="21" w:name="_Hlk158107909"/>
      <w:r/>
      <w:bookmarkStart w:id="22" w:name="_Hlk159250691"/>
      <w:r>
        <w:rPr>
          <w:rFonts w:hint="default" w:ascii="Times New Roman" w:hAnsi="Times New Roman" w:cs="Times New Roman" w:eastAsiaTheme="minorEastAsia"/>
          <w:b/>
          <w:sz w:val="21"/>
          <w:szCs w:val="21"/>
        </w:rPr>
        <w:t xml:space="preserve">开标一览表（格式见第三章）；</w:t>
      </w:r>
      <w:r/>
    </w:p>
    <w:p>
      <w:pPr>
        <w:pStyle w:val="1038"/>
        <w:numPr>
          <w:ilvl w:val="2"/>
          <w:numId w:val="3"/>
        </w:numPr>
        <w:ind w:left="0" w:firstLine="708"/>
        <w:spacing w:line="400" w:lineRule="exact"/>
        <w:tabs>
          <w:tab w:val="left" w:pos="851" w:leader="none"/>
        </w:tabs>
        <w:rPr>
          <w:rFonts w:hint="default" w:ascii="Times New Roman" w:hAnsi="Times New Roman" w:cs="Times New Roman" w:eastAsiaTheme="minorEastAsia"/>
          <w:b/>
          <w:sz w:val="21"/>
          <w:szCs w:val="21"/>
        </w:rPr>
      </w:pPr>
      <w:r>
        <w:rPr>
          <w:rFonts w:hint="default" w:ascii="Times New Roman" w:hAnsi="Times New Roman" w:cs="Times New Roman" w:eastAsiaTheme="minorEastAsia"/>
          <w:b/>
          <w:sz w:val="21"/>
          <w:szCs w:val="21"/>
        </w:rPr>
        <w:t xml:space="preserve">公开分项报价表（格式见第三章）；</w:t>
      </w:r>
      <w:r/>
    </w:p>
    <w:p>
      <w:pPr>
        <w:pStyle w:val="1038"/>
        <w:numPr>
          <w:ilvl w:val="2"/>
          <w:numId w:val="3"/>
        </w:numPr>
        <w:ind w:left="0" w:firstLine="708"/>
        <w:spacing w:line="400" w:lineRule="exact"/>
        <w:tabs>
          <w:tab w:val="left" w:pos="851" w:leader="none"/>
        </w:tabs>
        <w:rPr>
          <w:rFonts w:hint="default" w:ascii="Times New Roman" w:hAnsi="Times New Roman" w:cs="Times New Roman" w:eastAsiaTheme="minorEastAsia"/>
          <w:b/>
          <w:sz w:val="21"/>
          <w:szCs w:val="21"/>
        </w:rPr>
      </w:pPr>
      <w:r>
        <w:rPr>
          <w:rFonts w:hint="default" w:ascii="Times New Roman" w:hAnsi="Times New Roman" w:cs="Times New Roman" w:eastAsiaTheme="minorEastAsia"/>
          <w:b/>
          <w:sz w:val="21"/>
          <w:szCs w:val="21"/>
        </w:rPr>
        <w:t xml:space="preserve">资格性审查文件</w:t>
      </w:r>
      <w:r/>
    </w:p>
    <w:p>
      <w:pPr>
        <w:pStyle w:val="1038"/>
        <w:ind w:left="706" w:firstLine="525"/>
        <w:spacing w:line="400" w:lineRule="exact"/>
        <w:tabs>
          <w:tab w:val="left" w:pos="851" w:leader="none"/>
        </w:tabs>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 xml:space="preserve">3.1.3.1具有独立承担民事责任的能力的材料：包括法人或者其他组织的营业执照等证明文件，自然人的身份证明；</w:t>
      </w:r>
      <w:r/>
    </w:p>
    <w:p>
      <w:pPr>
        <w:pStyle w:val="1038"/>
        <w:ind w:left="706" w:firstLine="525"/>
        <w:spacing w:line="400" w:lineRule="exact"/>
        <w:tabs>
          <w:tab w:val="left" w:pos="851" w:leader="none"/>
        </w:tabs>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 xml:space="preserve">3.1.3.2具有良好的商业信誉和健全的财务会计制度的材料：</w:t>
      </w:r>
      <w:bookmarkStart w:id="23" w:name="_Hlk92792283"/>
      <w:r>
        <w:rPr>
          <w:rFonts w:hint="default" w:ascii="Times New Roman" w:hAnsi="Times New Roman" w:cs="Times New Roman" w:eastAsiaTheme="minorEastAsia"/>
          <w:sz w:val="21"/>
          <w:szCs w:val="21"/>
        </w:rPr>
        <w:t xml:space="preserve">最近一期经审计的财务报告，或银行出具的资信证明，或财政部门认可的政府采购专业担保机构出具的投标担保函；</w:t>
      </w:r>
      <w:bookmarkEnd w:id="23"/>
      <w:r/>
      <w:r/>
    </w:p>
    <w:p>
      <w:pPr>
        <w:pStyle w:val="1038"/>
        <w:ind w:left="706" w:firstLine="525"/>
        <w:spacing w:line="400" w:lineRule="exact"/>
        <w:tabs>
          <w:tab w:val="left" w:pos="851" w:leader="none"/>
        </w:tabs>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 xml:space="preserve">3.1.3.3具有履行合同所必需的设备和专业技术能力的证明材料；</w:t>
      </w:r>
      <w:r/>
    </w:p>
    <w:p>
      <w:pPr>
        <w:pStyle w:val="1038"/>
        <w:ind w:left="706" w:firstLine="525"/>
        <w:spacing w:line="400" w:lineRule="exact"/>
        <w:tabs>
          <w:tab w:val="left" w:pos="851" w:leader="none"/>
        </w:tabs>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 xml:space="preserve">3.1.3.4</w:t>
      </w:r>
      <w:r>
        <w:rPr>
          <w:rFonts w:hint="default" w:ascii="Times New Roman" w:hAnsi="Times New Roman" w:cs="Times New Roman" w:eastAsiaTheme="minorEastAsia"/>
          <w:color w:val="000000" w:themeColor="text1"/>
          <w:sz w:val="21"/>
          <w:szCs w:val="21"/>
          <w14:textFill>
            <w14:solidFill>
              <w14:schemeClr w14:val="tx1"/>
            </w14:solidFill>
          </w14:textFill>
        </w:rPr>
        <w:t xml:space="preserve">有依法缴纳税收和社会保障资金的良好记录的材料：供应商参加本次政府采购活动前半年（至少一个月）依法缴纳税收和社会保险的凭据；依法免税或不需要缴纳社会保障资金的供应商，应提供相应证明资料证明其依法免税或不需要缴纳社会保障资金，</w:t>
      </w:r>
      <w:r>
        <w:rPr>
          <w:rFonts w:hint="default" w:ascii="Times New Roman" w:hAnsi="Times New Roman" w:cs="Times New Roman" w:eastAsiaTheme="minorEastAsia"/>
          <w:b/>
          <w:color w:val="000000" w:themeColor="text1"/>
          <w:sz w:val="21"/>
          <w:szCs w:val="21"/>
          <w14:textFill>
            <w14:solidFill>
              <w14:schemeClr w14:val="tx1"/>
            </w14:solidFill>
          </w14:textFill>
        </w:rPr>
        <w:t xml:space="preserve">否则不予认可；</w:t>
      </w:r>
      <w:r/>
    </w:p>
    <w:p>
      <w:pPr>
        <w:pStyle w:val="1038"/>
        <w:ind w:left="706" w:firstLine="525"/>
        <w:spacing w:line="400" w:lineRule="exact"/>
        <w:tabs>
          <w:tab w:val="left" w:pos="851" w:leader="none"/>
        </w:tabs>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 xml:space="preserve">3.1.3.5参加政府采购活动前三年内在经营活动中没有重大违法记录的书面声明函（格式见第三章）；</w:t>
      </w:r>
      <w:r/>
    </w:p>
    <w:p>
      <w:pPr>
        <w:pStyle w:val="1038"/>
        <w:ind w:left="706" w:firstLine="525"/>
        <w:spacing w:line="400" w:lineRule="exact"/>
        <w:tabs>
          <w:tab w:val="left" w:pos="851" w:leader="none"/>
        </w:tabs>
        <w:rPr>
          <w:rFonts w:hint="default" w:ascii="Times New Roman" w:hAnsi="Times New Roman" w:cs="Times New Roman" w:eastAsiaTheme="minorEastAsia"/>
          <w:b/>
          <w:sz w:val="21"/>
          <w:szCs w:val="21"/>
        </w:rPr>
      </w:pPr>
      <w:r>
        <w:rPr>
          <w:rFonts w:hint="default" w:ascii="Times New Roman" w:hAnsi="Times New Roman" w:cs="Times New Roman" w:eastAsiaTheme="minorEastAsia"/>
          <w:sz w:val="21"/>
          <w:szCs w:val="21"/>
        </w:rPr>
        <w:t xml:space="preserve">3.1.3.6中小企业声明函（格式见第三章），未提供</w:t>
      </w:r>
      <w:r>
        <w:rPr>
          <w:rFonts w:hint="default" w:ascii="Times New Roman" w:hAnsi="Times New Roman" w:cs="Times New Roman" w:eastAsiaTheme="minorEastAsia"/>
          <w:b/>
          <w:sz w:val="21"/>
          <w:szCs w:val="21"/>
        </w:rPr>
        <w:t xml:space="preserve">不享受中小企业扶持政策；</w:t>
      </w:r>
      <w:r/>
    </w:p>
    <w:p>
      <w:pPr>
        <w:pStyle w:val="1038"/>
        <w:ind w:left="706" w:firstLine="525"/>
        <w:spacing w:line="400" w:lineRule="exact"/>
        <w:tabs>
          <w:tab w:val="left" w:pos="851" w:leader="none"/>
        </w:tabs>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 xml:space="preserve">3.1.3.7残疾人福利性单位声明函（如有）（格式见第三章），</w:t>
      </w:r>
      <w:r>
        <w:rPr>
          <w:rFonts w:hint="default" w:ascii="Times New Roman" w:hAnsi="Times New Roman" w:cs="Times New Roman" w:eastAsiaTheme="minorEastAsia"/>
          <w:b/>
          <w:sz w:val="21"/>
          <w:szCs w:val="21"/>
        </w:rPr>
        <w:t xml:space="preserve">未提供视为非残疾人福利性单位，不视同小微企业，不享受残疾人福利性单位政策；</w:t>
      </w:r>
      <w:r/>
    </w:p>
    <w:p>
      <w:pPr>
        <w:pStyle w:val="1038"/>
        <w:ind w:left="706" w:firstLine="525"/>
        <w:spacing w:line="400" w:lineRule="exact"/>
        <w:tabs>
          <w:tab w:val="left" w:pos="851" w:leader="none"/>
        </w:tabs>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 xml:space="preserve">3.1.3.8监狱企业证明文件（如有），由省级以上监狱管理局、戒毒管理局（含新疆生产建设兵团）出具，</w:t>
      </w:r>
      <w:r>
        <w:rPr>
          <w:rFonts w:hint="default" w:ascii="Times New Roman" w:hAnsi="Times New Roman" w:cs="Times New Roman" w:eastAsiaTheme="minorEastAsia"/>
          <w:b/>
          <w:sz w:val="21"/>
          <w:szCs w:val="21"/>
        </w:rPr>
        <w:t xml:space="preserve">未提供视为非监狱企业，不视同小微企业，不享受监狱企业政策</w:t>
      </w:r>
      <w:r>
        <w:rPr>
          <w:rFonts w:hint="default" w:ascii="Times New Roman" w:hAnsi="Times New Roman" w:cs="Times New Roman" w:eastAsiaTheme="minorEastAsia"/>
          <w:sz w:val="21"/>
          <w:szCs w:val="21"/>
        </w:rPr>
        <w:t xml:space="preserve">；</w:t>
      </w:r>
      <w:r/>
    </w:p>
    <w:p>
      <w:pPr>
        <w:ind w:firstLine="420"/>
        <w:spacing w:line="400" w:lineRule="exact"/>
        <w:rPr>
          <w:rFonts w:hint="default" w:ascii="Times New Roman" w:hAnsi="Times New Roman" w:cs="Times New Roman" w:eastAsiaTheme="minorEastAsia"/>
          <w:b/>
          <w:szCs w:val="21"/>
          <w:u w:val="single"/>
        </w:rPr>
      </w:pPr>
      <w:r/>
      <w:bookmarkStart w:id="24" w:name="_Hlk158127728"/>
      <w:r>
        <w:rPr>
          <w:rFonts w:hint="default" w:ascii="Times New Roman" w:hAnsi="Times New Roman" w:cs="Times New Roman" w:eastAsiaTheme="minorEastAsia"/>
          <w:b/>
          <w:szCs w:val="21"/>
          <w:u w:val="single"/>
        </w:rPr>
        <w:t xml:space="preserve">以上3.1.3.1—3.1.3.5项是资格审查要求必须提供的材料，专门面向中小企业的项目还必须提供3.1.3.6或3.1.3.7或3.13.8项资料，否则投标无效。</w:t>
      </w:r>
      <w:bookmarkEnd w:id="20"/>
      <w:r/>
      <w:bookmarkEnd w:id="24"/>
      <w:r/>
      <w:bookmarkEnd w:id="21"/>
      <w:r/>
      <w:r/>
    </w:p>
    <w:p>
      <w:pPr>
        <w:pStyle w:val="1038"/>
        <w:numPr>
          <w:ilvl w:val="2"/>
          <w:numId w:val="3"/>
        </w:numPr>
        <w:ind w:left="0" w:firstLine="708"/>
        <w:spacing w:line="400" w:lineRule="exact"/>
        <w:tabs>
          <w:tab w:val="left" w:pos="851" w:leader="none"/>
        </w:tabs>
        <w:rPr>
          <w:rFonts w:hint="default" w:ascii="Times New Roman" w:hAnsi="Times New Roman" w:cs="Times New Roman" w:eastAsiaTheme="minorEastAsia"/>
          <w:b/>
          <w:sz w:val="21"/>
          <w:szCs w:val="21"/>
        </w:rPr>
      </w:pPr>
      <w:r/>
      <w:bookmarkStart w:id="25" w:name="_Hlk158111583"/>
      <w:r>
        <w:rPr>
          <w:rFonts w:hint="default" w:ascii="Times New Roman" w:hAnsi="Times New Roman" w:cs="Times New Roman" w:eastAsiaTheme="minorEastAsia"/>
          <w:b/>
          <w:sz w:val="21"/>
          <w:szCs w:val="21"/>
        </w:rPr>
        <w:t xml:space="preserve">符合性审查文件</w:t>
      </w:r>
      <w:r/>
    </w:p>
    <w:p>
      <w:pPr>
        <w:pStyle w:val="1038"/>
        <w:ind w:left="706" w:firstLine="525"/>
        <w:spacing w:line="400" w:lineRule="exact"/>
        <w:tabs>
          <w:tab w:val="left" w:pos="851" w:leader="none"/>
        </w:tabs>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 xml:space="preserve">3.1.4.1投标函（格式见第三章）；</w:t>
      </w:r>
      <w:r/>
    </w:p>
    <w:p>
      <w:pPr>
        <w:pStyle w:val="1038"/>
        <w:ind w:left="706" w:firstLine="525"/>
        <w:spacing w:line="400" w:lineRule="exact"/>
        <w:tabs>
          <w:tab w:val="left" w:pos="851" w:leader="none"/>
        </w:tabs>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 xml:space="preserve">3.1.4.2投标货物和服务数量、品牌、规格、生产厂家明细表（不得出现价格，格式见第三章）</w:t>
      </w:r>
      <w:r/>
    </w:p>
    <w:p>
      <w:pPr>
        <w:pStyle w:val="1038"/>
        <w:ind w:left="706" w:firstLine="525"/>
        <w:spacing w:line="400" w:lineRule="exact"/>
        <w:tabs>
          <w:tab w:val="left" w:pos="851" w:leader="none"/>
        </w:tabs>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 xml:space="preserve">3.1.4.3采购需求偏离表（格式见第三章）； </w:t>
      </w:r>
      <w:r/>
    </w:p>
    <w:p>
      <w:pPr>
        <w:pStyle w:val="1038"/>
        <w:ind w:left="706" w:firstLine="525"/>
        <w:spacing w:line="400" w:lineRule="exact"/>
        <w:tabs>
          <w:tab w:val="left" w:pos="851" w:leader="none"/>
        </w:tabs>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 xml:space="preserve">3.1.4.4 </w:t>
      </w:r>
      <w:r>
        <w:rPr>
          <w:rFonts w:hint="default" w:ascii="Times New Roman" w:hAnsi="Times New Roman" w:cs="Times New Roman"/>
          <w:sz w:val="21"/>
          <w:szCs w:val="21"/>
        </w:rPr>
        <w:t xml:space="preserve">对属于《节能产品政府采购品目清单》政府强制采购产品的，需提供该产品有效期内的认证等相关证明材料（如有）；</w:t>
      </w:r>
      <w:r/>
    </w:p>
    <w:p>
      <w:pPr>
        <w:pStyle w:val="1038"/>
        <w:ind w:left="706" w:firstLine="525"/>
        <w:spacing w:line="400" w:lineRule="exact"/>
        <w:tabs>
          <w:tab w:val="left" w:pos="851" w:leader="none"/>
        </w:tabs>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 xml:space="preserve">3.1.4.5 </w:t>
      </w:r>
      <w:r>
        <w:rPr>
          <w:rFonts w:hint="default" w:ascii="Times New Roman" w:hAnsi="Times New Roman" w:cs="Times New Roman"/>
          <w:sz w:val="21"/>
          <w:szCs w:val="21"/>
        </w:rPr>
        <w:t xml:space="preserve">采</w:t>
      </w:r>
      <w:r>
        <w:rPr>
          <w:rFonts w:hint="default" w:ascii="Times New Roman" w:hAnsi="Times New Roman" w:cs="Times New Roman" w:eastAsiaTheme="minorEastAsia"/>
          <w:sz w:val="21"/>
          <w:szCs w:val="21"/>
        </w:rPr>
        <w:t xml:space="preserve">购需求中所涉及到的或投标单位认为需加以说明或证明的其他有关</w:t>
      </w:r>
      <w:r>
        <w:rPr>
          <w:rFonts w:hint="default" w:ascii="Times New Roman" w:hAnsi="Times New Roman" w:cs="Times New Roman"/>
          <w:sz w:val="21"/>
          <w:szCs w:val="21"/>
        </w:rPr>
        <w:t xml:space="preserve">符合性证明</w:t>
      </w:r>
      <w:r>
        <w:rPr>
          <w:rFonts w:hint="default" w:ascii="Times New Roman" w:hAnsi="Times New Roman" w:cs="Times New Roman" w:eastAsiaTheme="minorEastAsia"/>
          <w:sz w:val="21"/>
          <w:szCs w:val="21"/>
        </w:rPr>
        <w:t xml:space="preserve">材料、证明（如有）；</w:t>
      </w:r>
      <w:r/>
    </w:p>
    <w:p>
      <w:pPr>
        <w:pStyle w:val="1038"/>
        <w:ind w:left="706" w:firstLine="525"/>
        <w:spacing w:line="400" w:lineRule="exact"/>
        <w:tabs>
          <w:tab w:val="left" w:pos="851" w:leader="none"/>
        </w:tabs>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 xml:space="preserve">3.1.4.6法人授权委托书（如有授权委托，格式见第六章）或法定代表人身份证；</w:t>
      </w:r>
      <w:r/>
    </w:p>
    <w:p>
      <w:pPr>
        <w:pStyle w:val="1038"/>
        <w:ind w:left="706" w:firstLine="525"/>
        <w:spacing w:line="400" w:lineRule="exact"/>
        <w:tabs>
          <w:tab w:val="left" w:pos="851" w:leader="none"/>
        </w:tabs>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 xml:space="preserve">3.1.4.7代理人身份证（如有授权委托）；</w:t>
      </w:r>
      <w:r/>
    </w:p>
    <w:p>
      <w:pPr>
        <w:ind w:firstLine="420"/>
        <w:spacing w:line="400" w:lineRule="exact"/>
        <w:rPr>
          <w:rFonts w:hint="default" w:ascii="Times New Roman" w:hAnsi="Times New Roman" w:cs="Times New Roman" w:eastAsiaTheme="minorEastAsia"/>
          <w:b/>
          <w:szCs w:val="21"/>
          <w:u w:val="single"/>
        </w:rPr>
      </w:pPr>
      <w:r/>
      <w:bookmarkStart w:id="26" w:name="_Hlk158130894"/>
      <w:r>
        <w:rPr>
          <w:rFonts w:hint="default" w:ascii="Times New Roman" w:hAnsi="Times New Roman" w:cs="Times New Roman" w:eastAsiaTheme="minorEastAsia"/>
          <w:b/>
          <w:szCs w:val="21"/>
          <w:u w:val="single"/>
        </w:rPr>
        <w:t xml:space="preserve">以上3.1.4.1—3.1.4.6为符合性审查必须提供的资料，如有授权委托，还必须提供3.1.4.7项材料，否则投标无效。</w:t>
      </w:r>
      <w:bookmarkEnd w:id="26"/>
      <w:r/>
      <w:bookmarkEnd w:id="25"/>
      <w:r/>
      <w:r/>
    </w:p>
    <w:p>
      <w:pPr>
        <w:pStyle w:val="1038"/>
        <w:numPr>
          <w:ilvl w:val="2"/>
          <w:numId w:val="3"/>
        </w:numPr>
        <w:ind w:left="0" w:firstLine="708"/>
        <w:spacing w:line="400" w:lineRule="exact"/>
        <w:tabs>
          <w:tab w:val="left" w:pos="851" w:leader="none"/>
        </w:tabs>
        <w:rPr>
          <w:rFonts w:hint="default" w:ascii="Times New Roman" w:hAnsi="Times New Roman" w:cs="Times New Roman" w:eastAsiaTheme="minorEastAsia"/>
          <w:b/>
          <w:sz w:val="21"/>
          <w:szCs w:val="21"/>
        </w:rPr>
      </w:pPr>
      <w:r/>
      <w:bookmarkStart w:id="27" w:name="_Hlk158128239"/>
      <w:r>
        <w:rPr>
          <w:rFonts w:hint="default" w:ascii="Times New Roman" w:hAnsi="Times New Roman" w:cs="Times New Roman" w:eastAsiaTheme="minorEastAsia"/>
          <w:b/>
          <w:sz w:val="21"/>
          <w:szCs w:val="21"/>
        </w:rPr>
        <w:t xml:space="preserve">综合评审文件</w:t>
      </w:r>
      <w:bookmarkEnd w:id="27"/>
      <w:r/>
      <w:r/>
    </w:p>
    <w:p>
      <w:pPr>
        <w:pStyle w:val="1038"/>
        <w:ind w:left="706" w:firstLine="525"/>
        <w:spacing w:line="400" w:lineRule="exact"/>
        <w:tabs>
          <w:tab w:val="left" w:pos="851" w:leader="none"/>
        </w:tabs>
        <w:rPr>
          <w:rFonts w:hint="default" w:ascii="Times New Roman" w:hAnsi="Times New Roman" w:cs="Times New Roman" w:eastAsiaTheme="minorEastAsia"/>
          <w:sz w:val="21"/>
          <w:szCs w:val="21"/>
        </w:rPr>
      </w:pPr>
      <w:r/>
      <w:bookmarkStart w:id="28" w:name="_Hlk158130956"/>
      <w:r/>
      <w:bookmarkStart w:id="29" w:name="_Hlk75809093"/>
      <w:r/>
      <w:bookmarkStart w:id="30" w:name="_Hlk73984846"/>
      <w:r>
        <w:rPr>
          <w:rFonts w:hint="default" w:ascii="Times New Roman" w:hAnsi="Times New Roman" w:cs="Times New Roman" w:eastAsiaTheme="minorEastAsia"/>
          <w:sz w:val="21"/>
          <w:szCs w:val="21"/>
        </w:rPr>
        <w:t xml:space="preserve">3.1.5.1评分标准中所涉及到</w:t>
      </w:r>
      <w:r>
        <w:rPr>
          <w:rFonts w:hint="default" w:ascii="Times New Roman" w:hAnsi="Times New Roman" w:cs="Times New Roman" w:eastAsiaTheme="minorEastAsia"/>
          <w:color w:val="000000" w:themeColor="text1"/>
          <w:sz w:val="21"/>
          <w:szCs w:val="21"/>
          <w14:textFill>
            <w14:solidFill>
              <w14:schemeClr w14:val="tx1"/>
            </w14:solidFill>
          </w14:textFill>
        </w:rPr>
        <w:t xml:space="preserve">针对本项目的各项实施、服务方案、相关制度、证书、业绩、承诺函</w:t>
      </w:r>
      <w:r>
        <w:rPr>
          <w:rFonts w:hint="default" w:ascii="Times New Roman" w:hAnsi="Times New Roman" w:cs="Times New Roman" w:eastAsiaTheme="minorEastAsia"/>
          <w:sz w:val="21"/>
          <w:szCs w:val="21"/>
        </w:rPr>
        <w:t xml:space="preserve">及其他材料、证明等。</w:t>
      </w:r>
      <w:bookmarkEnd w:id="28"/>
      <w:r/>
      <w:r/>
    </w:p>
    <w:p>
      <w:pPr>
        <w:pStyle w:val="1038"/>
        <w:numPr>
          <w:ilvl w:val="2"/>
          <w:numId w:val="3"/>
        </w:numPr>
        <w:ind w:left="0" w:firstLine="708"/>
        <w:spacing w:line="400" w:lineRule="exact"/>
        <w:tabs>
          <w:tab w:val="left" w:pos="851" w:leader="none"/>
        </w:tabs>
        <w:rPr>
          <w:rFonts w:hint="default" w:ascii="Times New Roman" w:hAnsi="Times New Roman" w:cs="Times New Roman" w:eastAsiaTheme="minorEastAsia"/>
          <w:b/>
          <w:sz w:val="21"/>
          <w:szCs w:val="21"/>
        </w:rPr>
      </w:pPr>
      <w:r>
        <w:rPr>
          <w:rFonts w:hint="default" w:ascii="Times New Roman" w:hAnsi="Times New Roman" w:cs="Times New Roman" w:eastAsiaTheme="minorEastAsia"/>
          <w:b/>
          <w:sz w:val="21"/>
          <w:szCs w:val="21"/>
        </w:rPr>
        <w:t xml:space="preserve">价格折扣文件（如有）</w:t>
      </w:r>
      <w:r/>
    </w:p>
    <w:p>
      <w:pPr>
        <w:pStyle w:val="1038"/>
        <w:ind w:left="706" w:firstLine="525"/>
        <w:spacing w:line="400" w:lineRule="exact"/>
        <w:tabs>
          <w:tab w:val="left" w:pos="851" w:leader="none"/>
        </w:tabs>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 xml:space="preserve">3.1.6.1非专门面向中小企业的项目如提供3.1.3.6或3.1.3.7或3.1.3.8项材料，将按照评定成交标准享受价格评审优惠政策。</w:t>
      </w:r>
      <w:bookmarkEnd w:id="29"/>
      <w:r/>
      <w:bookmarkEnd w:id="30"/>
      <w:r/>
      <w:r/>
    </w:p>
    <w:p>
      <w:pPr>
        <w:ind w:firstLine="420"/>
        <w:spacing w:line="400" w:lineRule="exact"/>
        <w:rPr>
          <w:rFonts w:hint="default" w:ascii="Times New Roman" w:hAnsi="Times New Roman" w:cs="Times New Roman" w:eastAsiaTheme="minorEastAsia"/>
          <w:b/>
          <w:szCs w:val="21"/>
          <w:u w:val="single"/>
        </w:rPr>
      </w:pPr>
      <w:r>
        <w:rPr>
          <w:rFonts w:hint="default" w:ascii="Times New Roman" w:hAnsi="Times New Roman" w:cs="Times New Roman" w:eastAsiaTheme="minorEastAsia"/>
          <w:b/>
          <w:szCs w:val="21"/>
          <w:u w:val="single"/>
        </w:rPr>
        <w:t xml:space="preserve">以上“3.1.3—3.1.6”中不得出现投标总报价。</w:t>
      </w:r>
      <w:r/>
    </w:p>
    <w:p>
      <w:pPr>
        <w:pStyle w:val="1187"/>
        <w:spacing w:line="400" w:lineRule="exact"/>
        <w:rPr>
          <w:rFonts w:hint="default" w:ascii="Times New Roman" w:hAnsi="Times New Roman" w:cs="Times New Roman"/>
          <w:b/>
          <w:bCs/>
          <w:szCs w:val="21"/>
        </w:rPr>
      </w:pPr>
      <w:r/>
      <w:bookmarkStart w:id="31" w:name="_Hlk158131259"/>
      <w:r>
        <w:rPr>
          <w:rFonts w:hint="default" w:ascii="Times New Roman" w:hAnsi="Times New Roman" w:cs="Times New Roman" w:eastAsiaTheme="minorEastAsia"/>
          <w:b/>
          <w:szCs w:val="21"/>
        </w:rPr>
        <w:t xml:space="preserve">注：制作电子投标（响应）文件时请与电子投标（响应）文件制作软件目录一一对应，将相关资料上传至相应模块。</w:t>
      </w:r>
      <w:r>
        <w:rPr>
          <w:rFonts w:hint="default" w:ascii="Times New Roman" w:hAnsi="Times New Roman" w:cs="Times New Roman"/>
          <w:b/>
          <w:szCs w:val="21"/>
        </w:rPr>
        <w:t xml:space="preserve">投标人应保证上传的投标文件完整、清晰可辨认，若因上传资料过小或模糊不清等无法辨认的都视为该资料未提供。</w:t>
      </w:r>
      <w:r/>
    </w:p>
    <w:p>
      <w:pPr>
        <w:ind w:firstLine="422"/>
        <w:spacing w:line="400" w:lineRule="exact"/>
        <w:tabs>
          <w:tab w:val="left" w:pos="540" w:leader="none"/>
        </w:tabs>
        <w:rPr>
          <w:rFonts w:hint="default" w:ascii="Times New Roman" w:hAnsi="Times New Roman" w:cs="Times New Roman" w:eastAsiaTheme="minorEastAsia"/>
          <w:b/>
          <w:bCs/>
          <w:szCs w:val="21"/>
        </w:rPr>
      </w:pPr>
      <w:r>
        <w:rPr>
          <w:rFonts w:hint="default" w:ascii="Times New Roman" w:hAnsi="Times New Roman" w:cs="Times New Roman"/>
          <w:b/>
          <w:szCs w:val="21"/>
        </w:rPr>
        <w:t xml:space="preserve">投标人</w:t>
      </w:r>
      <w:r>
        <w:rPr>
          <w:rFonts w:hint="default" w:ascii="Times New Roman" w:hAnsi="Times New Roman" w:cs="Times New Roman" w:eastAsiaTheme="minorEastAsia"/>
          <w:b/>
          <w:bCs/>
          <w:szCs w:val="21"/>
        </w:rPr>
        <w:t xml:space="preserve">必须保证全部投标资料的真实性，如有虚假或对招标文件所要求说明的情况故意隐瞒或虚报，视为不实质性响应招标文件，投标无效。</w:t>
      </w:r>
      <w:r/>
    </w:p>
    <w:p>
      <w:pPr>
        <w:ind w:firstLine="413"/>
        <w:spacing w:line="400" w:lineRule="exact"/>
        <w:tabs>
          <w:tab w:val="left" w:pos="540" w:leader="none"/>
          <w:tab w:val="left" w:pos="851" w:leader="none"/>
        </w:tabs>
        <w:rPr>
          <w:rFonts w:hint="default" w:ascii="Times New Roman" w:hAnsi="Times New Roman" w:cs="Times New Roman" w:eastAsiaTheme="minorEastAsia"/>
          <w:b/>
          <w:bCs/>
          <w:szCs w:val="21"/>
        </w:rPr>
      </w:pPr>
      <w:r>
        <w:rPr>
          <w:rFonts w:hint="default" w:ascii="Times New Roman" w:hAnsi="Times New Roman" w:cs="Times New Roman" w:eastAsiaTheme="minorEastAsia"/>
          <w:b/>
          <w:bCs/>
          <w:szCs w:val="21"/>
        </w:rPr>
        <w:t xml:space="preserve">如</w:t>
      </w:r>
      <w:r>
        <w:rPr>
          <w:rFonts w:hint="default" w:ascii="Times New Roman" w:hAnsi="Times New Roman" w:cs="Times New Roman"/>
          <w:b/>
          <w:szCs w:val="21"/>
        </w:rPr>
        <w:t xml:space="preserve">投标人</w:t>
      </w:r>
      <w:r>
        <w:rPr>
          <w:rFonts w:hint="default" w:ascii="Times New Roman" w:hAnsi="Times New Roman" w:cs="Times New Roman" w:eastAsiaTheme="minorEastAsia"/>
          <w:b/>
          <w:bCs/>
          <w:szCs w:val="21"/>
        </w:rPr>
        <w:t xml:space="preserve">投标文件中某些条款不响应招标文件提出的全部服务内容与要求，须在偏离表中逐条列出，未列出的视同响应。</w:t>
      </w:r>
      <w:bookmarkEnd w:id="31"/>
      <w:r/>
      <w:bookmarkEnd w:id="22"/>
      <w:r/>
      <w:r/>
    </w:p>
    <w:p>
      <w:pPr>
        <w:numPr>
          <w:ilvl w:val="1"/>
          <w:numId w:val="3"/>
        </w:numPr>
        <w:ind w:left="0" w:firstLine="426"/>
        <w:spacing w:line="360" w:lineRule="auto"/>
        <w:tabs>
          <w:tab w:val="left" w:pos="142" w:leader="none"/>
          <w:tab w:val="left" w:pos="600" w:leader="none"/>
        </w:tabs>
        <w:rPr>
          <w:rFonts w:hint="default" w:ascii="Times New Roman" w:hAnsi="Times New Roman" w:cs="Times New Roman" w:eastAsiaTheme="minorEastAsia"/>
          <w:b/>
          <w:bCs/>
          <w:szCs w:val="21"/>
        </w:rPr>
      </w:pPr>
      <w:r>
        <w:rPr>
          <w:rFonts w:hint="default" w:ascii="Times New Roman" w:hAnsi="Times New Roman" w:cs="Times New Roman" w:eastAsiaTheme="minorEastAsia"/>
          <w:b/>
          <w:bCs/>
          <w:szCs w:val="21"/>
        </w:rPr>
        <w:t xml:space="preserve">投标报价</w:t>
      </w:r>
      <w:r/>
    </w:p>
    <w:p>
      <w:pPr>
        <w:numPr>
          <w:ilvl w:val="2"/>
          <w:numId w:val="3"/>
        </w:numPr>
        <w:ind w:left="0" w:firstLine="567"/>
        <w:spacing w:line="360" w:lineRule="auto"/>
        <w:tabs>
          <w:tab w:val="left" w:pos="142" w:leader="none"/>
          <w:tab w:val="left" w:pos="600" w:leader="none"/>
        </w:tabs>
        <w:rPr>
          <w:rFonts w:hint="default" w:ascii="Times New Roman" w:hAnsi="Times New Roman" w:cs="Times New Roman" w:eastAsiaTheme="minorEastAsia"/>
          <w:bCs/>
          <w:szCs w:val="21"/>
        </w:rPr>
      </w:pPr>
      <w:r>
        <w:rPr>
          <w:rFonts w:hint="default" w:ascii="Times New Roman" w:hAnsi="Times New Roman" w:cs="Times New Roman" w:eastAsiaTheme="minorEastAsia"/>
          <w:bCs/>
          <w:szCs w:val="21"/>
        </w:rPr>
        <w:t xml:space="preserve">投标报价应包括完成本招标项目全部内容的一切费用，除非合同条款中另有规定，投标人所报价格在合同实施期间不因市场变化因素而变动。</w:t>
      </w:r>
      <w:r/>
    </w:p>
    <w:p>
      <w:pPr>
        <w:numPr>
          <w:ilvl w:val="2"/>
          <w:numId w:val="3"/>
        </w:numPr>
        <w:ind w:left="0" w:firstLine="567"/>
        <w:spacing w:line="360" w:lineRule="auto"/>
        <w:tabs>
          <w:tab w:val="left" w:pos="142" w:leader="none"/>
          <w:tab w:val="left" w:pos="600" w:leader="none"/>
        </w:tabs>
        <w:rPr>
          <w:rFonts w:hint="default" w:ascii="Times New Roman" w:hAnsi="Times New Roman" w:cs="Times New Roman" w:eastAsiaTheme="minorEastAsia"/>
          <w:bCs/>
          <w:szCs w:val="21"/>
        </w:rPr>
      </w:pPr>
      <w:r>
        <w:rPr>
          <w:rFonts w:hint="default" w:ascii="Times New Roman" w:hAnsi="Times New Roman" w:cs="Times New Roman" w:eastAsiaTheme="minorEastAsia"/>
          <w:bCs/>
          <w:szCs w:val="21"/>
        </w:rPr>
        <w:t xml:space="preserve">如果招标文件要求分标段投标的，则投标人可以根据自身经营许可范围，选择投标其中部分或者全部标段，但各标段应分别计算填写单价和总价。</w:t>
      </w:r>
      <w:r/>
    </w:p>
    <w:p>
      <w:pPr>
        <w:numPr>
          <w:ilvl w:val="2"/>
          <w:numId w:val="3"/>
        </w:numPr>
        <w:ind w:left="0" w:firstLine="567"/>
        <w:spacing w:line="360" w:lineRule="auto"/>
        <w:tabs>
          <w:tab w:val="left" w:pos="142" w:leader="none"/>
          <w:tab w:val="left" w:pos="600" w:leader="none"/>
        </w:tabs>
        <w:rPr>
          <w:rFonts w:hint="default" w:ascii="Times New Roman" w:hAnsi="Times New Roman" w:cs="Times New Roman" w:eastAsiaTheme="minorEastAsia"/>
          <w:b/>
          <w:szCs w:val="21"/>
        </w:rPr>
      </w:pPr>
      <w:r>
        <w:rPr>
          <w:rFonts w:hint="default" w:ascii="Times New Roman" w:hAnsi="Times New Roman" w:cs="Times New Roman" w:eastAsiaTheme="minorEastAsia"/>
          <w:b/>
          <w:bCs/>
          <w:szCs w:val="21"/>
        </w:rPr>
        <w:t xml:space="preserve">投</w:t>
      </w:r>
      <w:r>
        <w:rPr>
          <w:rFonts w:hint="default" w:ascii="Times New Roman" w:hAnsi="Times New Roman" w:cs="Times New Roman" w:eastAsiaTheme="minorEastAsia"/>
          <w:b/>
          <w:szCs w:val="21"/>
        </w:rPr>
        <w:t xml:space="preserve">标人应对招标文件内所要采购的全部内容进行报价，只对其中部分内容报价的，投标无效。</w:t>
      </w:r>
      <w:r/>
    </w:p>
    <w:p>
      <w:pPr>
        <w:numPr>
          <w:ilvl w:val="2"/>
          <w:numId w:val="3"/>
        </w:numPr>
        <w:ind w:left="0" w:firstLine="567"/>
        <w:spacing w:line="360" w:lineRule="auto"/>
        <w:tabs>
          <w:tab w:val="left" w:pos="142" w:leader="none"/>
          <w:tab w:val="left" w:pos="600" w:leader="none"/>
        </w:tabs>
        <w:rPr>
          <w:rFonts w:hint="default" w:ascii="Times New Roman" w:hAnsi="Times New Roman" w:cs="Times New Roman" w:eastAsiaTheme="minorEastAsia"/>
          <w:b/>
          <w:bCs/>
          <w:szCs w:val="21"/>
        </w:rPr>
      </w:pPr>
      <w:r>
        <w:rPr>
          <w:rFonts w:hint="default" w:ascii="Times New Roman" w:hAnsi="Times New Roman" w:cs="Times New Roman" w:eastAsiaTheme="minorEastAsia"/>
          <w:b/>
          <w:bCs/>
          <w:szCs w:val="21"/>
        </w:rPr>
        <w:t xml:space="preserve">一项投标内容只允许一个报价，任何有选择性投标报价的，其投标无效。</w:t>
      </w:r>
      <w:r/>
    </w:p>
    <w:p>
      <w:pPr>
        <w:numPr>
          <w:ilvl w:val="2"/>
          <w:numId w:val="3"/>
        </w:numPr>
        <w:ind w:left="0" w:firstLine="567"/>
        <w:spacing w:line="360" w:lineRule="auto"/>
        <w:tabs>
          <w:tab w:val="left" w:pos="142" w:leader="none"/>
          <w:tab w:val="left" w:pos="600" w:leader="none"/>
        </w:tabs>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 xml:space="preserve">投标报价超过招标文件中规定的预算金额或者最高限价的，或者各标的物的单价超过该项预算单价的（针对采购文件标明预算单价的项目），其投标无效。</w:t>
      </w:r>
      <w:r/>
    </w:p>
    <w:p>
      <w:pPr>
        <w:numPr>
          <w:ilvl w:val="2"/>
          <w:numId w:val="3"/>
        </w:numPr>
        <w:ind w:left="0" w:firstLine="567"/>
        <w:spacing w:line="360" w:lineRule="auto"/>
        <w:tabs>
          <w:tab w:val="left" w:pos="142" w:leader="none"/>
          <w:tab w:val="left" w:pos="600"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bCs/>
          <w:szCs w:val="21"/>
        </w:rPr>
        <w:t xml:space="preserve">投标文</w:t>
      </w:r>
      <w:r>
        <w:rPr>
          <w:rFonts w:hint="default" w:ascii="Times New Roman" w:hAnsi="Times New Roman" w:cs="Times New Roman" w:eastAsiaTheme="minorEastAsia"/>
          <w:szCs w:val="21"/>
        </w:rPr>
        <w:t xml:space="preserve">件报价中的单价和总价全部采用人民币表示，除非另有规定。</w:t>
      </w:r>
      <w:r/>
    </w:p>
    <w:p>
      <w:pPr>
        <w:numPr>
          <w:ilvl w:val="1"/>
          <w:numId w:val="3"/>
        </w:numPr>
        <w:ind w:left="0" w:firstLine="426"/>
        <w:spacing w:line="360" w:lineRule="auto"/>
        <w:tabs>
          <w:tab w:val="left" w:pos="142" w:leader="none"/>
          <w:tab w:val="left" w:pos="600" w:leader="none"/>
        </w:tabs>
        <w:rPr>
          <w:rFonts w:hint="default" w:ascii="Times New Roman" w:hAnsi="Times New Roman" w:cs="Times New Roman" w:eastAsiaTheme="minorEastAsia"/>
          <w:b/>
          <w:bCs/>
          <w:szCs w:val="21"/>
        </w:rPr>
      </w:pPr>
      <w:r>
        <w:rPr>
          <w:rFonts w:hint="default" w:ascii="Times New Roman" w:hAnsi="Times New Roman" w:cs="Times New Roman" w:eastAsiaTheme="minorEastAsia"/>
          <w:b/>
          <w:bCs/>
          <w:szCs w:val="21"/>
        </w:rPr>
        <w:t xml:space="preserve">投标保证金：无</w:t>
      </w:r>
      <w:r/>
    </w:p>
    <w:p>
      <w:pPr>
        <w:numPr>
          <w:ilvl w:val="1"/>
          <w:numId w:val="3"/>
        </w:numPr>
        <w:ind w:left="0" w:firstLine="426"/>
        <w:spacing w:line="360" w:lineRule="auto"/>
        <w:tabs>
          <w:tab w:val="left" w:pos="142" w:leader="none"/>
          <w:tab w:val="left" w:pos="600" w:leader="none"/>
        </w:tabs>
        <w:rPr>
          <w:rFonts w:hint="default" w:ascii="Times New Roman" w:hAnsi="Times New Roman" w:cs="Times New Roman" w:eastAsiaTheme="minorEastAsia"/>
          <w:b/>
          <w:bCs/>
          <w:szCs w:val="21"/>
        </w:rPr>
      </w:pPr>
      <w:r>
        <w:rPr>
          <w:rFonts w:hint="default" w:ascii="Times New Roman" w:hAnsi="Times New Roman" w:cs="Times New Roman" w:eastAsiaTheme="minorEastAsia"/>
          <w:b/>
          <w:bCs/>
          <w:szCs w:val="21"/>
        </w:rPr>
        <w:t xml:space="preserve">投标文件的有效期</w:t>
      </w:r>
      <w:r/>
    </w:p>
    <w:p>
      <w:pPr>
        <w:ind w:firstLine="422"/>
        <w:spacing w:line="360" w:lineRule="auto"/>
        <w:tabs>
          <w:tab w:val="left" w:pos="540"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b/>
          <w:szCs w:val="21"/>
        </w:rPr>
        <w:t xml:space="preserve">本项目投标有效期为</w:t>
      </w:r>
      <w:r>
        <w:rPr>
          <w:rFonts w:hint="default" w:ascii="Times New Roman" w:hAnsi="Times New Roman" w:cs="Times New Roman" w:eastAsiaTheme="minorEastAsia"/>
          <w:b/>
          <w:szCs w:val="21"/>
          <w:lang w:val="zh-CN"/>
        </w:rPr>
        <w:t xml:space="preserve">〖90〗</w:t>
      </w:r>
      <w:r>
        <w:rPr>
          <w:rFonts w:hint="default" w:ascii="Times New Roman" w:hAnsi="Times New Roman" w:cs="Times New Roman" w:eastAsiaTheme="minorEastAsia"/>
          <w:b/>
          <w:szCs w:val="21"/>
        </w:rPr>
        <w:t xml:space="preserve">天。投标文件中承诺的投标有效期应当不少于招标文件中载明的投标有效期，否则投标无效。</w:t>
      </w:r>
      <w:r>
        <w:rPr>
          <w:rFonts w:hint="default" w:ascii="Times New Roman" w:hAnsi="Times New Roman" w:cs="Times New Roman" w:eastAsiaTheme="minorEastAsia"/>
          <w:szCs w:val="21"/>
        </w:rPr>
        <w:t xml:space="preserve">特殊情况下需要延长投标有效期的，招标人应以书面形式通知所有投标人延长投标有效期，投标人应书面答复，同意延长的不得要求或被允许修改其投标文件；拒绝延长的，其投标失效。</w:t>
      </w:r>
      <w:r/>
    </w:p>
    <w:p>
      <w:pPr>
        <w:numPr>
          <w:ilvl w:val="1"/>
          <w:numId w:val="3"/>
        </w:numPr>
        <w:ind w:left="0" w:firstLine="426"/>
        <w:spacing w:line="360" w:lineRule="auto"/>
        <w:tabs>
          <w:tab w:val="left" w:pos="142" w:leader="none"/>
          <w:tab w:val="left" w:pos="600" w:leader="none"/>
        </w:tabs>
        <w:rPr>
          <w:rFonts w:hint="default" w:ascii="Times New Roman" w:hAnsi="Times New Roman" w:cs="Times New Roman" w:eastAsiaTheme="minorEastAsia"/>
          <w:b/>
          <w:bCs/>
          <w:szCs w:val="21"/>
        </w:rPr>
      </w:pPr>
      <w:r>
        <w:rPr>
          <w:rFonts w:hint="default" w:ascii="Times New Roman" w:hAnsi="Times New Roman" w:cs="Times New Roman" w:eastAsiaTheme="minorEastAsia"/>
          <w:b/>
          <w:bCs/>
          <w:szCs w:val="21"/>
        </w:rPr>
        <w:t xml:space="preserve">电子投标文件的编制与</w:t>
      </w:r>
      <w:bookmarkStart w:id="32" w:name="_Hlk158131382"/>
      <w:r>
        <w:rPr>
          <w:rFonts w:hint="default" w:ascii="Times New Roman" w:hAnsi="Times New Roman" w:cs="Times New Roman" w:eastAsiaTheme="minorEastAsia"/>
          <w:b/>
          <w:bCs/>
          <w:szCs w:val="21"/>
        </w:rPr>
        <w:t xml:space="preserve">递交</w:t>
      </w:r>
      <w:bookmarkEnd w:id="32"/>
      <w:r/>
      <w:r/>
    </w:p>
    <w:p>
      <w:pPr>
        <w:numPr>
          <w:ilvl w:val="2"/>
          <w:numId w:val="3"/>
        </w:numPr>
        <w:ind w:left="0" w:firstLine="567"/>
        <w:spacing w:line="360" w:lineRule="auto"/>
        <w:tabs>
          <w:tab w:val="left" w:pos="142" w:leader="none"/>
          <w:tab w:val="left" w:pos="600" w:leader="none"/>
        </w:tabs>
        <w:rPr>
          <w:rFonts w:hint="default" w:ascii="Times New Roman" w:hAnsi="Times New Roman" w:cs="Times New Roman" w:eastAsiaTheme="minorEastAsia"/>
          <w:szCs w:val="21"/>
        </w:rPr>
      </w:pPr>
      <w:r/>
      <w:bookmarkStart w:id="33" w:name="_Hlk159250739"/>
      <w:r/>
      <w:bookmarkStart w:id="34" w:name="_Hlk140247794"/>
      <w:r>
        <w:rPr>
          <w:rFonts w:hint="default" w:ascii="Times New Roman" w:hAnsi="Times New Roman" w:cs="Times New Roman" w:eastAsiaTheme="minorEastAsia"/>
          <w:szCs w:val="21"/>
        </w:rPr>
        <w:t xml:space="preserve">电子投标（响应）文件制作：本项目为网上招投标项目，请投标人插入CA 证书登陆“苏采云”系统下载客户端（参与项目页面可下载客户端及客户端使用说明），在客户端编制电子投标（响应）文件并进行CA加密。操作步骤详见“苏采云”系统页面提示和《操作手册》。</w:t>
      </w:r>
      <w:r/>
    </w:p>
    <w:p>
      <w:pPr>
        <w:numPr>
          <w:ilvl w:val="2"/>
          <w:numId w:val="3"/>
        </w:numPr>
        <w:ind w:left="0" w:firstLine="567"/>
        <w:spacing w:line="360" w:lineRule="auto"/>
        <w:tabs>
          <w:tab w:val="left" w:pos="142" w:leader="none"/>
          <w:tab w:val="left" w:pos="600"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电子投标（响应)文件递交：</w:t>
      </w:r>
      <w:r>
        <w:rPr>
          <w:rFonts w:hint="default" w:ascii="Times New Roman" w:hAnsi="Times New Roman" w:cs="Times New Roman" w:eastAsiaTheme="minorEastAsia"/>
          <w:b/>
          <w:szCs w:val="21"/>
        </w:rPr>
        <w:t xml:space="preserve">投标人应当按照《操作手册》指引，在投标（响应）文件提交截止时间前完成电子投标（响应）文件的上传，未按要求成功上传的投标（响应）文件视为未递交。</w:t>
      </w:r>
      <w:r>
        <w:rPr>
          <w:rFonts w:hint="default" w:ascii="Times New Roman" w:hAnsi="Times New Roman" w:cs="Times New Roman" w:eastAsiaTheme="minorEastAsia"/>
          <w:szCs w:val="21"/>
        </w:rPr>
        <w:t xml:space="preserve">投标人应充分考虑到网络环境、网络带宽等风险因素，如因投标人自身原因造成的电子投标（响应）文件上传不成功由投标人自行承担全部责任。</w:t>
      </w:r>
      <w:r/>
    </w:p>
    <w:p>
      <w:pPr>
        <w:ind w:firstLine="420"/>
        <w:spacing w:line="360" w:lineRule="auto"/>
        <w:tabs>
          <w:tab w:val="left" w:pos="540" w:leader="none"/>
        </w:tabs>
        <w:rPr>
          <w:rFonts w:hint="default" w:ascii="Times New Roman" w:hAnsi="Times New Roman" w:cs="Times New Roman" w:eastAsiaTheme="minorEastAsia"/>
          <w:color w:val="ff0000"/>
          <w:szCs w:val="21"/>
        </w:rPr>
      </w:pPr>
      <w:r>
        <w:rPr>
          <w:rFonts w:hint="default" w:ascii="Times New Roman" w:hAnsi="Times New Roman" w:cs="Times New Roman" w:eastAsiaTheme="minorEastAsia"/>
          <w:color w:val="ff0000"/>
          <w:szCs w:val="21"/>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firstLine="420"/>
        <w:spacing w:line="360" w:lineRule="auto"/>
        <w:tabs>
          <w:tab w:val="left" w:pos="540" w:leader="none"/>
        </w:tabs>
        <w:rPr>
          <w:rFonts w:hint="default" w:ascii="Times New Roman" w:hAnsi="Times New Roman" w:cs="Times New Roman" w:eastAsiaTheme="minorEastAsia"/>
          <w:color w:val="ff0000"/>
          <w:szCs w:val="21"/>
        </w:rPr>
      </w:pPr>
      <w:r>
        <w:rPr>
          <w:rFonts w:hint="default" w:ascii="Times New Roman" w:hAnsi="Times New Roman" w:cs="Times New Roman" w:eastAsiaTheme="minorEastAsia"/>
          <w:color w:val="ff0000"/>
          <w:szCs w:val="21"/>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numPr>
          <w:ilvl w:val="2"/>
          <w:numId w:val="3"/>
        </w:numPr>
        <w:ind w:left="0" w:firstLine="567"/>
        <w:spacing w:line="360" w:lineRule="auto"/>
        <w:tabs>
          <w:tab w:val="left" w:pos="142" w:leader="none"/>
          <w:tab w:val="left" w:pos="600" w:leader="none"/>
        </w:tabs>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 xml:space="preserve">投标文件未按照招标文件要求加盖CA电子公章的，投标无效。</w:t>
      </w:r>
      <w:r/>
    </w:p>
    <w:p>
      <w:pPr>
        <w:numPr>
          <w:ilvl w:val="2"/>
          <w:numId w:val="3"/>
        </w:numPr>
        <w:ind w:left="0" w:firstLine="567"/>
        <w:spacing w:line="360" w:lineRule="auto"/>
        <w:tabs>
          <w:tab w:val="left" w:pos="142" w:leader="none"/>
          <w:tab w:val="left" w:pos="600" w:leader="none"/>
        </w:tabs>
        <w:rPr>
          <w:rFonts w:hint="default" w:ascii="Times New Roman" w:hAnsi="Times New Roman" w:cs="Times New Roman" w:eastAsiaTheme="minorEastAsia"/>
          <w:szCs w:val="21"/>
        </w:rPr>
      </w:pPr>
      <w:r/>
      <w:bookmarkStart w:id="35" w:name="_Hlk158134955"/>
      <w:r>
        <w:rPr>
          <w:rFonts w:hint="default" w:ascii="Times New Roman" w:hAnsi="Times New Roman" w:cs="Times New Roman" w:eastAsiaTheme="minorEastAsia"/>
          <w:szCs w:val="21"/>
        </w:rPr>
        <w:t xml:space="preserve">联合体投标：如招标（采购）公告中允许联合体投标，联合体投标的投标（响应）文件制作上传操作如下：</w:t>
      </w:r>
      <w:r/>
    </w:p>
    <w:p>
      <w:pPr>
        <w:ind w:left="567"/>
        <w:spacing w:line="360" w:lineRule="auto"/>
        <w:tabs>
          <w:tab w:val="left" w:pos="142" w:leader="none"/>
          <w:tab w:val="left" w:pos="600"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第一步：在投标（响应）文件中上传联合体投标协议书。</w:t>
      </w:r>
      <w:r/>
    </w:p>
    <w:p>
      <w:pPr>
        <w:ind w:left="567"/>
        <w:spacing w:line="360" w:lineRule="auto"/>
        <w:tabs>
          <w:tab w:val="left" w:pos="142" w:leader="none"/>
          <w:tab w:val="left" w:pos="600"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第二步；在投标（响应）文件中，由联合体中的牵头人制作投标（响应）文件。</w:t>
      </w:r>
      <w:bookmarkEnd w:id="35"/>
      <w:r/>
      <w:r/>
    </w:p>
    <w:p>
      <w:pPr>
        <w:numPr>
          <w:ilvl w:val="2"/>
          <w:numId w:val="3"/>
        </w:numPr>
        <w:ind w:left="0" w:firstLine="567"/>
        <w:spacing w:line="360" w:lineRule="auto"/>
        <w:tabs>
          <w:tab w:val="left" w:pos="142" w:leader="none"/>
          <w:tab w:val="left" w:pos="600" w:leader="none"/>
        </w:tabs>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 xml:space="preserve">如投标（响应）文件制作机器码信息一致，视为不同投标供应商使用同一台电脑编制投标（响应）文件，投标（响应）无效。</w:t>
      </w:r>
      <w:bookmarkEnd w:id="33"/>
      <w:r/>
      <w:bookmarkEnd w:id="34"/>
      <w:r/>
      <w:r/>
    </w:p>
    <w:p>
      <w:pPr>
        <w:numPr>
          <w:ilvl w:val="1"/>
          <w:numId w:val="3"/>
        </w:numPr>
        <w:ind w:left="0" w:firstLine="426"/>
        <w:spacing w:line="360" w:lineRule="auto"/>
        <w:tabs>
          <w:tab w:val="left" w:pos="142" w:leader="none"/>
          <w:tab w:val="left" w:pos="600" w:leader="none"/>
        </w:tabs>
        <w:rPr>
          <w:rFonts w:hint="default" w:ascii="Times New Roman" w:hAnsi="Times New Roman" w:cs="Times New Roman" w:eastAsiaTheme="minorEastAsia"/>
          <w:b/>
          <w:bCs/>
          <w:szCs w:val="21"/>
        </w:rPr>
      </w:pPr>
      <w:r>
        <w:rPr>
          <w:rFonts w:hint="default" w:ascii="Times New Roman" w:hAnsi="Times New Roman" w:cs="Times New Roman" w:eastAsiaTheme="minorEastAsia"/>
          <w:b/>
          <w:bCs/>
          <w:szCs w:val="21"/>
        </w:rPr>
        <w:t xml:space="preserve">技术支持</w:t>
      </w:r>
      <w:r/>
    </w:p>
    <w:p>
      <w:pPr>
        <w:pStyle w:val="1038"/>
        <w:numPr>
          <w:ilvl w:val="2"/>
          <w:numId w:val="3"/>
        </w:numPr>
        <w:spacing w:line="360" w:lineRule="auto"/>
        <w:tabs>
          <w:tab w:val="left" w:pos="142" w:leader="none"/>
          <w:tab w:val="left" w:pos="600" w:leader="none"/>
        </w:tabs>
        <w:rPr>
          <w:rFonts w:hint="default" w:ascii="Times New Roman" w:hAnsi="Times New Roman" w:cs="Times New Roman" w:eastAsiaTheme="minorEastAsia"/>
          <w:sz w:val="21"/>
          <w:szCs w:val="21"/>
        </w:rPr>
      </w:pPr>
      <w:r/>
      <w:bookmarkStart w:id="36" w:name="_Hlk159250895"/>
      <w:r>
        <w:rPr>
          <w:rFonts w:hint="default" w:ascii="Times New Roman" w:hAnsi="Times New Roman" w:cs="Times New Roman" w:eastAsiaTheme="minorEastAsia"/>
          <w:sz w:val="21"/>
          <w:szCs w:val="21"/>
        </w:rPr>
        <w:t xml:space="preserve">CA技术咨询服务电话：400-608-6099</w:t>
      </w:r>
      <w:r/>
    </w:p>
    <w:p>
      <w:pPr>
        <w:pStyle w:val="1187"/>
        <w:ind w:left="992" w:firstLine="0"/>
        <w:spacing w:line="360" w:lineRule="auto"/>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电子签章技术咨询服务电话：15380932027、15371015030 、13675197356、 13675197221 </w:t>
      </w:r>
      <w:r/>
    </w:p>
    <w:p>
      <w:pPr>
        <w:pStyle w:val="1187"/>
        <w:ind w:left="992" w:firstLine="0"/>
        <w:spacing w:line="360" w:lineRule="auto"/>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“苏采云”平台技术咨询电话：0512-69820854、0519-86722802、13914088964、18261002950</w:t>
      </w:r>
      <w:r/>
    </w:p>
    <w:p>
      <w:pPr>
        <w:pStyle w:val="1038"/>
        <w:numPr>
          <w:ilvl w:val="2"/>
          <w:numId w:val="3"/>
        </w:numPr>
        <w:spacing w:line="360" w:lineRule="auto"/>
        <w:tabs>
          <w:tab w:val="left" w:pos="142" w:leader="none"/>
          <w:tab w:val="left" w:pos="600" w:leader="none"/>
        </w:tabs>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 xml:space="preserve">网络中断故障技术支持：园区公共资源交易中心</w:t>
      </w:r>
      <w:r/>
    </w:p>
    <w:p>
      <w:pPr>
        <w:pStyle w:val="1038"/>
        <w:ind w:left="1276" w:firstLine="0"/>
        <w:spacing w:line="360" w:lineRule="auto"/>
        <w:tabs>
          <w:tab w:val="left" w:pos="142" w:leader="none"/>
          <w:tab w:val="left" w:pos="600" w:leader="none"/>
        </w:tabs>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 xml:space="preserve">服务时间及方式：8:00-21:00 X7天</w:t>
      </w:r>
      <w:r/>
    </w:p>
    <w:p>
      <w:pPr>
        <w:pStyle w:val="1038"/>
        <w:ind w:left="1276" w:firstLine="0"/>
        <w:spacing w:line="360" w:lineRule="auto"/>
        <w:tabs>
          <w:tab w:val="left" w:pos="142" w:leader="none"/>
          <w:tab w:val="left" w:pos="600" w:leader="none"/>
        </w:tabs>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 xml:space="preserve">电话： 0512-66605052；手机： 17315885859</w:t>
      </w:r>
      <w:bookmarkEnd w:id="36"/>
      <w:r/>
      <w:r/>
    </w:p>
    <w:p>
      <w:pPr>
        <w:numPr>
          <w:ilvl w:val="1"/>
          <w:numId w:val="3"/>
        </w:numPr>
        <w:ind w:left="0" w:firstLine="426"/>
        <w:spacing w:line="360" w:lineRule="auto"/>
        <w:tabs>
          <w:tab w:val="left" w:pos="142" w:leader="none"/>
          <w:tab w:val="left" w:pos="600" w:leader="none"/>
        </w:tabs>
        <w:rPr>
          <w:rFonts w:hint="default" w:ascii="Times New Roman" w:hAnsi="Times New Roman" w:cs="Times New Roman" w:eastAsiaTheme="minorEastAsia"/>
          <w:b/>
          <w:bCs/>
          <w:szCs w:val="21"/>
        </w:rPr>
      </w:pPr>
      <w:r>
        <w:rPr>
          <w:rFonts w:hint="default" w:ascii="Times New Roman" w:hAnsi="Times New Roman" w:cs="Times New Roman" w:eastAsiaTheme="minorEastAsia"/>
          <w:b/>
          <w:bCs/>
          <w:szCs w:val="21"/>
        </w:rPr>
        <w:t xml:space="preserve">投标文件的修改和撤回</w:t>
      </w:r>
      <w:r/>
    </w:p>
    <w:p>
      <w:pPr>
        <w:ind w:firstLine="424"/>
        <w:spacing w:line="360" w:lineRule="auto"/>
        <w:tabs>
          <w:tab w:val="left" w:pos="0" w:leader="none"/>
        </w:tabs>
        <w:rPr>
          <w:rFonts w:hint="default" w:ascii="Times New Roman" w:hAnsi="Times New Roman" w:cs="Times New Roman" w:eastAsiaTheme="minorEastAsia"/>
          <w:szCs w:val="21"/>
        </w:rPr>
      </w:pPr>
      <w:r/>
      <w:bookmarkStart w:id="37" w:name="_Hlk159250905"/>
      <w:r>
        <w:rPr>
          <w:rFonts w:hint="default" w:ascii="Times New Roman" w:hAnsi="Times New Roman" w:cs="Times New Roman" w:eastAsiaTheme="minorEastAsia"/>
          <w:color w:val="000000" w:themeColor="text1"/>
          <w:szCs w:val="21"/>
          <w:lang w:val="zh-CN"/>
          <w14:textFill>
            <w14:solidFill>
              <w14:schemeClr w14:val="tx1"/>
            </w14:solidFill>
          </w14:textFill>
        </w:rPr>
        <w:t xml:space="preserve">投标人在投标截止时间前，</w:t>
      </w:r>
      <w:r>
        <w:rPr>
          <w:rFonts w:hint="default" w:ascii="Times New Roman" w:hAnsi="Times New Roman" w:cs="Times New Roman" w:eastAsiaTheme="minorEastAsia"/>
          <w:szCs w:val="21"/>
        </w:rPr>
        <w:t xml:space="preserve">可以对所递交的投标（响应）文件进行补充、修改或者撤回，具体操作方法见《操作手册》。提交投标（响应）文件截止时间后供应商不得撤回投标（响应）文件。供应商撤回投标（响应）文件，则认为其不再参与本项目采购活动</w:t>
      </w:r>
      <w:r>
        <w:rPr>
          <w:rFonts w:hint="default" w:ascii="Times New Roman" w:hAnsi="Times New Roman" w:cs="Times New Roman" w:eastAsiaTheme="minorEastAsia"/>
          <w:color w:val="000000" w:themeColor="text1"/>
          <w:szCs w:val="21"/>
          <w:lang w:val="zh-CN"/>
          <w14:textFill>
            <w14:solidFill>
              <w14:schemeClr w14:val="tx1"/>
            </w14:solidFill>
          </w14:textFill>
        </w:rPr>
        <w:t xml:space="preserve">。</w:t>
      </w:r>
      <w:bookmarkEnd w:id="37"/>
      <w:r/>
      <w:r/>
    </w:p>
    <w:p>
      <w:pPr>
        <w:numPr>
          <w:ilvl w:val="0"/>
          <w:numId w:val="3"/>
        </w:numPr>
        <w:ind w:left="0" w:firstLine="567"/>
        <w:spacing w:line="360" w:lineRule="auto"/>
        <w:tabs>
          <w:tab w:val="left" w:pos="142" w:leader="none"/>
          <w:tab w:val="left" w:pos="600" w:leader="none"/>
        </w:tabs>
        <w:rPr>
          <w:rFonts w:hint="default" w:ascii="Times New Roman" w:hAnsi="Times New Roman" w:cs="Times New Roman" w:eastAsiaTheme="minorEastAsia"/>
          <w:b/>
          <w:bCs/>
          <w:szCs w:val="21"/>
        </w:rPr>
      </w:pPr>
      <w:r>
        <w:rPr>
          <w:rFonts w:hint="default" w:ascii="Times New Roman" w:hAnsi="Times New Roman" w:cs="Times New Roman" w:eastAsiaTheme="minorEastAsia"/>
          <w:b/>
          <w:szCs w:val="21"/>
        </w:rPr>
        <w:t xml:space="preserve">开标和评标</w:t>
      </w:r>
      <w:r/>
    </w:p>
    <w:p>
      <w:pPr>
        <w:numPr>
          <w:ilvl w:val="1"/>
          <w:numId w:val="3"/>
        </w:numPr>
        <w:ind w:left="0" w:firstLine="567"/>
        <w:spacing w:line="360" w:lineRule="auto"/>
        <w:tabs>
          <w:tab w:val="left" w:pos="142" w:leader="none"/>
          <w:tab w:val="left" w:pos="600" w:leader="none"/>
        </w:tabs>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 xml:space="preserve">开标</w:t>
      </w:r>
      <w:r/>
    </w:p>
    <w:p>
      <w:pPr>
        <w:numPr>
          <w:ilvl w:val="2"/>
          <w:numId w:val="3"/>
        </w:numPr>
        <w:ind w:left="0" w:firstLine="567"/>
        <w:spacing w:line="360" w:lineRule="auto"/>
        <w:tabs>
          <w:tab w:val="left" w:pos="142" w:leader="none"/>
          <w:tab w:val="left" w:pos="600" w:leader="none"/>
        </w:tabs>
        <w:rPr>
          <w:rFonts w:hint="default" w:ascii="Times New Roman" w:hAnsi="Times New Roman" w:cs="Times New Roman" w:eastAsiaTheme="minorEastAsia"/>
          <w:szCs w:val="21"/>
        </w:rPr>
      </w:pPr>
      <w:r/>
      <w:bookmarkStart w:id="38" w:name="_Hlk92794076"/>
      <w:r>
        <w:rPr>
          <w:rFonts w:hint="default" w:ascii="Times New Roman" w:hAnsi="Times New Roman" w:cs="Times New Roman" w:eastAsiaTheme="minorEastAsia"/>
          <w:szCs w:val="21"/>
        </w:rPr>
        <w:t xml:space="preserve">本项目为不见面开标（开启）项目，</w:t>
      </w:r>
      <w:r>
        <w:rPr>
          <w:rFonts w:hint="default" w:ascii="Times New Roman" w:hAnsi="Times New Roman" w:cs="Times New Roman" w:eastAsiaTheme="minorEastAsia"/>
          <w:b/>
          <w:szCs w:val="21"/>
        </w:rPr>
        <w:t xml:space="preserve">开标阶段供应商在【解密环节】必须使用 CA证书解密电子投标（响应）文件，请供应商确保电脑、系统及其他设备（视频输入输出设备等）无误，且开启直至项目结束始终保持系统在线状态。</w:t>
      </w:r>
      <w:r/>
    </w:p>
    <w:p>
      <w:pPr>
        <w:numPr>
          <w:ilvl w:val="2"/>
          <w:numId w:val="3"/>
        </w:numPr>
        <w:ind w:left="0" w:firstLine="567"/>
        <w:spacing w:line="360" w:lineRule="auto"/>
        <w:tabs>
          <w:tab w:val="left" w:pos="142" w:leader="none"/>
          <w:tab w:val="left" w:pos="600" w:leader="none"/>
        </w:tabs>
        <w:rPr>
          <w:rFonts w:hint="default" w:ascii="Times New Roman" w:hAnsi="Times New Roman" w:cs="Times New Roman" w:eastAsiaTheme="minorEastAsia"/>
          <w:szCs w:val="21"/>
        </w:rPr>
      </w:pPr>
      <w:r/>
      <w:bookmarkStart w:id="39" w:name="_Hlk90652960"/>
      <w:r>
        <w:rPr>
          <w:rFonts w:hint="default" w:ascii="Times New Roman" w:hAnsi="Times New Roman" w:cs="Times New Roman" w:eastAsiaTheme="minorEastAsia"/>
          <w:szCs w:val="21"/>
        </w:rPr>
        <w:t xml:space="preserve">线上参加（观看）开标（开启）会方式：登录“苏采云”系统，点击“开标大厅”，选择对应项目，点击进入不见面开标系统</w:t>
      </w:r>
      <w:r>
        <w:rPr>
          <w:rFonts w:hint="default" w:ascii="Times New Roman" w:hAnsi="Times New Roman" w:cs="Times New Roman" w:eastAsiaTheme="minorEastAsia"/>
          <w:color w:val="000000" w:themeColor="text1"/>
          <w:szCs w:val="21"/>
          <w14:textFill>
            <w14:solidFill>
              <w14:schemeClr w14:val="tx1"/>
            </w14:solidFill>
          </w14:textFill>
        </w:rPr>
        <w:t xml:space="preserve">。</w:t>
      </w:r>
      <w:r/>
    </w:p>
    <w:p>
      <w:pPr>
        <w:numPr>
          <w:ilvl w:val="2"/>
          <w:numId w:val="3"/>
        </w:numPr>
        <w:ind w:left="0" w:firstLine="567"/>
        <w:spacing w:line="360" w:lineRule="auto"/>
        <w:tabs>
          <w:tab w:val="left" w:pos="142" w:leader="none"/>
          <w:tab w:val="left" w:pos="600"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color w:val="000000" w:themeColor="text1"/>
          <w:szCs w:val="21"/>
          <w14:textFill>
            <w14:solidFill>
              <w14:schemeClr w14:val="tx1"/>
            </w14:solidFill>
          </w14:textFill>
        </w:rPr>
        <w:t xml:space="preserve">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bookmarkEnd w:id="39"/>
      <w:r/>
      <w:r/>
    </w:p>
    <w:p>
      <w:pPr>
        <w:numPr>
          <w:ilvl w:val="2"/>
          <w:numId w:val="3"/>
        </w:numPr>
        <w:ind w:left="0" w:firstLine="567"/>
        <w:spacing w:line="360" w:lineRule="auto"/>
        <w:tabs>
          <w:tab w:val="left" w:pos="142" w:leader="none"/>
          <w:tab w:val="left" w:pos="600" w:leader="none"/>
        </w:tabs>
        <w:rPr>
          <w:rFonts w:hint="default" w:ascii="Times New Roman" w:hAnsi="Times New Roman" w:cs="Times New Roman" w:eastAsiaTheme="minorEastAsia"/>
          <w:b/>
          <w:szCs w:val="21"/>
        </w:rPr>
      </w:pPr>
      <w:r/>
      <w:bookmarkStart w:id="40" w:name="_Hlk158135485"/>
      <w:r>
        <w:rPr>
          <w:rFonts w:hint="default" w:ascii="Times New Roman" w:hAnsi="Times New Roman" w:cs="Times New Roman" w:eastAsiaTheme="minorEastAsia"/>
          <w:color w:val="000000" w:themeColor="text1"/>
          <w:szCs w:val="21"/>
          <w14:textFill>
            <w14:solidFill>
              <w14:schemeClr w14:val="tx1"/>
            </w14:solidFill>
          </w14:textFill>
        </w:rPr>
        <w:t xml:space="preserve">开标时，投标人</w:t>
      </w:r>
      <w:r>
        <w:rPr>
          <w:rFonts w:hint="default" w:ascii="Times New Roman" w:hAnsi="Times New Roman" w:cs="Times New Roman" w:eastAsiaTheme="minorEastAsia"/>
          <w:szCs w:val="21"/>
        </w:rPr>
        <w:t xml:space="preserve">应当按照《操作手册》规定，在“苏采云”系统规定的时间内对投标文件进行解密。等待开标流程进入“解锁环境”，点击“点击立即解密”进行标书解密，解锁完成后及时关注开标大厅，等待答疑澄清等提示，</w:t>
      </w:r>
      <w:r>
        <w:rPr>
          <w:rFonts w:hint="default" w:ascii="Times New Roman" w:hAnsi="Times New Roman" w:cs="Times New Roman" w:eastAsiaTheme="minorEastAsia"/>
          <w:b/>
          <w:szCs w:val="21"/>
        </w:rPr>
        <w:t xml:space="preserve">否则导致的对</w:t>
      </w:r>
      <w:r>
        <w:rPr>
          <w:rFonts w:hint="default" w:ascii="Times New Roman" w:hAnsi="Times New Roman" w:cs="Times New Roman" w:eastAsiaTheme="minorEastAsia"/>
          <w:b/>
          <w:color w:val="000000" w:themeColor="text1"/>
          <w:szCs w:val="21"/>
          <w14:textFill>
            <w14:solidFill>
              <w14:schemeClr w14:val="tx1"/>
            </w14:solidFill>
          </w14:textFill>
        </w:rPr>
        <w:t xml:space="preserve">投标人</w:t>
      </w:r>
      <w:r>
        <w:rPr>
          <w:rFonts w:hint="default" w:ascii="Times New Roman" w:hAnsi="Times New Roman" w:cs="Times New Roman" w:eastAsiaTheme="minorEastAsia"/>
          <w:b/>
          <w:szCs w:val="21"/>
        </w:rPr>
        <w:t xml:space="preserve">不利的后果由供应商自行承担</w:t>
      </w:r>
      <w:bookmarkEnd w:id="40"/>
      <w:r>
        <w:rPr>
          <w:rFonts w:hint="default" w:ascii="Times New Roman" w:hAnsi="Times New Roman" w:cs="Times New Roman" w:eastAsiaTheme="minorEastAsia"/>
          <w:b/>
          <w:szCs w:val="21"/>
        </w:rPr>
        <w:t xml:space="preserve">。</w:t>
      </w:r>
      <w:r/>
    </w:p>
    <w:p>
      <w:pPr>
        <w:numPr>
          <w:ilvl w:val="2"/>
          <w:numId w:val="3"/>
        </w:numPr>
        <w:ind w:left="0" w:firstLine="567"/>
        <w:spacing w:line="360" w:lineRule="auto"/>
        <w:tabs>
          <w:tab w:val="left" w:pos="142" w:leader="none"/>
          <w:tab w:val="left" w:pos="600"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numPr>
          <w:ilvl w:val="2"/>
          <w:numId w:val="3"/>
        </w:numPr>
        <w:ind w:left="0" w:firstLine="567"/>
        <w:spacing w:line="360" w:lineRule="auto"/>
        <w:tabs>
          <w:tab w:val="left" w:pos="142" w:leader="none"/>
          <w:tab w:val="left" w:pos="600"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投标人在“苏采云”系统规定的时间内未成功解密电子投标文件的，</w:t>
      </w:r>
      <w:r>
        <w:rPr>
          <w:rFonts w:hint="default" w:ascii="Times New Roman" w:hAnsi="Times New Roman" w:cs="Times New Roman" w:eastAsiaTheme="minorEastAsia"/>
          <w:b/>
          <w:szCs w:val="21"/>
        </w:rPr>
        <w:t xml:space="preserve">投标无效。</w:t>
      </w:r>
      <w:r/>
    </w:p>
    <w:p>
      <w:pPr>
        <w:numPr>
          <w:ilvl w:val="2"/>
          <w:numId w:val="3"/>
        </w:numPr>
        <w:ind w:left="0" w:firstLine="567"/>
        <w:spacing w:line="360" w:lineRule="auto"/>
        <w:tabs>
          <w:tab w:val="left" w:pos="142" w:leader="none"/>
          <w:tab w:val="left" w:pos="600"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投标人电脑环境最低要求：谷歌浏览器，版本可直接网上下载最新版本即可。如需收听现场语音需配置放音设备，如视频直播、互动交流使用异常，请刷新网页，如仍无法解决，请联系技术支持。</w:t>
      </w:r>
      <w:r/>
    </w:p>
    <w:p>
      <w:pPr>
        <w:numPr>
          <w:ilvl w:val="2"/>
          <w:numId w:val="3"/>
        </w:numPr>
        <w:ind w:left="0" w:firstLine="567"/>
        <w:spacing w:line="360" w:lineRule="auto"/>
        <w:tabs>
          <w:tab w:val="left" w:pos="142" w:leader="none"/>
          <w:tab w:val="left" w:pos="600" w:leader="none"/>
        </w:tabs>
        <w:rPr>
          <w:rFonts w:hint="default" w:ascii="Times New Roman" w:hAnsi="Times New Roman" w:cs="Times New Roman" w:eastAsiaTheme="minorEastAsia"/>
          <w:szCs w:val="21"/>
        </w:rPr>
      </w:pPr>
      <w:r/>
      <w:bookmarkStart w:id="41" w:name="_Hlk90653182"/>
      <w:r>
        <w:rPr>
          <w:rFonts w:hint="default" w:ascii="Times New Roman" w:hAnsi="Times New Roman" w:cs="Times New Roman" w:eastAsiaTheme="minorEastAsia"/>
          <w:szCs w:val="21"/>
        </w:rPr>
        <w:t xml:space="preserve">开标大厅系统出现故障、断电断网等特殊情形导致无法直播时，交易中心将通过微信直播对外公布相关情况，供应商可登录微信直播平台（微信-发现-直播-搜索视频号“园小易直播”）观看现场实况。</w:t>
      </w:r>
      <w:bookmarkEnd w:id="41"/>
      <w:r/>
      <w:r/>
    </w:p>
    <w:p>
      <w:pPr>
        <w:numPr>
          <w:ilvl w:val="2"/>
          <w:numId w:val="3"/>
        </w:numPr>
        <w:ind w:left="0" w:firstLine="567"/>
        <w:spacing w:line="360" w:lineRule="auto"/>
        <w:tabs>
          <w:tab w:val="left" w:pos="142" w:leader="none"/>
          <w:tab w:val="left" w:pos="600"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至投标文件提交截止时间，</w:t>
      </w:r>
      <w:r>
        <w:rPr>
          <w:rFonts w:hint="default" w:ascii="Times New Roman" w:hAnsi="Times New Roman" w:cs="Times New Roman" w:eastAsiaTheme="minorEastAsia"/>
          <w:b/>
          <w:szCs w:val="21"/>
        </w:rPr>
        <w:t xml:space="preserve">递交投标文件的投标人不足三家的，不得开标。</w:t>
      </w:r>
      <w:r/>
    </w:p>
    <w:p>
      <w:pPr>
        <w:numPr>
          <w:ilvl w:val="2"/>
          <w:numId w:val="3"/>
        </w:numPr>
        <w:ind w:left="0" w:firstLine="567"/>
        <w:spacing w:line="360" w:lineRule="auto"/>
        <w:tabs>
          <w:tab w:val="left" w:pos="142" w:leader="none"/>
          <w:tab w:val="left" w:pos="600"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开标在招标文件规定的时间、地点进行，由采购人或采购代理机构主持，投标人参加（观看），评标委员会成员不得参加开标活动。</w:t>
      </w:r>
      <w:bookmarkEnd w:id="38"/>
      <w:r/>
      <w:r/>
    </w:p>
    <w:p>
      <w:pPr>
        <w:numPr>
          <w:ilvl w:val="1"/>
          <w:numId w:val="3"/>
        </w:numPr>
        <w:ind w:left="0" w:firstLine="567"/>
        <w:spacing w:line="360" w:lineRule="auto"/>
        <w:tabs>
          <w:tab w:val="left" w:pos="142" w:leader="none"/>
          <w:tab w:val="left" w:pos="600" w:leader="none"/>
        </w:tabs>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 xml:space="preserve">资格审查</w:t>
      </w:r>
      <w:r/>
    </w:p>
    <w:p>
      <w:pPr>
        <w:numPr>
          <w:ilvl w:val="2"/>
          <w:numId w:val="3"/>
        </w:numPr>
        <w:ind w:left="0" w:firstLine="567"/>
        <w:spacing w:line="360" w:lineRule="auto"/>
        <w:tabs>
          <w:tab w:val="left" w:pos="142" w:leader="none"/>
          <w:tab w:val="left" w:pos="600" w:leader="none"/>
        </w:tabs>
        <w:rPr>
          <w:rFonts w:hint="default" w:ascii="Times New Roman" w:hAnsi="Times New Roman" w:cs="Times New Roman" w:eastAsiaTheme="minorEastAsia"/>
          <w:szCs w:val="21"/>
        </w:rPr>
      </w:pPr>
      <w:r/>
      <w:bookmarkStart w:id="42" w:name="_Hlk159250970"/>
      <w:r>
        <w:rPr>
          <w:rFonts w:hint="default" w:ascii="Times New Roman" w:hAnsi="Times New Roman" w:cs="Times New Roman" w:eastAsiaTheme="minorEastAsia"/>
          <w:szCs w:val="21"/>
        </w:rPr>
        <w:t xml:space="preserve">开标结束后，采购人应当依法对投标人的资格进行审查，</w:t>
      </w:r>
      <w:r>
        <w:rPr>
          <w:rFonts w:hint="default" w:ascii="Times New Roman" w:hAnsi="Times New Roman" w:cs="Times New Roman" w:eastAsiaTheme="minorEastAsia"/>
          <w:b/>
          <w:szCs w:val="21"/>
        </w:rPr>
        <w:t xml:space="preserve">未通过资格审查的投标无效。</w:t>
      </w:r>
      <w:r/>
    </w:p>
    <w:p>
      <w:pPr>
        <w:numPr>
          <w:ilvl w:val="2"/>
          <w:numId w:val="3"/>
        </w:numPr>
        <w:ind w:left="0" w:firstLine="567"/>
        <w:spacing w:line="360" w:lineRule="auto"/>
        <w:tabs>
          <w:tab w:val="left" w:pos="142" w:leader="none"/>
          <w:tab w:val="left" w:pos="600"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信用查询：根据政府采购法及相关法规，以及苏州市财政局《关于印发苏州市市级政府采购信用记录查询和使用工作试行办法的通知》（苏财购（2017）11号）文件的规定，采购人、采购代理机构对供应商进行信用查询。</w:t>
      </w:r>
      <w:r/>
    </w:p>
    <w:p>
      <w:pPr>
        <w:numPr>
          <w:ilvl w:val="3"/>
          <w:numId w:val="3"/>
        </w:numPr>
        <w:ind w:left="0" w:firstLine="567"/>
        <w:spacing w:line="360" w:lineRule="auto"/>
        <w:tabs>
          <w:tab w:val="left" w:pos="142" w:leader="none"/>
          <w:tab w:val="left" w:pos="600"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查询时间：投标文件提交截止时间。</w:t>
      </w:r>
      <w:r/>
    </w:p>
    <w:p>
      <w:pPr>
        <w:numPr>
          <w:ilvl w:val="3"/>
          <w:numId w:val="3"/>
        </w:numPr>
        <w:ind w:left="0" w:firstLine="567"/>
        <w:spacing w:line="360" w:lineRule="auto"/>
        <w:tabs>
          <w:tab w:val="left" w:pos="142" w:leader="none"/>
          <w:tab w:val="left" w:pos="600"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color w:val="000000" w:themeColor="text1"/>
          <w:szCs w:val="21"/>
          <w14:textFill>
            <w14:solidFill>
              <w14:schemeClr w14:val="tx1"/>
            </w14:solidFill>
          </w14:textFill>
        </w:rPr>
        <w:t xml:space="preserve">查询渠道：通过“信用中国”、“信用江苏”及“中国政府采购网”上的信用信息查询供应商的信用记录。</w:t>
      </w:r>
      <w:r/>
    </w:p>
    <w:p>
      <w:pPr>
        <w:numPr>
          <w:ilvl w:val="3"/>
          <w:numId w:val="3"/>
        </w:numPr>
        <w:ind w:left="0" w:firstLine="567"/>
        <w:spacing w:line="360" w:lineRule="auto"/>
        <w:tabs>
          <w:tab w:val="left" w:pos="142" w:leader="none"/>
          <w:tab w:val="left" w:pos="600" w:leader="none"/>
        </w:tabs>
        <w:rPr>
          <w:rFonts w:hint="default" w:ascii="Times New Roman" w:hAnsi="Times New Roman" w:cs="Times New Roman" w:eastAsiaTheme="minorEastAsia"/>
          <w:szCs w:val="21"/>
        </w:rPr>
      </w:pPr>
      <w:r/>
      <w:bookmarkStart w:id="43" w:name="_Hlk92794284"/>
      <w:r>
        <w:rPr>
          <w:rFonts w:hint="default" w:ascii="Times New Roman" w:hAnsi="Times New Roman" w:cs="Times New Roman" w:eastAsiaTheme="minorEastAsia"/>
          <w:szCs w:val="21"/>
        </w:rPr>
        <w:t xml:space="preserve">查询证据留存方式：对存在失信信息的供应商，评审小组应填写《苏州市级政府采购供应商失信信息确认函》，由失信供应商签名（</w:t>
      </w:r>
      <w:r>
        <w:rPr>
          <w:rFonts w:hint="default" w:ascii="Times New Roman" w:hAnsi="Times New Roman" w:cs="Times New Roman"/>
        </w:rPr>
        <w:t xml:space="preserve">章</w:t>
      </w:r>
      <w:r>
        <w:rPr>
          <w:rFonts w:hint="default" w:ascii="Times New Roman" w:hAnsi="Times New Roman" w:cs="Times New Roman" w:eastAsiaTheme="minorEastAsia"/>
          <w:szCs w:val="21"/>
        </w:rPr>
        <w:t xml:space="preserve">）确认。</w:t>
      </w:r>
      <w:r>
        <w:rPr>
          <w:rFonts w:hint="default" w:ascii="Times New Roman" w:hAnsi="Times New Roman" w:cs="Times New Roman" w:eastAsiaTheme="minorEastAsia"/>
          <w:szCs w:val="21"/>
          <w:lang w:val="zh-CN"/>
        </w:rPr>
        <w:t xml:space="preserve">采购代理机构工作人员应登陆到来源网站页面进行复核并打印，</w:t>
      </w:r>
      <w:r>
        <w:rPr>
          <w:rFonts w:hint="default" w:ascii="Times New Roman" w:hAnsi="Times New Roman" w:cs="Times New Roman" w:eastAsiaTheme="minorEastAsia"/>
          <w:szCs w:val="21"/>
        </w:rPr>
        <w:t xml:space="preserve">作为证据留存。</w:t>
      </w:r>
      <w:bookmarkEnd w:id="43"/>
      <w:r/>
      <w:r/>
    </w:p>
    <w:p>
      <w:pPr>
        <w:numPr>
          <w:ilvl w:val="3"/>
          <w:numId w:val="3"/>
        </w:numPr>
        <w:ind w:left="0" w:firstLine="567"/>
        <w:spacing w:line="360" w:lineRule="auto"/>
        <w:tabs>
          <w:tab w:val="left" w:pos="142" w:leader="none"/>
          <w:tab w:val="left" w:pos="600"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信用记录使用规则：评审小组在对供应商进行资格性审查时，应根据查询结果对供应商的不良信用记录逐项甄别确认。按照《中华人民共和国政府采购法》第二十二条规定，</w:t>
      </w:r>
      <w:r>
        <w:rPr>
          <w:rFonts w:hint="default" w:ascii="Times New Roman" w:hAnsi="Times New Roman" w:cs="Times New Roman" w:eastAsiaTheme="minorEastAsia"/>
          <w:b/>
          <w:szCs w:val="21"/>
        </w:rPr>
        <w:t xml:space="preserve">下列信用记录属于应依法拒绝供应商参加政府采购的失信信息，存在此类失信信息的投标人的投标无效：</w:t>
      </w:r>
      <w:r/>
    </w:p>
    <w:p>
      <w:pPr>
        <w:ind w:firstLine="851"/>
        <w:spacing w:line="360" w:lineRule="auto"/>
        <w:tabs>
          <w:tab w:val="left" w:pos="426"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（一）政府采购严重违法记录，即供应商被全国各级财政部门列入“政府采购严重违法失信行为记录名单”，且在处罚有效期内的。</w:t>
      </w:r>
      <w:r/>
    </w:p>
    <w:p>
      <w:pPr>
        <w:ind w:firstLine="707"/>
        <w:spacing w:line="360" w:lineRule="auto"/>
        <w:tabs>
          <w:tab w:val="left" w:pos="426"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（二）财政部门与法院、工商、税务等部门联合惩戒的失信信息，包括：</w:t>
      </w:r>
      <w:r/>
    </w:p>
    <w:p>
      <w:pPr>
        <w:ind w:firstLine="707"/>
        <w:spacing w:line="360" w:lineRule="auto"/>
        <w:tabs>
          <w:tab w:val="left" w:pos="426"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（1）被列入失信被执行人名单；</w:t>
      </w:r>
      <w:r/>
    </w:p>
    <w:p>
      <w:pPr>
        <w:ind w:firstLine="707"/>
        <w:spacing w:line="360" w:lineRule="auto"/>
        <w:tabs>
          <w:tab w:val="left" w:pos="426"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（2）被列入重大税收违法案件当事人名单；</w:t>
      </w:r>
      <w:r/>
    </w:p>
    <w:p>
      <w:pPr>
        <w:ind w:firstLine="707"/>
        <w:spacing w:line="360" w:lineRule="auto"/>
        <w:tabs>
          <w:tab w:val="left" w:pos="426" w:leader="none"/>
        </w:tabs>
        <w:rPr>
          <w:rFonts w:hint="default" w:ascii="Times New Roman" w:hAnsi="Times New Roman" w:cs="Times New Roman" w:eastAsiaTheme="minorEastAsia"/>
          <w:szCs w:val="21"/>
        </w:rPr>
      </w:pPr>
      <w:r/>
      <w:bookmarkStart w:id="44" w:name="_Hlk92794378"/>
      <w:r>
        <w:rPr>
          <w:rFonts w:hint="default" w:ascii="Times New Roman" w:hAnsi="Times New Roman" w:cs="Times New Roman" w:eastAsiaTheme="minorEastAsia"/>
          <w:szCs w:val="21"/>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numPr>
          <w:ilvl w:val="3"/>
          <w:numId w:val="3"/>
        </w:numPr>
        <w:ind w:left="0" w:firstLine="567"/>
        <w:spacing w:line="360" w:lineRule="auto"/>
        <w:tabs>
          <w:tab w:val="left" w:pos="142" w:leader="none"/>
          <w:tab w:val="left" w:pos="600" w:leader="none"/>
        </w:tabs>
        <w:rPr>
          <w:rFonts w:hint="default" w:ascii="Times New Roman" w:hAnsi="Times New Roman" w:cs="Times New Roman" w:eastAsiaTheme="minorEastAsia"/>
          <w:color w:val="000000" w:themeColor="text1"/>
          <w:szCs w:val="21"/>
          <w14:textFill>
            <w14:solidFill>
              <w14:schemeClr w14:val="tx1"/>
            </w14:solidFill>
          </w14:textFill>
        </w:rPr>
      </w:pPr>
      <w:r>
        <w:rPr>
          <w:rFonts w:hint="default" w:ascii="Times New Roman" w:hAnsi="Times New Roman" w:cs="Times New Roman" w:eastAsiaTheme="minorEastAsia"/>
          <w:color w:val="000000" w:themeColor="text1"/>
          <w:szCs w:val="21"/>
          <w14:textFill>
            <w14:solidFill>
              <w14:schemeClr w14:val="tx1"/>
            </w14:solidFill>
          </w14:textFill>
        </w:rPr>
        <w:t xml:space="preserve">接受联合体的项目，两个以上的自然人、法人或者其他组织组成一个联合体，以一个投标人的身份共同参加政府采购活动的，联合体成员其中一名成员存在失信信息的，视同联合体存在失信信息。</w:t>
      </w:r>
      <w:bookmarkEnd w:id="42"/>
      <w:r/>
      <w:bookmarkEnd w:id="44"/>
      <w:r/>
      <w:r/>
    </w:p>
    <w:p>
      <w:pPr>
        <w:numPr>
          <w:ilvl w:val="1"/>
          <w:numId w:val="3"/>
        </w:numPr>
        <w:ind w:left="0" w:firstLine="567"/>
        <w:spacing w:line="360" w:lineRule="auto"/>
        <w:tabs>
          <w:tab w:val="left" w:pos="142" w:leader="none"/>
          <w:tab w:val="left" w:pos="600" w:leader="none"/>
        </w:tabs>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 xml:space="preserve">评标委员会</w:t>
      </w:r>
      <w:r/>
    </w:p>
    <w:p>
      <w:pPr>
        <w:numPr>
          <w:ilvl w:val="2"/>
          <w:numId w:val="3"/>
        </w:numPr>
        <w:ind w:left="0" w:firstLine="851"/>
        <w:spacing w:line="360" w:lineRule="auto"/>
        <w:tabs>
          <w:tab w:val="left" w:pos="142" w:leader="none"/>
          <w:tab w:val="left" w:pos="600"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采购人或采购代理机构负责组织评标工作，评标委员会由采购人代表和评审专家组成，且人员构成符合政府采购有关规定。评标委员会负责具体评标事务，并独立履行职责。</w:t>
      </w:r>
      <w:r/>
    </w:p>
    <w:p>
      <w:pPr>
        <w:numPr>
          <w:ilvl w:val="2"/>
          <w:numId w:val="3"/>
        </w:numPr>
        <w:ind w:left="0" w:firstLine="851"/>
        <w:spacing w:line="360" w:lineRule="auto"/>
        <w:tabs>
          <w:tab w:val="left" w:pos="142" w:leader="none"/>
          <w:tab w:val="left" w:pos="600"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评审专家与参加采购活动的投标人存在下列利害关系之一的,应当回避:</w:t>
      </w:r>
      <w:r/>
    </w:p>
    <w:p>
      <w:pPr>
        <w:ind w:firstLine="851"/>
        <w:jc w:val="left"/>
        <w:spacing w:line="360" w:lineRule="auto"/>
        <w:shd w:val="clear" w:color="auto" w:fill="ffffff"/>
        <w:widowControl/>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(一)参加采购活动前三年内,与投标人存在劳动关系,或者担任过投标人的董事、监事,或者是投标人的控股股东或实际控制人;</w:t>
      </w:r>
      <w:r/>
    </w:p>
    <w:p>
      <w:pPr>
        <w:ind w:firstLine="851"/>
        <w:jc w:val="left"/>
        <w:spacing w:line="360" w:lineRule="auto"/>
        <w:shd w:val="clear" w:color="auto" w:fill="ffffff"/>
        <w:widowControl/>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(二)与投标人的法定代表人或者负责人有夫妻、直系血亲、三代以内旁系血亲或者近姻亲关系;</w:t>
      </w:r>
      <w:r/>
    </w:p>
    <w:p>
      <w:pPr>
        <w:ind w:firstLine="851"/>
        <w:jc w:val="left"/>
        <w:spacing w:line="360" w:lineRule="auto"/>
        <w:shd w:val="clear" w:color="auto" w:fill="ffffff"/>
        <w:widowControl/>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(三)与投标人有其他可能影响政府采购活动公平、公正进行的关系。</w:t>
      </w:r>
      <w:r/>
    </w:p>
    <w:p>
      <w:pPr>
        <w:ind w:firstLine="851"/>
        <w:jc w:val="left"/>
        <w:spacing w:line="360" w:lineRule="auto"/>
        <w:shd w:val="clear" w:color="auto" w:fill="ffffff"/>
        <w:widowControl/>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评审专家发现本人与参加采购活动的投标人有利害关系的,应当主动提出回避。采购人或者采购代理机构发现评审专家与参加采购活动的投标人有利害关系的,应当要求其回避。</w:t>
      </w:r>
      <w:r/>
    </w:p>
    <w:p>
      <w:pPr>
        <w:numPr>
          <w:ilvl w:val="2"/>
          <w:numId w:val="3"/>
        </w:numPr>
        <w:ind w:left="0" w:firstLine="851"/>
        <w:spacing w:line="360" w:lineRule="auto"/>
        <w:tabs>
          <w:tab w:val="left" w:pos="142" w:leader="none"/>
          <w:tab w:val="left" w:pos="600"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评审专家应当遵守评审工作纪律，不得泄露评审文件、评审情况和评审中获悉的商业秘密。评标委员会在评审过程中发现投标人有行贿、提供虚假材料或者串通等违法行为的，应当及时向财政部门报告。政府采购评审专家在评审过程中受到非法干预的，应当及时向财政、监察等部门举报。</w:t>
      </w:r>
      <w:r/>
    </w:p>
    <w:p>
      <w:pPr>
        <w:numPr>
          <w:ilvl w:val="2"/>
          <w:numId w:val="3"/>
        </w:numPr>
        <w:ind w:left="0" w:firstLine="851"/>
        <w:spacing w:line="360" w:lineRule="auto"/>
        <w:tabs>
          <w:tab w:val="left" w:pos="142" w:leader="none"/>
          <w:tab w:val="left" w:pos="600"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评标委员会成员应当按照客观、公正、审慎的原则，根据采购文件规定的评审程序、评审方法和评审标准进行独立评审。</w:t>
      </w:r>
      <w:r/>
    </w:p>
    <w:p>
      <w:pPr>
        <w:numPr>
          <w:ilvl w:val="1"/>
          <w:numId w:val="3"/>
        </w:numPr>
        <w:ind w:left="0" w:firstLine="567"/>
        <w:spacing w:line="360" w:lineRule="auto"/>
        <w:tabs>
          <w:tab w:val="left" w:pos="142" w:leader="none"/>
          <w:tab w:val="left" w:pos="600" w:leader="none"/>
        </w:tabs>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 xml:space="preserve">评标</w:t>
      </w:r>
      <w:r/>
    </w:p>
    <w:p>
      <w:pPr>
        <w:numPr>
          <w:ilvl w:val="2"/>
          <w:numId w:val="3"/>
        </w:numPr>
        <w:ind w:left="0" w:firstLine="567"/>
        <w:spacing w:line="360" w:lineRule="auto"/>
        <w:tabs>
          <w:tab w:val="left" w:pos="142" w:leader="none"/>
          <w:tab w:val="left" w:pos="600"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符合性审查</w:t>
      </w:r>
      <w:r/>
    </w:p>
    <w:p>
      <w:pPr>
        <w:ind w:firstLine="424"/>
        <w:spacing w:line="360" w:lineRule="auto"/>
        <w:tabs>
          <w:tab w:val="left" w:pos="540"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评标委员会应当对符合资格的投标人的投标文件进行符合性审查，以确定其是否满足招标文件的实质性要求。</w:t>
      </w:r>
      <w:r>
        <w:rPr>
          <w:rFonts w:hint="default" w:ascii="Times New Roman" w:hAnsi="Times New Roman" w:cs="Times New Roman" w:eastAsiaTheme="minorEastAsia"/>
          <w:b/>
          <w:szCs w:val="21"/>
        </w:rPr>
        <w:t xml:space="preserve">未满足本项目实质性要求的认定为无效投标。</w:t>
      </w:r>
      <w:r/>
    </w:p>
    <w:p>
      <w:pPr>
        <w:numPr>
          <w:ilvl w:val="2"/>
          <w:numId w:val="3"/>
        </w:numPr>
        <w:ind w:left="0" w:firstLine="567"/>
        <w:spacing w:line="360" w:lineRule="auto"/>
        <w:tabs>
          <w:tab w:val="left" w:pos="142" w:leader="none"/>
          <w:tab w:val="left" w:pos="600"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投标文件的比较和评价</w:t>
      </w:r>
      <w:r/>
    </w:p>
    <w:p>
      <w:pPr>
        <w:numPr>
          <w:ilvl w:val="3"/>
          <w:numId w:val="3"/>
        </w:numPr>
        <w:ind w:left="0" w:firstLine="567"/>
        <w:spacing w:line="360" w:lineRule="auto"/>
        <w:tabs>
          <w:tab w:val="left" w:pos="142" w:leader="none"/>
          <w:tab w:val="left" w:pos="600"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评标委员会应当按照招标文件中规定的评标方法和标准，对符合性审查合格的投标文件进行商务和技术评估，综合比较与评价。</w:t>
      </w:r>
      <w:r/>
    </w:p>
    <w:p>
      <w:pPr>
        <w:numPr>
          <w:ilvl w:val="3"/>
          <w:numId w:val="3"/>
        </w:numPr>
        <w:ind w:left="0" w:firstLine="567"/>
        <w:spacing w:line="360" w:lineRule="auto"/>
        <w:tabs>
          <w:tab w:val="left" w:pos="142" w:leader="none"/>
          <w:tab w:val="left" w:pos="600"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本项目采用综合评分法，即指投标文件满足招标文件全部实质性要求，且按照评审因素的量化指标评审得分最高的投标人为排名第一的中标候选人的评标方法。评标办法和标准见第六章。</w:t>
      </w:r>
      <w:r/>
    </w:p>
    <w:p>
      <w:pPr>
        <w:numPr>
          <w:ilvl w:val="3"/>
          <w:numId w:val="3"/>
        </w:numPr>
        <w:ind w:left="0" w:firstLine="567"/>
        <w:spacing w:line="360" w:lineRule="auto"/>
        <w:tabs>
          <w:tab w:val="left" w:pos="142" w:leader="none"/>
          <w:tab w:val="left" w:pos="600"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价格修</w:t>
      </w:r>
      <w:r>
        <w:rPr>
          <w:rFonts w:hint="default" w:ascii="Times New Roman" w:hAnsi="Times New Roman" w:cs="Times New Roman" w:eastAsiaTheme="minorEastAsia"/>
          <w:bCs/>
          <w:szCs w:val="21"/>
        </w:rPr>
        <w:t xml:space="preserve">正</w:t>
      </w:r>
      <w:r/>
    </w:p>
    <w:p>
      <w:pPr>
        <w:ind w:firstLine="424"/>
        <w:spacing w:line="360" w:lineRule="auto"/>
        <w:tabs>
          <w:tab w:val="left" w:pos="709" w:leader="none"/>
          <w:tab w:val="left" w:pos="1418" w:leader="none"/>
        </w:tabs>
        <w:rPr>
          <w:rFonts w:hint="default" w:ascii="Times New Roman" w:hAnsi="Times New Roman" w:cs="Times New Roman" w:eastAsiaTheme="minorEastAsia"/>
          <w:bCs/>
          <w:szCs w:val="21"/>
        </w:rPr>
      </w:pPr>
      <w:r>
        <w:rPr>
          <w:rFonts w:hint="default" w:ascii="Times New Roman" w:hAnsi="Times New Roman" w:cs="Times New Roman" w:eastAsiaTheme="minorEastAsia"/>
          <w:szCs w:val="21"/>
        </w:rPr>
        <w:t xml:space="preserve">投标文件报价出现前后不一致的，除招标文件另有规定外，按下列规定修正：</w:t>
      </w:r>
      <w:r/>
    </w:p>
    <w:p>
      <w:pPr>
        <w:ind w:firstLine="424"/>
        <w:spacing w:line="360" w:lineRule="auto"/>
        <w:tabs>
          <w:tab w:val="left" w:pos="709" w:leader="none"/>
          <w:tab w:val="left" w:pos="851" w:leader="none"/>
          <w:tab w:val="left" w:pos="1418" w:leader="none"/>
        </w:tabs>
        <w:rPr>
          <w:rFonts w:hint="default" w:ascii="Times New Roman" w:hAnsi="Times New Roman" w:cs="Times New Roman" w:eastAsiaTheme="minorEastAsia"/>
          <w:bCs/>
          <w:szCs w:val="21"/>
        </w:rPr>
      </w:pPr>
      <w:r>
        <w:rPr>
          <w:rFonts w:hint="default" w:ascii="Times New Roman" w:hAnsi="Times New Roman" w:cs="Times New Roman" w:eastAsiaTheme="minorEastAsia"/>
          <w:bCs/>
          <w:szCs w:val="21"/>
        </w:rPr>
        <w:t xml:space="preserve">（一）投标文件中开标一览表（报价表）内容与投标文件中相应内容不一致的，以开标一览表（报价表）为准；</w:t>
      </w:r>
      <w:r/>
    </w:p>
    <w:p>
      <w:pPr>
        <w:ind w:firstLine="424"/>
        <w:spacing w:line="360" w:lineRule="auto"/>
        <w:tabs>
          <w:tab w:val="left" w:pos="709" w:leader="none"/>
          <w:tab w:val="left" w:pos="851" w:leader="none"/>
          <w:tab w:val="left" w:pos="1418" w:leader="none"/>
        </w:tabs>
        <w:rPr>
          <w:rFonts w:hint="default" w:ascii="Times New Roman" w:hAnsi="Times New Roman" w:cs="Times New Roman" w:eastAsiaTheme="minorEastAsia"/>
          <w:bCs/>
          <w:szCs w:val="21"/>
        </w:rPr>
      </w:pPr>
      <w:r>
        <w:rPr>
          <w:rFonts w:hint="default" w:ascii="Times New Roman" w:hAnsi="Times New Roman" w:cs="Times New Roman" w:eastAsiaTheme="minorEastAsia"/>
          <w:bCs/>
          <w:szCs w:val="21"/>
        </w:rPr>
        <w:t xml:space="preserve">（二）大写金额和小写金额不一致的，以大写金额为准；</w:t>
      </w:r>
      <w:r/>
    </w:p>
    <w:p>
      <w:pPr>
        <w:ind w:firstLine="424"/>
        <w:spacing w:line="360" w:lineRule="auto"/>
        <w:tabs>
          <w:tab w:val="left" w:pos="709" w:leader="none"/>
          <w:tab w:val="left" w:pos="851" w:leader="none"/>
          <w:tab w:val="left" w:pos="1418" w:leader="none"/>
        </w:tabs>
        <w:rPr>
          <w:rFonts w:hint="default" w:ascii="Times New Roman" w:hAnsi="Times New Roman" w:cs="Times New Roman" w:eastAsiaTheme="minorEastAsia"/>
          <w:bCs/>
          <w:szCs w:val="21"/>
        </w:rPr>
      </w:pPr>
      <w:r>
        <w:rPr>
          <w:rFonts w:hint="default" w:ascii="Times New Roman" w:hAnsi="Times New Roman" w:cs="Times New Roman" w:eastAsiaTheme="minorEastAsia"/>
          <w:bCs/>
          <w:szCs w:val="21"/>
        </w:rPr>
        <w:t xml:space="preserve">（三）单价金额小数点或者百分比有明显错位的，以开标一览表的总价为准，并修改单价；</w:t>
      </w:r>
      <w:r/>
    </w:p>
    <w:p>
      <w:pPr>
        <w:ind w:firstLine="424"/>
        <w:spacing w:line="360" w:lineRule="auto"/>
        <w:tabs>
          <w:tab w:val="left" w:pos="709" w:leader="none"/>
          <w:tab w:val="left" w:pos="851" w:leader="none"/>
          <w:tab w:val="left" w:pos="1418" w:leader="none"/>
        </w:tabs>
        <w:rPr>
          <w:rFonts w:hint="default" w:ascii="Times New Roman" w:hAnsi="Times New Roman" w:cs="Times New Roman" w:eastAsiaTheme="minorEastAsia"/>
          <w:bCs/>
          <w:szCs w:val="21"/>
        </w:rPr>
      </w:pPr>
      <w:r>
        <w:rPr>
          <w:rFonts w:hint="default" w:ascii="Times New Roman" w:hAnsi="Times New Roman" w:cs="Times New Roman" w:eastAsiaTheme="minorEastAsia"/>
          <w:bCs/>
          <w:szCs w:val="21"/>
        </w:rPr>
        <w:t xml:space="preserve">（四）总价金额与按单价汇总金额不一致的，以单价金额计算结果为准。</w:t>
      </w:r>
      <w:r/>
    </w:p>
    <w:p>
      <w:pPr>
        <w:ind w:firstLine="424"/>
        <w:spacing w:line="360" w:lineRule="auto"/>
        <w:tabs>
          <w:tab w:val="left" w:pos="540"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同时出现两种以上不一致的，按照前款规定的顺序修正。</w:t>
      </w:r>
      <w:r/>
    </w:p>
    <w:p>
      <w:pPr>
        <w:ind w:firstLine="426"/>
        <w:spacing w:line="360" w:lineRule="auto"/>
        <w:tabs>
          <w:tab w:val="left" w:pos="540"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b/>
          <w:szCs w:val="21"/>
        </w:rPr>
        <w:t xml:space="preserve">修正后的报价按照《中华人民共和国财政部令第87号》第五十一条第二款的规定经投标人确认后产生约束力，投标人不确认的，其投标无效。</w:t>
      </w:r>
      <w:r/>
    </w:p>
    <w:p>
      <w:pPr>
        <w:numPr>
          <w:ilvl w:val="3"/>
          <w:numId w:val="3"/>
        </w:numPr>
        <w:ind w:left="0" w:firstLine="567"/>
        <w:spacing w:line="360" w:lineRule="auto"/>
        <w:tabs>
          <w:tab w:val="left" w:pos="142" w:leader="none"/>
          <w:tab w:val="left" w:pos="600" w:leader="none"/>
        </w:tabs>
        <w:rPr>
          <w:rFonts w:hint="default" w:ascii="Times New Roman" w:hAnsi="Times New Roman" w:cs="Times New Roman" w:eastAsiaTheme="minorEastAsia"/>
          <w:b/>
          <w:szCs w:val="21"/>
        </w:rPr>
      </w:pPr>
      <w:r/>
      <w:bookmarkStart w:id="45" w:name="_Hlk159250995"/>
      <w:r>
        <w:rPr>
          <w:rFonts w:hint="default" w:ascii="Times New Roman" w:hAnsi="Times New Roman" w:cs="Times New Roman" w:eastAsiaTheme="minorEastAsia"/>
          <w:b/>
          <w:szCs w:val="21"/>
        </w:rPr>
        <w:t xml:space="preserve">评标委员会认为投标人的报价明显低于其他通过符合性审查投标人的报价，有可能影响产品质量或者不能诚信履约的，应当要求其在评标现场合理的时间内提供书面说明（线上开评标项目可通过“苏采云”系统要求其提供），必要时提交相关证明材料(格式参见第三章投标报价合理性澄清说明函)；投标人不能证明其报价合理性的，评标委员会将其作为无效投标处理。</w:t>
      </w:r>
      <w:bookmarkEnd w:id="45"/>
      <w:r/>
      <w:r/>
    </w:p>
    <w:p>
      <w:pPr>
        <w:numPr>
          <w:ilvl w:val="2"/>
          <w:numId w:val="3"/>
        </w:numPr>
        <w:ind w:left="0" w:firstLine="567"/>
        <w:spacing w:line="360" w:lineRule="auto"/>
        <w:tabs>
          <w:tab w:val="left" w:pos="142" w:leader="none"/>
          <w:tab w:val="left" w:pos="600" w:leader="none"/>
        </w:tabs>
        <w:rPr>
          <w:rFonts w:hint="default" w:ascii="Times New Roman" w:hAnsi="Times New Roman" w:cs="Times New Roman" w:eastAsiaTheme="minorEastAsia"/>
          <w:szCs w:val="21"/>
        </w:rPr>
      </w:pPr>
      <w:r/>
      <w:bookmarkStart w:id="46" w:name="_Hlk159251039"/>
      <w:r>
        <w:rPr>
          <w:rFonts w:hint="default" w:ascii="Times New Roman" w:hAnsi="Times New Roman" w:cs="Times New Roman" w:eastAsiaTheme="minorEastAsia"/>
          <w:szCs w:val="21"/>
        </w:rPr>
        <w:t xml:space="preserve">投标的澄清</w:t>
      </w:r>
      <w:r/>
    </w:p>
    <w:p>
      <w:pPr>
        <w:ind w:firstLine="539"/>
        <w:spacing w:line="360" w:lineRule="auto"/>
        <w:tabs>
          <w:tab w:val="left" w:pos="0" w:leader="none"/>
        </w:tabs>
        <w:rPr>
          <w:rFonts w:hint="default" w:ascii="Times New Roman" w:hAnsi="Times New Roman" w:cs="Times New Roman" w:eastAsiaTheme="minorEastAsia"/>
          <w:szCs w:val="21"/>
        </w:rPr>
      </w:pPr>
      <w:r/>
      <w:bookmarkStart w:id="47" w:name="_Hlk91004008"/>
      <w:r>
        <w:rPr>
          <w:rFonts w:hint="default" w:ascii="Times New Roman" w:hAnsi="Times New Roman" w:cs="Times New Roman" w:eastAsiaTheme="minorEastAsia"/>
          <w:szCs w:val="21"/>
        </w:rPr>
        <w:t xml:space="preserve">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bookmarkEnd w:id="47"/>
      <w:r/>
      <w:r/>
    </w:p>
    <w:p>
      <w:pPr>
        <w:numPr>
          <w:ilvl w:val="3"/>
          <w:numId w:val="3"/>
        </w:numPr>
        <w:ind w:left="0" w:firstLine="567"/>
        <w:spacing w:line="360" w:lineRule="auto"/>
        <w:tabs>
          <w:tab w:val="left" w:pos="142" w:leader="none"/>
          <w:tab w:val="left" w:pos="600" w:leader="none"/>
        </w:tabs>
        <w:rPr>
          <w:rFonts w:hint="default" w:ascii="Times New Roman" w:hAnsi="Times New Roman" w:cs="Times New Roman" w:eastAsiaTheme="minorEastAsia"/>
          <w:szCs w:val="21"/>
        </w:rPr>
      </w:pPr>
      <w:r/>
      <w:bookmarkStart w:id="48" w:name="_Hlk158140503"/>
      <w:r/>
      <w:bookmarkStart w:id="49" w:name="_Hlk158140452"/>
      <w:r/>
      <w:bookmarkStart w:id="50" w:name="_Hlk90656398"/>
      <w:r>
        <w:rPr>
          <w:rFonts w:hint="default" w:ascii="Times New Roman" w:hAnsi="Times New Roman" w:cs="Times New Roman" w:eastAsiaTheme="minorEastAsia"/>
          <w:szCs w:val="21"/>
        </w:rPr>
        <w:t xml:space="preserve">本项目采用</w:t>
      </w:r>
      <w:r>
        <w:rPr>
          <w:rFonts w:hint="default" w:ascii="Times New Roman" w:hAnsi="Times New Roman" w:cs="Times New Roman" w:eastAsiaTheme="minorEastAsia"/>
          <w:b/>
          <w:szCs w:val="21"/>
        </w:rPr>
        <w:t xml:space="preserve">线上澄清</w:t>
      </w:r>
      <w:bookmarkEnd w:id="48"/>
      <w:r>
        <w:rPr>
          <w:rFonts w:hint="default" w:ascii="Times New Roman" w:hAnsi="Times New Roman" w:cs="Times New Roman" w:eastAsiaTheme="minorEastAsia"/>
          <w:szCs w:val="21"/>
        </w:rPr>
        <w:t xml:space="preserve">。</w:t>
      </w:r>
      <w:bookmarkEnd w:id="49"/>
      <w:r/>
      <w:r/>
    </w:p>
    <w:p>
      <w:pPr>
        <w:numPr>
          <w:ilvl w:val="3"/>
          <w:numId w:val="3"/>
        </w:numPr>
        <w:ind w:left="0" w:firstLine="567"/>
        <w:spacing w:line="360" w:lineRule="auto"/>
        <w:tabs>
          <w:tab w:val="left" w:pos="142" w:leader="none"/>
          <w:tab w:val="left" w:pos="600"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电子（投标）响应文件的补充部分，具体操作方式见《操作手册》。</w:t>
      </w:r>
      <w:r>
        <w:rPr>
          <w:rFonts w:hint="default" w:ascii="Times New Roman" w:hAnsi="Times New Roman" w:cs="Times New Roman" w:eastAsiaTheme="minorEastAsia"/>
          <w:b/>
          <w:szCs w:val="21"/>
        </w:rPr>
        <w:t xml:space="preserve">未加盖CA电子公章的澄清无效。</w:t>
      </w:r>
      <w:r/>
    </w:p>
    <w:p>
      <w:pPr>
        <w:numPr>
          <w:ilvl w:val="3"/>
          <w:numId w:val="3"/>
        </w:numPr>
        <w:ind w:left="0" w:firstLine="567"/>
        <w:spacing w:line="360" w:lineRule="auto"/>
        <w:tabs>
          <w:tab w:val="left" w:pos="142" w:leader="none"/>
          <w:tab w:val="left" w:pos="600"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接到评标委员会澄清、说明和更正要求的投标人如未按规定做出澄清、说明和更正，其风险由投标人自行承担。</w:t>
      </w:r>
      <w:bookmarkEnd w:id="46"/>
      <w:r/>
      <w:bookmarkEnd w:id="50"/>
      <w:r/>
      <w:r/>
    </w:p>
    <w:p>
      <w:pPr>
        <w:numPr>
          <w:ilvl w:val="0"/>
          <w:numId w:val="3"/>
        </w:numPr>
        <w:ind w:left="0" w:firstLine="567"/>
        <w:spacing w:line="360" w:lineRule="auto"/>
        <w:tabs>
          <w:tab w:val="left" w:pos="142" w:leader="none"/>
          <w:tab w:val="left" w:pos="600" w:leader="none"/>
        </w:tabs>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 xml:space="preserve">废标</w:t>
      </w:r>
      <w:r/>
    </w:p>
    <w:p>
      <w:pPr>
        <w:ind w:firstLine="424"/>
        <w:spacing w:line="360" w:lineRule="auto"/>
        <w:tabs>
          <w:tab w:val="left" w:pos="540" w:leader="none"/>
          <w:tab w:val="left" w:pos="851"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出现下列情形之一的，应予废标：</w:t>
      </w:r>
      <w:r/>
    </w:p>
    <w:p>
      <w:pPr>
        <w:ind w:firstLine="424"/>
        <w:jc w:val="left"/>
        <w:spacing w:line="360" w:lineRule="auto"/>
        <w:widowControl/>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（一）符合专业条件的投标人或者对招标文件作实质响应的投标人不足三家的；</w:t>
      </w:r>
      <w:r/>
    </w:p>
    <w:p>
      <w:pPr>
        <w:ind w:firstLine="424"/>
        <w:jc w:val="left"/>
        <w:spacing w:line="360" w:lineRule="auto"/>
        <w:widowControl/>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（二）出现影响采购公正的违法、违规行为的；</w:t>
      </w:r>
      <w:r/>
    </w:p>
    <w:p>
      <w:pPr>
        <w:ind w:firstLine="424"/>
        <w:jc w:val="left"/>
        <w:spacing w:line="360" w:lineRule="auto"/>
        <w:widowControl/>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（三）投标人的报价均超过了采购预算，采购人不能支付的；</w:t>
      </w:r>
      <w:r/>
    </w:p>
    <w:p>
      <w:pPr>
        <w:ind w:firstLine="424"/>
        <w:jc w:val="left"/>
        <w:spacing w:line="360" w:lineRule="auto"/>
        <w:widowControl/>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（四）因重大变故，采购任务取消的。</w:t>
      </w:r>
      <w:r/>
    </w:p>
    <w:p>
      <w:pPr>
        <w:ind w:firstLine="424"/>
        <w:jc w:val="left"/>
        <w:spacing w:line="360" w:lineRule="auto"/>
        <w:widowControl/>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废标后，采购人应当将废标理由通知所有投标人。</w:t>
      </w:r>
      <w:r/>
    </w:p>
    <w:p>
      <w:pPr>
        <w:numPr>
          <w:ilvl w:val="0"/>
          <w:numId w:val="3"/>
        </w:numPr>
        <w:ind w:left="0" w:firstLine="567"/>
        <w:spacing w:line="360" w:lineRule="auto"/>
        <w:tabs>
          <w:tab w:val="left" w:pos="142" w:leader="none"/>
          <w:tab w:val="left" w:pos="600" w:leader="none"/>
        </w:tabs>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 xml:space="preserve">中标</w:t>
      </w:r>
      <w:r/>
    </w:p>
    <w:p>
      <w:pPr>
        <w:numPr>
          <w:ilvl w:val="1"/>
          <w:numId w:val="3"/>
        </w:numPr>
        <w:ind w:left="0" w:firstLine="567"/>
        <w:spacing w:line="360" w:lineRule="auto"/>
        <w:tabs>
          <w:tab w:val="left" w:pos="142" w:leader="none"/>
          <w:tab w:val="left" w:pos="600"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numPr>
          <w:ilvl w:val="1"/>
          <w:numId w:val="3"/>
        </w:numPr>
        <w:ind w:left="0" w:firstLine="567"/>
        <w:spacing w:line="360" w:lineRule="auto"/>
        <w:tabs>
          <w:tab w:val="left" w:pos="142" w:leader="none"/>
          <w:tab w:val="left" w:pos="600"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评标委员会</w:t>
      </w:r>
      <w:r>
        <w:rPr>
          <w:rFonts w:hint="default" w:ascii="Times New Roman" w:hAnsi="Times New Roman" w:cs="Times New Roman"/>
          <w:color w:val="000000" w:themeColor="text1"/>
          <w:szCs w:val="21"/>
          <w14:textFill>
            <w14:solidFill>
              <w14:schemeClr w14:val="tx1"/>
            </w14:solidFill>
          </w14:textFill>
        </w:rPr>
        <w:t xml:space="preserve">根据招标文件评标办法及评分标准推荐3名中标候选人，并编写评审报告。</w:t>
      </w:r>
      <w:r>
        <w:rPr>
          <w:rFonts w:hint="default" w:ascii="Times New Roman" w:hAnsi="Times New Roman" w:cs="Times New Roman" w:eastAsiaTheme="minorEastAsia"/>
          <w:szCs w:val="21"/>
        </w:rPr>
        <w:t xml:space="preserve">中标候选人并列的，按照招标文件规定的方式确定排序；招标文件未规定的，采取随机抽取的方式确定排序。</w:t>
      </w:r>
      <w:r/>
    </w:p>
    <w:p>
      <w:pPr>
        <w:numPr>
          <w:ilvl w:val="1"/>
          <w:numId w:val="3"/>
        </w:numPr>
        <w:ind w:left="0" w:firstLine="567"/>
        <w:spacing w:line="360" w:lineRule="auto"/>
        <w:tabs>
          <w:tab w:val="left" w:pos="142" w:leader="none"/>
          <w:tab w:val="left" w:pos="600" w:leader="none"/>
        </w:tabs>
        <w:rPr>
          <w:rFonts w:hint="default" w:ascii="Times New Roman" w:hAnsi="Times New Roman" w:cs="Times New Roman" w:eastAsiaTheme="minorEastAsia"/>
          <w:szCs w:val="21"/>
        </w:rPr>
      </w:pPr>
      <w:r/>
      <w:bookmarkStart w:id="51" w:name="_Hlk141978847"/>
      <w:r>
        <w:rPr>
          <w:rFonts w:hint="default" w:ascii="Times New Roman" w:hAnsi="Times New Roman" w:cs="Times New Roman"/>
          <w:color w:val="000000" w:themeColor="text1"/>
          <w:szCs w:val="21"/>
          <w14:textFill>
            <w14:solidFill>
              <w14:schemeClr w14:val="tx1"/>
            </w14:solidFill>
          </w14:textFill>
        </w:rPr>
        <w:t xml:space="preserve">采购代理机构应当在评审结束后2个工作日内将评审报告送采购人确认。本项目将按照《关于试点开展园区政府采购投标（响应）文件核查管理的通知》的要求，由采购人组织开展政府采购投标（响应）文件核查工作。</w:t>
      </w:r>
      <w:bookmarkEnd w:id="51"/>
      <w:r/>
      <w:r/>
    </w:p>
    <w:p>
      <w:pPr>
        <w:numPr>
          <w:ilvl w:val="1"/>
          <w:numId w:val="3"/>
        </w:numPr>
        <w:ind w:left="0" w:firstLine="567"/>
        <w:spacing w:line="360" w:lineRule="auto"/>
        <w:tabs>
          <w:tab w:val="left" w:pos="142" w:leader="none"/>
          <w:tab w:val="left" w:pos="600" w:leader="none"/>
        </w:tabs>
        <w:rPr>
          <w:rFonts w:hint="default" w:ascii="Times New Roman" w:hAnsi="Times New Roman" w:cs="Times New Roman" w:eastAsiaTheme="minorEastAsia"/>
          <w:szCs w:val="21"/>
        </w:rPr>
      </w:pPr>
      <w:r/>
      <w:bookmarkStart w:id="52" w:name="_Hlk141978864"/>
      <w:r>
        <w:rPr>
          <w:rFonts w:hint="default" w:ascii="Times New Roman" w:hAnsi="Times New Roman" w:cs="Times New Roman"/>
          <w:b/>
          <w:color w:val="ff0000"/>
          <w:szCs w:val="21"/>
        </w:rPr>
        <w:t xml:space="preserve">核查方式：</w:t>
      </w:r>
      <w:r>
        <w:rPr>
          <w:rFonts w:hint="default" w:ascii="Times New Roman" w:hAnsi="Times New Roman" w:cs="Times New Roman"/>
          <w:color w:val="ff0000"/>
          <w:szCs w:val="21"/>
        </w:rPr>
        <w:t xml:space="preserve">采购人或其委托的采购代理机构视具体情况，通过向检测报告出具单位书面问询、通过官方渠道查证、向提供材料的供应商查证等方式进行核查。若初步核查发现供应商提供与真实情况不符的材料，采购人或其委托的采购代理机构应发出政府采购供应商投标（响应）文件与真实情况不符的确认函，由提供材料的供应商书面确认并反馈意见</w:t>
      </w:r>
      <w:bookmarkEnd w:id="52"/>
      <w:r>
        <w:rPr>
          <w:rFonts w:hint="default" w:ascii="Times New Roman" w:hAnsi="Times New Roman" w:cs="Times New Roman"/>
          <w:color w:val="ff0000"/>
          <w:szCs w:val="21"/>
        </w:rPr>
        <w:t xml:space="preserve">。</w:t>
      </w:r>
      <w:r/>
    </w:p>
    <w:p>
      <w:pPr>
        <w:numPr>
          <w:ilvl w:val="1"/>
          <w:numId w:val="3"/>
        </w:numPr>
        <w:ind w:left="0" w:firstLine="567"/>
        <w:spacing w:line="360" w:lineRule="auto"/>
        <w:tabs>
          <w:tab w:val="left" w:pos="142" w:leader="none"/>
          <w:tab w:val="left" w:pos="600" w:leader="none"/>
        </w:tabs>
        <w:rPr>
          <w:rFonts w:hint="default" w:ascii="Times New Roman" w:hAnsi="Times New Roman" w:cs="Times New Roman" w:eastAsiaTheme="minorEastAsia"/>
          <w:szCs w:val="21"/>
        </w:rPr>
      </w:pPr>
      <w:r/>
      <w:bookmarkStart w:id="53" w:name="_Hlk141978881"/>
      <w:r>
        <w:rPr>
          <w:rFonts w:hint="default" w:ascii="Times New Roman" w:hAnsi="Times New Roman" w:cs="Times New Roman"/>
          <w:b/>
          <w:color w:val="ff0000"/>
          <w:szCs w:val="21"/>
        </w:rPr>
        <w:t xml:space="preserve">核查规则及结果应用：</w:t>
      </w:r>
      <w:r>
        <w:rPr>
          <w:rFonts w:hint="default" w:ascii="Times New Roman" w:hAnsi="Times New Roman" w:cs="Times New Roman"/>
          <w:color w:val="ff0000"/>
          <w:szCs w:val="21"/>
        </w:rPr>
        <w:t xml:space="preserve">经核查未发现排名第一的中标候选人提供的检测报告与真实情况不符的，采购人应当在收到评审报告后5个工作日内，确定其为中标人。</w:t>
      </w:r>
      <w:r>
        <w:rPr>
          <w:rFonts w:hint="default" w:ascii="Times New Roman" w:hAnsi="Times New Roman" w:cs="Times New Roman"/>
          <w:b/>
          <w:color w:val="ff0000"/>
          <w:szCs w:val="21"/>
        </w:rPr>
        <w:t xml:space="preserve">核查发现排名第一的中标候选人提供的检测报告与真实情况不符的，认定其为无效投标（响应），并上报监督部门处理。</w:t>
      </w:r>
      <w:r>
        <w:rPr>
          <w:rFonts w:hint="default" w:ascii="Times New Roman" w:hAnsi="Times New Roman" w:cs="Times New Roman"/>
          <w:color w:val="ff0000"/>
          <w:szCs w:val="21"/>
        </w:rPr>
        <w:t xml:space="preserve">合格供应商符合法定数量时，另行确定下一顺序中标或者成交候选人顺延为排名第一的中标或者成交候选人，继续核查前述排名第一的候选人；否则，应重新开展政府采购活动</w:t>
      </w:r>
      <w:bookmarkEnd w:id="53"/>
      <w:r>
        <w:rPr>
          <w:rFonts w:hint="default" w:ascii="Times New Roman" w:hAnsi="Times New Roman" w:cs="Times New Roman"/>
          <w:color w:val="ff0000"/>
          <w:szCs w:val="21"/>
        </w:rPr>
        <w:t xml:space="preserve">。</w:t>
      </w:r>
      <w:r/>
    </w:p>
    <w:p>
      <w:pPr>
        <w:numPr>
          <w:ilvl w:val="1"/>
          <w:numId w:val="3"/>
        </w:numPr>
        <w:ind w:left="0" w:firstLine="567"/>
        <w:spacing w:line="360" w:lineRule="auto"/>
        <w:tabs>
          <w:tab w:val="left" w:pos="142" w:leader="none"/>
          <w:tab w:val="left" w:pos="600"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采购人或者采购代理机构应当自中标人确定之日起2个工作日内将中标人在政府采购信息媒体上发布中标公告，中标公告期限为1个工作日。</w:t>
      </w:r>
      <w:r/>
    </w:p>
    <w:p>
      <w:pPr>
        <w:numPr>
          <w:ilvl w:val="1"/>
          <w:numId w:val="3"/>
        </w:numPr>
        <w:ind w:left="0" w:firstLine="567"/>
        <w:spacing w:line="360" w:lineRule="auto"/>
        <w:tabs>
          <w:tab w:val="left" w:pos="142" w:leader="none"/>
          <w:tab w:val="left" w:pos="600" w:leader="none"/>
        </w:tabs>
        <w:rPr>
          <w:rFonts w:hint="default" w:ascii="Times New Roman" w:hAnsi="Times New Roman" w:cs="Times New Roman" w:eastAsiaTheme="minorEastAsia"/>
          <w:szCs w:val="21"/>
        </w:rPr>
      </w:pPr>
      <w:r/>
      <w:bookmarkStart w:id="54" w:name="_Hlk159251073"/>
      <w:r>
        <w:rPr>
          <w:rFonts w:hint="default" w:ascii="Times New Roman" w:hAnsi="Times New Roman" w:cs="Times New Roman" w:eastAsiaTheme="minorEastAsia"/>
          <w:color w:val="000000" w:themeColor="text1"/>
          <w:szCs w:val="21"/>
          <w14:textFill>
            <w14:solidFill>
              <w14:schemeClr w14:val="tx1"/>
            </w14:solidFill>
          </w14:textFill>
        </w:rPr>
        <w:t xml:space="preserve">在公告中标结果的同时，</w:t>
      </w:r>
      <w:bookmarkStart w:id="55" w:name="_Hlk132385577"/>
      <w:r/>
      <w:bookmarkStart w:id="56" w:name="_Hlk132385599"/>
      <w:r>
        <w:rPr>
          <w:rFonts w:hint="default" w:ascii="Times New Roman" w:hAnsi="Times New Roman" w:cs="Times New Roman" w:eastAsiaTheme="minorEastAsia"/>
          <w:color w:val="000000" w:themeColor="text1"/>
          <w:szCs w:val="21"/>
          <w14:textFill>
            <w14:solidFill>
              <w14:schemeClr w14:val="tx1"/>
            </w14:solidFill>
          </w14:textFill>
        </w:rPr>
        <w:t xml:space="preserve">采购人或者采购代理机构应当向中标人发出中标通知书（中标通知书将在“苏采云”系统中发出，中标通知书发出之日视为中标供应商领取之日），</w:t>
      </w:r>
      <w:r>
        <w:rPr>
          <w:rFonts w:hint="default" w:ascii="Times New Roman" w:hAnsi="Times New Roman" w:cs="Times New Roman" w:eastAsiaTheme="minorEastAsia"/>
          <w:bCs/>
          <w:szCs w:val="21"/>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bookmarkEnd w:id="55"/>
      <w:r/>
      <w:bookmarkEnd w:id="56"/>
      <w:r>
        <w:rPr>
          <w:rFonts w:hint="default" w:ascii="Times New Roman" w:hAnsi="Times New Roman" w:cs="Times New Roman" w:eastAsiaTheme="minorEastAsia"/>
          <w:color w:val="000000" w:themeColor="text1"/>
          <w:szCs w:val="21"/>
          <w14:textFill>
            <w14:solidFill>
              <w14:schemeClr w14:val="tx1"/>
            </w14:solidFill>
          </w14:textFill>
        </w:rPr>
        <w:t xml:space="preserve">对未通过资格审查的投标人，应当告知其未通过的原因；</w:t>
      </w:r>
      <w:r>
        <w:rPr>
          <w:rFonts w:hint="default" w:ascii="Times New Roman" w:hAnsi="Times New Roman" w:cs="Times New Roman" w:eastAsiaTheme="minorEastAsia"/>
          <w:szCs w:val="21"/>
        </w:rPr>
        <w:t xml:space="preserve">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bookmarkEnd w:id="54"/>
      <w:r/>
      <w:r/>
    </w:p>
    <w:p>
      <w:pPr>
        <w:numPr>
          <w:ilvl w:val="1"/>
          <w:numId w:val="3"/>
        </w:numPr>
        <w:ind w:left="0" w:firstLine="567"/>
        <w:spacing w:line="360" w:lineRule="auto"/>
        <w:tabs>
          <w:tab w:val="left" w:pos="142" w:leader="none"/>
          <w:tab w:val="left" w:pos="600"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中标通知书发出后，采购人不得违法改变中标结果，中标人无正当理由不得放弃中标。</w:t>
      </w:r>
      <w:r/>
    </w:p>
    <w:p>
      <w:pPr>
        <w:numPr>
          <w:ilvl w:val="0"/>
          <w:numId w:val="3"/>
        </w:numPr>
        <w:ind w:left="0" w:firstLine="567"/>
        <w:spacing w:line="360" w:lineRule="auto"/>
        <w:tabs>
          <w:tab w:val="left" w:pos="142" w:leader="none"/>
          <w:tab w:val="left" w:pos="600" w:leader="none"/>
        </w:tabs>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 xml:space="preserve">履约保证金</w:t>
      </w:r>
      <w:r/>
    </w:p>
    <w:p>
      <w:pPr>
        <w:numPr>
          <w:ilvl w:val="1"/>
          <w:numId w:val="3"/>
        </w:numPr>
        <w:ind w:left="0" w:firstLine="567"/>
        <w:spacing w:line="360" w:lineRule="auto"/>
        <w:tabs>
          <w:tab w:val="left" w:pos="142" w:leader="none"/>
          <w:tab w:val="left" w:pos="600" w:leader="none"/>
        </w:tabs>
        <w:rPr>
          <w:rFonts w:hint="default" w:ascii="Times New Roman" w:hAnsi="Times New Roman" w:cs="Times New Roman" w:eastAsiaTheme="minorEastAsia"/>
          <w:color w:val="000000" w:themeColor="text1"/>
          <w:szCs w:val="21"/>
          <w14:textFill>
            <w14:solidFill>
              <w14:schemeClr w14:val="tx1"/>
            </w14:solidFill>
          </w14:textFill>
        </w:rPr>
      </w:pPr>
      <w:r>
        <w:rPr>
          <w:rFonts w:hint="default" w:ascii="Times New Roman" w:hAnsi="Times New Roman" w:cs="Times New Roman" w:eastAsiaTheme="minorEastAsia"/>
          <w:color w:val="000000" w:themeColor="text1"/>
          <w:szCs w:val="21"/>
          <w14:textFill>
            <w14:solidFill>
              <w14:schemeClr w14:val="tx1"/>
            </w14:solidFill>
          </w14:textFill>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numPr>
          <w:ilvl w:val="1"/>
          <w:numId w:val="3"/>
        </w:numPr>
        <w:ind w:left="0" w:firstLine="567"/>
        <w:spacing w:line="360" w:lineRule="auto"/>
        <w:tabs>
          <w:tab w:val="left" w:pos="142" w:leader="none"/>
          <w:tab w:val="left" w:pos="600" w:leader="none"/>
        </w:tabs>
        <w:rPr>
          <w:rFonts w:hint="default" w:ascii="Times New Roman" w:hAnsi="Times New Roman" w:cs="Times New Roman" w:eastAsiaTheme="minorEastAsia"/>
          <w:color w:val="000000" w:themeColor="text1"/>
          <w:szCs w:val="21"/>
          <w14:textFill>
            <w14:solidFill>
              <w14:schemeClr w14:val="tx1"/>
            </w14:solidFill>
          </w14:textFill>
        </w:rPr>
      </w:pPr>
      <w:r>
        <w:rPr>
          <w:rFonts w:hint="default" w:ascii="Times New Roman" w:hAnsi="Times New Roman" w:cs="Times New Roman" w:eastAsiaTheme="minorEastAsia"/>
          <w:szCs w:val="21"/>
        </w:rPr>
        <w:t xml:space="preserve">详见本招标文件合同文本中的约定。 </w:t>
      </w:r>
      <w:r/>
    </w:p>
    <w:p>
      <w:pPr>
        <w:numPr>
          <w:ilvl w:val="0"/>
          <w:numId w:val="3"/>
        </w:numPr>
        <w:ind w:left="0" w:firstLine="567"/>
        <w:spacing w:line="360" w:lineRule="auto"/>
        <w:tabs>
          <w:tab w:val="left" w:pos="142" w:leader="none"/>
          <w:tab w:val="left" w:pos="600" w:leader="none"/>
        </w:tabs>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 xml:space="preserve">合同</w:t>
      </w:r>
      <w:r/>
    </w:p>
    <w:p>
      <w:pPr>
        <w:numPr>
          <w:ilvl w:val="1"/>
          <w:numId w:val="3"/>
        </w:numPr>
        <w:ind w:left="0" w:firstLine="567"/>
        <w:spacing w:line="360" w:lineRule="auto"/>
        <w:tabs>
          <w:tab w:val="left" w:pos="142" w:leader="none"/>
          <w:tab w:val="left" w:pos="600"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采购人应当原则上应当自中标通知书发出之日起15日内（最迟30日内），按照招标文件及投标文件规定与中标人签订</w:t>
      </w:r>
      <w:r>
        <w:rPr>
          <w:rFonts w:hint="default" w:ascii="Times New Roman" w:hAnsi="Times New Roman" w:cs="Times New Roman"/>
          <w:color w:val="000000" w:themeColor="text1"/>
          <w:szCs w:val="21"/>
          <w14:textFill>
            <w14:solidFill>
              <w14:schemeClr w14:val="tx1"/>
            </w14:solidFill>
          </w14:textFill>
        </w:rPr>
        <w:t xml:space="preserve">政府采购</w:t>
      </w:r>
      <w:r>
        <w:rPr>
          <w:rFonts w:hint="default" w:ascii="Times New Roman" w:hAnsi="Times New Roman" w:cs="Times New Roman" w:eastAsiaTheme="minorEastAsia"/>
          <w:szCs w:val="21"/>
        </w:rPr>
        <w:t xml:space="preserve">合同。</w:t>
      </w:r>
      <w:r/>
    </w:p>
    <w:p>
      <w:pPr>
        <w:numPr>
          <w:ilvl w:val="1"/>
          <w:numId w:val="3"/>
        </w:numPr>
        <w:ind w:left="0" w:firstLine="567"/>
        <w:spacing w:line="360" w:lineRule="auto"/>
        <w:tabs>
          <w:tab w:val="left" w:pos="142" w:leader="none"/>
          <w:tab w:val="left" w:pos="600"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numPr>
          <w:ilvl w:val="1"/>
          <w:numId w:val="3"/>
        </w:numPr>
        <w:ind w:left="0" w:firstLine="567"/>
        <w:spacing w:line="360" w:lineRule="auto"/>
        <w:tabs>
          <w:tab w:val="left" w:pos="142" w:leader="none"/>
          <w:tab w:val="left" w:pos="600" w:leader="none"/>
        </w:tabs>
        <w:rPr>
          <w:rFonts w:hint="default" w:ascii="Times New Roman" w:hAnsi="Times New Roman" w:cs="Times New Roman" w:eastAsiaTheme="minorEastAsia"/>
          <w:color w:val="000000" w:themeColor="text1"/>
          <w:szCs w:val="21"/>
          <w14:textFill>
            <w14:solidFill>
              <w14:schemeClr w14:val="tx1"/>
            </w14:solidFill>
          </w14:textFill>
        </w:rPr>
      </w:pPr>
      <w:r>
        <w:rPr>
          <w:rFonts w:hint="default" w:ascii="Times New Roman" w:hAnsi="Times New Roman" w:cs="Times New Roman" w:eastAsiaTheme="minorEastAsia"/>
          <w:color w:val="000000" w:themeColor="text1"/>
          <w:szCs w:val="21"/>
          <w14:textFill>
            <w14:solidFill>
              <w14:schemeClr w14:val="tx1"/>
            </w14:solidFill>
          </w14:textFill>
        </w:rPr>
        <w:t xml:space="preserve">采购合同履行中，采购人需追加与合同标的相同的服务或货物的，在不改变合同其他条款的前提下，可以与供应商协商签订补充合同，但所有补充合同的采购金额不得超过原合同采购金额的百分之十。</w:t>
      </w:r>
      <w:r/>
    </w:p>
    <w:p>
      <w:pPr>
        <w:numPr>
          <w:ilvl w:val="1"/>
          <w:numId w:val="3"/>
        </w:numPr>
        <w:ind w:left="0" w:firstLine="567"/>
        <w:spacing w:line="360" w:lineRule="auto"/>
        <w:tabs>
          <w:tab w:val="left" w:pos="142" w:leader="none"/>
          <w:tab w:val="left" w:pos="600" w:leader="none"/>
        </w:tabs>
        <w:rPr>
          <w:rFonts w:hint="default" w:ascii="Times New Roman" w:hAnsi="Times New Roman" w:cs="Times New Roman" w:eastAsiaTheme="minorEastAsia"/>
          <w:color w:val="000000" w:themeColor="text1"/>
          <w:szCs w:val="21"/>
          <w14:textFill>
            <w14:solidFill>
              <w14:schemeClr w14:val="tx1"/>
            </w14:solidFill>
          </w14:textFill>
        </w:rPr>
      </w:pPr>
      <w:r>
        <w:rPr>
          <w:rFonts w:hint="default" w:ascii="Times New Roman" w:hAnsi="Times New Roman" w:cs="Times New Roman" w:eastAsiaTheme="minorEastAsia"/>
          <w:b/>
          <w:color w:val="ff0000"/>
          <w:szCs w:val="21"/>
        </w:rPr>
        <w:t xml:space="preserve">本项目将根据政府采购法及相关法规，以及《苏州工业园区政府采购履约验收管理暂行办法》文件的规定，对供应商进行履约验收，确认验收合格的，将出具《政府采购履约验收书》。《政府采购履约验收书》、合同是申请支付政府采购合同价款的必备资料。</w:t>
      </w:r>
      <w:r/>
    </w:p>
    <w:p>
      <w:pPr>
        <w:numPr>
          <w:ilvl w:val="0"/>
          <w:numId w:val="3"/>
        </w:numPr>
        <w:ind w:left="0" w:firstLine="567"/>
        <w:spacing w:line="360" w:lineRule="auto"/>
        <w:tabs>
          <w:tab w:val="left" w:pos="142" w:leader="none"/>
          <w:tab w:val="left" w:pos="600" w:leader="none"/>
        </w:tabs>
        <w:rPr>
          <w:rFonts w:hint="default" w:ascii="Times New Roman" w:hAnsi="Times New Roman" w:cs="Times New Roman" w:eastAsiaTheme="minorEastAsia"/>
          <w:b/>
          <w:szCs w:val="21"/>
        </w:rPr>
      </w:pPr>
      <w:r>
        <w:rPr>
          <w:rFonts w:hint="default" w:ascii="Times New Roman" w:hAnsi="Times New Roman" w:cs="Times New Roman" w:eastAsiaTheme="minorEastAsia"/>
          <w:b/>
          <w:bCs/>
          <w:szCs w:val="21"/>
        </w:rPr>
        <w:t xml:space="preserve">质疑</w:t>
      </w:r>
      <w:r/>
    </w:p>
    <w:p>
      <w:pPr>
        <w:numPr>
          <w:ilvl w:val="1"/>
          <w:numId w:val="3"/>
        </w:numPr>
        <w:ind w:left="0" w:firstLine="567"/>
        <w:spacing w:line="360" w:lineRule="auto"/>
        <w:tabs>
          <w:tab w:val="left" w:pos="142" w:leader="none"/>
          <w:tab w:val="left" w:pos="600"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质疑及答复遵守《政府采购质疑和投诉办法》（中华人民共和国财政部令第94号）规定。</w:t>
      </w:r>
      <w:r/>
    </w:p>
    <w:p>
      <w:pPr>
        <w:numPr>
          <w:ilvl w:val="1"/>
          <w:numId w:val="3"/>
        </w:numPr>
        <w:ind w:left="0" w:firstLine="567"/>
        <w:spacing w:line="360" w:lineRule="auto"/>
        <w:tabs>
          <w:tab w:val="left" w:pos="142" w:leader="none"/>
          <w:tab w:val="left" w:pos="600"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供应商认为采购文件、采购过程和采购结果使自己的权益受到损害的，可以在知道或应知其权益受到损害之日起七个工作日内，以书面形式根据下述9.5、9.6条款的规定向集采中心或采购人提出质疑。上述应知其权益受到损害之日，是指：</w:t>
      </w:r>
      <w:r/>
    </w:p>
    <w:p>
      <w:pPr>
        <w:ind w:left="1277"/>
        <w:spacing w:line="400" w:lineRule="exact"/>
        <w:tabs>
          <w:tab w:val="left" w:pos="142" w:leader="none"/>
          <w:tab w:val="left" w:pos="600" w:leader="none"/>
        </w:tabs>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①对可以质疑的采购文件提出质疑的，为收到采购文件之日或者采购文件公告期限届满之日；</w:t>
      </w:r>
      <w:r/>
    </w:p>
    <w:p>
      <w:pPr>
        <w:ind w:left="1277"/>
        <w:spacing w:line="400" w:lineRule="exact"/>
        <w:tabs>
          <w:tab w:val="left" w:pos="142" w:leader="none"/>
          <w:tab w:val="left" w:pos="600" w:leader="none"/>
        </w:tabs>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②对采购过程提出质疑的，为各采购程序环节结束之日；</w:t>
      </w:r>
      <w:r/>
    </w:p>
    <w:p>
      <w:pPr>
        <w:ind w:left="1277"/>
        <w:spacing w:line="400" w:lineRule="exact"/>
        <w:tabs>
          <w:tab w:val="left" w:pos="142" w:leader="none"/>
          <w:tab w:val="left" w:pos="600" w:leader="none"/>
        </w:tabs>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③对中标或者成交结果提出质疑的，为中标或者成交结果公告期限届满之日。</w:t>
      </w:r>
      <w:r/>
    </w:p>
    <w:p>
      <w:pPr>
        <w:numPr>
          <w:ilvl w:val="1"/>
          <w:numId w:val="3"/>
        </w:numPr>
        <w:ind w:left="0" w:firstLine="567"/>
        <w:spacing w:line="360" w:lineRule="auto"/>
        <w:tabs>
          <w:tab w:val="left" w:pos="142" w:leader="none"/>
          <w:tab w:val="left" w:pos="600"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供应商应当在法定质疑期内一次性提出针对同一采购程序环节的质疑。供应商如在法定期限内对同一采购程序环节提出多次质疑的，集采中心、采购人将只对供应商第一次质疑作出答复。</w:t>
      </w:r>
      <w:r/>
    </w:p>
    <w:p>
      <w:pPr>
        <w:numPr>
          <w:ilvl w:val="1"/>
          <w:numId w:val="3"/>
        </w:numPr>
        <w:ind w:left="0" w:firstLine="567"/>
        <w:spacing w:line="360" w:lineRule="auto"/>
        <w:tabs>
          <w:tab w:val="left" w:pos="142" w:leader="none"/>
          <w:tab w:val="left" w:pos="600"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提出质疑的供应商应当是参与所质疑项目采购活动的供应商，未依照采购公告要求获取采购文件的供应商，视为未参与该项政府采购活动，不具备对该政府采购项目提出质疑的法定权利。</w:t>
      </w:r>
      <w:r/>
    </w:p>
    <w:p>
      <w:pPr>
        <w:ind w:firstLine="542"/>
        <w:spacing w:line="360" w:lineRule="auto"/>
        <w:tabs>
          <w:tab w:val="left" w:pos="0" w:leader="none"/>
        </w:tabs>
        <w:rPr>
          <w:rFonts w:hint="default" w:ascii="Times New Roman" w:hAnsi="Times New Roman" w:cs="Times New Roman" w:eastAsiaTheme="minorEastAsia"/>
          <w:b/>
          <w:szCs w:val="21"/>
        </w:rPr>
      </w:pPr>
      <w:r/>
      <w:bookmarkStart w:id="57" w:name="_Hlk159251113"/>
      <w:r>
        <w:rPr>
          <w:rFonts w:hint="default" w:ascii="Times New Roman" w:hAnsi="Times New Roman" w:cs="Times New Roman" w:eastAsiaTheme="minorEastAsia"/>
          <w:b/>
          <w:szCs w:val="21"/>
        </w:rPr>
        <w:t xml:space="preserve">对采购文件内容质疑时，需提供在</w:t>
      </w:r>
      <w:r>
        <w:rPr>
          <w:rFonts w:hint="default" w:ascii="Times New Roman" w:hAnsi="Times New Roman" w:cs="Times New Roman"/>
          <w:b/>
          <w:color w:val="000000" w:themeColor="text1"/>
          <w14:textFill>
            <w14:solidFill>
              <w14:schemeClr w14:val="tx1"/>
            </w14:solidFill>
          </w14:textFill>
        </w:rPr>
        <w:t xml:space="preserve">“苏采云”</w:t>
      </w:r>
      <w:r>
        <w:rPr>
          <w:rFonts w:hint="default" w:ascii="Times New Roman" w:hAnsi="Times New Roman" w:cs="Times New Roman" w:eastAsiaTheme="minorEastAsia"/>
          <w:b/>
          <w:szCs w:val="21"/>
        </w:rPr>
        <w:t xml:space="preserve">系统中下载本项目招标文件的</w:t>
      </w:r>
      <w:r>
        <w:rPr>
          <w:rFonts w:hint="default" w:ascii="Times New Roman" w:hAnsi="Times New Roman" w:cs="Times New Roman"/>
          <w:b/>
          <w:color w:val="000000" w:themeColor="text1"/>
          <w14:textFill>
            <w14:solidFill>
              <w14:schemeClr w14:val="tx1"/>
            </w14:solidFill>
          </w14:textFill>
        </w:rPr>
        <w:t xml:space="preserve">《投标供应商确认函》</w:t>
      </w:r>
      <w:r>
        <w:rPr>
          <w:rFonts w:hint="default" w:ascii="Times New Roman" w:hAnsi="Times New Roman" w:cs="Times New Roman" w:eastAsiaTheme="minorEastAsia"/>
          <w:b/>
          <w:szCs w:val="21"/>
        </w:rPr>
        <w:t xml:space="preserve">，未提供的视为未依照采购公告要求获取招标文件的供应商，不具备对该政府采购项目提出质疑的法定权利。</w:t>
      </w:r>
      <w:bookmarkEnd w:id="57"/>
      <w:r/>
      <w:r/>
    </w:p>
    <w:p>
      <w:pPr>
        <w:numPr>
          <w:ilvl w:val="1"/>
          <w:numId w:val="3"/>
        </w:numPr>
        <w:ind w:left="0" w:firstLine="567"/>
        <w:spacing w:line="360" w:lineRule="auto"/>
        <w:tabs>
          <w:tab w:val="left" w:pos="142" w:leader="none"/>
          <w:tab w:val="left" w:pos="600"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供应商（含潜在供应商）对采购方式、采购需求（及采购需求中列明的供应商实质性响应条件）、评分标准、公开招标项目资格审查结果、合同文本的询问、质疑请向采购人提出，</w:t>
      </w:r>
      <w:r>
        <w:rPr>
          <w:rFonts w:hint="default" w:ascii="Times New Roman" w:hAnsi="Times New Roman" w:cs="Times New Roman" w:eastAsiaTheme="minorEastAsia"/>
          <w:b/>
          <w:szCs w:val="21"/>
        </w:rPr>
        <w:t xml:space="preserve">由采购人负责答复</w:t>
      </w:r>
      <w:r>
        <w:rPr>
          <w:rFonts w:hint="default" w:ascii="Times New Roman" w:hAnsi="Times New Roman" w:cs="Times New Roman" w:eastAsiaTheme="minorEastAsia"/>
          <w:szCs w:val="21"/>
        </w:rPr>
        <w:t xml:space="preserve">。</w:t>
      </w:r>
      <w:r/>
    </w:p>
    <w:p>
      <w:pPr>
        <w:ind w:left="1277"/>
        <w:spacing w:line="400" w:lineRule="exact"/>
        <w:tabs>
          <w:tab w:val="left" w:pos="142" w:leader="none"/>
          <w:tab w:val="left" w:pos="600" w:leader="none"/>
        </w:tabs>
        <w:rPr>
          <w:rFonts w:hint="default" w:ascii="Times New Roman" w:hAnsi="Times New Roman" w:cs="Times New Roman"/>
          <w:color w:val="000000" w:themeColor="text1"/>
          <w:szCs w:val="21"/>
          <w14:textFill>
            <w14:solidFill>
              <w14:schemeClr w14:val="tx1"/>
            </w14:solidFill>
          </w14:textFill>
        </w:rPr>
      </w:pPr>
      <w:r/>
      <w:bookmarkStart w:id="58" w:name="_Hlk172721780"/>
      <w:r>
        <w:rPr>
          <w:rFonts w:hint="default" w:ascii="Times New Roman" w:hAnsi="Times New Roman" w:cs="Times New Roman"/>
          <w:color w:val="000000" w:themeColor="text1"/>
          <w:szCs w:val="21"/>
          <w14:textFill>
            <w14:solidFill>
              <w14:schemeClr w14:val="tx1"/>
            </w14:solidFill>
          </w14:textFill>
        </w:rPr>
        <w:t xml:space="preserve">采购人联系电话：0512-62811296</w:t>
      </w:r>
      <w:r/>
    </w:p>
    <w:p>
      <w:pPr>
        <w:ind w:left="1277"/>
        <w:spacing w:line="400" w:lineRule="exact"/>
        <w:tabs>
          <w:tab w:val="left" w:pos="142" w:leader="none"/>
          <w:tab w:val="left" w:pos="600" w:leader="none"/>
        </w:tabs>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采购人通讯地址：苏州工业园区2.5产业园D2栋</w:t>
      </w:r>
      <w:r/>
    </w:p>
    <w:p>
      <w:pPr>
        <w:ind w:left="1277"/>
        <w:spacing w:line="400" w:lineRule="exact"/>
        <w:tabs>
          <w:tab w:val="left" w:pos="142" w:leader="none"/>
          <w:tab w:val="left" w:pos="600" w:leader="none"/>
        </w:tabs>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采购人联系电话：0512-69996957</w:t>
      </w:r>
      <w:r/>
    </w:p>
    <w:p>
      <w:pPr>
        <w:ind w:left="1277"/>
        <w:spacing w:line="400" w:lineRule="exact"/>
        <w:tabs>
          <w:tab w:val="left" w:pos="142" w:leader="none"/>
          <w:tab w:val="left" w:pos="600" w:leader="none"/>
        </w:tabs>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采购人通讯地址：苏州工业园区唯亭街道唯正路8号便民服务中心</w:t>
      </w:r>
      <w:bookmarkEnd w:id="58"/>
      <w:r/>
      <w:r/>
    </w:p>
    <w:p>
      <w:pPr>
        <w:numPr>
          <w:ilvl w:val="1"/>
          <w:numId w:val="3"/>
        </w:numPr>
        <w:ind w:left="0" w:firstLine="567"/>
        <w:spacing w:line="360" w:lineRule="auto"/>
        <w:tabs>
          <w:tab w:val="left" w:pos="142" w:leader="none"/>
          <w:tab w:val="left" w:pos="600"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供应商对除上述事项以外其他事项的询问、质疑请向集采中心提出，</w:t>
      </w:r>
      <w:bookmarkStart w:id="59" w:name="_Hlk159251122"/>
      <w:r>
        <w:rPr>
          <w:rFonts w:hint="default" w:ascii="Times New Roman" w:hAnsi="Times New Roman" w:cs="Times New Roman" w:eastAsiaTheme="minorEastAsia"/>
          <w:b/>
          <w:szCs w:val="21"/>
        </w:rPr>
        <w:t xml:space="preserve">采购人委托</w:t>
      </w:r>
      <w:bookmarkEnd w:id="59"/>
      <w:r>
        <w:rPr>
          <w:rFonts w:hint="default" w:ascii="Times New Roman" w:hAnsi="Times New Roman" w:cs="Times New Roman" w:eastAsiaTheme="minorEastAsia"/>
          <w:b/>
          <w:szCs w:val="21"/>
        </w:rPr>
        <w:t xml:space="preserve">集采中心负责答复。</w:t>
      </w:r>
      <w:r/>
    </w:p>
    <w:p>
      <w:pPr>
        <w:ind w:left="1277"/>
        <w:spacing w:line="400" w:lineRule="exact"/>
        <w:tabs>
          <w:tab w:val="left" w:pos="142" w:leader="none"/>
          <w:tab w:val="left" w:pos="600" w:leader="none"/>
        </w:tabs>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集采中心联系电话：0512-66605633、0512-66605611</w:t>
      </w:r>
      <w:r/>
    </w:p>
    <w:p>
      <w:pPr>
        <w:ind w:left="1277"/>
        <w:spacing w:line="400" w:lineRule="exact"/>
        <w:tabs>
          <w:tab w:val="left" w:pos="142" w:leader="none"/>
          <w:tab w:val="left" w:pos="600" w:leader="none"/>
        </w:tabs>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集采中心通讯地址：苏州工业园区旺墩路168号市场大厦2楼苏州工业园区集中采购中心</w:t>
      </w:r>
      <w:r/>
    </w:p>
    <w:p>
      <w:pPr>
        <w:numPr>
          <w:ilvl w:val="1"/>
          <w:numId w:val="3"/>
        </w:numPr>
        <w:ind w:left="0" w:firstLine="567"/>
        <w:spacing w:line="360" w:lineRule="auto"/>
        <w:tabs>
          <w:tab w:val="left" w:pos="142" w:leader="none"/>
          <w:tab w:val="left" w:pos="600"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接收质疑函的方式为书面形式（当场送达或邮寄方式）。供应商质疑函范本格式请参照“苏州市政府采购”网站——“下载中心”——“</w:t>
      </w:r>
      <w:r>
        <w:rPr>
          <w:rFonts w:hint="default" w:ascii="Times New Roman" w:hAnsi="Times New Roman" w:cs="Times New Roman"/>
        </w:rPr>
        <w:fldChar w:fldCharType="begin"/>
      </w:r>
      <w:r>
        <w:rPr>
          <w:rFonts w:hint="default" w:ascii="Times New Roman" w:hAnsi="Times New Roman" w:cs="Times New Roman"/>
        </w:rPr>
        <w:instrText xml:space="preserve"> HYPERLINK "http://czju.suzhou.gov.cn/zfcg/html/content/20180305093615738.shtml" \t "http://czju.suzhou.gov.cn/zfcg/html/channel/_blank" \o "政府采购供应商质疑函范本" </w:instrText>
      </w:r>
      <w:r>
        <w:rPr>
          <w:rFonts w:hint="default" w:ascii="Times New Roman" w:hAnsi="Times New Roman" w:cs="Times New Roman"/>
        </w:rPr>
        <w:fldChar w:fldCharType="separate"/>
      </w:r>
      <w:r>
        <w:rPr>
          <w:rFonts w:hint="default" w:ascii="Times New Roman" w:hAnsi="Times New Roman" w:cs="Times New Roman" w:eastAsiaTheme="minorEastAsia"/>
          <w:szCs w:val="21"/>
        </w:rPr>
        <w:t xml:space="preserve">政府采购供应商质疑函范本</w:t>
      </w:r>
      <w:r>
        <w:rPr>
          <w:rFonts w:hint="default" w:ascii="Times New Roman" w:hAnsi="Times New Roman" w:cs="Times New Roman" w:eastAsiaTheme="minorEastAsia"/>
          <w:szCs w:val="21"/>
        </w:rPr>
        <w:fldChar w:fldCharType="end"/>
      </w:r>
      <w:r>
        <w:rPr>
          <w:rFonts w:hint="default" w:ascii="Times New Roman" w:hAnsi="Times New Roman" w:cs="Times New Roman" w:eastAsiaTheme="minorEastAsia"/>
          <w:szCs w:val="21"/>
        </w:rPr>
        <w:t xml:space="preserve">”。 供应商如组成联合体参加投标，则《质疑函范本》中要求签字、盖章、加盖公章之处，联合体各方均须按要求签字、盖章、加盖公章。</w:t>
      </w:r>
      <w:r/>
    </w:p>
    <w:p>
      <w:pPr>
        <w:numPr>
          <w:ilvl w:val="1"/>
          <w:numId w:val="3"/>
        </w:numPr>
        <w:ind w:left="0" w:firstLine="567"/>
        <w:spacing w:line="360" w:lineRule="auto"/>
        <w:tabs>
          <w:tab w:val="left" w:pos="142" w:leader="none"/>
          <w:tab w:val="left" w:pos="600" w:leader="none"/>
        </w:tabs>
        <w:rPr>
          <w:rFonts w:hint="default" w:ascii="Times New Roman" w:hAnsi="Times New Roman" w:cs="Times New Roman" w:eastAsiaTheme="minorEastAsia"/>
          <w:bCs/>
          <w:szCs w:val="21"/>
        </w:rPr>
      </w:pPr>
      <w:r>
        <w:rPr>
          <w:rFonts w:hint="default" w:ascii="Times New Roman" w:hAnsi="Times New Roman" w:cs="Times New Roman"/>
          <w:color w:val="000000" w:themeColor="text1"/>
          <w:szCs w:val="21"/>
          <w14:textFill>
            <w14:solidFill>
              <w14:schemeClr w14:val="tx1"/>
            </w14:solidFill>
          </w14:textFill>
        </w:rPr>
        <w:t xml:space="preserve">供应商提出书面质疑必须有理、有据，不得捏造事实、提供虚假材料进行恶意质疑。否则，一经查实，集采中心有权依据政府采购的有关规定，报请政府采购监管部门对该供应商进行相应的行政处罚和记录该供应商的失信信息。</w:t>
      </w:r>
      <w:r/>
    </w:p>
    <w:p>
      <w:pPr>
        <w:numPr>
          <w:ilvl w:val="0"/>
          <w:numId w:val="3"/>
        </w:numPr>
        <w:ind w:left="0" w:firstLine="567"/>
        <w:spacing w:line="360" w:lineRule="auto"/>
        <w:tabs>
          <w:tab w:val="left" w:pos="142" w:leader="none"/>
          <w:tab w:val="left" w:pos="600" w:leader="none"/>
        </w:tabs>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 xml:space="preserve">其他事项</w:t>
      </w:r>
      <w:r/>
    </w:p>
    <w:p>
      <w:pPr>
        <w:numPr>
          <w:ilvl w:val="1"/>
          <w:numId w:val="3"/>
        </w:numPr>
        <w:ind w:left="0" w:firstLine="567"/>
        <w:spacing w:line="360" w:lineRule="auto"/>
        <w:tabs>
          <w:tab w:val="left" w:pos="142" w:leader="none"/>
          <w:tab w:val="left" w:pos="600"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招标过程将通过公证机关进行公证。</w:t>
      </w:r>
      <w:r/>
    </w:p>
    <w:p>
      <w:pPr>
        <w:numPr>
          <w:ilvl w:val="1"/>
          <w:numId w:val="3"/>
        </w:numPr>
        <w:ind w:left="0" w:firstLine="567"/>
        <w:spacing w:line="360" w:lineRule="auto"/>
        <w:tabs>
          <w:tab w:val="left" w:pos="142" w:leader="none"/>
          <w:tab w:val="left" w:pos="600"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未尽事宜按《中华人民共和国政府采购法》及其他有关法律法规文件的规定执行。</w:t>
      </w:r>
      <w:r>
        <w:rPr>
          <w:rFonts w:hint="default" w:ascii="Times New Roman" w:hAnsi="Times New Roman" w:cs="Times New Roman" w:eastAsiaTheme="minorEastAsia"/>
          <w:szCs w:val="21"/>
        </w:rPr>
        <w:br w:type="page" w:clear="all"/>
      </w:r>
      <w:r/>
    </w:p>
    <w:p>
      <w:pPr>
        <w:jc w:val="center"/>
        <w:spacing w:line="360" w:lineRule="auto"/>
        <w:rPr>
          <w:rFonts w:hint="default" w:ascii="Times New Roman" w:hAnsi="Times New Roman" w:cs="Times New Roman" w:eastAsiaTheme="minorEastAsia"/>
          <w:bCs/>
          <w:sz w:val="44"/>
          <w:szCs w:val="44"/>
        </w:rPr>
      </w:pPr>
      <w:r>
        <w:rPr>
          <w:rFonts w:hint="default" w:ascii="Times New Roman" w:hAnsi="Times New Roman" w:cs="Times New Roman" w:eastAsiaTheme="minorEastAsia"/>
          <w:bCs/>
          <w:sz w:val="44"/>
          <w:szCs w:val="44"/>
        </w:rPr>
        <w:t xml:space="preserve">第三章  </w:t>
      </w:r>
      <w:bookmarkStart w:id="60" w:name="投标文件格式"/>
      <w:r>
        <w:rPr>
          <w:rFonts w:hint="default" w:ascii="Times New Roman" w:hAnsi="Times New Roman" w:cs="Times New Roman" w:eastAsiaTheme="minorEastAsia"/>
          <w:bCs/>
          <w:sz w:val="44"/>
          <w:szCs w:val="44"/>
        </w:rPr>
        <w:t xml:space="preserve">投标文件格式</w:t>
      </w:r>
      <w:bookmarkEnd w:id="60"/>
      <w:r/>
      <w:r/>
    </w:p>
    <w:p>
      <w:pPr>
        <w:spacing w:line="360" w:lineRule="auto"/>
        <w:rPr>
          <w:rFonts w:hint="default" w:ascii="Times New Roman" w:hAnsi="Times New Roman" w:cs="Times New Roman" w:eastAsiaTheme="minorEastAsia"/>
          <w:bCs/>
          <w:szCs w:val="21"/>
        </w:rPr>
      </w:pPr>
      <w:r/>
      <w:bookmarkStart w:id="61" w:name="_Hlk159251266"/>
      <w:r>
        <w:rPr>
          <w:rFonts w:hint="default" w:ascii="Times New Roman" w:hAnsi="Times New Roman" w:cs="Times New Roman" w:eastAsiaTheme="minorEastAsia"/>
          <w:bCs/>
          <w:szCs w:val="21"/>
        </w:rPr>
        <w:t xml:space="preserve">说明：</w:t>
      </w:r>
      <w:r/>
    </w:p>
    <w:p>
      <w:pPr>
        <w:ind w:firstLine="424"/>
        <w:spacing w:line="360" w:lineRule="auto"/>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对本章所有的投标书格式，投标人可根据自身情况进行补充和修改，但补充和修改不得造成与本格式内容有实质性的违背。</w:t>
      </w:r>
      <w:r/>
    </w:p>
    <w:p>
      <w:pPr>
        <w:jc w:val="center"/>
        <w:spacing w:line="360" w:lineRule="auto"/>
        <w:rPr>
          <w:rFonts w:hint="default" w:ascii="Times New Roman" w:hAnsi="Times New Roman" w:cs="Times New Roman" w:eastAsiaTheme="minorEastAsia"/>
          <w:b/>
          <w:sz w:val="32"/>
          <w:szCs w:val="32"/>
          <w:lang w:val="zh-CN"/>
        </w:rPr>
      </w:pPr>
      <w:r>
        <w:rPr>
          <w:rFonts w:hint="default" w:ascii="Times New Roman" w:hAnsi="Times New Roman" w:cs="Times New Roman" w:eastAsiaTheme="minorEastAsia"/>
          <w:b/>
          <w:sz w:val="32"/>
          <w:szCs w:val="32"/>
          <w:lang w:val="zh-CN"/>
        </w:rPr>
        <w:t xml:space="preserve">法人授权委托书</w:t>
      </w:r>
      <w:r/>
    </w:p>
    <w:p>
      <w:pPr>
        <w:pStyle w:val="859"/>
        <w:ind w:firstLine="0"/>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r>
      <w:r/>
    </w:p>
    <w:p>
      <w:pPr>
        <w:pStyle w:val="859"/>
        <w:ind w:firstLine="0"/>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本授权书声明：</w:t>
      </w:r>
      <w:r>
        <w:rPr>
          <w:rFonts w:hint="default" w:ascii="Times New Roman" w:hAnsi="Times New Roman" w:cs="Times New Roman"/>
          <w:szCs w:val="21"/>
          <w:u w:val="single"/>
        </w:rPr>
        <w:t xml:space="preserve">（供应商名称）</w:t>
      </w:r>
      <w:r>
        <w:rPr>
          <w:rFonts w:hint="default" w:ascii="Times New Roman" w:hAnsi="Times New Roman" w:cs="Times New Roman"/>
          <w:szCs w:val="21"/>
        </w:rPr>
        <w:t xml:space="preserve">授权</w:t>
      </w:r>
      <w:r>
        <w:rPr>
          <w:rFonts w:hint="default" w:ascii="Times New Roman" w:hAnsi="Times New Roman" w:cs="Times New Roman"/>
          <w:szCs w:val="21"/>
          <w:u w:val="single"/>
        </w:rPr>
        <w:t xml:space="preserve">（被授权人的姓名）_  </w:t>
      </w:r>
      <w:r>
        <w:rPr>
          <w:rFonts w:hint="default" w:ascii="Times New Roman" w:hAnsi="Times New Roman" w:cs="Times New Roman"/>
          <w:szCs w:val="21"/>
        </w:rPr>
        <w:t xml:space="preserve">为我方授权代表（即代理人），参加</w:t>
      </w:r>
      <w:r>
        <w:rPr>
          <w:rFonts w:hint="default" w:ascii="Times New Roman" w:hAnsi="Times New Roman" w:cs="Times New Roman"/>
          <w:szCs w:val="21"/>
          <w:u w:val="single"/>
        </w:rPr>
        <w:t xml:space="preserve">苏州工业园区集中采购中心</w:t>
      </w:r>
      <w:r>
        <w:rPr>
          <w:rFonts w:hint="default" w:ascii="Times New Roman" w:hAnsi="Times New Roman" w:cs="Times New Roman"/>
          <w:szCs w:val="21"/>
        </w:rPr>
        <w:t xml:space="preserve">组织实施的编号为</w:t>
      </w:r>
      <w:r>
        <w:rPr>
          <w:rFonts w:hint="default" w:ascii="Times New Roman" w:hAnsi="Times New Roman" w:cs="Times New Roman"/>
          <w:szCs w:val="21"/>
          <w:u w:val="single"/>
        </w:rPr>
        <w:t xml:space="preserve">（采购编号）</w:t>
      </w:r>
      <w:r>
        <w:rPr>
          <w:rFonts w:hint="default" w:ascii="Times New Roman" w:hAnsi="Times New Roman" w:cs="Times New Roman"/>
          <w:szCs w:val="21"/>
        </w:rPr>
        <w:t xml:space="preserve">的招标活动。代理人在本次</w:t>
      </w:r>
      <w:r>
        <w:rPr>
          <w:rFonts w:hint="default" w:ascii="Times New Roman" w:hAnsi="Times New Roman" w:cs="Times New Roman" w:eastAsiaTheme="minorEastAsia"/>
          <w:szCs w:val="21"/>
        </w:rPr>
        <w:t xml:space="preserve">招投标</w:t>
      </w:r>
      <w:r>
        <w:rPr>
          <w:rFonts w:hint="default" w:ascii="Times New Roman" w:hAnsi="Times New Roman" w:cs="Times New Roman"/>
          <w:szCs w:val="21"/>
        </w:rPr>
        <w:t xml:space="preserve">活动过程、合同签订及处理有关事宜所作出的全部意思表示（包括签署的全部文件），我司均予以承认并由我司承担相应法律后果。</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本授权委托书有效期自委托书作出之日起至本项目合同履行完毕之日止。</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代理人无转委托权。</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被授权人身份证号码：。</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被授权人联系电话：</w:t>
      </w:r>
      <w:r>
        <w:rPr>
          <w:rFonts w:hint="default" w:ascii="Times New Roman" w:hAnsi="Times New Roman" w:cs="Times New Roman"/>
          <w:szCs w:val="21"/>
          <w:u w:val="single"/>
        </w:rPr>
        <w:t xml:space="preserve">（手机）</w:t>
      </w:r>
      <w:r>
        <w:rPr>
          <w:rFonts w:hint="default" w:ascii="Times New Roman" w:hAnsi="Times New Roman" w:cs="Times New Roman"/>
          <w:szCs w:val="21"/>
        </w:rPr>
        <w:t xml:space="preserve">。</w:t>
      </w:r>
      <w:r/>
    </w:p>
    <w:p>
      <w:pPr>
        <w:pStyle w:val="859"/>
        <w:ind w:firstLine="0"/>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r>
      <w:r/>
    </w:p>
    <w:p>
      <w:pPr>
        <w:pStyle w:val="859"/>
        <w:ind w:firstLine="0"/>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r>
      <w:r/>
    </w:p>
    <w:p>
      <w:pPr>
        <w:ind w:right="525" w:firstLine="480"/>
        <w:jc w:val="right"/>
        <w:spacing w:line="360" w:lineRule="auto"/>
        <w:rPr>
          <w:rFonts w:hint="default" w:ascii="Times New Roman" w:hAnsi="Times New Roman" w:cs="Times New Roman"/>
          <w:szCs w:val="21"/>
        </w:rPr>
      </w:pPr>
      <w:r>
        <w:rPr>
          <w:rFonts w:hint="default" w:ascii="Times New Roman" w:hAnsi="Times New Roman" w:cs="Times New Roman"/>
          <w:szCs w:val="21"/>
        </w:rPr>
        <w:t xml:space="preserve">供应商名称：（加盖CA电子公章）</w:t>
      </w:r>
      <w:r/>
    </w:p>
    <w:p>
      <w:pPr>
        <w:ind w:right="420" w:firstLine="480"/>
        <w:jc w:val="right"/>
        <w:spacing w:line="360" w:lineRule="auto"/>
        <w:rPr>
          <w:rFonts w:hint="default" w:ascii="Times New Roman" w:hAnsi="Times New Roman" w:cs="Times New Roman"/>
          <w:szCs w:val="21"/>
        </w:rPr>
      </w:pPr>
      <w:r>
        <w:rPr>
          <w:rFonts w:hint="default" w:ascii="Times New Roman" w:hAnsi="Times New Roman" w:cs="Times New Roman"/>
          <w:szCs w:val="21"/>
        </w:rPr>
        <w:t xml:space="preserve">日期：　　　　年　　月　　日</w:t>
      </w:r>
      <w:r/>
    </w:p>
    <w:p>
      <w:pPr>
        <w:ind w:firstLine="425"/>
        <w:jc w:val="center"/>
        <w:spacing w:line="360" w:lineRule="auto"/>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r>
      <w:r/>
    </w:p>
    <w:p>
      <w:pPr>
        <w:ind w:firstLine="425"/>
        <w:jc w:val="center"/>
        <w:spacing w:line="360" w:lineRule="auto"/>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r>
      <w:r/>
    </w:p>
    <w:p>
      <w:pPr>
        <w:ind w:right="630" w:firstLine="480"/>
        <w:jc w:val="left"/>
        <w:spacing w:line="360" w:lineRule="auto"/>
        <w:rPr>
          <w:rFonts w:hint="default" w:ascii="Times New Roman" w:hAnsi="Times New Roman" w:cs="Times New Roman"/>
          <w:szCs w:val="21"/>
        </w:rPr>
      </w:pPr>
      <w:r>
        <w:rPr>
          <w:rFonts w:hint="default" w:ascii="Times New Roman" w:hAnsi="Times New Roman" w:cs="Times New Roman"/>
          <w:szCs w:val="21"/>
        </w:rPr>
        <w:t xml:space="preserve">后附：代理人身份证扫描件</w:t>
      </w:r>
      <w:r/>
    </w:p>
    <w:p>
      <w:pPr>
        <w:jc w:val="left"/>
        <w:widowControl/>
        <w:rPr>
          <w:rFonts w:hint="default" w:ascii="Times New Roman" w:hAnsi="Times New Roman" w:cs="Times New Roman"/>
          <w:szCs w:val="21"/>
        </w:rPr>
      </w:pPr>
      <w:r>
        <w:rPr>
          <w:rFonts w:hint="default" w:ascii="Times New Roman" w:hAnsi="Times New Roman" w:cs="Times New Roman"/>
          <w:szCs w:val="21"/>
        </w:rPr>
      </w:r>
      <w:r/>
    </w:p>
    <w:p>
      <w:pPr>
        <w:jc w:val="left"/>
        <w:widowControl/>
        <w:rPr>
          <w:rFonts w:hint="default" w:ascii="Times New Roman" w:hAnsi="Times New Roman" w:cs="Times New Roman"/>
          <w:szCs w:val="21"/>
        </w:rPr>
      </w:pPr>
      <w:r>
        <w:rPr>
          <w:rFonts w:hint="default" w:ascii="Times New Roman" w:hAnsi="Times New Roman" w:cs="Times New Roman"/>
          <w:szCs w:val="21"/>
        </w:rPr>
      </w:r>
      <w:r/>
    </w:p>
    <w:p>
      <w:pPr>
        <w:jc w:val="left"/>
        <w:widowControl/>
        <w:rPr>
          <w:rFonts w:hint="default" w:ascii="Times New Roman" w:hAnsi="Times New Roman" w:cs="Times New Roman"/>
          <w:szCs w:val="21"/>
        </w:rPr>
      </w:pPr>
      <w:r>
        <w:rPr>
          <w:rFonts w:hint="default" w:ascii="Times New Roman" w:hAnsi="Times New Roman" w:cs="Times New Roman"/>
          <w:szCs w:val="21"/>
        </w:rPr>
      </w:r>
      <w:r/>
    </w:p>
    <w:p>
      <w:pPr>
        <w:jc w:val="left"/>
        <w:widowControl/>
        <w:rPr>
          <w:rFonts w:hint="default" w:ascii="Times New Roman" w:hAnsi="Times New Roman" w:cs="Times New Roman"/>
          <w:szCs w:val="21"/>
        </w:rPr>
      </w:pPr>
      <w:r>
        <w:rPr>
          <w:rFonts w:hint="default" w:ascii="Times New Roman" w:hAnsi="Times New Roman" w:cs="Times New Roman"/>
          <w:szCs w:val="21"/>
        </w:rPr>
      </w:r>
      <w:r/>
    </w:p>
    <w:p>
      <w:pPr>
        <w:jc w:val="left"/>
        <w:widowControl/>
        <w:rPr>
          <w:rFonts w:hint="default" w:ascii="Times New Roman" w:hAnsi="Times New Roman" w:cs="Times New Roman"/>
          <w:szCs w:val="21"/>
        </w:rPr>
      </w:pPr>
      <w:r>
        <w:rPr>
          <w:rFonts w:hint="default" w:ascii="Times New Roman" w:hAnsi="Times New Roman" w:cs="Times New Roman"/>
          <w:szCs w:val="21"/>
        </w:rPr>
      </w:r>
      <w:r/>
    </w:p>
    <w:p>
      <w:pPr>
        <w:jc w:val="left"/>
        <w:widowControl/>
        <w:rPr>
          <w:rFonts w:hint="default" w:ascii="Times New Roman" w:hAnsi="Times New Roman" w:cs="Times New Roman"/>
          <w:b/>
          <w:szCs w:val="21"/>
        </w:rPr>
      </w:pPr>
      <w:r>
        <w:rPr>
          <w:rFonts w:hint="default" w:ascii="Times New Roman" w:hAnsi="Times New Roman" w:cs="Times New Roman"/>
          <w:b/>
          <w:szCs w:val="21"/>
        </w:rPr>
        <w:t xml:space="preserve">备注：供应商如有授权委托，必须提供该法人授权委托书及代理人身份证，否则投标无效；</w:t>
      </w:r>
      <w:r/>
    </w:p>
    <w:p>
      <w:pPr>
        <w:pStyle w:val="869"/>
        <w:rPr>
          <w:rFonts w:hint="default" w:ascii="Times New Roman" w:hAnsi="Times New Roman" w:cs="Times New Roman" w:eastAsiaTheme="minorEastAsia"/>
        </w:rPr>
      </w:pPr>
      <w:r>
        <w:rPr>
          <w:rFonts w:hint="default" w:ascii="Times New Roman" w:hAnsi="Times New Roman" w:cs="Times New Roman"/>
        </w:rPr>
        <w:t xml:space="preserve">供应商无授权委托的情况下，必须提供法定代表人身份证，否则投标无效。</w:t>
      </w:r>
      <w:r/>
    </w:p>
    <w:p>
      <w:pPr>
        <w:rPr>
          <w:rFonts w:hint="default" w:ascii="Times New Roman" w:hAnsi="Times New Roman" w:cs="Times New Roman" w:eastAsiaTheme="minorEastAsia"/>
        </w:rPr>
      </w:pPr>
      <w:r>
        <w:rPr>
          <w:rFonts w:hint="default" w:ascii="Times New Roman" w:hAnsi="Times New Roman" w:cs="Times New Roman" w:eastAsiaTheme="minorEastAsia"/>
        </w:rPr>
      </w:r>
      <w:r/>
    </w:p>
    <w:p>
      <w:pPr>
        <w:pStyle w:val="1066"/>
        <w:ind w:firstLine="422"/>
        <w:jc w:val="center"/>
        <w:spacing w:line="360" w:lineRule="auto"/>
        <w:rPr>
          <w:rFonts w:hint="default" w:ascii="Times New Roman" w:hAnsi="Times New Roman" w:cs="Times New Roman" w:eastAsiaTheme="minorEastAsia"/>
          <w:b/>
          <w:sz w:val="21"/>
          <w:szCs w:val="21"/>
        </w:rPr>
      </w:pPr>
      <w:r>
        <w:rPr>
          <w:rFonts w:hint="default" w:ascii="Times New Roman" w:hAnsi="Times New Roman" w:cs="Times New Roman" w:eastAsiaTheme="minorEastAsia"/>
          <w:b/>
          <w:sz w:val="21"/>
          <w:szCs w:val="21"/>
        </w:rPr>
        <w:br w:type="page" w:clear="all"/>
      </w:r>
      <w:r>
        <w:rPr>
          <w:rFonts w:hint="default" w:ascii="Times New Roman" w:hAnsi="Times New Roman" w:cs="Times New Roman" w:eastAsiaTheme="minorEastAsia"/>
          <w:b/>
          <w:sz w:val="21"/>
          <w:szCs w:val="21"/>
        </w:rPr>
        <w:t xml:space="preserve">二、开标一览表</w:t>
      </w:r>
      <w:r/>
    </w:p>
    <w:p>
      <w:pPr>
        <w:jc w:val="center"/>
        <w:spacing w:line="360" w:lineRule="auto"/>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r>
      <w:r/>
    </w:p>
    <w:p>
      <w:pPr>
        <w:jc w:val="center"/>
        <w:spacing w:line="360" w:lineRule="auto"/>
        <w:rPr>
          <w:rFonts w:hint="default" w:ascii="Times New Roman" w:hAnsi="Times New Roman" w:cs="Times New Roman"/>
          <w:b/>
          <w:szCs w:val="21"/>
        </w:rPr>
      </w:pPr>
      <w:r>
        <w:rPr>
          <w:rFonts w:hint="default" w:ascii="Times New Roman" w:hAnsi="Times New Roman" w:cs="Times New Roman"/>
          <w:b/>
          <w:szCs w:val="21"/>
        </w:rPr>
        <w:t xml:space="preserve">开标一览表</w:t>
      </w:r>
      <w:r/>
    </w:p>
    <w:p>
      <w:pPr>
        <w:ind w:firstLine="420"/>
        <w:spacing w:line="360" w:lineRule="auto"/>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项目编号：</w:t>
      </w:r>
      <w:r/>
    </w:p>
    <w:tbl>
      <w:tblPr>
        <w:tblStyle w:val="858"/>
        <w:tblW w:w="988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308"/>
        <w:gridCol w:w="7575"/>
      </w:tblGrid>
      <w:tr>
        <w:trPr>
          <w:jc w:val="center"/>
          <w:trHeight w:val="1331"/>
        </w:trPr>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jc w:val="center"/>
              <w:spacing w:line="360" w:lineRule="auto"/>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 xml:space="preserve">项目名称</w:t>
            </w:r>
            <w:r/>
          </w:p>
        </w:tc>
        <w:tc>
          <w:tcPr>
            <w:tcBorders>
              <w:top w:val="single" w:color="auto" w:sz="4" w:space="0"/>
              <w:left w:val="single" w:color="auto" w:sz="4" w:space="0"/>
              <w:bottom w:val="single" w:color="auto" w:sz="4" w:space="0"/>
              <w:right w:val="single" w:color="auto" w:sz="4" w:space="0"/>
            </w:tcBorders>
            <w:tcW w:w="7575" w:type="dxa"/>
            <w:vAlign w:val="center"/>
            <w:textDirection w:val="lrTb"/>
            <w:noWrap w:val="false"/>
          </w:tcPr>
          <w:p>
            <w:pPr>
              <w:jc w:val="center"/>
              <w:spacing w:line="360" w:lineRule="auto"/>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r>
            <w:r/>
          </w:p>
        </w:tc>
      </w:tr>
      <w:tr>
        <w:trPr>
          <w:jc w:val="center"/>
          <w:trHeight w:val="1258"/>
        </w:trPr>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jc w:val="center"/>
              <w:spacing w:line="360" w:lineRule="auto"/>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 xml:space="preserve">投标总报价</w:t>
            </w:r>
            <w:r/>
          </w:p>
          <w:p>
            <w:pPr>
              <w:pStyle w:val="869"/>
              <w:ind w:left="0"/>
              <w:jc w:val="center"/>
              <w:rPr>
                <w:rFonts w:hint="default" w:ascii="Times New Roman" w:hAnsi="Times New Roman" w:cs="Times New Roman"/>
              </w:rPr>
            </w:pPr>
            <w:r>
              <w:rPr>
                <w:rFonts w:hint="default" w:ascii="Times New Roman" w:hAnsi="Times New Roman" w:cs="Times New Roman"/>
              </w:rPr>
              <w:t xml:space="preserve">单位：（元）</w:t>
            </w:r>
            <w:r/>
          </w:p>
          <w:p>
            <w:pPr>
              <w:pStyle w:val="869"/>
              <w:ind w:left="0"/>
              <w:jc w:val="center"/>
              <w:rPr>
                <w:rFonts w:hint="default" w:ascii="Times New Roman" w:hAnsi="Times New Roman" w:cs="Times New Roman"/>
              </w:rPr>
            </w:pPr>
            <w:r>
              <w:rPr>
                <w:rFonts w:hint="default" w:ascii="Times New Roman" w:hAnsi="Times New Roman" w:cs="Times New Roman"/>
              </w:rPr>
              <w:t xml:space="preserve">人民币</w:t>
            </w:r>
            <w:r/>
          </w:p>
        </w:tc>
        <w:tc>
          <w:tcPr>
            <w:tcBorders>
              <w:top w:val="single" w:color="auto" w:sz="4" w:space="0"/>
              <w:left w:val="single" w:color="auto" w:sz="4" w:space="0"/>
              <w:bottom w:val="single" w:color="auto" w:sz="4" w:space="0"/>
              <w:right w:val="single" w:color="auto" w:sz="4" w:space="0"/>
            </w:tcBorders>
            <w:tcW w:w="7575" w:type="dxa"/>
            <w:vAlign w:val="center"/>
            <w:textDirection w:val="lrTb"/>
            <w:noWrap w:val="false"/>
          </w:tcPr>
          <w:p>
            <w:pPr>
              <w:jc w:val="left"/>
              <w:spacing w:line="360" w:lineRule="auto"/>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r>
            <w:r/>
          </w:p>
        </w:tc>
      </w:tr>
    </w:tbl>
    <w:p>
      <w:pPr>
        <w:jc w:val="center"/>
        <w:spacing w:line="360" w:lineRule="auto"/>
        <w:rPr>
          <w:rFonts w:hint="default" w:ascii="Times New Roman" w:hAnsi="Times New Roman" w:cs="Times New Roman"/>
          <w:b/>
          <w:szCs w:val="21"/>
        </w:rPr>
      </w:pPr>
      <w:r>
        <w:rPr>
          <w:rFonts w:hint="default" w:ascii="Times New Roman" w:hAnsi="Times New Roman" w:cs="Times New Roman"/>
          <w:b/>
          <w:szCs w:val="21"/>
        </w:rPr>
      </w:r>
      <w:r/>
    </w:p>
    <w:p>
      <w:pPr>
        <w:pStyle w:val="869"/>
        <w:rPr>
          <w:rFonts w:hint="default" w:ascii="Times New Roman" w:hAnsi="Times New Roman" w:cs="Times New Roman"/>
        </w:rPr>
      </w:pPr>
      <w:r>
        <w:rPr>
          <w:rFonts w:hint="default" w:ascii="Times New Roman" w:hAnsi="Times New Roman" w:cs="Times New Roman"/>
        </w:rPr>
      </w:r>
      <w:r/>
    </w:p>
    <w:p>
      <w:pPr>
        <w:ind w:firstLine="420"/>
        <w:spacing w:line="360" w:lineRule="auto"/>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r>
      <w:r/>
    </w:p>
    <w:p>
      <w:pPr>
        <w:ind w:firstLine="420"/>
        <w:spacing w:line="360" w:lineRule="auto"/>
        <w:rPr>
          <w:rFonts w:hint="default" w:ascii="Times New Roman" w:hAnsi="Times New Roman" w:cs="Times New Roman"/>
          <w:szCs w:val="21"/>
          <w:lang w:val="zh-CN"/>
        </w:rPr>
      </w:pPr>
      <w:r>
        <w:rPr>
          <w:rFonts w:hint="default" w:ascii="Times New Roman" w:hAnsi="Times New Roman" w:cs="Times New Roman"/>
          <w:szCs w:val="21"/>
          <w:lang w:val="zh-CN"/>
        </w:rPr>
        <w:t xml:space="preserve">注：本表中的报价为综合报价，包括所投标的物及其备品、备件和专用工具费用、布线、开挖填补费、税费（如包括关税、进口货物及其所用原材料、零部件的各种国内、外税费）及包装、运至最终目的地的运输、保险、现场吊装、临时工程、检测验收、安装调试、技术支持与培训、售后服务与维保及相关劳务支出等工作所发生的全部费用以及投标人企业利润、税金和政策性文件规定及合同包含的所有风险、责任等各项应有费用。</w:t>
      </w:r>
      <w:r/>
    </w:p>
    <w:p>
      <w:pPr>
        <w:pStyle w:val="869"/>
        <w:rPr>
          <w:rFonts w:hint="default" w:ascii="Times New Roman" w:hAnsi="Times New Roman" w:cs="Times New Roman"/>
          <w:lang w:val="zh-CN"/>
        </w:rPr>
      </w:pPr>
      <w:r>
        <w:rPr>
          <w:rFonts w:hint="default" w:ascii="Times New Roman" w:hAnsi="Times New Roman" w:cs="Times New Roman"/>
          <w:lang w:val="zh-CN"/>
        </w:rPr>
      </w:r>
      <w:r/>
    </w:p>
    <w:p>
      <w:pPr>
        <w:spacing w:line="360" w:lineRule="auto"/>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br w:type="page" w:clear="all"/>
      </w:r>
      <w:r/>
    </w:p>
    <w:p>
      <w:pPr>
        <w:jc w:val="center"/>
        <w:spacing w:line="360" w:lineRule="auto"/>
        <w:rPr>
          <w:rFonts w:hint="default" w:ascii="Times New Roman" w:hAnsi="Times New Roman" w:cs="Times New Roman" w:eastAsiaTheme="minorEastAsia"/>
          <w:b/>
          <w:bCs/>
          <w:szCs w:val="21"/>
          <w:lang w:val="zh-CN"/>
        </w:rPr>
      </w:pPr>
      <w:r>
        <w:rPr>
          <w:rFonts w:hint="default" w:ascii="Times New Roman" w:hAnsi="Times New Roman" w:cs="Times New Roman" w:eastAsiaTheme="minorEastAsia"/>
          <w:b/>
          <w:bCs/>
          <w:szCs w:val="21"/>
          <w:lang w:val="zh-CN"/>
        </w:rPr>
        <w:t xml:space="preserve">三、公开分项报价表</w:t>
      </w:r>
      <w:r/>
    </w:p>
    <w:p>
      <w:pPr>
        <w:jc w:val="center"/>
        <w:spacing w:line="360" w:lineRule="auto"/>
        <w:rPr>
          <w:rFonts w:hint="default" w:ascii="Times New Roman" w:hAnsi="Times New Roman" w:cs="Times New Roman" w:eastAsiaTheme="minorEastAsia"/>
          <w:b/>
          <w:bCs/>
          <w:szCs w:val="21"/>
          <w:lang w:val="zh-CN"/>
        </w:rPr>
      </w:pPr>
      <w:r>
        <w:rPr>
          <w:rFonts w:hint="default" w:ascii="Times New Roman" w:hAnsi="Times New Roman" w:cs="Times New Roman" w:eastAsiaTheme="minorEastAsia"/>
          <w:b/>
          <w:bCs/>
          <w:szCs w:val="21"/>
          <w:lang w:val="zh-CN"/>
        </w:rPr>
      </w:r>
      <w:r/>
    </w:p>
    <w:p>
      <w:pPr>
        <w:jc w:val="center"/>
        <w:rPr>
          <w:rFonts w:hint="default" w:ascii="Times New Roman" w:hAnsi="Times New Roman" w:cs="Times New Roman"/>
          <w:spacing w:val="20"/>
          <w:sz w:val="24"/>
          <w:szCs w:val="24"/>
        </w:rPr>
      </w:pPr>
      <w:r>
        <w:rPr>
          <w:rFonts w:hint="default" w:ascii="Times New Roman" w:hAnsi="Times New Roman" w:cs="Times New Roman"/>
          <w:b/>
          <w:bCs/>
          <w:sz w:val="24"/>
          <w:szCs w:val="24"/>
        </w:rPr>
        <w:t xml:space="preserve">公开分项报价表</w:t>
      </w:r>
      <w:r/>
    </w:p>
    <w:p>
      <w:pPr>
        <w:pStyle w:val="868"/>
        <w:rPr>
          <w:rFonts w:hint="default" w:ascii="Times New Roman" w:hAnsi="Times New Roman" w:cs="Times New Roman"/>
        </w:rPr>
      </w:pPr>
      <w:r>
        <w:rPr>
          <w:rFonts w:hint="default" w:ascii="Times New Roman" w:hAnsi="Times New Roman" w:cs="Times New Roman"/>
        </w:rPr>
      </w:r>
      <w:r/>
    </w:p>
    <w:p>
      <w:pPr>
        <w:spacing w:line="360" w:lineRule="auto"/>
        <w:tabs>
          <w:tab w:val="left" w:pos="7635" w:leader="none"/>
        </w:tabs>
        <w:rPr>
          <w:rFonts w:hint="default" w:ascii="Times New Roman" w:hAnsi="Times New Roman" w:cs="Times New Roman"/>
          <w:szCs w:val="21"/>
          <w:lang w:val="zh-CN"/>
        </w:rPr>
      </w:pPr>
      <w:r>
        <w:rPr>
          <w:rFonts w:hint="default" w:ascii="Times New Roman" w:hAnsi="Times New Roman" w:cs="Times New Roman"/>
          <w:szCs w:val="21"/>
          <w:lang w:val="zh-CN"/>
        </w:rPr>
        <w:t xml:space="preserve">项目编号：</w:t>
      </w:r>
      <w:r>
        <w:rPr>
          <w:rFonts w:hint="default" w:ascii="Times New Roman" w:hAnsi="Times New Roman" w:cs="Times New Roman"/>
          <w:szCs w:val="21"/>
          <w:lang w:val="zh-CN"/>
        </w:rPr>
        <w:tab/>
      </w:r>
      <w:r>
        <w:rPr>
          <w:rFonts w:hint="default" w:ascii="Times New Roman" w:hAnsi="Times New Roman" w:cs="Times New Roman"/>
          <w:szCs w:val="21"/>
          <w:lang w:val="zh-CN"/>
        </w:rPr>
        <w:t xml:space="preserve">单位（人民币）：元</w:t>
      </w:r>
      <w:r/>
    </w:p>
    <w:tbl>
      <w:tblPr>
        <w:tblStyle w:val="858"/>
        <w:tblW w:w="986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2"/>
        <w:gridCol w:w="998"/>
        <w:gridCol w:w="1696"/>
        <w:gridCol w:w="1276"/>
        <w:gridCol w:w="1984"/>
        <w:gridCol w:w="851"/>
        <w:gridCol w:w="850"/>
        <w:gridCol w:w="930"/>
        <w:gridCol w:w="603"/>
      </w:tblGrid>
      <w:tr>
        <w:trPr>
          <w:jc w:val="center"/>
          <w:trHeight w:val="423"/>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t xml:space="preserve">标的物名称</w:t>
            </w:r>
            <w:r/>
          </w:p>
        </w:tc>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jc w:val="center"/>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t xml:space="preserve">规格</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t xml:space="preserve">品牌</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t xml:space="preserve">生产厂家</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t xml:space="preserve">单价</w:t>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t xml:space="preserve">总价</w:t>
            </w:r>
            <w:r/>
          </w:p>
        </w:tc>
      </w:tr>
      <w:tr>
        <w:trPr>
          <w:jc w:val="center"/>
          <w:trHeight w:val="361"/>
        </w:trPr>
        <w:tc>
          <w:tcPr>
            <w:gridSpan w:val="9"/>
            <w:tcBorders>
              <w:top w:val="single" w:color="auto" w:sz="4" w:space="0"/>
              <w:left w:val="single" w:color="auto" w:sz="4" w:space="0"/>
              <w:bottom w:val="single" w:color="auto" w:sz="4" w:space="0"/>
              <w:right w:val="single" w:color="auto" w:sz="4" w:space="0"/>
            </w:tcBorders>
            <w:tcW w:w="9860"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b/>
                <w:bCs/>
                <w:color w:val="000000" w:themeColor="text1"/>
                <w:spacing w:val="20"/>
                <w:szCs w:val="24"/>
                <w14:textFill>
                  <w14:solidFill>
                    <w14:schemeClr w14:val="tx1"/>
                  </w14:solidFill>
                </w14:textFill>
              </w:rPr>
              <w:t xml:space="preserve">唯亭街道区域性养老服务中心家具</w:t>
            </w:r>
            <w:r/>
          </w:p>
        </w:tc>
      </w:tr>
      <w:tr>
        <w:trPr>
          <w:jc w:val="center"/>
          <w:trHeight w:val="316"/>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r>
      <w:tr>
        <w:trPr>
          <w:jc w:val="center"/>
          <w:trHeight w:val="316"/>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r>
      <w:tr>
        <w:trPr>
          <w:jc w:val="center"/>
          <w:trHeight w:val="222"/>
        </w:trPr>
        <w:tc>
          <w:tcPr>
            <w:gridSpan w:val="4"/>
            <w:tcBorders>
              <w:top w:val="single" w:color="auto" w:sz="4" w:space="0"/>
              <w:left w:val="single" w:color="auto" w:sz="4" w:space="0"/>
              <w:bottom w:val="single" w:color="auto" w:sz="4" w:space="0"/>
              <w:right w:val="single" w:color="auto" w:sz="4" w:space="0"/>
            </w:tcBorders>
            <w:tcW w:w="4642" w:type="dxa"/>
            <w:vAlign w:val="center"/>
            <w:textDirection w:val="lrTb"/>
            <w:noWrap w:val="false"/>
          </w:tcPr>
          <w:p>
            <w:pPr>
              <w:jc w:val="left"/>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b/>
                <w:bCs/>
                <w:color w:val="000000" w:themeColor="text1"/>
                <w:spacing w:val="20"/>
                <w:szCs w:val="24"/>
                <w14:textFill>
                  <w14:solidFill>
                    <w14:schemeClr w14:val="tx1"/>
                  </w14:solidFill>
                </w14:textFill>
              </w:rPr>
              <w:t xml:space="preserve">唯亭街道区域性养老服务中心家具投标总报价</w:t>
            </w:r>
            <w:r/>
          </w:p>
        </w:tc>
        <w:tc>
          <w:tcPr>
            <w:gridSpan w:val="5"/>
            <w:tcBorders>
              <w:top w:val="single" w:color="auto" w:sz="4" w:space="0"/>
              <w:left w:val="single" w:color="auto" w:sz="4" w:space="0"/>
              <w:bottom w:val="single" w:color="auto" w:sz="4" w:space="0"/>
              <w:right w:val="single" w:color="auto" w:sz="4" w:space="0"/>
            </w:tcBorders>
            <w:tcW w:w="5218" w:type="dxa"/>
            <w:vAlign w:val="center"/>
            <w:textDirection w:val="lrTb"/>
            <w:noWrap w:val="false"/>
          </w:tcPr>
          <w:p>
            <w:pPr>
              <w:jc w:val="left"/>
              <w:spacing w:line="360" w:lineRule="auto"/>
              <w:rPr>
                <w:rFonts w:hint="default" w:ascii="Times New Roman" w:hAnsi="Times New Roman" w:cs="Times New Roman"/>
                <w:b/>
                <w:bCs/>
                <w:color w:val="000000" w:themeColor="text1"/>
                <w:spacing w:val="20"/>
                <w:szCs w:val="24"/>
                <w14:textFill>
                  <w14:solidFill>
                    <w14:schemeClr w14:val="tx1"/>
                  </w14:solidFill>
                </w14:textFill>
              </w:rPr>
            </w:pPr>
            <w:r>
              <w:rPr>
                <w:rFonts w:hint="default" w:ascii="Times New Roman" w:hAnsi="Times New Roman" w:cs="Times New Roman"/>
                <w:b/>
                <w:bCs/>
                <w:color w:val="000000" w:themeColor="text1"/>
                <w:spacing w:val="20"/>
                <w:szCs w:val="24"/>
                <w14:textFill>
                  <w14:solidFill>
                    <w14:schemeClr w14:val="tx1"/>
                  </w14:solidFill>
                </w14:textFill>
              </w:rPr>
              <w:t xml:space="preserve">（人民币大写）：￥：</w:t>
            </w:r>
            <w:r/>
          </w:p>
        </w:tc>
      </w:tr>
      <w:tr>
        <w:trPr>
          <w:jc w:val="center"/>
          <w:trHeight w:val="222"/>
        </w:trPr>
        <w:tc>
          <w:tcPr>
            <w:gridSpan w:val="9"/>
            <w:tcBorders>
              <w:top w:val="single" w:color="auto" w:sz="4" w:space="0"/>
              <w:left w:val="single" w:color="auto" w:sz="4" w:space="0"/>
              <w:bottom w:val="single" w:color="auto" w:sz="4" w:space="0"/>
              <w:right w:val="single" w:color="auto" w:sz="4" w:space="0"/>
            </w:tcBorders>
            <w:tcW w:w="9860"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b/>
                <w:bCs/>
                <w:color w:val="000000" w:themeColor="text1"/>
                <w:spacing w:val="20"/>
                <w:szCs w:val="24"/>
                <w14:textFill>
                  <w14:solidFill>
                    <w14:schemeClr w14:val="tx1"/>
                  </w14:solidFill>
                </w14:textFill>
              </w:rPr>
              <w:t xml:space="preserve">胜浦街道医养项目家具</w:t>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r>
      <w:tr>
        <w:trPr>
          <w:jc w:val="center"/>
          <w:trHeight w:val="222"/>
        </w:trPr>
        <w:tc>
          <w:tcPr>
            <w:gridSpan w:val="4"/>
            <w:tcBorders>
              <w:top w:val="single" w:color="auto" w:sz="4" w:space="0"/>
              <w:left w:val="single" w:color="auto" w:sz="4" w:space="0"/>
              <w:bottom w:val="single" w:color="auto" w:sz="4" w:space="0"/>
              <w:right w:val="single" w:color="auto" w:sz="4" w:space="0"/>
            </w:tcBorders>
            <w:tcW w:w="4642" w:type="dxa"/>
            <w:vAlign w:val="center"/>
            <w:textDirection w:val="lrTb"/>
            <w:noWrap w:val="false"/>
          </w:tcPr>
          <w:p>
            <w:pPr>
              <w:jc w:val="left"/>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b/>
                <w:bCs/>
                <w:color w:val="000000" w:themeColor="text1"/>
                <w:spacing w:val="20"/>
                <w:szCs w:val="24"/>
                <w14:textFill>
                  <w14:solidFill>
                    <w14:schemeClr w14:val="tx1"/>
                  </w14:solidFill>
                </w14:textFill>
              </w:rPr>
              <w:t xml:space="preserve">胜浦街道医养项目家具投标总报价</w:t>
            </w:r>
            <w:r/>
          </w:p>
        </w:tc>
        <w:tc>
          <w:tcPr>
            <w:gridSpan w:val="5"/>
            <w:tcBorders>
              <w:top w:val="single" w:color="auto" w:sz="4" w:space="0"/>
              <w:left w:val="single" w:color="auto" w:sz="4" w:space="0"/>
              <w:bottom w:val="single" w:color="auto" w:sz="4" w:space="0"/>
              <w:right w:val="single" w:color="auto" w:sz="4" w:space="0"/>
            </w:tcBorders>
            <w:tcW w:w="5218" w:type="dxa"/>
            <w:vAlign w:val="center"/>
            <w:textDirection w:val="lrTb"/>
            <w:noWrap w:val="false"/>
          </w:tcPr>
          <w:p>
            <w:pPr>
              <w:jc w:val="left"/>
              <w:spacing w:line="360" w:lineRule="auto"/>
              <w:rPr>
                <w:rFonts w:hint="default" w:ascii="Times New Roman" w:hAnsi="Times New Roman" w:cs="Times New Roman"/>
                <w:b/>
                <w:bCs/>
                <w:color w:val="000000" w:themeColor="text1"/>
                <w:spacing w:val="20"/>
                <w:szCs w:val="24"/>
                <w14:textFill>
                  <w14:solidFill>
                    <w14:schemeClr w14:val="tx1"/>
                  </w14:solidFill>
                </w14:textFill>
              </w:rPr>
            </w:pPr>
            <w:r>
              <w:rPr>
                <w:rFonts w:hint="default" w:ascii="Times New Roman" w:hAnsi="Times New Roman" w:cs="Times New Roman"/>
                <w:b/>
                <w:bCs/>
                <w:color w:val="000000" w:themeColor="text1"/>
                <w:spacing w:val="20"/>
                <w:szCs w:val="24"/>
                <w14:textFill>
                  <w14:solidFill>
                    <w14:schemeClr w14:val="tx1"/>
                  </w14:solidFill>
                </w14:textFill>
              </w:rPr>
              <w:t xml:space="preserve">（人民币大写）：￥：</w:t>
            </w:r>
            <w:r/>
          </w:p>
        </w:tc>
      </w:tr>
      <w:tr>
        <w:trPr>
          <w:jc w:val="center"/>
          <w:trHeight w:val="454"/>
        </w:trPr>
        <w:tc>
          <w:tcPr>
            <w:gridSpan w:val="9"/>
            <w:tcBorders>
              <w:top w:val="none" w:color="000000" w:sz="4" w:space="0"/>
              <w:left w:val="single" w:color="auto" w:sz="4" w:space="0"/>
              <w:bottom w:val="single" w:color="auto" w:sz="4" w:space="0"/>
              <w:right w:val="single" w:color="auto" w:sz="4" w:space="0"/>
            </w:tcBorders>
            <w:tcW w:w="9860" w:type="dxa"/>
            <w:vAlign w:val="center"/>
            <w:textDirection w:val="lrTb"/>
            <w:noWrap w:val="false"/>
          </w:tcPr>
          <w:p>
            <w:pPr>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b/>
                <w:bCs/>
                <w:color w:val="000000" w:themeColor="text1"/>
                <w:spacing w:val="20"/>
                <w:szCs w:val="24"/>
                <w14:textFill>
                  <w14:solidFill>
                    <w14:schemeClr w14:val="tx1"/>
                  </w14:solidFill>
                </w14:textFill>
              </w:rPr>
              <w:t xml:space="preserve">投标总报价（人民币大写）：￥：</w:t>
            </w:r>
            <w:r/>
          </w:p>
        </w:tc>
      </w:tr>
    </w:tbl>
    <w:p>
      <w:pPr>
        <w:jc w:val="center"/>
        <w:spacing w:line="360" w:lineRule="auto"/>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r>
      <w:r/>
    </w:p>
    <w:p>
      <w:pPr>
        <w:pStyle w:val="869"/>
        <w:spacing w:after="0" w:line="360" w:lineRule="auto"/>
        <w:rPr>
          <w:rFonts w:hint="default" w:ascii="Times New Roman" w:hAnsi="Times New Roman" w:cs="Times New Roman"/>
        </w:rPr>
      </w:pPr>
      <w:r>
        <w:rPr>
          <w:rFonts w:hint="default" w:ascii="Times New Roman" w:hAnsi="Times New Roman" w:cs="Times New Roman"/>
        </w:rPr>
        <w:t xml:space="preserve">注：1、上述报价包含一切由供方承担的费用，各投标人可参照上述格式自制《公开分项报价表》参加投标。</w:t>
      </w:r>
      <w:r/>
    </w:p>
    <w:p>
      <w:pPr>
        <w:pStyle w:val="869"/>
        <w:spacing w:after="0" w:line="360" w:lineRule="auto"/>
        <w:rPr>
          <w:rFonts w:hint="default" w:ascii="Times New Roman" w:hAnsi="Times New Roman" w:cs="Times New Roman"/>
          <w:b/>
          <w:bCs/>
          <w:color w:val="ff0000"/>
        </w:rPr>
      </w:pPr>
      <w:r>
        <w:rPr>
          <w:rFonts w:hint="default" w:ascii="Times New Roman" w:hAnsi="Times New Roman" w:cs="Times New Roman"/>
        </w:rPr>
        <w:t xml:space="preserve">2、</w:t>
      </w:r>
      <w:r>
        <w:rPr>
          <w:rFonts w:hint="default" w:ascii="Times New Roman" w:hAnsi="Times New Roman" w:cs="Times New Roman"/>
          <w:b/>
          <w:bCs/>
          <w:color w:val="ff0000"/>
        </w:rPr>
        <w:t xml:space="preserve">本项目为合并项目，本项目预算总金额为5550000元，其中：唯亭街道区域性养老服务中心家具预算金额为4030000元，胜浦街道医养项目家具家具预算金额为1520000元。</w:t>
      </w:r>
      <w:r/>
    </w:p>
    <w:p>
      <w:pPr>
        <w:pStyle w:val="869"/>
        <w:spacing w:after="0" w:line="360" w:lineRule="auto"/>
        <w:rPr>
          <w:rFonts w:hint="default" w:ascii="Times New Roman" w:hAnsi="Times New Roman" w:cs="Times New Roman"/>
          <w:b/>
          <w:bCs/>
        </w:rPr>
      </w:pPr>
      <w:r>
        <w:rPr>
          <w:rFonts w:hint="default" w:ascii="Times New Roman" w:hAnsi="Times New Roman" w:cs="Times New Roman"/>
          <w:b/>
          <w:bCs/>
          <w:color w:val="ff0000"/>
        </w:rPr>
        <w:t xml:space="preserve">另外，本项目最高限价为5270000元。</w:t>
      </w:r>
      <w:r>
        <w:rPr>
          <w:rFonts w:hint="default" w:ascii="Times New Roman" w:hAnsi="Times New Roman" w:cs="Times New Roman"/>
          <w:b/>
          <w:bCs/>
        </w:rPr>
        <w:t xml:space="preserve">投标人必须在公开分项报价表中列明2个街道分别的总报价。</w:t>
      </w:r>
      <w:r>
        <w:rPr>
          <w:b/>
          <w:bCs/>
        </w:rPr>
      </w:r>
      <w:r/>
    </w:p>
    <w:p>
      <w:pPr>
        <w:pStyle w:val="869"/>
        <w:ind w:left="0" w:firstLine="420"/>
        <w:spacing w:after="0" w:line="360" w:lineRule="auto"/>
        <w:rPr>
          <w:rFonts w:hint="default" w:ascii="Times New Roman" w:hAnsi="Times New Roman" w:cs="Times New Roman"/>
          <w:b/>
          <w:bCs/>
          <w:szCs w:val="21"/>
        </w:rPr>
      </w:pPr>
      <w:r>
        <w:rPr>
          <w:rFonts w:hint="default" w:ascii="Times New Roman" w:hAnsi="Times New Roman" w:cs="Times New Roman"/>
          <w:b/>
          <w:bCs/>
        </w:rPr>
        <w:t xml:space="preserve">3、本项目投标总报价为2个街道投标总价的加总合计。</w:t>
      </w:r>
      <w:r>
        <w:rPr>
          <w:rFonts w:hint="default" w:ascii="Times New Roman" w:hAnsi="Times New Roman" w:cs="Times New Roman"/>
          <w:b/>
          <w:bCs/>
        </w:rPr>
        <w:t xml:space="preserve">投标总报价超采购预算或者最高限价的，或各街道投标总价超该街道预算的，投标无效。</w:t>
      </w:r>
      <w:r>
        <w:rPr>
          <w:b/>
          <w:bCs/>
        </w:rPr>
      </w:r>
      <w:r/>
    </w:p>
    <w:p>
      <w:pPr>
        <w:pStyle w:val="869"/>
        <w:rPr>
          <w:rFonts w:hint="default" w:ascii="Times New Roman" w:hAnsi="Times New Roman" w:cs="Times New Roman"/>
        </w:rPr>
      </w:pPr>
      <w:r>
        <w:rPr>
          <w:rFonts w:hint="default" w:ascii="Times New Roman" w:hAnsi="Times New Roman" w:cs="Times New Roman"/>
        </w:rPr>
      </w:r>
      <w:r/>
    </w:p>
    <w:p>
      <w:pPr>
        <w:pStyle w:val="869"/>
        <w:rPr>
          <w:rFonts w:hint="default" w:ascii="Times New Roman" w:hAnsi="Times New Roman" w:cs="Times New Roman"/>
        </w:rPr>
      </w:pPr>
      <w:r>
        <w:rPr>
          <w:rFonts w:hint="default" w:ascii="Times New Roman" w:hAnsi="Times New Roman" w:cs="Times New Roman"/>
        </w:rPr>
      </w:r>
      <w:r/>
    </w:p>
    <w:p>
      <w:pPr>
        <w:jc w:val="left"/>
        <w:widowControl/>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br w:type="page" w:clear="all"/>
      </w:r>
      <w:r/>
    </w:p>
    <w:p>
      <w:pPr>
        <w:jc w:val="center"/>
        <w:spacing w:line="360" w:lineRule="auto"/>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 xml:space="preserve">四、投标函</w:t>
      </w:r>
      <w:r/>
    </w:p>
    <w:p>
      <w:pPr>
        <w:ind w:firstLine="424"/>
        <w:spacing w:line="360" w:lineRule="auto"/>
        <w:rPr>
          <w:rFonts w:hint="default" w:ascii="Times New Roman" w:hAnsi="Times New Roman" w:cs="Times New Roman" w:eastAsiaTheme="minorEastAsia"/>
          <w:szCs w:val="21"/>
          <w:u w:val="single"/>
        </w:rPr>
      </w:pPr>
      <w:r>
        <w:rPr>
          <w:rFonts w:hint="default" w:ascii="Times New Roman" w:hAnsi="Times New Roman" w:cs="Times New Roman" w:eastAsiaTheme="minorEastAsia"/>
          <w:szCs w:val="21"/>
          <w:u w:val="single"/>
        </w:rPr>
      </w:r>
      <w:r/>
    </w:p>
    <w:p>
      <w:pPr>
        <w:ind w:firstLine="424"/>
        <w:spacing w:line="360" w:lineRule="auto"/>
        <w:rPr>
          <w:rFonts w:hint="default" w:ascii="Times New Roman" w:hAnsi="Times New Roman" w:cs="Times New Roman" w:eastAsiaTheme="minorEastAsia"/>
          <w:szCs w:val="21"/>
        </w:rPr>
      </w:pPr>
      <w:r>
        <w:rPr>
          <w:rFonts w:hint="default" w:ascii="Times New Roman" w:hAnsi="Times New Roman" w:cs="Times New Roman" w:eastAsiaTheme="minorEastAsia"/>
          <w:szCs w:val="21"/>
          <w:u w:val="single"/>
        </w:rPr>
        <w:t xml:space="preserve">致：</w:t>
      </w:r>
      <w:r>
        <w:rPr>
          <w:rFonts w:hint="default" w:ascii="Times New Roman" w:hAnsi="Times New Roman" w:cs="Times New Roman" w:eastAsiaTheme="minorEastAsia"/>
          <w:bCs/>
          <w:szCs w:val="21"/>
          <w:u w:val="single"/>
        </w:rPr>
        <w:t xml:space="preserve">苏州工业园区集中采购中心</w:t>
      </w:r>
      <w:r>
        <w:rPr>
          <w:rFonts w:hint="default" w:ascii="Times New Roman" w:hAnsi="Times New Roman" w:cs="Times New Roman" w:eastAsiaTheme="minorEastAsia"/>
          <w:szCs w:val="21"/>
        </w:rPr>
        <w:t xml:space="preserve">：</w:t>
      </w:r>
      <w:r/>
    </w:p>
    <w:p>
      <w:pPr>
        <w:ind w:firstLine="424"/>
        <w:spacing w:line="360" w:lineRule="auto"/>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我方已仔细研究了本项目的招标文件，决定参加本次投标。</w:t>
      </w:r>
      <w:r/>
    </w:p>
    <w:p>
      <w:pPr>
        <w:pStyle w:val="1038"/>
        <w:numPr>
          <w:ilvl w:val="0"/>
          <w:numId w:val="5"/>
        </w:numPr>
        <w:spacing w:line="360" w:lineRule="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 xml:space="preserve">我方愿意按提供满足招标文件全部要求的货物及服务工作，提供招标文件要求的所有资料，投标总报价包括完成本招标项目全部内容的一切费用。</w:t>
      </w:r>
      <w:r/>
    </w:p>
    <w:p>
      <w:pPr>
        <w:pStyle w:val="1038"/>
        <w:numPr>
          <w:ilvl w:val="0"/>
          <w:numId w:val="5"/>
        </w:numPr>
        <w:spacing w:line="360" w:lineRule="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 xml:space="preserve">如果中标，我方将严格履行招标文件中规定的每一项要求，按期、按质、按量履行合同的义务。</w:t>
      </w:r>
      <w:r/>
    </w:p>
    <w:p>
      <w:pPr>
        <w:pStyle w:val="1038"/>
        <w:numPr>
          <w:ilvl w:val="0"/>
          <w:numId w:val="5"/>
        </w:numPr>
        <w:spacing w:line="360" w:lineRule="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 xml:space="preserve">我方承诺本投标书的有效期限为</w:t>
      </w:r>
      <w:r>
        <w:rPr>
          <w:rFonts w:hint="default" w:ascii="Times New Roman" w:hAnsi="Times New Roman" w:cs="Times New Roman" w:eastAsiaTheme="minorEastAsia"/>
          <w:sz w:val="21"/>
          <w:szCs w:val="21"/>
          <w:u w:val="single"/>
        </w:rPr>
        <w:t xml:space="preserve"> 90  </w:t>
      </w:r>
      <w:r>
        <w:rPr>
          <w:rFonts w:hint="default" w:ascii="Times New Roman" w:hAnsi="Times New Roman" w:cs="Times New Roman" w:eastAsiaTheme="minorEastAsia"/>
          <w:sz w:val="21"/>
          <w:szCs w:val="21"/>
        </w:rPr>
        <w:t xml:space="preserve">天。</w:t>
      </w:r>
      <w:r/>
    </w:p>
    <w:p>
      <w:pPr>
        <w:pStyle w:val="1038"/>
        <w:numPr>
          <w:ilvl w:val="0"/>
          <w:numId w:val="5"/>
        </w:numPr>
        <w:spacing w:line="360" w:lineRule="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 xml:space="preserve">我方承诺该项投标在开标后的全过程中保持有效，不作任何更改和变动。</w:t>
      </w:r>
      <w:r/>
    </w:p>
    <w:p>
      <w:pPr>
        <w:pStyle w:val="1038"/>
        <w:numPr>
          <w:ilvl w:val="0"/>
          <w:numId w:val="5"/>
        </w:numPr>
        <w:spacing w:line="360" w:lineRule="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 xml:space="preserve">我方保证全部投标文件内容真实有效，若有虚假，愿意承担与此相关的一切责任。</w:t>
      </w:r>
      <w:r/>
    </w:p>
    <w:p>
      <w:pPr>
        <w:pStyle w:val="1038"/>
        <w:numPr>
          <w:ilvl w:val="0"/>
          <w:numId w:val="5"/>
        </w:numPr>
        <w:spacing w:line="360" w:lineRule="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 xml:space="preserve">我方承诺投标过程中不存在以下行为：</w:t>
      </w:r>
      <w:r/>
    </w:p>
    <w:p>
      <w:pPr>
        <w:ind w:firstLine="424"/>
        <w:spacing w:line="360" w:lineRule="auto"/>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a）提供虚假材料谋取中标、成交；</w:t>
      </w:r>
      <w:r/>
    </w:p>
    <w:p>
      <w:pPr>
        <w:ind w:firstLine="424"/>
        <w:spacing w:line="360" w:lineRule="auto"/>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b）采取不正当手段诋毁、排挤其他投标人；</w:t>
      </w:r>
      <w:r/>
    </w:p>
    <w:p>
      <w:pPr>
        <w:ind w:firstLine="424"/>
        <w:spacing w:line="360" w:lineRule="auto"/>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c）与采购人、其它投标人或者采购代理机构恶意串通；</w:t>
      </w:r>
      <w:r/>
    </w:p>
    <w:p>
      <w:pPr>
        <w:ind w:firstLine="424"/>
        <w:spacing w:line="360" w:lineRule="auto"/>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d）向采购人、采购代理机构行贿或者提供其他不正当利益；</w:t>
      </w:r>
      <w:r/>
    </w:p>
    <w:p>
      <w:pPr>
        <w:ind w:firstLine="424"/>
        <w:spacing w:line="360" w:lineRule="auto"/>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e）在招标采购过程中与采购人进行协商谈判；</w:t>
      </w:r>
      <w:r/>
    </w:p>
    <w:p>
      <w:pPr>
        <w:ind w:firstLine="424"/>
        <w:spacing w:line="360" w:lineRule="auto"/>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f）拒绝有关部门监督检查或提供虚假情况；</w:t>
      </w:r>
      <w:r/>
    </w:p>
    <w:p>
      <w:pPr>
        <w:ind w:firstLine="420"/>
        <w:spacing w:line="400" w:lineRule="exact"/>
        <w:rPr>
          <w:rFonts w:hint="default" w:ascii="Times New Roman" w:hAnsi="Times New Roman" w:cs="Times New Roman"/>
          <w:szCs w:val="24"/>
        </w:rPr>
      </w:pPr>
      <w:r/>
      <w:bookmarkStart w:id="62" w:name="_Hlk159246847"/>
      <w:r>
        <w:rPr>
          <w:rFonts w:hint="default" w:ascii="Times New Roman" w:hAnsi="Times New Roman" w:cs="Times New Roman"/>
          <w:szCs w:val="24"/>
        </w:rPr>
        <w:t xml:space="preserve">g）本函填写的电子邮箱为我方此次采购活动中的授权邮箱，该邮箱发至采购人或代理机构的函件无论是否签字或盖章，均视为我方的意思表示，我方均予以承认并承担相应后果。</w:t>
      </w:r>
      <w:bookmarkEnd w:id="62"/>
      <w:r/>
      <w:r/>
    </w:p>
    <w:p>
      <w:pPr>
        <w:pStyle w:val="869"/>
        <w:rPr>
          <w:rFonts w:hint="default" w:ascii="Times New Roman" w:hAnsi="Times New Roman" w:cs="Times New Roman"/>
        </w:rPr>
      </w:pPr>
      <w:r>
        <w:rPr>
          <w:rFonts w:hint="default" w:ascii="Times New Roman" w:hAnsi="Times New Roman" w:cs="Times New Roman"/>
        </w:rPr>
      </w:r>
      <w:r/>
    </w:p>
    <w:p>
      <w:pPr>
        <w:ind w:firstLine="424"/>
        <w:spacing w:line="360" w:lineRule="auto"/>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所有有关标书的函电，可按下列地址联系：</w:t>
      </w:r>
      <w:r/>
    </w:p>
    <w:p>
      <w:pPr>
        <w:ind w:left="1" w:firstLine="525"/>
        <w:spacing w:line="360" w:lineRule="auto"/>
        <w:tabs>
          <w:tab w:val="left" w:pos="360" w:leader="none"/>
        </w:tabs>
        <w:rPr>
          <w:rFonts w:hint="default" w:ascii="Times New Roman" w:hAnsi="Times New Roman" w:cs="Times New Roman" w:eastAsiaTheme="minorEastAsia"/>
          <w:bCs/>
          <w:szCs w:val="21"/>
        </w:rPr>
      </w:pPr>
      <w:r>
        <w:rPr>
          <w:rFonts w:hint="default" w:ascii="Times New Roman" w:hAnsi="Times New Roman" w:cs="Times New Roman" w:eastAsiaTheme="minorEastAsia"/>
          <w:bCs/>
          <w:szCs w:val="21"/>
        </w:rPr>
        <w:t xml:space="preserve">联系人：              联系电话：               电子邮箱：</w:t>
      </w:r>
      <w:r/>
    </w:p>
    <w:p>
      <w:pPr>
        <w:ind w:left="1" w:firstLine="525"/>
        <w:spacing w:line="360" w:lineRule="auto"/>
        <w:tabs>
          <w:tab w:val="left" w:pos="360" w:leader="none"/>
        </w:tabs>
        <w:rPr>
          <w:rFonts w:hint="default" w:ascii="Times New Roman" w:hAnsi="Times New Roman" w:cs="Times New Roman" w:eastAsiaTheme="minorEastAsia"/>
          <w:bCs/>
          <w:szCs w:val="21"/>
        </w:rPr>
      </w:pPr>
      <w:r>
        <w:rPr>
          <w:rFonts w:hint="default" w:ascii="Times New Roman" w:hAnsi="Times New Roman" w:cs="Times New Roman" w:eastAsiaTheme="minorEastAsia"/>
          <w:bCs/>
          <w:szCs w:val="21"/>
        </w:rPr>
        <w:t xml:space="preserve">地址：                                         邮政编码：</w:t>
      </w:r>
      <w:r/>
    </w:p>
    <w:p>
      <w:pPr>
        <w:ind w:left="1" w:firstLine="525"/>
        <w:jc w:val="left"/>
        <w:spacing w:line="360" w:lineRule="auto"/>
        <w:tabs>
          <w:tab w:val="left" w:pos="360" w:leader="none"/>
        </w:tabs>
        <w:rPr>
          <w:rFonts w:hint="default" w:ascii="Times New Roman" w:hAnsi="Times New Roman" w:cs="Times New Roman" w:eastAsiaTheme="minorEastAsia"/>
          <w:bCs/>
          <w:szCs w:val="21"/>
        </w:rPr>
      </w:pPr>
      <w:r>
        <w:rPr>
          <w:rFonts w:hint="default" w:ascii="Times New Roman" w:hAnsi="Times New Roman" w:cs="Times New Roman" w:eastAsiaTheme="minorEastAsia"/>
          <w:bCs/>
          <w:szCs w:val="21"/>
        </w:rPr>
      </w:r>
      <w:r/>
    </w:p>
    <w:p>
      <w:pPr>
        <w:ind w:firstLine="6090"/>
        <w:jc w:val="right"/>
        <w:spacing w:line="360" w:lineRule="auto"/>
        <w:rPr>
          <w:rFonts w:hint="default" w:ascii="Times New Roman" w:hAnsi="Times New Roman" w:cs="Times New Roman"/>
          <w:szCs w:val="21"/>
        </w:rPr>
      </w:pPr>
      <w:r/>
      <w:bookmarkStart w:id="63" w:name="_Hlk157962510"/>
      <w:r>
        <w:rPr>
          <w:rFonts w:hint="default" w:ascii="Times New Roman" w:hAnsi="Times New Roman" w:cs="Times New Roman"/>
          <w:szCs w:val="21"/>
        </w:rPr>
        <w:t xml:space="preserve">单位名称</w:t>
      </w:r>
      <w:r>
        <w:rPr>
          <w:rFonts w:hint="default" w:ascii="Times New Roman" w:hAnsi="Times New Roman" w:cs="Times New Roman"/>
          <w:szCs w:val="21"/>
        </w:rPr>
        <w:t xml:space="preserve">：（加盖CA电子公章）</w:t>
      </w:r>
      <w:r/>
    </w:p>
    <w:p>
      <w:pPr>
        <w:pStyle w:val="869"/>
        <w:jc w:val="right"/>
        <w:rPr>
          <w:rFonts w:hint="default" w:ascii="Times New Roman" w:hAnsi="Times New Roman" w:cs="Times New Roman"/>
        </w:rPr>
      </w:pPr>
      <w:r>
        <w:rPr>
          <w:rFonts w:hint="default" w:ascii="Times New Roman" w:hAnsi="Times New Roman" w:cs="Times New Roman"/>
        </w:rPr>
        <w:t xml:space="preserve">日期：　　　　年　　  月　　  日</w:t>
      </w:r>
      <w:bookmarkEnd w:id="63"/>
      <w:r/>
      <w:r/>
    </w:p>
    <w:p>
      <w:pPr>
        <w:jc w:val="center"/>
        <w:spacing w:line="360" w:lineRule="auto"/>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br w:type="page" w:clear="all"/>
      </w:r>
      <w:r/>
    </w:p>
    <w:p>
      <w:pPr>
        <w:jc w:val="center"/>
        <w:spacing w:line="360" w:lineRule="auto"/>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r>
      <w:r/>
    </w:p>
    <w:p>
      <w:pPr>
        <w:jc w:val="center"/>
        <w:spacing w:line="360" w:lineRule="auto"/>
        <w:rPr>
          <w:rFonts w:hint="default" w:ascii="Times New Roman" w:hAnsi="Times New Roman" w:cs="Times New Roman" w:eastAsiaTheme="minorEastAsia"/>
          <w:szCs w:val="21"/>
        </w:rPr>
      </w:pPr>
      <w:r>
        <w:rPr>
          <w:rFonts w:hint="default" w:ascii="Times New Roman" w:hAnsi="Times New Roman" w:cs="Times New Roman" w:eastAsiaTheme="minorEastAsia"/>
          <w:b/>
          <w:szCs w:val="21"/>
        </w:rPr>
        <w:t xml:space="preserve">五、参加政府采购活动前三年内，在经营活动中没有重大违法记录声明</w:t>
      </w:r>
      <w:r/>
    </w:p>
    <w:p>
      <w:pPr>
        <w:spacing w:line="360" w:lineRule="auto"/>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r>
      <w:r/>
    </w:p>
    <w:p>
      <w:pPr>
        <w:spacing w:line="360" w:lineRule="auto"/>
        <w:rPr>
          <w:rFonts w:hint="default" w:ascii="Times New Roman" w:hAnsi="Times New Roman" w:cs="Times New Roman" w:eastAsiaTheme="minorEastAsia"/>
          <w:szCs w:val="21"/>
          <w:u w:val="single"/>
        </w:rPr>
      </w:pPr>
      <w:r>
        <w:rPr>
          <w:rFonts w:hint="default" w:ascii="Times New Roman" w:hAnsi="Times New Roman" w:cs="Times New Roman" w:eastAsiaTheme="minorEastAsia"/>
          <w:szCs w:val="21"/>
          <w:u w:val="single"/>
        </w:rPr>
        <w:t xml:space="preserve">致：苏州工业园区集中采购中心：</w:t>
      </w:r>
      <w:r/>
    </w:p>
    <w:p>
      <w:pPr>
        <w:ind w:firstLine="567"/>
        <w:spacing w:line="360" w:lineRule="auto"/>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我单位</w:t>
      </w:r>
      <w:r>
        <w:rPr>
          <w:rFonts w:hint="default" w:ascii="Times New Roman" w:hAnsi="Times New Roman" w:cs="Times New Roman" w:eastAsiaTheme="minorEastAsia"/>
          <w:szCs w:val="21"/>
          <w:u w:val="single"/>
        </w:rPr>
        <w:t xml:space="preserve">         （投标人名称）        </w:t>
      </w:r>
      <w:r>
        <w:rPr>
          <w:rFonts w:hint="default" w:ascii="Times New Roman" w:hAnsi="Times New Roman" w:cs="Times New Roman" w:eastAsiaTheme="minorEastAsia"/>
          <w:szCs w:val="21"/>
        </w:rPr>
        <w:t xml:space="preserve"> 在参加政府采购活动前三年内，没有重大违法记录，特此声明。</w:t>
      </w:r>
      <w:r/>
    </w:p>
    <w:p>
      <w:pPr>
        <w:ind w:firstLine="567"/>
        <w:spacing w:line="360" w:lineRule="auto"/>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若采购代理机构在本项目采购过程中发现我单位近三年内在经营活动中有重大违法记录，我单位将无条件退出本项目的投标，并承担因此引起的一起后果。</w:t>
      </w:r>
      <w:r/>
    </w:p>
    <w:p>
      <w:pPr>
        <w:ind w:firstLine="420"/>
        <w:spacing w:line="360" w:lineRule="auto"/>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r>
      <w:r/>
    </w:p>
    <w:p>
      <w:pPr>
        <w:ind w:firstLine="6090"/>
        <w:jc w:val="right"/>
        <w:spacing w:line="360" w:lineRule="auto"/>
        <w:rPr>
          <w:rFonts w:hint="default" w:ascii="Times New Roman" w:hAnsi="Times New Roman" w:cs="Times New Roman"/>
          <w:szCs w:val="21"/>
        </w:rPr>
      </w:pPr>
      <w:r>
        <w:rPr>
          <w:rFonts w:hint="default" w:ascii="Times New Roman" w:hAnsi="Times New Roman" w:cs="Times New Roman"/>
          <w:szCs w:val="21"/>
        </w:rPr>
        <w:t xml:space="preserve">单位名称</w:t>
      </w:r>
      <w:r>
        <w:rPr>
          <w:rFonts w:hint="default" w:ascii="Times New Roman" w:hAnsi="Times New Roman" w:cs="Times New Roman"/>
          <w:szCs w:val="21"/>
        </w:rPr>
        <w:t xml:space="preserve">：（加盖CA电子公章）</w:t>
      </w:r>
      <w:r/>
    </w:p>
    <w:p>
      <w:pPr>
        <w:pStyle w:val="869"/>
        <w:jc w:val="right"/>
        <w:rPr>
          <w:rFonts w:hint="default" w:ascii="Times New Roman" w:hAnsi="Times New Roman" w:cs="Times New Roman"/>
        </w:rPr>
      </w:pPr>
      <w:r>
        <w:rPr>
          <w:rFonts w:hint="default" w:ascii="Times New Roman" w:hAnsi="Times New Roman" w:cs="Times New Roman"/>
        </w:rPr>
        <w:t xml:space="preserve">日期：　　　　年　　  月　　  日</w:t>
      </w:r>
      <w:r/>
    </w:p>
    <w:p>
      <w:pPr>
        <w:pStyle w:val="869"/>
        <w:rPr>
          <w:rFonts w:hint="default" w:ascii="Times New Roman" w:hAnsi="Times New Roman" w:cs="Times New Roman"/>
        </w:rPr>
      </w:pPr>
      <w:r>
        <w:rPr>
          <w:rFonts w:hint="default" w:ascii="Times New Roman" w:hAnsi="Times New Roman" w:cs="Times New Roman"/>
        </w:rPr>
      </w:r>
      <w:r/>
    </w:p>
    <w:p>
      <w:pPr>
        <w:spacing w:line="360" w:lineRule="auto"/>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r>
      <w:r/>
    </w:p>
    <w:p>
      <w:pPr>
        <w:ind w:firstLine="420"/>
        <w:jc w:val="center"/>
        <w:spacing w:line="360" w:lineRule="auto"/>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br w:type="page" w:clear="all"/>
      </w:r>
      <w:r/>
    </w:p>
    <w:p>
      <w:pPr>
        <w:ind w:firstLine="420"/>
        <w:jc w:val="center"/>
        <w:spacing w:line="360" w:lineRule="auto"/>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r>
      <w:r/>
    </w:p>
    <w:p>
      <w:pPr>
        <w:jc w:val="center"/>
        <w:spacing w:line="400" w:lineRule="exact"/>
        <w:rPr>
          <w:rFonts w:hint="default" w:ascii="Times New Roman" w:hAnsi="Times New Roman" w:cs="Times New Roman"/>
          <w:b/>
          <w:szCs w:val="21"/>
          <w:lang w:val="zh-CN"/>
        </w:rPr>
        <w:outlineLvl w:val="0"/>
      </w:pPr>
      <w:r>
        <w:rPr>
          <w:rFonts w:hint="default" w:ascii="Times New Roman" w:hAnsi="Times New Roman" w:cs="Times New Roman" w:eastAsiaTheme="minorEastAsia"/>
          <w:b/>
          <w:szCs w:val="21"/>
          <w:lang w:val="zh-CN"/>
        </w:rPr>
        <w:t xml:space="preserve">六、</w:t>
      </w:r>
      <w:bookmarkStart w:id="64" w:name="_Hlk75808397"/>
      <w:r>
        <w:rPr>
          <w:rFonts w:hint="default" w:ascii="Times New Roman" w:hAnsi="Times New Roman" w:cs="Times New Roman"/>
          <w:b/>
          <w:szCs w:val="21"/>
          <w:lang w:val="zh-CN"/>
        </w:rPr>
        <w:t xml:space="preserve">中小企业声明函</w:t>
      </w:r>
      <w:r/>
    </w:p>
    <w:p>
      <w:pPr>
        <w:ind w:firstLine="1575"/>
        <w:spacing w:line="400" w:lineRule="exact"/>
        <w:rPr>
          <w:rFonts w:hint="default" w:ascii="Times New Roman" w:hAnsi="Times New Roman" w:cs="Times New Roman"/>
          <w:szCs w:val="21"/>
          <w:lang w:val="zh-CN"/>
        </w:rPr>
      </w:pPr>
      <w:r>
        <w:rPr>
          <w:rFonts w:hint="default" w:ascii="Times New Roman" w:hAnsi="Times New Roman" w:cs="Times New Roman"/>
          <w:szCs w:val="21"/>
          <w:lang w:val="zh-CN"/>
        </w:rPr>
      </w:r>
      <w:r/>
    </w:p>
    <w:p>
      <w:pPr>
        <w:ind w:firstLine="630"/>
        <w:spacing w:line="360" w:lineRule="auto"/>
        <w:rPr>
          <w:rFonts w:hint="default" w:ascii="Times New Roman" w:hAnsi="Times New Roman" w:cs="Times New Roman"/>
          <w:szCs w:val="21"/>
        </w:rPr>
      </w:pPr>
      <w:r>
        <w:rPr>
          <w:rFonts w:hint="default" w:ascii="Times New Roman" w:hAnsi="Times New Roman" w:cs="Times New Roman"/>
          <w:szCs w:val="21"/>
          <w:lang w:val="zh-CN"/>
        </w:rPr>
        <w:t xml:space="preserve">本公司郑重声明，根据《政府采购促进中小企业发展管理办法》（财库﹝2020﹞46 号）的规定，本公司参加</w:t>
      </w:r>
      <w:r>
        <w:rPr>
          <w:rFonts w:hint="default" w:ascii="Times New Roman" w:hAnsi="Times New Roman" w:cs="Times New Roman"/>
          <w:szCs w:val="21"/>
          <w:u w:val="single"/>
          <w:lang w:val="zh-CN"/>
        </w:rPr>
        <w:t xml:space="preserve">（单位名称）</w:t>
      </w:r>
      <w:r>
        <w:rPr>
          <w:rFonts w:hint="default" w:ascii="Times New Roman" w:hAnsi="Times New Roman" w:cs="Times New Roman"/>
          <w:szCs w:val="21"/>
          <w:lang w:val="zh-CN"/>
        </w:rPr>
        <w:t xml:space="preserve">的</w:t>
      </w:r>
      <w:r>
        <w:rPr>
          <w:rFonts w:hint="default" w:ascii="Times New Roman" w:hAnsi="Times New Roman" w:cs="Times New Roman"/>
          <w:bCs/>
          <w:szCs w:val="21"/>
          <w:u w:val="single"/>
        </w:rPr>
        <w:t xml:space="preserve">（项目名称）</w:t>
      </w:r>
      <w:r>
        <w:rPr>
          <w:rFonts w:hint="default" w:ascii="Times New Roman" w:hAnsi="Times New Roman" w:cs="Times New Roman"/>
          <w:szCs w:val="21"/>
          <w:lang w:val="zh-CN"/>
        </w:rPr>
        <w:t xml:space="preserve">采购活动，</w:t>
      </w:r>
      <w:r>
        <w:rPr>
          <w:rFonts w:hint="default" w:ascii="Times New Roman" w:hAnsi="Times New Roman" w:cs="Times New Roman"/>
          <w:szCs w:val="21"/>
        </w:rPr>
        <w:t xml:space="preserve">提供的货物全部由符合政策要求的中小企业制造。</w:t>
      </w:r>
      <w:r>
        <w:rPr>
          <w:rFonts w:hint="default" w:ascii="Times New Roman" w:hAnsi="Times New Roman" w:cs="Times New Roman"/>
          <w:szCs w:val="21"/>
          <w:lang w:val="zh-CN"/>
        </w:rPr>
        <w:t xml:space="preserve">相关企业（含联合体中的中小企业、签订分包意向协议的中小企业）的具体情况如下：</w:t>
      </w:r>
      <w:r/>
    </w:p>
    <w:p>
      <w:pPr>
        <w:ind w:firstLine="630"/>
        <w:spacing w:line="360" w:lineRule="auto"/>
        <w:rPr>
          <w:rFonts w:hint="default" w:ascii="Times New Roman" w:hAnsi="Times New Roman" w:cs="Times New Roman"/>
          <w:szCs w:val="21"/>
          <w:lang w:val="zh-CN"/>
        </w:rPr>
      </w:pPr>
      <w:r>
        <w:rPr>
          <w:rFonts w:hint="default" w:ascii="Times New Roman" w:hAnsi="Times New Roman" w:cs="Times New Roman"/>
          <w:szCs w:val="21"/>
          <w:lang w:val="zh-CN"/>
        </w:rPr>
        <w:t xml:space="preserve">1. </w:t>
      </w:r>
      <w:r>
        <w:rPr>
          <w:rFonts w:hint="default" w:ascii="Times New Roman" w:hAnsi="Times New Roman" w:cs="Times New Roman"/>
          <w:szCs w:val="21"/>
          <w:u w:val="single"/>
          <w:lang w:val="zh-CN"/>
        </w:rPr>
        <w:t xml:space="preserve">（标的名称）</w:t>
      </w:r>
      <w:r>
        <w:rPr>
          <w:rFonts w:hint="default" w:ascii="Times New Roman" w:hAnsi="Times New Roman" w:cs="Times New Roman"/>
          <w:szCs w:val="21"/>
          <w:lang w:val="zh-CN"/>
        </w:rPr>
        <w:t xml:space="preserve">，属于</w:t>
      </w:r>
      <w:r>
        <w:rPr>
          <w:rFonts w:hint="default" w:ascii="Times New Roman" w:hAnsi="Times New Roman" w:cs="Times New Roman"/>
          <w:szCs w:val="21"/>
          <w:u w:val="single"/>
          <w:lang w:val="zh-CN"/>
        </w:rPr>
        <w:t xml:space="preserve">工业</w:t>
      </w:r>
      <w:r>
        <w:rPr>
          <w:rFonts w:hint="default" w:ascii="Times New Roman" w:hAnsi="Times New Roman" w:cs="Times New Roman"/>
          <w:szCs w:val="21"/>
          <w:lang w:val="zh-CN"/>
        </w:rPr>
        <w:t xml:space="preserve">；制造商为</w:t>
      </w:r>
      <w:r>
        <w:rPr>
          <w:rFonts w:hint="default" w:ascii="Times New Roman" w:hAnsi="Times New Roman" w:cs="Times New Roman"/>
          <w:szCs w:val="21"/>
          <w:u w:val="single"/>
          <w:lang w:val="zh-CN"/>
        </w:rPr>
        <w:t xml:space="preserve">（企业名称）</w:t>
      </w:r>
      <w:r>
        <w:rPr>
          <w:rFonts w:hint="default" w:ascii="Times New Roman" w:hAnsi="Times New Roman" w:cs="Times New Roman"/>
          <w:szCs w:val="21"/>
          <w:lang w:val="zh-CN"/>
        </w:rPr>
        <w:t xml:space="preserve">，从业人员人，营业收入为</w:t>
      </w:r>
      <w:r>
        <w:rPr>
          <w:rFonts w:hint="default" w:ascii="Times New Roman" w:hAnsi="Times New Roman" w:cs="Times New Roman"/>
          <w:szCs w:val="21"/>
          <w:u w:val="single"/>
          <w:lang w:val="zh-CN"/>
        </w:rPr>
        <w:t xml:space="preserve">         </w:t>
      </w:r>
      <w:r>
        <w:rPr>
          <w:rFonts w:hint="default" w:ascii="Times New Roman" w:hAnsi="Times New Roman" w:cs="Times New Roman"/>
          <w:szCs w:val="21"/>
          <w:lang w:val="zh-CN"/>
        </w:rPr>
        <w:t xml:space="preserve">万元，资产总额为</w:t>
      </w:r>
      <w:r>
        <w:rPr>
          <w:rFonts w:hint="default" w:ascii="Times New Roman" w:hAnsi="Times New Roman" w:cs="Times New Roman"/>
          <w:szCs w:val="21"/>
          <w:u w:val="single"/>
          <w:lang w:val="zh-CN"/>
        </w:rPr>
        <w:t xml:space="preserve">         </w:t>
      </w:r>
      <w:r>
        <w:rPr>
          <w:rFonts w:hint="default" w:ascii="Times New Roman" w:hAnsi="Times New Roman" w:cs="Times New Roman"/>
          <w:szCs w:val="21"/>
          <w:lang w:val="zh-CN"/>
        </w:rPr>
        <w:t xml:space="preserve">万元，属于</w:t>
      </w:r>
      <w:r>
        <w:rPr>
          <w:rFonts w:hint="default" w:ascii="Times New Roman" w:hAnsi="Times New Roman" w:cs="Times New Roman"/>
          <w:szCs w:val="21"/>
          <w:u w:val="single"/>
          <w:lang w:val="zh-CN"/>
        </w:rPr>
        <w:t xml:space="preserve">         </w:t>
      </w:r>
      <w:r>
        <w:rPr>
          <w:rFonts w:hint="default" w:ascii="Times New Roman" w:hAnsi="Times New Roman" w:cs="Times New Roman"/>
          <w:szCs w:val="21"/>
          <w:lang w:val="zh-CN"/>
        </w:rPr>
        <w:t xml:space="preserve">（中型企业、小型企业、微型企业，三者选一填写）；</w:t>
      </w:r>
      <w:r/>
    </w:p>
    <w:p>
      <w:pPr>
        <w:ind w:firstLine="630"/>
        <w:spacing w:line="360" w:lineRule="auto"/>
        <w:rPr>
          <w:rFonts w:hint="default" w:ascii="Times New Roman" w:hAnsi="Times New Roman" w:cs="Times New Roman"/>
          <w:szCs w:val="21"/>
          <w:lang w:val="zh-CN"/>
        </w:rPr>
      </w:pPr>
      <w:r>
        <w:rPr>
          <w:rFonts w:hint="default" w:ascii="Times New Roman" w:hAnsi="Times New Roman" w:cs="Times New Roman"/>
          <w:szCs w:val="21"/>
          <w:lang w:val="zh-CN"/>
        </w:rPr>
        <w:t xml:space="preserve">2. </w:t>
      </w:r>
      <w:r>
        <w:rPr>
          <w:rFonts w:hint="default" w:ascii="Times New Roman" w:hAnsi="Times New Roman" w:cs="Times New Roman"/>
          <w:szCs w:val="21"/>
          <w:u w:val="single"/>
          <w:lang w:val="zh-CN"/>
        </w:rPr>
        <w:t xml:space="preserve">（标的名称）</w:t>
      </w:r>
      <w:r>
        <w:rPr>
          <w:rFonts w:hint="default" w:ascii="Times New Roman" w:hAnsi="Times New Roman" w:cs="Times New Roman"/>
          <w:szCs w:val="21"/>
          <w:lang w:val="zh-CN"/>
        </w:rPr>
        <w:t xml:space="preserve">，属于</w:t>
      </w:r>
      <w:r>
        <w:rPr>
          <w:rFonts w:hint="default" w:ascii="Times New Roman" w:hAnsi="Times New Roman" w:cs="Times New Roman"/>
          <w:szCs w:val="21"/>
          <w:u w:val="single"/>
          <w:lang w:val="zh-CN"/>
        </w:rPr>
        <w:t xml:space="preserve">工业</w:t>
      </w:r>
      <w:r>
        <w:rPr>
          <w:rFonts w:hint="default" w:ascii="Times New Roman" w:hAnsi="Times New Roman" w:cs="Times New Roman"/>
          <w:szCs w:val="21"/>
          <w:lang w:val="zh-CN"/>
        </w:rPr>
        <w:t xml:space="preserve">；制造商为</w:t>
      </w:r>
      <w:r>
        <w:rPr>
          <w:rFonts w:hint="default" w:ascii="Times New Roman" w:hAnsi="Times New Roman" w:cs="Times New Roman"/>
          <w:szCs w:val="21"/>
          <w:u w:val="single"/>
          <w:lang w:val="zh-CN"/>
        </w:rPr>
        <w:t xml:space="preserve">（企业名称）</w:t>
      </w:r>
      <w:r>
        <w:rPr>
          <w:rFonts w:hint="default" w:ascii="Times New Roman" w:hAnsi="Times New Roman" w:cs="Times New Roman"/>
          <w:szCs w:val="21"/>
          <w:lang w:val="zh-CN"/>
        </w:rPr>
        <w:t xml:space="preserve">，从业人员人，营业收入为</w:t>
      </w:r>
      <w:r>
        <w:rPr>
          <w:rFonts w:hint="default" w:ascii="Times New Roman" w:hAnsi="Times New Roman" w:cs="Times New Roman"/>
          <w:szCs w:val="21"/>
          <w:u w:val="single"/>
          <w:lang w:val="zh-CN"/>
        </w:rPr>
        <w:t xml:space="preserve">         </w:t>
      </w:r>
      <w:r>
        <w:rPr>
          <w:rFonts w:hint="default" w:ascii="Times New Roman" w:hAnsi="Times New Roman" w:cs="Times New Roman"/>
          <w:szCs w:val="21"/>
          <w:lang w:val="zh-CN"/>
        </w:rPr>
        <w:t xml:space="preserve">万元，资产总额为</w:t>
      </w:r>
      <w:r>
        <w:rPr>
          <w:rFonts w:hint="default" w:ascii="Times New Roman" w:hAnsi="Times New Roman" w:cs="Times New Roman"/>
          <w:szCs w:val="21"/>
          <w:u w:val="single"/>
          <w:lang w:val="zh-CN"/>
        </w:rPr>
        <w:t xml:space="preserve">         </w:t>
      </w:r>
      <w:r>
        <w:rPr>
          <w:rFonts w:hint="default" w:ascii="Times New Roman" w:hAnsi="Times New Roman" w:cs="Times New Roman"/>
          <w:szCs w:val="21"/>
          <w:lang w:val="zh-CN"/>
        </w:rPr>
        <w:t xml:space="preserve">万元，属于</w:t>
      </w:r>
      <w:r>
        <w:rPr>
          <w:rFonts w:hint="default" w:ascii="Times New Roman" w:hAnsi="Times New Roman" w:cs="Times New Roman"/>
          <w:szCs w:val="21"/>
          <w:u w:val="single"/>
          <w:lang w:val="zh-CN"/>
        </w:rPr>
        <w:t xml:space="preserve">         </w:t>
      </w:r>
      <w:r>
        <w:rPr>
          <w:rFonts w:hint="default" w:ascii="Times New Roman" w:hAnsi="Times New Roman" w:cs="Times New Roman"/>
          <w:szCs w:val="21"/>
          <w:lang w:val="zh-CN"/>
        </w:rPr>
        <w:t xml:space="preserve">（中型企业、小型企业、微型企业，三者选一填写）；</w:t>
      </w:r>
      <w:r/>
    </w:p>
    <w:p>
      <w:pPr>
        <w:ind w:firstLine="630"/>
        <w:spacing w:line="360" w:lineRule="auto"/>
        <w:rPr>
          <w:rFonts w:hint="default" w:ascii="Times New Roman" w:hAnsi="Times New Roman" w:cs="Times New Roman"/>
          <w:szCs w:val="21"/>
          <w:lang w:val="zh-CN"/>
        </w:rPr>
      </w:pPr>
      <w:r>
        <w:rPr>
          <w:rFonts w:hint="default" w:ascii="Times New Roman" w:hAnsi="Times New Roman" w:cs="Times New Roman"/>
          <w:szCs w:val="21"/>
          <w:lang w:val="zh-CN"/>
        </w:rPr>
        <w:t xml:space="preserve">……</w:t>
      </w:r>
      <w:r/>
    </w:p>
    <w:p>
      <w:pPr>
        <w:ind w:firstLine="630"/>
        <w:spacing w:line="360" w:lineRule="auto"/>
        <w:rPr>
          <w:rFonts w:hint="default" w:ascii="Times New Roman" w:hAnsi="Times New Roman" w:cs="Times New Roman"/>
          <w:szCs w:val="21"/>
          <w:lang w:val="zh-CN"/>
        </w:rPr>
      </w:pPr>
      <w:r>
        <w:rPr>
          <w:rFonts w:hint="default" w:ascii="Times New Roman" w:hAnsi="Times New Roman" w:cs="Times New Roman"/>
          <w:szCs w:val="21"/>
          <w:lang w:val="zh-CN"/>
        </w:rPr>
        <w:t xml:space="preserve">以上企业，不属于大企业的分支机构，不存在控股股东为大企业的情形，也不存在与大企业的负责人为同一人的情形。</w:t>
      </w:r>
      <w:r/>
    </w:p>
    <w:p>
      <w:pPr>
        <w:ind w:firstLine="630"/>
        <w:spacing w:line="360" w:lineRule="auto"/>
        <w:rPr>
          <w:rFonts w:hint="default" w:ascii="Times New Roman" w:hAnsi="Times New Roman" w:cs="Times New Roman"/>
          <w:szCs w:val="21"/>
          <w:lang w:val="zh-CN"/>
        </w:rPr>
      </w:pPr>
      <w:r>
        <w:rPr>
          <w:rFonts w:hint="default" w:ascii="Times New Roman" w:hAnsi="Times New Roman" w:cs="Times New Roman"/>
          <w:szCs w:val="21"/>
          <w:lang w:val="zh-CN"/>
        </w:rPr>
        <w:t xml:space="preserve">本企业对上述声明内容的真实性负责。如有虚假，将依法承担相应责任。</w:t>
      </w:r>
      <w:r/>
    </w:p>
    <w:p>
      <w:pPr>
        <w:ind w:firstLine="5880"/>
        <w:spacing w:line="360" w:lineRule="auto"/>
        <w:rPr>
          <w:rFonts w:hint="default" w:ascii="Times New Roman" w:hAnsi="Times New Roman" w:cs="Times New Roman"/>
          <w:szCs w:val="24"/>
        </w:rPr>
      </w:pPr>
      <w:r>
        <w:rPr>
          <w:rFonts w:hint="default" w:ascii="Times New Roman" w:hAnsi="Times New Roman" w:cs="Times New Roman"/>
          <w:szCs w:val="21"/>
          <w:lang w:val="zh-CN"/>
        </w:rPr>
        <w:t xml:space="preserve">企业名称（盖章）：</w:t>
      </w:r>
      <w:r/>
    </w:p>
    <w:p>
      <w:pPr>
        <w:ind w:firstLine="5880"/>
        <w:spacing w:line="360" w:lineRule="auto"/>
        <w:rPr>
          <w:rFonts w:hint="default" w:ascii="Times New Roman" w:hAnsi="Times New Roman" w:cs="Times New Roman"/>
          <w:szCs w:val="21"/>
          <w:lang w:val="zh-CN"/>
        </w:rPr>
      </w:pPr>
      <w:r>
        <w:rPr>
          <w:rFonts w:hint="default" w:ascii="Times New Roman" w:hAnsi="Times New Roman" w:cs="Times New Roman"/>
          <w:szCs w:val="21"/>
          <w:lang w:val="zh-CN"/>
        </w:rPr>
        <w:t xml:space="preserve">日期：</w:t>
      </w:r>
      <w:r>
        <w:rPr>
          <w:rFonts w:hint="default" w:ascii="Times New Roman" w:hAnsi="Times New Roman" w:cs="Times New Roman"/>
          <w:szCs w:val="24"/>
        </w:rPr>
        <w:t xml:space="preserve">（填写）</w:t>
      </w:r>
      <w:r/>
    </w:p>
    <w:p>
      <w:pPr>
        <w:jc w:val="center"/>
        <w:widowControl/>
        <w:rPr>
          <w:rFonts w:hint="default" w:ascii="Times New Roman" w:hAnsi="Times New Roman" w:cs="Times New Roman"/>
        </w:rPr>
      </w:pPr>
      <w:r>
        <w:rPr>
          <w:rFonts w:hint="default" w:ascii="Times New Roman" w:hAnsi="Times New Roman" w:cs="Times New Roman"/>
        </w:rPr>
      </w:r>
      <w:r/>
    </w:p>
    <w:p>
      <w:pPr>
        <w:ind w:firstLine="422"/>
        <w:jc w:val="left"/>
        <w:spacing w:line="380" w:lineRule="exact"/>
        <w:rPr>
          <w:rFonts w:hint="default" w:ascii="Times New Roman" w:hAnsi="Times New Roman" w:cs="Times New Roman"/>
          <w:b/>
          <w:szCs w:val="21"/>
        </w:rPr>
      </w:pPr>
      <w:r>
        <w:rPr>
          <w:rFonts w:hint="default" w:ascii="Times New Roman" w:hAnsi="Times New Roman" w:cs="Times New Roman"/>
          <w:b/>
          <w:szCs w:val="21"/>
        </w:rPr>
        <w:t xml:space="preserve">备注：</w:t>
      </w:r>
      <w:r/>
    </w:p>
    <w:p>
      <w:pPr>
        <w:numPr>
          <w:ilvl w:val="0"/>
          <w:numId w:val="6"/>
        </w:numPr>
        <w:spacing w:line="380" w:lineRule="exact"/>
        <w:rPr>
          <w:rFonts w:hint="default" w:ascii="Times New Roman" w:hAnsi="Times New Roman" w:cs="Times New Roman"/>
          <w:szCs w:val="21"/>
          <w:lang w:val="zh-CN"/>
        </w:rPr>
      </w:pPr>
      <w:r>
        <w:rPr>
          <w:rFonts w:hint="default" w:ascii="Times New Roman" w:hAnsi="Times New Roman" w:cs="Times New Roman"/>
          <w:szCs w:val="21"/>
          <w:lang w:val="zh-CN"/>
        </w:rPr>
        <w:t xml:space="preserve">从业人员、营业收入、资产总额填报上一年度数据，无上一年度数据的新成立企业可不填报；</w:t>
      </w:r>
      <w:r/>
    </w:p>
    <w:p>
      <w:pPr>
        <w:numPr>
          <w:ilvl w:val="0"/>
          <w:numId w:val="6"/>
        </w:numPr>
        <w:spacing w:line="380" w:lineRule="exact"/>
        <w:rPr>
          <w:rFonts w:hint="default" w:ascii="Times New Roman" w:hAnsi="Times New Roman" w:cs="Times New Roman"/>
          <w:szCs w:val="21"/>
          <w:lang w:val="zh-CN"/>
        </w:rPr>
      </w:pPr>
      <w:r>
        <w:rPr>
          <w:rFonts w:hint="default" w:ascii="Times New Roman" w:hAnsi="Times New Roman" w:cs="Times New Roman"/>
          <w:b/>
          <w:szCs w:val="21"/>
          <w:lang w:val="zh-CN"/>
        </w:rPr>
        <w:t xml:space="preserve">若一个采购项目或采购包中含有多个货物采购标的的，则每个采购标的均应由中小企业制造。声明函中未包含采购的所有货物的制造商的，视为未提供中小企业声明函，不享受中小企业扶持政策</w:t>
      </w:r>
      <w:r>
        <w:rPr>
          <w:rFonts w:hint="default" w:ascii="Times New Roman" w:hAnsi="Times New Roman" w:cs="Times New Roman"/>
          <w:szCs w:val="21"/>
          <w:lang w:val="zh-CN"/>
        </w:rPr>
        <w:t xml:space="preserve">；</w:t>
      </w:r>
      <w:r/>
    </w:p>
    <w:p>
      <w:pPr>
        <w:numPr>
          <w:ilvl w:val="0"/>
          <w:numId w:val="6"/>
        </w:numPr>
        <w:spacing w:line="380" w:lineRule="exact"/>
        <w:rPr>
          <w:rFonts w:hint="default" w:ascii="Times New Roman" w:hAnsi="Times New Roman" w:cs="Times New Roman"/>
          <w:szCs w:val="21"/>
          <w:lang w:val="zh-CN"/>
        </w:rPr>
      </w:pPr>
      <w:r>
        <w:rPr>
          <w:rFonts w:hint="default" w:ascii="Times New Roman" w:hAnsi="Times New Roman" w:cs="Times New Roman"/>
          <w:szCs w:val="21"/>
          <w:lang w:val="zh-CN"/>
        </w:rPr>
        <w:t xml:space="preserve">若供应商提供的“中小企业声明函”内容不实的，属于提供虚假材料谋取中标、成交，依照《中华人民共和国政府采购法》等国家有关规定追究相应责任；</w:t>
      </w:r>
      <w:r/>
    </w:p>
    <w:p>
      <w:pPr>
        <w:numPr>
          <w:ilvl w:val="0"/>
          <w:numId w:val="6"/>
        </w:numPr>
        <w:spacing w:line="380" w:lineRule="exact"/>
        <w:rPr>
          <w:rFonts w:hint="default" w:ascii="Times New Roman" w:hAnsi="Times New Roman" w:cs="Times New Roman"/>
          <w:szCs w:val="21"/>
          <w:lang w:val="zh-CN"/>
        </w:rPr>
      </w:pPr>
      <w:r>
        <w:rPr>
          <w:rFonts w:hint="default" w:ascii="Times New Roman" w:hAnsi="Times New Roman" w:cs="Times New Roman"/>
          <w:szCs w:val="21"/>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bookmarkStart w:id="65" w:name="_Hlk72923453"/>
      <w:r>
        <w:rPr>
          <w:rFonts w:hint="default" w:ascii="Times New Roman" w:hAnsi="Times New Roman" w:cs="Times New Roman"/>
          <w:szCs w:val="21"/>
          <w:lang w:val="zh-CN"/>
        </w:rPr>
        <w:t xml:space="preserve">符合中小企业划分标准的个体工商户，在政府采购活动中视同中小企业</w:t>
      </w:r>
      <w:bookmarkEnd w:id="65"/>
      <w:r>
        <w:rPr>
          <w:rFonts w:hint="default" w:ascii="Times New Roman" w:hAnsi="Times New Roman" w:cs="Times New Roman"/>
          <w:szCs w:val="21"/>
          <w:lang w:val="zh-CN"/>
        </w:rPr>
        <w:t xml:space="preserve">。</w:t>
      </w:r>
      <w:r/>
    </w:p>
    <w:p>
      <w:pPr>
        <w:numPr>
          <w:ilvl w:val="0"/>
          <w:numId w:val="6"/>
        </w:numPr>
        <w:ind w:left="851"/>
        <w:spacing w:line="380" w:lineRule="exact"/>
        <w:rPr>
          <w:rFonts w:hint="default" w:ascii="Times New Roman" w:hAnsi="Times New Roman" w:cs="Times New Roman"/>
          <w:szCs w:val="21"/>
          <w:lang w:val="zh-CN"/>
        </w:rPr>
      </w:pPr>
      <w:r/>
      <w:bookmarkStart w:id="66" w:name="_Hlk94450593"/>
      <w:r>
        <w:rPr>
          <w:rFonts w:hint="default" w:ascii="Times New Roman" w:hAnsi="Times New Roman" w:cs="Times New Roman" w:eastAsiaTheme="minorEastAsia"/>
          <w:color w:val="000000" w:themeColor="text1"/>
          <w14:textFill>
            <w14:solidFill>
              <w14:schemeClr w14:val="tx1"/>
            </w14:solidFill>
          </w14:textFill>
        </w:rPr>
        <w:t xml:space="preserve">投标文件中的电子签章视为投标人对本声明进行了签署盖章并承担相应责任。</w:t>
      </w:r>
      <w:bookmarkEnd w:id="66"/>
      <w:r/>
      <w:r/>
    </w:p>
    <w:p>
      <w:pPr>
        <w:jc w:val="left"/>
        <w:widowControl/>
        <w:rPr>
          <w:rFonts w:hint="default" w:ascii="Times New Roman" w:hAnsi="Times New Roman" w:cs="Times New Roman"/>
        </w:rPr>
      </w:pPr>
      <w:r>
        <w:rPr>
          <w:rFonts w:hint="default" w:ascii="Times New Roman" w:hAnsi="Times New Roman" w:cs="Times New Roman"/>
        </w:rPr>
        <w:br w:type="page" w:clear="all"/>
      </w:r>
      <w:r/>
    </w:p>
    <w:p>
      <w:pPr>
        <w:spacing w:line="240" w:lineRule="exact"/>
        <w:rPr>
          <w:rFonts w:hint="default" w:ascii="Times New Roman" w:hAnsi="Times New Roman" w:cs="Times New Roman"/>
          <w:b/>
        </w:rPr>
      </w:pPr>
      <w:r>
        <w:rPr>
          <w:rFonts w:hint="default" w:ascii="Times New Roman" w:hAnsi="Times New Roman" w:cs="Times New Roman"/>
          <w:b/>
        </w:rPr>
        <w:t xml:space="preserve">附：中小企业划型标准规定（工信部联企业〔2011〕300号）</w:t>
      </w:r>
      <w:r/>
    </w:p>
    <w:p>
      <w:pPr>
        <w:pStyle w:val="1180"/>
        <w:ind w:firstLine="420"/>
        <w:rPr>
          <w:rFonts w:hint="default" w:ascii="Times New Roman" w:hAnsi="Times New Roman" w:cs="Times New Roman"/>
        </w:rPr>
      </w:pPr>
      <w:r>
        <w:rPr>
          <w:rFonts w:hint="default" w:ascii="Times New Roman" w:hAnsi="Times New Roman" w:cs="Times New Roman"/>
        </w:rPr>
      </w:r>
      <w:r/>
    </w:p>
    <w:p>
      <w:pPr>
        <w:ind w:firstLine="422"/>
        <w:spacing w:line="240" w:lineRule="exact"/>
        <w:rPr>
          <w:rFonts w:hint="default" w:ascii="Times New Roman" w:hAnsi="Times New Roman" w:cs="Times New Roman"/>
        </w:rPr>
      </w:pPr>
      <w:r>
        <w:rPr>
          <w:rFonts w:hint="default" w:ascii="Times New Roman" w:hAnsi="Times New Roman" w:cs="Times New Roman"/>
          <w:b/>
        </w:rPr>
        <w:t xml:space="preserve">（一）农、林、牧、渔业。</w:t>
      </w:r>
      <w:r>
        <w:rPr>
          <w:rFonts w:hint="default" w:ascii="Times New Roman" w:hAnsi="Times New Roman" w:cs="Times New Roman"/>
        </w:rPr>
        <w:t xml:space="preserve">营业收入20000万元以下的为中小微型企业。其中，营业收入500万元及以上的为中型企业，营业收入50万元及以上的为小型企业，营业收入50万元以下的为微型企业。</w:t>
      </w:r>
      <w:r/>
    </w:p>
    <w:p>
      <w:pPr>
        <w:ind w:firstLine="422"/>
        <w:spacing w:line="240" w:lineRule="exact"/>
        <w:rPr>
          <w:rFonts w:hint="default" w:ascii="Times New Roman" w:hAnsi="Times New Roman" w:cs="Times New Roman"/>
        </w:rPr>
      </w:pPr>
      <w:r>
        <w:rPr>
          <w:rFonts w:hint="default" w:ascii="Times New Roman" w:hAnsi="Times New Roman" w:cs="Times New Roman"/>
          <w:b/>
        </w:rPr>
        <w:t xml:space="preserve">（二）工业。</w:t>
      </w:r>
      <w:r>
        <w:rPr>
          <w:rFonts w:hint="default" w:ascii="Times New Roman" w:hAnsi="Times New Roman" w:cs="Times New Roma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240" w:lineRule="exact"/>
        <w:rPr>
          <w:rFonts w:hint="default" w:ascii="Times New Roman" w:hAnsi="Times New Roman" w:cs="Times New Roman"/>
        </w:rPr>
      </w:pPr>
      <w:r>
        <w:rPr>
          <w:rFonts w:hint="default" w:ascii="Times New Roman" w:hAnsi="Times New Roman" w:cs="Times New Roman"/>
          <w:b/>
        </w:rPr>
        <w:t xml:space="preserve">（三）建筑业。</w:t>
      </w:r>
      <w:r>
        <w:rPr>
          <w:rFonts w:hint="default" w:ascii="Times New Roman" w:hAnsi="Times New Roman" w:cs="Times New Roman"/>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240" w:lineRule="exact"/>
        <w:rPr>
          <w:rFonts w:hint="default" w:ascii="Times New Roman" w:hAnsi="Times New Roman" w:cs="Times New Roman"/>
        </w:rPr>
      </w:pPr>
      <w:r>
        <w:rPr>
          <w:rFonts w:hint="default" w:ascii="Times New Roman" w:hAnsi="Times New Roman" w:cs="Times New Roman"/>
          <w:b/>
        </w:rPr>
        <w:t xml:space="preserve">（四）批发业。</w:t>
      </w:r>
      <w:r>
        <w:rPr>
          <w:rFonts w:hint="default" w:ascii="Times New Roman" w:hAnsi="Times New Roman" w:cs="Times New Roman"/>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240" w:lineRule="exact"/>
        <w:rPr>
          <w:rFonts w:hint="default" w:ascii="Times New Roman" w:hAnsi="Times New Roman" w:cs="Times New Roman"/>
        </w:rPr>
      </w:pPr>
      <w:r>
        <w:rPr>
          <w:rFonts w:hint="default" w:ascii="Times New Roman" w:hAnsi="Times New Roman" w:cs="Times New Roman"/>
          <w:b/>
        </w:rPr>
        <w:t xml:space="preserve">（五）零售业。</w:t>
      </w:r>
      <w:r>
        <w:rPr>
          <w:rFonts w:hint="default" w:ascii="Times New Roman" w:hAnsi="Times New Roman" w:cs="Times New Roman"/>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240" w:lineRule="exact"/>
        <w:rPr>
          <w:rFonts w:hint="default" w:ascii="Times New Roman" w:hAnsi="Times New Roman" w:cs="Times New Roman"/>
        </w:rPr>
      </w:pPr>
      <w:r>
        <w:rPr>
          <w:rFonts w:hint="default" w:ascii="Times New Roman" w:hAnsi="Times New Roman" w:cs="Times New Roman"/>
          <w:b/>
        </w:rPr>
        <w:t xml:space="preserve">（六）交通运输业。</w:t>
      </w:r>
      <w:r>
        <w:rPr>
          <w:rFonts w:hint="default" w:ascii="Times New Roman" w:hAnsi="Times New Roman" w:cs="Times New Roman"/>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240" w:lineRule="exact"/>
        <w:rPr>
          <w:rFonts w:hint="default" w:ascii="Times New Roman" w:hAnsi="Times New Roman" w:cs="Times New Roman"/>
        </w:rPr>
      </w:pPr>
      <w:r>
        <w:rPr>
          <w:rFonts w:hint="default" w:ascii="Times New Roman" w:hAnsi="Times New Roman" w:cs="Times New Roman"/>
          <w:b/>
        </w:rPr>
        <w:t xml:space="preserve">（七）仓储业。</w:t>
      </w:r>
      <w:r>
        <w:rPr>
          <w:rFonts w:hint="default" w:ascii="Times New Roman" w:hAnsi="Times New Roman" w:cs="Times New Roman"/>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240" w:lineRule="exact"/>
        <w:rPr>
          <w:rFonts w:hint="default" w:ascii="Times New Roman" w:hAnsi="Times New Roman" w:cs="Times New Roman"/>
        </w:rPr>
      </w:pPr>
      <w:r>
        <w:rPr>
          <w:rFonts w:hint="default" w:ascii="Times New Roman" w:hAnsi="Times New Roman" w:cs="Times New Roman"/>
          <w:b/>
        </w:rPr>
        <w:t xml:space="preserve">（八）邮政业。</w:t>
      </w:r>
      <w:r>
        <w:rPr>
          <w:rFonts w:hint="default" w:ascii="Times New Roman" w:hAnsi="Times New Roman" w:cs="Times New Roman"/>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240" w:lineRule="exact"/>
        <w:rPr>
          <w:rFonts w:hint="default" w:ascii="Times New Roman" w:hAnsi="Times New Roman" w:cs="Times New Roman"/>
        </w:rPr>
      </w:pPr>
      <w:r>
        <w:rPr>
          <w:rFonts w:hint="default" w:ascii="Times New Roman" w:hAnsi="Times New Roman" w:cs="Times New Roman"/>
          <w:b/>
        </w:rPr>
        <w:t xml:space="preserve">（九）住宿业。</w:t>
      </w:r>
      <w:r>
        <w:rPr>
          <w:rFonts w:hint="default" w:ascii="Times New Roman" w:hAnsi="Times New Roman" w:cs="Times New Roman"/>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240" w:lineRule="exact"/>
        <w:rPr>
          <w:rFonts w:hint="default" w:ascii="Times New Roman" w:hAnsi="Times New Roman" w:cs="Times New Roman"/>
        </w:rPr>
      </w:pPr>
      <w:r>
        <w:rPr>
          <w:rFonts w:hint="default" w:ascii="Times New Roman" w:hAnsi="Times New Roman" w:cs="Times New Roman"/>
          <w:b/>
        </w:rPr>
        <w:t xml:space="preserve">（十）餐饮业。</w:t>
      </w:r>
      <w:r>
        <w:rPr>
          <w:rFonts w:hint="default" w:ascii="Times New Roman" w:hAnsi="Times New Roman" w:cs="Times New Roman"/>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240" w:lineRule="exact"/>
        <w:rPr>
          <w:rFonts w:hint="default" w:ascii="Times New Roman" w:hAnsi="Times New Roman" w:cs="Times New Roman"/>
        </w:rPr>
      </w:pPr>
      <w:r>
        <w:rPr>
          <w:rFonts w:hint="default" w:ascii="Times New Roman" w:hAnsi="Times New Roman" w:cs="Times New Roman"/>
          <w:b/>
        </w:rPr>
        <w:t xml:space="preserve">（十一）信息传输业。</w:t>
      </w:r>
      <w:r>
        <w:rPr>
          <w:rFonts w:hint="default" w:ascii="Times New Roman" w:hAnsi="Times New Roman" w:cs="Times New Roman"/>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240" w:lineRule="exact"/>
        <w:rPr>
          <w:rFonts w:hint="default" w:ascii="Times New Roman" w:hAnsi="Times New Roman" w:cs="Times New Roman"/>
        </w:rPr>
      </w:pPr>
      <w:r>
        <w:rPr>
          <w:rFonts w:hint="default" w:ascii="Times New Roman" w:hAnsi="Times New Roman" w:cs="Times New Roman"/>
          <w:b/>
        </w:rPr>
        <w:t xml:space="preserve">（十二）软件和信息技术服务业。</w:t>
      </w:r>
      <w:r>
        <w:rPr>
          <w:rFonts w:hint="default" w:ascii="Times New Roman" w:hAnsi="Times New Roman" w:cs="Times New Roman"/>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240" w:lineRule="exact"/>
        <w:rPr>
          <w:rFonts w:hint="default" w:ascii="Times New Roman" w:hAnsi="Times New Roman" w:cs="Times New Roman"/>
        </w:rPr>
      </w:pPr>
      <w:r>
        <w:rPr>
          <w:rFonts w:hint="default" w:ascii="Times New Roman" w:hAnsi="Times New Roman" w:cs="Times New Roman"/>
          <w:b/>
        </w:rPr>
        <w:t xml:space="preserve">（十三）房地产开发经营。</w:t>
      </w:r>
      <w:r>
        <w:rPr>
          <w:rFonts w:hint="default" w:ascii="Times New Roman" w:hAnsi="Times New Roman" w:cs="Times New Roman"/>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240" w:lineRule="exact"/>
        <w:rPr>
          <w:rFonts w:hint="default" w:ascii="Times New Roman" w:hAnsi="Times New Roman" w:cs="Times New Roman"/>
        </w:rPr>
      </w:pPr>
      <w:r>
        <w:rPr>
          <w:rFonts w:hint="default" w:ascii="Times New Roman" w:hAnsi="Times New Roman" w:cs="Times New Roman"/>
          <w:b/>
        </w:rPr>
        <w:t xml:space="preserve">（十四）物业管理。</w:t>
      </w:r>
      <w:r>
        <w:rPr>
          <w:rFonts w:hint="default" w:ascii="Times New Roman" w:hAnsi="Times New Roman" w:cs="Times New Roman"/>
        </w:rPr>
        <w:t xml:space="preserve">从业人员1000人以下或营业收入5000万元以下的为中小微型企业。其中，从业人员</w:t>
      </w:r>
      <w:r/>
    </w:p>
    <w:p>
      <w:pPr>
        <w:spacing w:line="240" w:lineRule="exact"/>
        <w:rPr>
          <w:rFonts w:hint="default" w:ascii="Times New Roman" w:hAnsi="Times New Roman" w:cs="Times New Roman"/>
        </w:rPr>
      </w:pPr>
      <w:r>
        <w:rPr>
          <w:rFonts w:hint="default" w:ascii="Times New Roman" w:hAnsi="Times New Roman" w:cs="Times New Roman"/>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line="240" w:lineRule="exact"/>
        <w:rPr>
          <w:rFonts w:hint="default" w:ascii="Times New Roman" w:hAnsi="Times New Roman" w:cs="Times New Roman"/>
        </w:rPr>
      </w:pPr>
      <w:r>
        <w:rPr>
          <w:rFonts w:hint="default" w:ascii="Times New Roman" w:hAnsi="Times New Roman" w:cs="Times New Roman"/>
          <w:b/>
        </w:rPr>
        <w:t xml:space="preserve">（十五）租赁和商务服务业。</w:t>
      </w:r>
      <w:r>
        <w:rPr>
          <w:rFonts w:hint="default" w:ascii="Times New Roman" w:hAnsi="Times New Roman" w:cs="Times New Roman"/>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240" w:lineRule="exact"/>
        <w:rPr>
          <w:rFonts w:hint="default" w:ascii="Times New Roman" w:hAnsi="Times New Roman" w:cs="Times New Roman"/>
        </w:rPr>
      </w:pPr>
      <w:r>
        <w:rPr>
          <w:rFonts w:hint="default" w:ascii="Times New Roman" w:hAnsi="Times New Roman" w:cs="Times New Roman"/>
          <w:b/>
        </w:rPr>
        <w:t xml:space="preserve">（十六）其他未列明行业。</w:t>
      </w:r>
      <w:r>
        <w:rPr>
          <w:rFonts w:hint="default" w:ascii="Times New Roman" w:hAnsi="Times New Roman" w:cs="Times New Roman"/>
        </w:rPr>
        <w:t xml:space="preserve">从业人员300人以下的为中小微型企业。其中，从业人员100人及以上的为中型企业；从业人员10人及以上的为小型企业；从业人员10人以下的为微型企业。</w:t>
      </w:r>
      <w:r/>
    </w:p>
    <w:p>
      <w:pPr>
        <w:pStyle w:val="869"/>
        <w:rPr>
          <w:rFonts w:hint="default" w:ascii="Times New Roman" w:hAnsi="Times New Roman" w:cs="Times New Roman"/>
        </w:rPr>
      </w:pPr>
      <w:r>
        <w:rPr>
          <w:rFonts w:hint="default" w:ascii="Times New Roman" w:hAnsi="Times New Roman" w:cs="Times New Roman"/>
        </w:rPr>
      </w:r>
      <w:r/>
    </w:p>
    <w:p>
      <w:pPr>
        <w:ind w:firstLine="420"/>
        <w:jc w:val="left"/>
        <w:spacing w:line="360" w:lineRule="auto"/>
        <w:rPr>
          <w:rFonts w:hint="default" w:ascii="Times New Roman" w:hAnsi="Times New Roman" w:cs="Times New Roman" w:eastAsiaTheme="minorEastAsia"/>
          <w:b/>
          <w:szCs w:val="21"/>
          <w:lang w:val="zh-CN"/>
        </w:rPr>
      </w:pPr>
      <w:r>
        <w:rPr>
          <w:rFonts w:hint="default" w:ascii="Times New Roman" w:hAnsi="Times New Roman" w:cs="Times New Roman" w:eastAsiaTheme="minorEastAsia"/>
          <w:szCs w:val="21"/>
          <w:lang w:val="zh-CN"/>
        </w:rPr>
        <w:br w:type="page" w:clear="all"/>
      </w:r>
      <w:bookmarkEnd w:id="64"/>
      <w:r/>
      <w:r/>
    </w:p>
    <w:p>
      <w:pPr>
        <w:jc w:val="center"/>
        <w:spacing w:line="360" w:lineRule="auto"/>
        <w:rPr>
          <w:rFonts w:hint="default" w:ascii="Times New Roman" w:hAnsi="Times New Roman" w:cs="Times New Roman" w:eastAsiaTheme="minorEastAsia"/>
          <w:b/>
          <w:spacing w:val="6"/>
          <w:szCs w:val="21"/>
          <w:lang w:val="zh-CN"/>
        </w:rPr>
      </w:pPr>
      <w:r>
        <w:rPr>
          <w:rFonts w:hint="default" w:ascii="Times New Roman" w:hAnsi="Times New Roman" w:cs="Times New Roman" w:eastAsiaTheme="minorEastAsia"/>
          <w:b/>
          <w:spacing w:val="6"/>
          <w:szCs w:val="21"/>
          <w:lang w:val="zh-CN"/>
        </w:rPr>
        <w:t xml:space="preserve">七、残疾人福利性单位声明函</w:t>
      </w:r>
      <w:r/>
    </w:p>
    <w:p>
      <w:pPr>
        <w:spacing w:line="360" w:lineRule="auto"/>
        <w:widowControl/>
        <w:rPr>
          <w:rFonts w:hint="default" w:ascii="Times New Roman" w:hAnsi="Times New Roman" w:cs="Times New Roman" w:eastAsiaTheme="minorEastAsia"/>
          <w:szCs w:val="21"/>
          <w:lang w:val="zh-CN"/>
        </w:rPr>
      </w:pPr>
      <w:r>
        <w:rPr>
          <w:rFonts w:hint="default" w:ascii="Times New Roman" w:hAnsi="Times New Roman" w:cs="Times New Roman" w:eastAsiaTheme="minorEastAsia"/>
          <w:szCs w:val="21"/>
          <w:lang w:val="zh-CN"/>
        </w:rPr>
      </w:r>
      <w:r/>
    </w:p>
    <w:p>
      <w:pPr>
        <w:spacing w:line="360" w:lineRule="auto"/>
        <w:widowControl/>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widowControl/>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r>
      <w:r/>
    </w:p>
    <w:p>
      <w:pPr>
        <w:spacing w:line="360" w:lineRule="auto"/>
        <w:widowControl/>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    本单位对上述声明的真实性负责。如有虚假，将依法承担相应责任。</w:t>
      </w:r>
      <w:r/>
    </w:p>
    <w:p>
      <w:pPr>
        <w:spacing w:line="360" w:lineRule="auto"/>
        <w:widowControl/>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r>
      <w:r/>
    </w:p>
    <w:p>
      <w:pPr>
        <w:ind w:firstLine="420"/>
        <w:spacing w:line="360" w:lineRule="auto"/>
        <w:rPr>
          <w:rFonts w:hint="default" w:ascii="Times New Roman" w:hAnsi="Times New Roman" w:cs="Times New Roman" w:eastAsiaTheme="minorEastAsia"/>
          <w:color w:val="000000" w:themeColor="text1"/>
          <w:szCs w:val="21"/>
          <w14:textFill>
            <w14:solidFill>
              <w14:schemeClr w14:val="tx1"/>
            </w14:solidFill>
          </w14:textFill>
        </w:rPr>
      </w:pPr>
      <w:r>
        <w:rPr>
          <w:rFonts w:hint="default" w:ascii="Times New Roman" w:hAnsi="Times New Roman" w:cs="Times New Roman" w:eastAsiaTheme="minorEastAsia"/>
          <w:color w:val="000000" w:themeColor="text1"/>
          <w:szCs w:val="21"/>
          <w14:textFill>
            <w14:solidFill>
              <w14:schemeClr w14:val="tx1"/>
            </w14:solidFill>
          </w14:textFill>
        </w:rPr>
        <w:t xml:space="preserve">单位名称（盖章）</w:t>
      </w:r>
      <w:r>
        <w:rPr>
          <w:rFonts w:hint="default" w:ascii="Times New Roman" w:hAnsi="Times New Roman" w:cs="Times New Roman" w:eastAsiaTheme="minorEastAsia"/>
          <w:color w:val="000000" w:themeColor="text1"/>
          <w:szCs w:val="21"/>
          <w14:textFill>
            <w14:solidFill>
              <w14:schemeClr w14:val="tx1"/>
            </w14:solidFill>
          </w14:textFill>
        </w:rPr>
        <w:t xml:space="preserve">：</w:t>
      </w:r>
      <w:r/>
    </w:p>
    <w:p>
      <w:pPr>
        <w:ind w:firstLine="420"/>
        <w:spacing w:line="360" w:lineRule="auto"/>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日期：    年  月  日</w:t>
      </w:r>
      <w:r/>
    </w:p>
    <w:p>
      <w:pPr>
        <w:spacing w:line="360" w:lineRule="auto"/>
        <w:widowControl/>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r>
      <w:r/>
    </w:p>
    <w:p>
      <w:pPr>
        <w:spacing w:line="360" w:lineRule="auto"/>
        <w:widowControl/>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r>
      <w:r/>
    </w:p>
    <w:p>
      <w:pPr>
        <w:spacing w:line="360" w:lineRule="auto"/>
        <w:widowControl/>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r>
      <w:r/>
    </w:p>
    <w:p>
      <w:pPr>
        <w:spacing w:line="360" w:lineRule="auto"/>
        <w:widowControl/>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r>
      <w:r/>
    </w:p>
    <w:p>
      <w:pPr>
        <w:spacing w:line="360" w:lineRule="auto"/>
        <w:widowControl/>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r>
      <w:r/>
    </w:p>
    <w:p>
      <w:pPr>
        <w:spacing w:line="360" w:lineRule="auto"/>
        <w:widowControl/>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r>
      <w:r/>
    </w:p>
    <w:p>
      <w:pPr>
        <w:jc w:val="left"/>
        <w:widowControl/>
        <w:rPr>
          <w:rFonts w:hint="default" w:ascii="Times New Roman" w:hAnsi="Times New Roman" w:cs="Times New Roman"/>
          <w:sz w:val="24"/>
          <w:szCs w:val="24"/>
        </w:rPr>
      </w:pPr>
      <w:r>
        <w:rPr>
          <w:rFonts w:hint="default" w:ascii="Times New Roman" w:hAnsi="Times New Roman" w:cs="Times New Roman"/>
          <w:b/>
          <w:szCs w:val="21"/>
        </w:rPr>
        <w:t xml:space="preserve">注：</w:t>
      </w:r>
      <w:bookmarkStart w:id="67" w:name="_Hlk158140990"/>
      <w:r>
        <w:rPr>
          <w:rFonts w:hint="default" w:ascii="Times New Roman" w:hAnsi="Times New Roman" w:cs="Times New Roman"/>
          <w:b/>
          <w:szCs w:val="21"/>
        </w:rPr>
        <w:t xml:space="preserve">投标文件中的电子签章视为供应商对本声明进行了签署盖章并承担相应责任</w:t>
      </w:r>
      <w:bookmarkEnd w:id="67"/>
      <w:r>
        <w:rPr>
          <w:rFonts w:hint="default" w:ascii="Times New Roman" w:hAnsi="Times New Roman" w:cs="Times New Roman"/>
          <w:b/>
          <w:szCs w:val="21"/>
        </w:rPr>
        <w:t xml:space="preserve">。</w:t>
      </w:r>
      <w:r/>
    </w:p>
    <w:p>
      <w:pPr>
        <w:pStyle w:val="866"/>
        <w:rPr>
          <w:rFonts w:hint="default" w:ascii="Times New Roman" w:hAnsi="Times New Roman" w:cs="Times New Roman"/>
        </w:rPr>
      </w:pPr>
      <w:r>
        <w:rPr>
          <w:rFonts w:hint="default" w:ascii="Times New Roman" w:hAnsi="Times New Roman" w:cs="Times New Roman"/>
        </w:rPr>
      </w:r>
      <w:r/>
    </w:p>
    <w:p>
      <w:pPr>
        <w:spacing w:line="400" w:lineRule="exact"/>
        <w:widowControl/>
        <w:rPr>
          <w:rFonts w:hint="default" w:ascii="Times New Roman" w:hAnsi="Times New Roman" w:cs="Times New Roman" w:eastAsiaTheme="minorEastAsia"/>
        </w:rPr>
      </w:pPr>
      <w:r>
        <w:rPr>
          <w:rFonts w:hint="default" w:ascii="Times New Roman" w:hAnsi="Times New Roman" w:cs="Times New Roman" w:eastAsiaTheme="minorEastAsia"/>
        </w:rPr>
      </w:r>
      <w:r/>
    </w:p>
    <w:p>
      <w:pPr>
        <w:jc w:val="left"/>
        <w:spacing w:line="360" w:lineRule="auto"/>
        <w:tabs>
          <w:tab w:val="center" w:pos="5258" w:leader="none"/>
        </w:tabs>
        <w:rPr>
          <w:rFonts w:hint="default" w:ascii="Times New Roman" w:hAnsi="Times New Roman" w:cs="Times New Roman" w:eastAsiaTheme="minorEastAsia"/>
          <w:b/>
          <w:sz w:val="32"/>
          <w:szCs w:val="32"/>
          <w:lang w:val="zh-CN"/>
        </w:rPr>
      </w:pPr>
      <w:r>
        <w:rPr>
          <w:rFonts w:hint="default" w:ascii="Times New Roman" w:hAnsi="Times New Roman" w:cs="Times New Roman" w:eastAsiaTheme="minorEastAsia"/>
          <w:b/>
          <w:sz w:val="32"/>
          <w:szCs w:val="32"/>
          <w:lang w:val="zh-CN"/>
        </w:rPr>
      </w:r>
      <w:r/>
    </w:p>
    <w:p>
      <w:pPr>
        <w:jc w:val="left"/>
        <w:spacing w:line="360" w:lineRule="auto"/>
        <w:tabs>
          <w:tab w:val="center" w:pos="5258" w:leader="none"/>
        </w:tabs>
        <w:rPr>
          <w:rFonts w:hint="default" w:ascii="Times New Roman" w:hAnsi="Times New Roman" w:cs="Times New Roman" w:eastAsiaTheme="minorEastAsia"/>
          <w:szCs w:val="21"/>
        </w:rPr>
      </w:pPr>
      <w:r>
        <w:rPr>
          <w:rFonts w:hint="default" w:ascii="Times New Roman" w:hAnsi="Times New Roman" w:cs="Times New Roman" w:eastAsiaTheme="minorEastAsia"/>
          <w:b/>
          <w:sz w:val="32"/>
          <w:szCs w:val="32"/>
          <w:lang w:val="zh-CN"/>
        </w:rPr>
        <w:br w:type="page" w:clear="all"/>
      </w:r>
      <w:r/>
    </w:p>
    <w:p>
      <w:pPr>
        <w:jc w:val="center"/>
        <w:spacing w:line="360" w:lineRule="auto"/>
        <w:rPr>
          <w:rFonts w:hint="default" w:ascii="Times New Roman" w:hAnsi="Times New Roman" w:cs="Times New Roman"/>
          <w:b/>
          <w:szCs w:val="21"/>
        </w:rPr>
      </w:pPr>
      <w:r>
        <w:rPr>
          <w:rFonts w:hint="default" w:ascii="Times New Roman" w:hAnsi="Times New Roman" w:cs="Times New Roman" w:eastAsiaTheme="minorEastAsia"/>
          <w:b/>
          <w:szCs w:val="21"/>
        </w:rPr>
        <w:t xml:space="preserve">八、</w:t>
      </w:r>
      <w:bookmarkStart w:id="68" w:name="_Hlk75808617"/>
      <w:r>
        <w:rPr>
          <w:rFonts w:hint="default" w:ascii="Times New Roman" w:hAnsi="Times New Roman" w:cs="Times New Roman"/>
          <w:b/>
          <w:szCs w:val="21"/>
        </w:rPr>
        <w:t xml:space="preserve">采购需求偏离表</w:t>
      </w:r>
      <w:r/>
    </w:p>
    <w:p>
      <w:pPr>
        <w:ind w:firstLine="420"/>
        <w:rPr>
          <w:rFonts w:hint="default" w:ascii="Times New Roman" w:hAnsi="Times New Roman" w:cs="Times New Roman"/>
          <w:szCs w:val="21"/>
        </w:rPr>
      </w:pPr>
      <w:r>
        <w:rPr>
          <w:rFonts w:hint="default" w:ascii="Times New Roman" w:hAnsi="Times New Roman" w:cs="Times New Roman"/>
          <w:szCs w:val="21"/>
        </w:rPr>
      </w:r>
      <w:r/>
    </w:p>
    <w:p>
      <w:pPr>
        <w:ind w:firstLine="420"/>
        <w:rPr>
          <w:rFonts w:hint="default" w:ascii="Times New Roman" w:hAnsi="Times New Roman" w:cs="Times New Roman"/>
          <w:szCs w:val="21"/>
        </w:rPr>
      </w:pPr>
      <w:r>
        <w:rPr>
          <w:rFonts w:hint="default" w:ascii="Times New Roman" w:hAnsi="Times New Roman" w:cs="Times New Roman"/>
          <w:szCs w:val="21"/>
        </w:rPr>
        <w:t xml:space="preserve">项目编号：</w:t>
      </w:r>
      <w:r/>
    </w:p>
    <w:tbl>
      <w:tblPr>
        <w:tblStyle w:val="858"/>
        <w:tblW w:w="921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842"/>
        <w:gridCol w:w="2127"/>
        <w:gridCol w:w="2126"/>
        <w:gridCol w:w="2410"/>
      </w:tblGrid>
      <w:tr>
        <w:trPr>
          <w:jc w:val="center"/>
        </w:trPr>
        <w:tc>
          <w:tcPr>
            <w:tcW w:w="709"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序号</w:t>
            </w:r>
            <w:r/>
          </w:p>
        </w:tc>
        <w:tc>
          <w:tcPr>
            <w:tcW w:w="1842"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标的物名称/合同条款号/服务内容</w:t>
            </w:r>
            <w:r/>
          </w:p>
        </w:tc>
        <w:tc>
          <w:tcPr>
            <w:tcW w:w="212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招标要求</w:t>
            </w:r>
            <w:r/>
          </w:p>
        </w:tc>
        <w:tc>
          <w:tcPr>
            <w:tcW w:w="2126"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投标情况</w:t>
            </w:r>
            <w:r/>
          </w:p>
        </w:tc>
        <w:tc>
          <w:tcPr>
            <w:tcW w:w="2410"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偏离说明</w:t>
            </w:r>
            <w:r/>
          </w:p>
        </w:tc>
      </w:tr>
      <w:tr>
        <w:trPr>
          <w:jc w:val="center"/>
        </w:trPr>
        <w:tc>
          <w:tcPr>
            <w:tcW w:w="709" w:type="dxa"/>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r>
            <w:r/>
          </w:p>
        </w:tc>
        <w:tc>
          <w:tcPr>
            <w:tcW w:w="1842" w:type="dxa"/>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r>
            <w:r/>
          </w:p>
        </w:tc>
        <w:tc>
          <w:tcPr>
            <w:tcW w:w="2127" w:type="dxa"/>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r>
            <w:r/>
          </w:p>
        </w:tc>
        <w:tc>
          <w:tcPr>
            <w:tcW w:w="2126" w:type="dxa"/>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r>
            <w:r/>
          </w:p>
        </w:tc>
        <w:tc>
          <w:tcPr>
            <w:tcW w:w="2410" w:type="dxa"/>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r>
            <w:r/>
          </w:p>
        </w:tc>
      </w:tr>
      <w:tr>
        <w:trPr>
          <w:jc w:val="center"/>
        </w:trPr>
        <w:tc>
          <w:tcPr>
            <w:tcW w:w="709" w:type="dxa"/>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r>
            <w:r/>
          </w:p>
        </w:tc>
        <w:tc>
          <w:tcPr>
            <w:tcW w:w="1842" w:type="dxa"/>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r>
            <w:r/>
          </w:p>
        </w:tc>
        <w:tc>
          <w:tcPr>
            <w:tcW w:w="2127" w:type="dxa"/>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r>
            <w:r/>
          </w:p>
        </w:tc>
        <w:tc>
          <w:tcPr>
            <w:tcW w:w="2126" w:type="dxa"/>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r>
            <w:r/>
          </w:p>
        </w:tc>
        <w:tc>
          <w:tcPr>
            <w:tcW w:w="2410" w:type="dxa"/>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r>
            <w:r/>
          </w:p>
        </w:tc>
      </w:tr>
      <w:tr>
        <w:trPr>
          <w:jc w:val="center"/>
        </w:trPr>
        <w:tc>
          <w:tcPr>
            <w:tcW w:w="709" w:type="dxa"/>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r>
            <w:r/>
          </w:p>
        </w:tc>
        <w:tc>
          <w:tcPr>
            <w:tcW w:w="1842" w:type="dxa"/>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r>
            <w:r/>
          </w:p>
        </w:tc>
        <w:tc>
          <w:tcPr>
            <w:tcW w:w="2127" w:type="dxa"/>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r>
            <w:r/>
          </w:p>
        </w:tc>
        <w:tc>
          <w:tcPr>
            <w:tcW w:w="2126" w:type="dxa"/>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r>
            <w:r/>
          </w:p>
        </w:tc>
        <w:tc>
          <w:tcPr>
            <w:tcW w:w="2410" w:type="dxa"/>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r>
            <w:r/>
          </w:p>
        </w:tc>
      </w:tr>
      <w:tr>
        <w:trPr>
          <w:jc w:val="center"/>
        </w:trPr>
        <w:tc>
          <w:tcPr>
            <w:tcW w:w="709" w:type="dxa"/>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r>
            <w:r/>
          </w:p>
        </w:tc>
        <w:tc>
          <w:tcPr>
            <w:tcW w:w="1842" w:type="dxa"/>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r>
            <w:r/>
          </w:p>
        </w:tc>
        <w:tc>
          <w:tcPr>
            <w:tcW w:w="2127" w:type="dxa"/>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r>
            <w:r/>
          </w:p>
        </w:tc>
        <w:tc>
          <w:tcPr>
            <w:tcW w:w="2126" w:type="dxa"/>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r>
            <w:r/>
          </w:p>
        </w:tc>
        <w:tc>
          <w:tcPr>
            <w:tcW w:w="2410" w:type="dxa"/>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r>
            <w:r/>
          </w:p>
        </w:tc>
      </w:tr>
      <w:tr>
        <w:trPr>
          <w:jc w:val="center"/>
        </w:trPr>
        <w:tc>
          <w:tcPr>
            <w:tcW w:w="709" w:type="dxa"/>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r>
            <w:r/>
          </w:p>
        </w:tc>
        <w:tc>
          <w:tcPr>
            <w:tcW w:w="1842" w:type="dxa"/>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r>
            <w:r/>
          </w:p>
        </w:tc>
        <w:tc>
          <w:tcPr>
            <w:tcW w:w="2127" w:type="dxa"/>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r>
            <w:r/>
          </w:p>
        </w:tc>
        <w:tc>
          <w:tcPr>
            <w:tcW w:w="2126" w:type="dxa"/>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r>
            <w:r/>
          </w:p>
        </w:tc>
        <w:tc>
          <w:tcPr>
            <w:tcW w:w="2410" w:type="dxa"/>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r>
            <w:r/>
          </w:p>
        </w:tc>
      </w:tr>
    </w:tbl>
    <w:p>
      <w:pPr>
        <w:ind w:left="424" w:right="451"/>
        <w:rPr>
          <w:rFonts w:hint="default" w:ascii="Times New Roman" w:hAnsi="Times New Roman" w:cs="Times New Roman"/>
          <w:szCs w:val="21"/>
        </w:rPr>
      </w:pPr>
      <w:r>
        <w:rPr>
          <w:rFonts w:hint="default" w:ascii="Times New Roman" w:hAnsi="Times New Roman" w:cs="Times New Roman"/>
          <w:szCs w:val="21"/>
        </w:rPr>
        <w:t xml:space="preserve">表格可根据实际情况自行调整、编辑。</w:t>
      </w:r>
      <w:r/>
    </w:p>
    <w:p>
      <w:pPr>
        <w:ind w:left="424" w:right="451"/>
        <w:rPr>
          <w:rFonts w:hint="default" w:ascii="Times New Roman" w:hAnsi="Times New Roman" w:cs="Times New Roman"/>
          <w:szCs w:val="21"/>
        </w:rPr>
      </w:pPr>
      <w:r>
        <w:rPr>
          <w:rFonts w:hint="default" w:ascii="Times New Roman" w:hAnsi="Times New Roman" w:cs="Times New Roman"/>
          <w:szCs w:val="21"/>
        </w:rPr>
      </w:r>
      <w:r/>
    </w:p>
    <w:p>
      <w:pPr>
        <w:ind w:left="424" w:right="451"/>
        <w:rPr>
          <w:rFonts w:hint="default" w:ascii="Times New Roman" w:hAnsi="Times New Roman" w:cs="Times New Roman"/>
          <w:b/>
          <w:szCs w:val="21"/>
        </w:rPr>
      </w:pPr>
      <w:r>
        <w:rPr>
          <w:rFonts w:hint="default" w:ascii="Times New Roman" w:hAnsi="Times New Roman" w:cs="Times New Roman"/>
          <w:b/>
        </w:rPr>
        <w:t xml:space="preserve">注：本表针对</w:t>
      </w:r>
      <w:r>
        <w:rPr>
          <w:rFonts w:hint="default" w:ascii="Times New Roman" w:hAnsi="Times New Roman" w:cs="Times New Roman"/>
          <w:b/>
          <w:szCs w:val="21"/>
        </w:rPr>
        <w:t xml:space="preserve">第四章</w:t>
      </w:r>
      <w:r>
        <w:rPr>
          <w:rFonts w:hint="default" w:ascii="Times New Roman" w:hAnsi="Times New Roman" w:cs="Times New Roman"/>
          <w:b/>
        </w:rPr>
        <w:t xml:space="preserve">第一条标的物的规格、数量及技术要求以及第三条其他要求的内容填写：</w:t>
      </w:r>
      <w:r/>
    </w:p>
    <w:p>
      <w:pPr>
        <w:ind w:left="424" w:right="451"/>
        <w:rPr>
          <w:rFonts w:hint="default" w:ascii="Times New Roman" w:hAnsi="Times New Roman" w:cs="Times New Roman"/>
        </w:rPr>
      </w:pPr>
      <w:r>
        <w:rPr>
          <w:rFonts w:hint="default" w:ascii="Times New Roman" w:hAnsi="Times New Roman" w:cs="Times New Roman"/>
        </w:rPr>
      </w:r>
      <w:r/>
    </w:p>
    <w:p>
      <w:pPr>
        <w:ind w:left="424" w:right="451"/>
        <w:rPr>
          <w:rFonts w:hint="default" w:ascii="Times New Roman" w:hAnsi="Times New Roman" w:cs="Times New Roman"/>
          <w:b/>
        </w:rPr>
      </w:pPr>
      <w:r>
        <w:rPr>
          <w:rFonts w:hint="default" w:ascii="Times New Roman" w:hAnsi="Times New Roman" w:cs="Times New Roman"/>
        </w:rPr>
        <w:t xml:space="preserve">（1）产品符合第四章第一条标的物的规格、数量及技术要求的为无偏离（即响应），可以不填写；不符合的为有偏离（即不响应）应在此表中说明。</w:t>
      </w:r>
      <w:r>
        <w:rPr>
          <w:rFonts w:hint="default" w:ascii="Times New Roman" w:hAnsi="Times New Roman" w:cs="Times New Roman"/>
        </w:rPr>
        <w:br/>
      </w:r>
      <w:r>
        <w:rPr>
          <w:rFonts w:hint="default" w:ascii="Times New Roman" w:hAnsi="Times New Roman" w:cs="Times New Roman"/>
        </w:rPr>
        <w:t xml:space="preserve">（2）对于第三条其他要求（包括第五章合同文本中约定的所有条款），供应商完全同意条款（即无偏离）的可以不填写，供应商提出的不同意的条款（即负偏离）和对采购人更有利的条款（即正偏离）应在此表中说明，正偏离和无偏离为响应，负偏离为不响应。</w:t>
      </w:r>
      <w:r>
        <w:rPr>
          <w:rFonts w:hint="default" w:ascii="Times New Roman" w:hAnsi="Times New Roman" w:cs="Times New Roman"/>
        </w:rPr>
        <w:br/>
      </w:r>
      <w:r>
        <w:rPr>
          <w:rFonts w:hint="default" w:ascii="Times New Roman" w:hAnsi="Times New Roman" w:cs="Times New Roman"/>
        </w:rPr>
        <w:br/>
      </w:r>
      <w:r>
        <w:rPr>
          <w:rFonts w:hint="default" w:ascii="Times New Roman" w:hAnsi="Times New Roman" w:cs="Times New Roman"/>
          <w:b/>
        </w:rPr>
        <w:t xml:space="preserve">我方（即供应商）保证：除上表中列出的不响应情况外，我方响应招标文件的第四章第一条标的物的规格、数量及技术要求以及第三条其它要求的全部内容。表中未填写的内容与采购需求内容相同无偏离。对同一事项，投标文件其它地方出现与本表响应情况不一致的，以本表内容为准。</w:t>
      </w:r>
      <w:r/>
    </w:p>
    <w:p>
      <w:pPr>
        <w:ind w:left="424" w:right="451"/>
        <w:rPr>
          <w:rFonts w:hint="default" w:ascii="Times New Roman" w:hAnsi="Times New Roman" w:cs="Times New Roman"/>
          <w:szCs w:val="21"/>
        </w:rPr>
      </w:pPr>
      <w:r>
        <w:rPr>
          <w:rFonts w:hint="default" w:ascii="Times New Roman" w:hAnsi="Times New Roman" w:cs="Times New Roman"/>
          <w:szCs w:val="21"/>
        </w:rPr>
      </w:r>
      <w:r/>
    </w:p>
    <w:p>
      <w:pPr>
        <w:pStyle w:val="869"/>
        <w:rPr>
          <w:rFonts w:hint="default" w:ascii="Times New Roman" w:hAnsi="Times New Roman" w:cs="Times New Roman"/>
        </w:rPr>
      </w:pPr>
      <w:r>
        <w:rPr>
          <w:rFonts w:hint="default" w:ascii="Times New Roman" w:hAnsi="Times New Roman" w:cs="Times New Roman"/>
        </w:rPr>
      </w:r>
      <w:r/>
    </w:p>
    <w:p>
      <w:pPr>
        <w:ind w:firstLine="6090"/>
        <w:jc w:val="right"/>
        <w:spacing w:line="360" w:lineRule="auto"/>
        <w:rPr>
          <w:rFonts w:hint="default" w:ascii="Times New Roman" w:hAnsi="Times New Roman" w:cs="Times New Roman"/>
          <w:szCs w:val="21"/>
        </w:rPr>
      </w:pPr>
      <w:r/>
      <w:bookmarkStart w:id="69" w:name="_Hlk158038133"/>
      <w:r>
        <w:rPr>
          <w:rFonts w:hint="default" w:ascii="Times New Roman" w:hAnsi="Times New Roman" w:cs="Times New Roman"/>
          <w:szCs w:val="21"/>
        </w:rPr>
        <w:t xml:space="preserve">单位名称</w:t>
      </w:r>
      <w:r>
        <w:rPr>
          <w:rFonts w:hint="default" w:ascii="Times New Roman" w:hAnsi="Times New Roman" w:cs="Times New Roman"/>
          <w:szCs w:val="21"/>
        </w:rPr>
        <w:t xml:space="preserve">：（加盖CA电子公章）</w:t>
      </w:r>
      <w:r/>
    </w:p>
    <w:p>
      <w:pPr>
        <w:pStyle w:val="869"/>
        <w:jc w:val="right"/>
        <w:rPr>
          <w:rFonts w:hint="default" w:ascii="Times New Roman" w:hAnsi="Times New Roman" w:cs="Times New Roman"/>
        </w:rPr>
      </w:pPr>
      <w:r>
        <w:rPr>
          <w:rFonts w:hint="default" w:ascii="Times New Roman" w:hAnsi="Times New Roman" w:cs="Times New Roman"/>
        </w:rPr>
        <w:t xml:space="preserve">日期：　　　　年　　  月　　  日</w:t>
      </w:r>
      <w:bookmarkEnd w:id="69"/>
      <w:r/>
      <w:r/>
    </w:p>
    <w:p>
      <w:pPr>
        <w:ind w:left="420" w:firstLine="221"/>
        <w:spacing w:line="360" w:lineRule="auto"/>
        <w:rPr>
          <w:rFonts w:hint="default" w:ascii="Times New Roman" w:hAnsi="Times New Roman" w:cs="Times New Roman"/>
          <w:b/>
          <w:color w:val="000000" w:themeColor="text1"/>
          <w:sz w:val="22"/>
          <w:szCs w:val="21"/>
          <w14:textFill>
            <w14:solidFill>
              <w14:schemeClr w14:val="tx1"/>
            </w14:solidFill>
          </w14:textFill>
        </w:rPr>
      </w:pPr>
      <w:r>
        <w:rPr>
          <w:rFonts w:hint="default" w:ascii="Times New Roman" w:hAnsi="Times New Roman" w:cs="Times New Roman"/>
          <w:b/>
          <w:color w:val="000000" w:themeColor="text1"/>
          <w:sz w:val="22"/>
          <w:szCs w:val="21"/>
          <w14:textFill>
            <w14:solidFill>
              <w14:schemeClr w14:val="tx1"/>
            </w14:solidFill>
          </w14:textFill>
        </w:rPr>
      </w:r>
      <w:r/>
    </w:p>
    <w:p>
      <w:pPr>
        <w:pStyle w:val="869"/>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szCs w:val="21"/>
        </w:rPr>
      </w:pPr>
      <w:r>
        <w:rPr>
          <w:rFonts w:hint="default" w:ascii="Times New Roman" w:hAnsi="Times New Roman" w:cs="Times New Roman"/>
          <w:szCs w:val="21"/>
        </w:rPr>
      </w:r>
      <w:r/>
    </w:p>
    <w:p>
      <w:pPr>
        <w:pStyle w:val="869"/>
        <w:ind w:left="0"/>
        <w:jc w:val="center"/>
        <w:spacing w:after="360"/>
        <w:rPr>
          <w:rFonts w:hint="default" w:ascii="Times New Roman" w:hAnsi="Times New Roman" w:cs="Times New Roman"/>
          <w:b/>
          <w:bCs/>
          <w:szCs w:val="24"/>
        </w:rPr>
      </w:pPr>
      <w:r>
        <w:rPr>
          <w:rFonts w:hint="default" w:ascii="Times New Roman" w:hAnsi="Times New Roman" w:cs="Times New Roman"/>
        </w:rPr>
        <w:br w:type="page" w:clear="all"/>
      </w:r>
      <w:r>
        <w:rPr>
          <w:rFonts w:hint="default" w:ascii="Times New Roman" w:hAnsi="Times New Roman" w:cs="Times New Roman"/>
          <w:b/>
          <w:bCs/>
        </w:rPr>
        <w:t xml:space="preserve">九、</w:t>
      </w:r>
      <w:r>
        <w:rPr>
          <w:rFonts w:hint="default" w:ascii="Times New Roman" w:hAnsi="Times New Roman" w:cs="Times New Roman"/>
          <w:b/>
          <w:bCs/>
          <w:lang w:val="zh-CN"/>
        </w:rPr>
        <w:t xml:space="preserve">投标货物和服务数量、品牌、规格、生产厂家明细表</w:t>
      </w:r>
      <w:r/>
    </w:p>
    <w:p>
      <w:pPr>
        <w:pStyle w:val="869"/>
        <w:ind w:left="850"/>
        <w:jc w:val="left"/>
        <w:spacing w:after="360"/>
        <w:rPr>
          <w:rFonts w:hint="default" w:ascii="Times New Roman" w:hAnsi="Times New Roman" w:cs="Times New Roman" w:eastAsiaTheme="minorEastAsia"/>
          <w:b/>
        </w:rPr>
      </w:pPr>
      <w:r>
        <w:rPr>
          <w:rFonts w:hint="default" w:ascii="Times New Roman" w:hAnsi="Times New Roman" w:cs="Times New Roman"/>
          <w:lang w:val="zh-CN"/>
        </w:rPr>
        <w:t xml:space="preserve">项目编号：</w:t>
      </w:r>
      <w:r/>
    </w:p>
    <w:tbl>
      <w:tblPr>
        <w:tblStyle w:val="858"/>
        <w:tblW w:w="926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12"/>
        <w:gridCol w:w="1534"/>
        <w:gridCol w:w="1740"/>
        <w:gridCol w:w="1061"/>
        <w:gridCol w:w="2418"/>
        <w:gridCol w:w="750"/>
        <w:gridCol w:w="945"/>
      </w:tblGrid>
      <w:tr>
        <w:trPr>
          <w:jc w:val="center"/>
          <w:trHeight w:val="423"/>
        </w:trPr>
        <w:tc>
          <w:tcPr>
            <w:gridSpan w:val="7"/>
            <w:tcBorders>
              <w:top w:val="single" w:color="auto" w:sz="4" w:space="0"/>
              <w:left w:val="single" w:color="auto" w:sz="4" w:space="0"/>
              <w:bottom w:val="single" w:color="auto" w:sz="4" w:space="0"/>
              <w:right w:val="single" w:color="auto" w:sz="4" w:space="0"/>
            </w:tcBorders>
            <w:tcW w:w="9260" w:type="dxa"/>
            <w:vAlign w:val="center"/>
            <w:textDirection w:val="lrTb"/>
            <w:noWrap w:val="false"/>
          </w:tcPr>
          <w:p>
            <w:pPr>
              <w:jc w:val="center"/>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b/>
                <w:bCs/>
                <w:color w:val="000000" w:themeColor="text1"/>
                <w:spacing w:val="20"/>
                <w:szCs w:val="24"/>
                <w14:textFill>
                  <w14:solidFill>
                    <w14:schemeClr w14:val="tx1"/>
                  </w14:solidFill>
                </w14:textFill>
              </w:rPr>
              <w:t xml:space="preserve">唯亭街道区域性养老服务中心家具</w:t>
            </w:r>
            <w:r/>
          </w:p>
        </w:tc>
      </w:tr>
      <w:tr>
        <w:trPr>
          <w:jc w:val="center"/>
          <w:trHeight w:val="423"/>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t xml:space="preserve">标的物名称</w:t>
            </w:r>
            <w:r/>
          </w:p>
        </w:tc>
        <w:tc>
          <w:tcPr>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jc w:val="center"/>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t xml:space="preserve">规格</w:t>
            </w:r>
            <w:r/>
          </w:p>
        </w:tc>
        <w:tc>
          <w:tcPr>
            <w:tcBorders>
              <w:top w:val="single" w:color="auto" w:sz="4" w:space="0"/>
              <w:left w:val="single" w:color="auto" w:sz="4" w:space="0"/>
              <w:bottom w:val="single" w:color="auto" w:sz="4" w:space="0"/>
              <w:right w:val="single" w:color="auto" w:sz="4" w:space="0"/>
            </w:tcBorders>
            <w:tcW w:w="1061" w:type="dxa"/>
            <w:vAlign w:val="center"/>
            <w:textDirection w:val="lrTb"/>
            <w:noWrap w:val="false"/>
          </w:tcPr>
          <w:p>
            <w:pPr>
              <w:jc w:val="center"/>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t xml:space="preserve">品牌</w:t>
            </w:r>
            <w:r/>
          </w:p>
        </w:tc>
        <w:tc>
          <w:tcPr>
            <w:tcBorders>
              <w:top w:val="single" w:color="auto" w:sz="4" w:space="0"/>
              <w:left w:val="single" w:color="auto" w:sz="4" w:space="0"/>
              <w:bottom w:val="single" w:color="auto" w:sz="4" w:space="0"/>
              <w:right w:val="single" w:color="auto" w:sz="4" w:space="0"/>
            </w:tcBorders>
            <w:tcW w:w="2418" w:type="dxa"/>
            <w:vAlign w:val="center"/>
            <w:textDirection w:val="lrTb"/>
            <w:noWrap w:val="false"/>
          </w:tcPr>
          <w:p>
            <w:pPr>
              <w:jc w:val="center"/>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t xml:space="preserve">生产厂家</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t xml:space="preserve">数量</w:t>
            </w:r>
            <w:r/>
          </w:p>
        </w:tc>
      </w:tr>
      <w:tr>
        <w:trPr>
          <w:jc w:val="center"/>
          <w:trHeight w:val="361"/>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61"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418"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r>
      <w:tr>
        <w:trPr>
          <w:jc w:val="center"/>
          <w:trHeight w:val="316"/>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61"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418"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r>
      <w:tr>
        <w:trPr>
          <w:jc w:val="center"/>
          <w:trHeight w:val="316"/>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61"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418"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r>
      <w:tr>
        <w:trPr>
          <w:jc w:val="center"/>
          <w:trHeight w:val="316"/>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61"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418"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61"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418"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r>
      <w:tr>
        <w:trPr>
          <w:jc w:val="center"/>
          <w:trHeight w:val="222"/>
        </w:trPr>
        <w:tc>
          <w:tcPr>
            <w:gridSpan w:val="7"/>
            <w:tcBorders>
              <w:top w:val="single" w:color="auto" w:sz="4" w:space="0"/>
              <w:left w:val="single" w:color="auto" w:sz="4" w:space="0"/>
              <w:bottom w:val="single" w:color="auto" w:sz="4" w:space="0"/>
              <w:right w:val="single" w:color="auto" w:sz="4" w:space="0"/>
            </w:tcBorders>
            <w:tcW w:w="9260"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b/>
                <w:bCs/>
                <w:color w:val="000000" w:themeColor="text1"/>
                <w:spacing w:val="20"/>
                <w:szCs w:val="24"/>
                <w14:textFill>
                  <w14:solidFill>
                    <w14:schemeClr w14:val="tx1"/>
                  </w14:solidFill>
                </w14:textFill>
              </w:rPr>
              <w:t xml:space="preserve">胜浦街道医养项目家具</w:t>
            </w:r>
            <w:r/>
          </w:p>
        </w:tc>
      </w:tr>
      <w:tr>
        <w:trPr>
          <w:jc w:val="center"/>
          <w:trHeight w:val="423"/>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t xml:space="preserve">标的物名称</w:t>
            </w:r>
            <w:r/>
          </w:p>
        </w:tc>
        <w:tc>
          <w:tcPr>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jc w:val="center"/>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t xml:space="preserve">规格</w:t>
            </w:r>
            <w:r/>
          </w:p>
        </w:tc>
        <w:tc>
          <w:tcPr>
            <w:tcBorders>
              <w:top w:val="single" w:color="auto" w:sz="4" w:space="0"/>
              <w:left w:val="single" w:color="auto" w:sz="4" w:space="0"/>
              <w:bottom w:val="single" w:color="auto" w:sz="4" w:space="0"/>
              <w:right w:val="single" w:color="auto" w:sz="4" w:space="0"/>
            </w:tcBorders>
            <w:tcW w:w="1061" w:type="dxa"/>
            <w:vAlign w:val="center"/>
            <w:textDirection w:val="lrTb"/>
            <w:noWrap w:val="false"/>
          </w:tcPr>
          <w:p>
            <w:pPr>
              <w:jc w:val="center"/>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t xml:space="preserve">品牌</w:t>
            </w:r>
            <w:r/>
          </w:p>
        </w:tc>
        <w:tc>
          <w:tcPr>
            <w:tcBorders>
              <w:top w:val="single" w:color="auto" w:sz="4" w:space="0"/>
              <w:left w:val="single" w:color="auto" w:sz="4" w:space="0"/>
              <w:bottom w:val="single" w:color="auto" w:sz="4" w:space="0"/>
              <w:right w:val="single" w:color="auto" w:sz="4" w:space="0"/>
            </w:tcBorders>
            <w:tcW w:w="2418" w:type="dxa"/>
            <w:vAlign w:val="center"/>
            <w:textDirection w:val="lrTb"/>
            <w:noWrap w:val="false"/>
          </w:tcPr>
          <w:p>
            <w:pPr>
              <w:jc w:val="center"/>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t xml:space="preserve">生产厂家</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t xml:space="preserve">数量</w:t>
            </w:r>
            <w:r/>
          </w:p>
        </w:tc>
      </w:tr>
      <w:tr>
        <w:trPr>
          <w:jc w:val="center"/>
          <w:trHeight w:val="222"/>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61"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418"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61"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418"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61"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418"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61"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418"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61"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418"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rPr>
                <w:rFonts w:hint="default" w:ascii="Times New Roman" w:hAnsi="Times New Roman" w:cs="Times New Roman"/>
                <w:color w:val="000000" w:themeColor="text1"/>
                <w:spacing w:val="20"/>
                <w:szCs w:val="24"/>
                <w14:textFill>
                  <w14:solidFill>
                    <w14:schemeClr w14:val="tx1"/>
                  </w14:solidFill>
                </w14:textFill>
              </w:rPr>
            </w:pPr>
            <w:r>
              <w:rPr>
                <w:rFonts w:hint="default" w:ascii="Times New Roman" w:hAnsi="Times New Roman" w:cs="Times New Roman"/>
                <w:color w:val="000000" w:themeColor="text1"/>
                <w:spacing w:val="20"/>
                <w:szCs w:val="24"/>
                <w14:textFill>
                  <w14:solidFill>
                    <w14:schemeClr w14:val="tx1"/>
                  </w14:solidFill>
                </w14:textFill>
              </w:rPr>
            </w:r>
            <w:r/>
          </w:p>
        </w:tc>
      </w:tr>
    </w:tbl>
    <w:p>
      <w:pPr>
        <w:spacing w:line="400" w:lineRule="exact"/>
        <w:rPr>
          <w:rFonts w:hint="default" w:ascii="Times New Roman" w:hAnsi="Times New Roman" w:cs="Times New Roman"/>
          <w:b/>
          <w:szCs w:val="21"/>
        </w:rPr>
      </w:pPr>
      <w:r>
        <w:rPr>
          <w:rFonts w:hint="default" w:ascii="Times New Roman" w:hAnsi="Times New Roman" w:cs="Times New Roman"/>
          <w:b/>
          <w:szCs w:val="21"/>
        </w:rPr>
      </w:r>
      <w:r/>
    </w:p>
    <w:p>
      <w:pPr>
        <w:ind w:left="850"/>
        <w:spacing w:line="400" w:lineRule="exact"/>
        <w:rPr>
          <w:rFonts w:hint="default" w:ascii="Times New Roman" w:hAnsi="Times New Roman" w:cs="Times New Roman"/>
          <w:b/>
          <w:szCs w:val="21"/>
        </w:rPr>
      </w:pPr>
      <w:r>
        <w:rPr>
          <w:rFonts w:hint="default" w:ascii="Times New Roman" w:hAnsi="Times New Roman" w:cs="Times New Roman"/>
          <w:b/>
          <w:szCs w:val="21"/>
        </w:rPr>
        <w:t xml:space="preserve">注：本表不得出现价格。</w:t>
      </w:r>
      <w:r/>
    </w:p>
    <w:p>
      <w:pPr>
        <w:rPr>
          <w:rFonts w:hint="default" w:ascii="Times New Roman" w:hAnsi="Times New Roman" w:cs="Times New Roman"/>
          <w:b/>
          <w:bCs/>
          <w:sz w:val="32"/>
          <w:szCs w:val="32"/>
        </w:rPr>
      </w:pPr>
      <w:r>
        <w:rPr>
          <w:rFonts w:hint="default" w:ascii="Times New Roman" w:hAnsi="Times New Roman" w:cs="Times New Roman"/>
          <w:b/>
          <w:bCs/>
          <w:sz w:val="32"/>
          <w:szCs w:val="32"/>
        </w:rPr>
      </w:r>
      <w:r/>
    </w:p>
    <w:p>
      <w:pPr>
        <w:jc w:val="left"/>
        <w:widowControl/>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br w:type="page" w:clear="all"/>
      </w:r>
      <w:r/>
    </w:p>
    <w:p>
      <w:pPr>
        <w:jc w:val="left"/>
        <w:widowControl/>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r>
      <w:r/>
    </w:p>
    <w:p>
      <w:pPr>
        <w:jc w:val="center"/>
        <w:widowControl/>
        <w:rPr>
          <w:rFonts w:hint="default" w:ascii="Times New Roman" w:hAnsi="Times New Roman" w:cs="Times New Roman"/>
          <w:b/>
          <w:sz w:val="28"/>
          <w:szCs w:val="28"/>
        </w:rPr>
      </w:pPr>
      <w:r>
        <w:rPr>
          <w:rFonts w:hint="default" w:ascii="Times New Roman" w:hAnsi="Times New Roman" w:cs="Times New Roman"/>
          <w:b/>
          <w:sz w:val="28"/>
          <w:szCs w:val="28"/>
        </w:rPr>
        <w:t xml:space="preserve">十、投标报价合理性澄清说明函</w:t>
      </w:r>
      <w:r/>
    </w:p>
    <w:p>
      <w:pPr>
        <w:jc w:val="center"/>
        <w:widowControl/>
        <w:rPr>
          <w:rFonts w:hint="default" w:ascii="Times New Roman" w:hAnsi="Times New Roman" w:cs="Times New Roman"/>
          <w:b/>
          <w:szCs w:val="21"/>
        </w:rPr>
      </w:pPr>
      <w:r>
        <w:rPr>
          <w:rFonts w:hint="default" w:ascii="Times New Roman" w:hAnsi="Times New Roman" w:cs="Times New Roman"/>
          <w:b/>
          <w:szCs w:val="21"/>
        </w:rPr>
      </w:r>
      <w:r/>
    </w:p>
    <w:p>
      <w:pPr>
        <w:pStyle w:val="897"/>
        <w:ind w:right="0" w:firstLine="420"/>
        <w:jc w:val="both"/>
        <w:spacing w:before="0" w:after="120" w:line="360" w:lineRule="auto"/>
        <w:widowControl/>
        <w:rPr>
          <w:rFonts w:hint="default" w:ascii="Times New Roman" w:hAnsi="Times New Roman" w:cs="Times New Roman"/>
          <w:sz w:val="21"/>
          <w:szCs w:val="21"/>
        </w:rPr>
      </w:pPr>
      <w:r>
        <w:rPr>
          <w:rFonts w:hint="default" w:ascii="Times New Roman" w:hAnsi="Times New Roman" w:cs="Times New Roman"/>
          <w:sz w:val="21"/>
          <w:szCs w:val="21"/>
        </w:rPr>
        <w:t xml:space="preserve">本公司愿就项目编号：项目名称：的采购活动进行投标，对于本公司的投标报价合理性作出说明如下：</w:t>
      </w:r>
      <w:r/>
    </w:p>
    <w:tbl>
      <w:tblPr>
        <w:tblStyle w:val="858"/>
        <w:tblW w:w="8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3"/>
      </w:tblGrid>
      <w:tr>
        <w:trPr>
          <w:jc w:val="center"/>
          <w:trHeight w:val="3940"/>
        </w:trPr>
        <w:tc>
          <w:tcPr>
            <w:shd w:val="clear" w:color="auto" w:fill="auto"/>
            <w:tcBorders>
              <w:top w:val="single" w:color="auto" w:sz="4" w:space="0"/>
              <w:left w:val="single" w:color="auto" w:sz="4" w:space="0"/>
              <w:bottom w:val="single" w:color="auto" w:sz="4" w:space="0"/>
              <w:right w:val="single" w:color="auto" w:sz="4" w:space="0"/>
            </w:tcBorders>
            <w:tcW w:w="8673" w:type="dxa"/>
            <w:vAlign w:val="center"/>
            <w:textDirection w:val="lrTb"/>
            <w:noWrap w:val="false"/>
          </w:tcPr>
          <w:p>
            <w:pPr>
              <w:spacing w:line="360" w:lineRule="auto"/>
              <w:rPr>
                <w:rFonts w:hint="default" w:ascii="Times New Roman" w:hAnsi="Times New Roman" w:cs="Times New Roman"/>
                <w:b/>
                <w:szCs w:val="21"/>
                <w:shd w:val="pct10" w:color="auto" w:fill="ffffff"/>
              </w:rPr>
            </w:pPr>
            <w:r>
              <w:rPr>
                <w:rFonts w:hint="default" w:ascii="Times New Roman" w:hAnsi="Times New Roman" w:cs="Times New Roman"/>
                <w:b/>
                <w:szCs w:val="21"/>
              </w:rPr>
              <w:t xml:space="preserve">供应商应根据实际情况自拟澄清说明，并按照评标委员会关于澄清的要求提供相关证明材料作为附件。</w:t>
            </w:r>
            <w:r/>
          </w:p>
        </w:tc>
      </w:tr>
    </w:tbl>
    <w:p>
      <w:pPr>
        <w:pStyle w:val="897"/>
        <w:ind w:left="0" w:right="0" w:firstLine="422"/>
        <w:jc w:val="both"/>
        <w:spacing w:before="0" w:after="0" w:line="360" w:lineRule="auto"/>
        <w:widowControl/>
        <w:rPr>
          <w:rFonts w:hint="default" w:ascii="Times New Roman" w:hAnsi="Times New Roman" w:cs="Times New Roman"/>
          <w:b/>
          <w:sz w:val="21"/>
          <w:szCs w:val="21"/>
        </w:rPr>
      </w:pPr>
      <w:r>
        <w:rPr>
          <w:rFonts w:hint="default" w:ascii="Times New Roman" w:hAnsi="Times New Roman" w:cs="Times New Roman"/>
          <w:b/>
          <w:sz w:val="21"/>
          <w:szCs w:val="21"/>
        </w:rPr>
        <w:t xml:space="preserve">备注：根据招标文件第二章“投标人须知”第</w:t>
      </w:r>
      <w:r>
        <w:rPr>
          <w:rFonts w:hint="default" w:ascii="Times New Roman" w:hAnsi="Times New Roman" w:cs="Times New Roman"/>
          <w:b/>
          <w:szCs w:val="21"/>
        </w:rPr>
        <w:t xml:space="preserve">4.4.2.4</w:t>
      </w:r>
      <w:r>
        <w:rPr>
          <w:rFonts w:hint="default" w:ascii="Times New Roman" w:hAnsi="Times New Roman" w:cs="Times New Roman"/>
          <w:b/>
          <w:sz w:val="21"/>
          <w:szCs w:val="21"/>
        </w:rPr>
        <w:t xml:space="preserve">条要求，评标委员会认为投标人的报价明显低于其他通过符合性审查投标人的报价，有可能影响产品质量或者不能诚信履约的，应当要求其在评标现场合理的时间内提供书面说明（线上开评标项目可通过“苏采云”系统要求其提供），必要时提交相关证明材料（例如库存清单、进货合同及发票、仓库照片、往期类似项目合同报价清单等）。投标人不能证明其报价合理性的，评标委员会应当将其作为无效投标处理。</w:t>
      </w:r>
      <w:r/>
    </w:p>
    <w:p>
      <w:pPr>
        <w:rPr>
          <w:rFonts w:hint="default" w:ascii="Times New Roman" w:hAnsi="Times New Roman" w:cs="Times New Roman"/>
          <w:b/>
          <w:bCs/>
        </w:rPr>
      </w:pPr>
      <w:r>
        <w:rPr>
          <w:rFonts w:hint="default" w:ascii="Times New Roman" w:hAnsi="Times New Roman" w:cs="Times New Roman"/>
          <w:b/>
          <w:bCs/>
        </w:rPr>
      </w:r>
      <w:r/>
    </w:p>
    <w:p>
      <w:pPr>
        <w:rPr>
          <w:rFonts w:hint="default" w:ascii="Times New Roman" w:hAnsi="Times New Roman" w:cs="Times New Roman"/>
          <w:b/>
          <w:bCs/>
        </w:rPr>
      </w:pPr>
      <w:r>
        <w:rPr>
          <w:rFonts w:hint="default" w:ascii="Times New Roman" w:hAnsi="Times New Roman" w:cs="Times New Roman"/>
          <w:b/>
          <w:bCs/>
        </w:rPr>
      </w:r>
      <w:r/>
    </w:p>
    <w:p>
      <w:pPr>
        <w:jc w:val="left"/>
        <w:widowControl/>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r>
      <w:bookmarkEnd w:id="61"/>
      <w:r/>
      <w:bookmarkEnd w:id="68"/>
      <w:r/>
      <w:r/>
    </w:p>
    <w:p>
      <w:pPr>
        <w:jc w:val="left"/>
        <w:widowControl/>
        <w:rPr>
          <w:rFonts w:hint="default" w:ascii="Times New Roman" w:hAnsi="Times New Roman" w:cs="Times New Roman" w:eastAsiaTheme="minorEastAsia"/>
          <w:bCs/>
          <w:sz w:val="44"/>
          <w:szCs w:val="44"/>
        </w:rPr>
      </w:pPr>
      <w:r>
        <w:rPr>
          <w:rFonts w:hint="default" w:ascii="Times New Roman" w:hAnsi="Times New Roman" w:cs="Times New Roman" w:eastAsiaTheme="minorEastAsia"/>
          <w:bCs/>
          <w:sz w:val="44"/>
          <w:szCs w:val="44"/>
        </w:rPr>
        <w:br w:type="page" w:clear="all"/>
      </w:r>
      <w:r/>
    </w:p>
    <w:p>
      <w:pPr>
        <w:jc w:val="center"/>
        <w:spacing w:line="360" w:lineRule="auto"/>
        <w:widowControl/>
        <w:rPr>
          <w:rFonts w:hint="default" w:ascii="Times New Roman" w:hAnsi="Times New Roman" w:cs="Times New Roman" w:eastAsiaTheme="minorEastAsia"/>
          <w:sz w:val="44"/>
          <w:szCs w:val="44"/>
        </w:rPr>
      </w:pPr>
      <w:r>
        <w:rPr>
          <w:rFonts w:hint="default" w:ascii="Times New Roman" w:hAnsi="Times New Roman" w:cs="Times New Roman" w:eastAsiaTheme="minorEastAsia"/>
          <w:bCs/>
          <w:sz w:val="44"/>
          <w:szCs w:val="44"/>
        </w:rPr>
        <w:t xml:space="preserve">第四章  </w:t>
      </w:r>
      <w:r>
        <w:rPr>
          <w:rFonts w:hint="default" w:ascii="Times New Roman" w:hAnsi="Times New Roman" w:cs="Times New Roman"/>
          <w:bCs/>
          <w:sz w:val="44"/>
          <w:szCs w:val="44"/>
        </w:rPr>
        <w:t xml:space="preserve">采购需求</w:t>
      </w:r>
      <w:r/>
    </w:p>
    <w:p>
      <w:pPr>
        <w:spacing w:line="400" w:lineRule="exact"/>
        <w:rPr>
          <w:rFonts w:hint="default" w:ascii="Times New Roman" w:hAnsi="Times New Roman" w:cs="Times New Roman"/>
        </w:rPr>
      </w:pPr>
      <w:r>
        <w:rPr>
          <w:rFonts w:hint="default" w:ascii="Times New Roman" w:hAnsi="Times New Roman" w:cs="Times New Roman" w:eastAsiaTheme="minorEastAsia"/>
          <w:b/>
          <w:szCs w:val="21"/>
        </w:rPr>
        <w:t xml:space="preserve">一、标的物清单</w:t>
      </w:r>
      <w:r/>
    </w:p>
    <w:tbl>
      <w:tblPr>
        <w:tblStyle w:val="858"/>
        <w:tblW w:w="103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5"/>
        <w:gridCol w:w="771"/>
        <w:gridCol w:w="1523"/>
        <w:gridCol w:w="961"/>
        <w:gridCol w:w="5641"/>
        <w:gridCol w:w="525"/>
        <w:gridCol w:w="375"/>
      </w:tblGrid>
      <w:tr>
        <w:trPr>
          <w:jc w:val="center"/>
          <w:trHeight w:val="170"/>
        </w:trPr>
        <w:tc>
          <w:tcPr>
            <w:gridSpan w:val="7"/>
            <w:shd w:val="clear" w:color="auto" w:fill="auto"/>
            <w:tcW w:w="10301" w:type="dxa"/>
            <w:vAlign w:val="center"/>
            <w:textDirection w:val="lrTb"/>
            <w:noWrap w:val="false"/>
          </w:tcPr>
          <w:p>
            <w:pPr>
              <w:jc w:val="center"/>
              <w:widowControl/>
              <w:rPr>
                <w:rFonts w:hint="default" w:ascii="Times New Roman" w:hAnsi="Times New Roman" w:eastAsia="等线" w:cs="Times New Roman"/>
                <w:color w:val="333333"/>
                <w:sz w:val="18"/>
                <w:szCs w:val="18"/>
              </w:rPr>
            </w:pPr>
            <w:r>
              <w:rPr>
                <w:rFonts w:hint="default" w:ascii="Times New Roman" w:hAnsi="Times New Roman" w:eastAsia="等线" w:cs="Times New Roman"/>
                <w:b/>
                <w:bCs/>
                <w:color w:val="ff0000"/>
                <w:sz w:val="44"/>
                <w:szCs w:val="44"/>
              </w:rPr>
              <w:t xml:space="preserve">唯亭街道区域性养老服务中心家具采购清单</w:t>
            </w:r>
            <w:r/>
          </w:p>
        </w:tc>
      </w:tr>
      <w:tr>
        <w:trPr>
          <w:jc w:val="center"/>
          <w:trHeight w:val="170"/>
        </w:trPr>
        <w:tc>
          <w:tcPr>
            <w:shd w:val="clear" w:color="auto" w:fill="auto"/>
            <w:tcW w:w="505"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等线" w:cs="Times New Roman"/>
                <w:b/>
                <w:bCs/>
                <w:szCs w:val="21"/>
              </w:rPr>
            </w:pPr>
            <w:r>
              <w:rPr>
                <w:rFonts w:hint="default" w:ascii="Times New Roman" w:hAnsi="Times New Roman" w:eastAsia="等线" w:cs="Times New Roman"/>
                <w:b/>
                <w:bCs/>
                <w:szCs w:val="21"/>
              </w:rPr>
              <w:t xml:space="preserve">序号</w:t>
            </w:r>
            <w:r/>
          </w:p>
        </w:tc>
        <w:tc>
          <w:tcPr>
            <w:shd w:val="clear" w:color="auto" w:fill="auto"/>
            <w:tcW w:w="7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等线" w:cs="Times New Roman"/>
                <w:b/>
                <w:bCs/>
                <w:color w:val="333333"/>
                <w:szCs w:val="21"/>
              </w:rPr>
            </w:pPr>
            <w:r>
              <w:rPr>
                <w:rFonts w:hint="default" w:ascii="Times New Roman" w:hAnsi="Times New Roman" w:eastAsia="等线" w:cs="Times New Roman"/>
                <w:b/>
                <w:bCs/>
                <w:color w:val="333333"/>
                <w:szCs w:val="21"/>
              </w:rPr>
              <w:t xml:space="preserve">名称</w:t>
            </w:r>
            <w:r/>
          </w:p>
        </w:tc>
        <w:tc>
          <w:tcPr>
            <w:shd w:val="clear" w:color="auto" w:fill="auto"/>
            <w:tcW w:w="1523"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等线" w:cs="Times New Roman"/>
                <w:b/>
                <w:bCs/>
                <w:color w:val="333333"/>
                <w:szCs w:val="21"/>
              </w:rPr>
            </w:pPr>
            <w:r>
              <w:rPr>
                <w:rFonts w:hint="default" w:ascii="Times New Roman" w:hAnsi="Times New Roman" w:eastAsia="等线" w:cs="Times New Roman"/>
                <w:b/>
                <w:bCs/>
                <w:color w:val="333333"/>
                <w:szCs w:val="21"/>
              </w:rPr>
              <w:t xml:space="preserve">参考图片</w:t>
            </w:r>
            <w:r/>
          </w:p>
        </w:tc>
        <w:tc>
          <w:tcPr>
            <w:shd w:val="clear" w:color="auto" w:fill="auto"/>
            <w:tcW w:w="96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等线" w:cs="Times New Roman"/>
                <w:b/>
                <w:bCs/>
                <w:color w:val="333333"/>
                <w:szCs w:val="21"/>
              </w:rPr>
            </w:pPr>
            <w:r>
              <w:rPr>
                <w:rFonts w:hint="default" w:ascii="Times New Roman" w:hAnsi="Times New Roman" w:eastAsia="等线" w:cs="Times New Roman"/>
                <w:b/>
                <w:bCs/>
                <w:color w:val="333333"/>
                <w:szCs w:val="21"/>
              </w:rPr>
              <w:t xml:space="preserve">规格mm</w:t>
            </w:r>
            <w:r/>
          </w:p>
          <w:p>
            <w:pPr>
              <w:jc w:val="center"/>
              <w:keepLines w:val="0"/>
              <w:keepNext w:val="0"/>
              <w:pageBreakBefore w:val="0"/>
              <w:spacing w:line="260" w:lineRule="exact"/>
              <w:widowControl/>
              <w:rPr>
                <w:rFonts w:hint="default" w:ascii="Times New Roman" w:hAnsi="Times New Roman" w:eastAsia="等线" w:cs="Times New Roman"/>
                <w:b/>
                <w:bCs/>
                <w:color w:val="333333"/>
                <w:szCs w:val="21"/>
              </w:rPr>
            </w:pPr>
            <w:r>
              <w:rPr>
                <w:rFonts w:hint="default" w:ascii="Times New Roman" w:hAnsi="Times New Roman" w:eastAsia="等线" w:cs="Times New Roman"/>
                <w:b/>
                <w:bCs/>
                <w:color w:val="333333"/>
                <w:szCs w:val="21"/>
              </w:rPr>
              <w:t xml:space="preserve">W*D*H　</w:t>
            </w:r>
            <w:r/>
          </w:p>
        </w:tc>
        <w:tc>
          <w:tcPr>
            <w:shd w:val="clear" w:color="auto" w:fill="auto"/>
            <w:tcW w:w="564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等线" w:cs="Times New Roman"/>
                <w:b/>
                <w:bCs/>
                <w:szCs w:val="21"/>
              </w:rPr>
            </w:pPr>
            <w:r>
              <w:rPr>
                <w:rFonts w:hint="default" w:ascii="Times New Roman" w:hAnsi="Times New Roman" w:eastAsia="等线" w:cs="Times New Roman"/>
                <w:b/>
                <w:bCs/>
                <w:szCs w:val="21"/>
              </w:rPr>
              <w:t xml:space="preserve">技术要求</w:t>
            </w:r>
            <w:r/>
          </w:p>
        </w:tc>
        <w:tc>
          <w:tcPr>
            <w:shd w:val="clear" w:color="auto" w:fill="auto"/>
            <w:tcW w:w="525"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等线" w:cs="Times New Roman"/>
                <w:b/>
                <w:bCs/>
                <w:color w:val="333333"/>
                <w:szCs w:val="21"/>
              </w:rPr>
            </w:pPr>
            <w:r>
              <w:rPr>
                <w:rFonts w:hint="default" w:ascii="Times New Roman" w:hAnsi="Times New Roman" w:eastAsia="等线" w:cs="Times New Roman"/>
                <w:b/>
                <w:bCs/>
                <w:color w:val="333333"/>
                <w:szCs w:val="21"/>
              </w:rPr>
              <w:t xml:space="preserve">数量</w:t>
            </w:r>
            <w:r/>
          </w:p>
        </w:tc>
        <w:tc>
          <w:tcPr>
            <w:shd w:val="clear" w:color="auto" w:fill="auto"/>
            <w:tcW w:w="375"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等线" w:cs="Times New Roman"/>
                <w:b/>
                <w:bCs/>
                <w:color w:val="333333"/>
                <w:szCs w:val="21"/>
              </w:rPr>
            </w:pPr>
            <w:r>
              <w:rPr>
                <w:rFonts w:hint="default" w:ascii="Times New Roman" w:hAnsi="Times New Roman" w:eastAsia="等线" w:cs="Times New Roman"/>
                <w:b/>
                <w:bCs/>
                <w:color w:val="333333"/>
                <w:szCs w:val="21"/>
              </w:rPr>
              <w:t xml:space="preserve">单位</w:t>
            </w:r>
            <w:r/>
          </w:p>
        </w:tc>
      </w:tr>
      <w:tr>
        <w:trPr>
          <w:jc w:val="center"/>
          <w:trHeight w:val="188"/>
        </w:trPr>
        <w:tc>
          <w:tcPr>
            <w:gridSpan w:val="7"/>
            <w:shd w:val="clear" w:color="000000" w:fill="12501a"/>
            <w:tcW w:w="10301" w:type="dxa"/>
            <w:textDirection w:val="lrTb"/>
            <w:noWrap w:val="false"/>
          </w:tcPr>
          <w:p>
            <w:pPr>
              <w:jc w:val="center"/>
              <w:widowControl/>
              <w:rPr>
                <w:rFonts w:hint="default" w:ascii="Times New Roman" w:hAnsi="Times New Roman" w:eastAsia="等线" w:cs="Times New Roman"/>
                <w:b/>
                <w:bCs/>
                <w:color w:val="ff0000"/>
                <w:sz w:val="18"/>
                <w:szCs w:val="18"/>
              </w:rPr>
            </w:pPr>
            <w:r>
              <w:rPr>
                <w:rFonts w:hint="default" w:ascii="Times New Roman" w:hAnsi="Times New Roman" w:eastAsia="等线" w:cs="Times New Roman"/>
                <w:b/>
                <w:bCs/>
                <w:color w:val="ff0000"/>
                <w:sz w:val="18"/>
                <w:szCs w:val="18"/>
              </w:rPr>
              <w:t xml:space="preserve">养老楼</w:t>
            </w:r>
            <w:r/>
          </w:p>
        </w:tc>
      </w:tr>
      <w:tr>
        <w:trPr>
          <w:jc w:val="center"/>
          <w:trHeight w:val="116"/>
        </w:trPr>
        <w:tc>
          <w:tcPr>
            <w:gridSpan w:val="7"/>
            <w:shd w:val="clear" w:color="000000" w:fill="d9d9d9"/>
            <w:tcW w:w="10301" w:type="dxa"/>
            <w:textDirection w:val="lrTb"/>
            <w:noWrap w:val="false"/>
          </w:tcPr>
          <w:p>
            <w:pPr>
              <w:jc w:val="center"/>
              <w:widowControl/>
              <w:rPr>
                <w:rFonts w:hint="default" w:ascii="Times New Roman" w:hAnsi="Times New Roman" w:eastAsia="宋体" w:cs="Times New Roman"/>
                <w:b/>
                <w:bCs/>
                <w:color w:val="12501a"/>
                <w:sz w:val="18"/>
                <w:szCs w:val="18"/>
                <w:lang w:eastAsia="zh-CN"/>
              </w:rPr>
            </w:pPr>
            <w:r>
              <w:rPr>
                <w:rFonts w:hint="default" w:ascii="Times New Roman" w:hAnsi="Times New Roman" w:cs="Times New Roman"/>
                <w:b/>
                <w:bCs/>
                <w:color w:val="e46c0a" w:themeColor="accent6" w:themeShade="BF"/>
                <w:sz w:val="18"/>
                <w:szCs w:val="18"/>
                <w:lang w:val="en-US" w:eastAsia="zh-CN"/>
              </w:rPr>
              <w:t xml:space="preserve">住房区</w:t>
            </w:r>
            <w:r/>
          </w:p>
        </w:tc>
      </w:tr>
      <w:tr>
        <w:trPr>
          <w:jc w:val="center"/>
          <w:trHeight w:val="3610"/>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w:t>
            </w:r>
            <w:r/>
          </w:p>
        </w:tc>
        <w:tc>
          <w:tcPr>
            <w:shd w:val="clear" w:color="auto" w:fill="auto"/>
            <w:tcW w:w="77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适老床（含床垫）</w:t>
            </w:r>
            <w:r/>
          </w:p>
        </w:tc>
        <w:tc>
          <w:tcPr>
            <w:shd w:val="clear" w:color="auto" w:fill="auto"/>
            <w:tcW w:w="1523"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793115" cy="568960"/>
                      <wp:effectExtent l="0" t="0" r="6985" b="254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8" name="图片 1"/>
                              <pic:cNvPicPr>
                                <a:picLocks noChangeAspect="1"/>
                              </pic:cNvPicPr>
                              <pic:nvPr/>
                            </pic:nvPicPr>
                            <pic:blipFill>
                              <a:blip r:embed="rId13"/>
                              <a:stretch/>
                            </pic:blipFill>
                            <pic:spPr bwMode="auto">
                              <a:xfrm>
                                <a:off x="0" y="0"/>
                                <a:ext cx="793115" cy="5689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2.4pt;height:44.8pt;mso-wrap-distance-left:0.0pt;mso-wrap-distance-top:0.0pt;mso-wrap-distance-right:0.0pt;mso-wrap-distance-bottom:0.0pt;" stroked="f" strokeweight="0.75pt">
                      <v:path textboxrect="0,0,0,0"/>
                      <v:imagedata r:id="rId13" o:title=""/>
                    </v:shape>
                  </w:pict>
                </mc:Fallback>
              </mc:AlternateContent>
            </w:r>
            <w:r/>
          </w:p>
        </w:tc>
        <w:tc>
          <w:tcPr>
            <w:shd w:val="clear" w:color="auto" w:fill="auto"/>
            <w:tcW w:w="961" w:type="dxa"/>
            <w:vAlign w:val="center"/>
            <w:textDirection w:val="lrTb"/>
            <w:noWrap w:val="false"/>
          </w:tcPr>
          <w:p>
            <w:pPr>
              <w:jc w:val="center"/>
              <w:widowControl/>
              <w:rPr>
                <w:rStyle w:val="909"/>
                <w:rFonts w:hint="default" w:ascii="Times New Roman" w:hAnsi="Times New Roman" w:cs="Times New Roman"/>
              </w:rPr>
            </w:pPr>
            <w:r>
              <w:rPr>
                <w:rFonts w:hint="default" w:ascii="Times New Roman" w:hAnsi="Times New Roman" w:eastAsia="等线" w:cs="Times New Roman"/>
                <w:color w:val="000000"/>
                <w:sz w:val="18"/>
                <w:szCs w:val="18"/>
              </w:rPr>
              <w:t xml:space="preserve">2030*1100*1100</w:t>
            </w:r>
            <w:r/>
          </w:p>
          <w:p>
            <w:pPr>
              <w:jc w:val="center"/>
              <w:widowControl/>
              <w:rPr>
                <w:rStyle w:val="909"/>
                <w:rFonts w:hint="default" w:ascii="Times New Roman" w:hAnsi="Times New Roman" w:eastAsia="宋体" w:cs="Times New Roman"/>
                <w:lang w:val="en-US" w:eastAsia="zh-CN"/>
              </w:rPr>
            </w:pPr>
            <w:r>
              <w:rPr>
                <w:rStyle w:val="909"/>
                <w:rFonts w:hint="default" w:ascii="Times New Roman" w:hAnsi="Times New Roman" w:cs="Times New Roman"/>
                <w:sz w:val="18"/>
                <w:szCs w:val="18"/>
                <w:lang w:val="en-US" w:eastAsia="zh-CN"/>
              </w:rPr>
              <w:t xml:space="preserve">坐高420（含床垫）</w:t>
            </w:r>
            <w:r/>
          </w:p>
        </w:tc>
        <w:tc>
          <w:tcPr>
            <w:shd w:val="clear" w:color="auto" w:fill="auto"/>
            <w:tcW w:w="5641" w:type="dxa"/>
            <w:vAlign w:val="center"/>
            <w:vMerge w:val="restart"/>
            <w:textDirection w:val="lrTb"/>
            <w:noWrap w:val="false"/>
          </w:tcPr>
          <w:p>
            <w:pPr>
              <w:jc w:val="left"/>
              <w:widowControl/>
              <w:rPr>
                <w:rFonts w:hint="default" w:ascii="Times New Roman" w:hAnsi="Times New Roman" w:cs="Times New Roman"/>
                <w:b/>
                <w:bCs/>
                <w:color w:val="000000"/>
                <w:sz w:val="18"/>
                <w:szCs w:val="18"/>
              </w:rPr>
            </w:pPr>
            <w:r>
              <w:rPr>
                <w:rFonts w:hint="default" w:ascii="Times New Roman" w:hAnsi="Times New Roman" w:cs="Times New Roman"/>
                <w:b/>
                <w:bCs/>
                <w:color w:val="000000"/>
                <w:sz w:val="18"/>
                <w:szCs w:val="18"/>
              </w:rPr>
              <w:t xml:space="preserve">床体：</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1、结构：床体由前档、侧边围档、床板、调节脚、床靠、护栏等部分组成</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2、床体基材：采用橡胶木实木，木榫结构，材质相关参数符合GB/T 3324-2017《木家具通用技术条件》，GB 18584-2001《室内装饰装修材料 木家具中有害物质限量》，木材含水率符合国家标准，木材无腐朽或较明显虫眼等瑕疵，符合国家环保标准</w:t>
            </w:r>
            <w:r>
              <w:rPr>
                <w:rFonts w:hint="default" w:ascii="Times New Roman" w:hAnsi="Times New Roman" w:cs="Times New Roman"/>
                <w:color w:val="000000"/>
                <w:sz w:val="18"/>
                <w:szCs w:val="18"/>
                <w:lang w:eastAsia="zh-CN"/>
              </w:rPr>
              <w:t xml:space="preserve">。</w:t>
            </w:r>
            <w:r>
              <w:rPr>
                <w:rFonts w:hint="default" w:ascii="Times New Roman" w:hAnsi="Times New Roman" w:cs="Times New Roman"/>
                <w:color w:val="000000"/>
                <w:sz w:val="18"/>
                <w:szCs w:val="18"/>
              </w:rPr>
              <w:t xml:space="preserve">木材均经过刨光、砂光，成品无毛刺、无裂纹，接缝自然，无明显缺口和缝隙。</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3、油漆：水性底漆、水性面漆，整体喷涂漆面，喷漆均匀，表面漆膜平整光亮、无皱皮、发粘和漏漆现象，有害物含量符合GB18581-2020《木器涂料中有害物质限量》要求。 </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4、床靠海绵：阻燃海绵，厚度大于等于60mm，密度大于40kg/m3，符合GB/T 10802-2023《</w:t>
            </w:r>
            <w:r>
              <w:rPr>
                <w:rFonts w:hint="default" w:ascii="Times New Roman" w:hAnsi="Times New Roman" w:cs="Times New Roman"/>
                <w:color w:val="333333"/>
                <w:sz w:val="18"/>
                <w:szCs w:val="18"/>
                <w:shd w:val="clear" w:color="auto" w:fill="ffffff"/>
              </w:rPr>
              <w:t xml:space="preserve">通用软质聚氨酯泡沫塑料》</w:t>
            </w:r>
            <w:r>
              <w:rPr>
                <w:rFonts w:hint="default" w:ascii="Times New Roman" w:hAnsi="Times New Roman" w:cs="Times New Roman"/>
                <w:color w:val="000000"/>
                <w:sz w:val="18"/>
                <w:szCs w:val="18"/>
              </w:rPr>
              <w:t xml:space="preserve">、GB 8624-2012《建筑材料及制品燃烧性能分级》等标准要求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5、床靠面料：阻燃布料，透气性好，表面无刺触感，平滑舒适，防螨性能优，无明显色差，性能、环保性、质量、防螨等参数符合GB 18401-2010 《国家纺织产品基本安全技术规范》、GB/T 18885-2020《生态纺织品技术要求》</w:t>
            </w:r>
            <w:r>
              <w:rPr>
                <w:rFonts w:hint="default" w:ascii="Times New Roman" w:hAnsi="Times New Roman" w:cs="Times New Roman"/>
                <w:color w:val="000000"/>
                <w:sz w:val="18"/>
                <w:szCs w:val="18"/>
                <w:lang w:eastAsia="zh-CN"/>
              </w:rPr>
              <w:t xml:space="preserve">、</w:t>
            </w:r>
            <w:r>
              <w:rPr>
                <w:rFonts w:hint="default" w:ascii="Times New Roman" w:hAnsi="Times New Roman" w:cs="Times New Roman"/>
                <w:color w:val="000000"/>
                <w:sz w:val="18"/>
                <w:szCs w:val="18"/>
              </w:rPr>
              <w:t xml:space="preserve">GB/T 24253-2009《纺织品 防螨性能的评价》、GB 8624-2012《建筑材料及制品燃烧性能分级》、HJ 2546-2016《环境标志产品技术要求纺织产品》要求。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6、护栏：</w:t>
            </w:r>
            <w:r>
              <w:rPr>
                <w:rFonts w:hint="default" w:ascii="Times New Roman" w:hAnsi="Times New Roman" w:cs="Times New Roman"/>
                <w:color w:val="000000"/>
                <w:sz w:val="18"/>
                <w:szCs w:val="18"/>
                <w:lang w:val="en-US" w:eastAsia="zh-CN"/>
              </w:rPr>
              <w:t xml:space="preserve">尺寸：W1690*H350mm，</w:t>
            </w:r>
            <w:r>
              <w:rPr>
                <w:rFonts w:hint="default" w:ascii="Times New Roman" w:hAnsi="Times New Roman" w:cs="Times New Roman"/>
                <w:color w:val="000000"/>
                <w:sz w:val="18"/>
                <w:szCs w:val="18"/>
              </w:rPr>
              <w:t xml:space="preserve">阻尼折叠护栏，铝合金材质，具有表面光滑，易擦拭，易清洁特点，侧面配有气动弹簧，上下锁紧定位，具有良好的安全性；色彩与床体协调一致；人体工程学把手开关，位置合理，方便使用。</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7、床脚：可调节金属脚</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8、颜色：淡雅暖色系，与现场环境匹配</w:t>
            </w:r>
            <w:r/>
          </w:p>
          <w:p>
            <w:pPr>
              <w:jc w:val="left"/>
              <w:widowControl/>
              <w:rPr>
                <w:rFonts w:hint="default" w:ascii="Times New Roman" w:hAnsi="Times New Roman" w:cs="Times New Roman"/>
                <w:b/>
                <w:bCs/>
                <w:color w:val="000000"/>
                <w:sz w:val="18"/>
                <w:szCs w:val="18"/>
              </w:rPr>
            </w:pPr>
            <w:r>
              <w:rPr>
                <w:rFonts w:hint="default" w:ascii="Times New Roman" w:hAnsi="Times New Roman" w:cs="Times New Roman"/>
                <w:b/>
                <w:bCs/>
                <w:color w:val="000000"/>
                <w:sz w:val="18"/>
                <w:szCs w:val="18"/>
              </w:rPr>
              <w:t xml:space="preserve">床垫：棕纤维弹性床垫</w:t>
            </w:r>
            <w:r/>
          </w:p>
          <w:p>
            <w:pPr>
              <w:numPr>
                <w:ilvl w:val="0"/>
                <w:numId w:val="0"/>
              </w:numPr>
              <w:jc w:val="left"/>
              <w:widowControl/>
              <w:rPr>
                <w:rStyle w:val="909"/>
                <w:rFonts w:hint="default" w:ascii="Times New Roman" w:hAnsi="Times New Roman" w:cs="Times New Roman"/>
                <w:color w:val="000000"/>
                <w:sz w:val="18"/>
                <w:szCs w:val="18"/>
                <w:lang w:eastAsia="zh-CN"/>
              </w:rPr>
            </w:pPr>
            <w:r>
              <w:rPr>
                <w:rFonts w:hint="default" w:ascii="Times New Roman" w:hAnsi="Times New Roman" w:eastAsia="宋体" w:cs="Times New Roman"/>
                <w:color w:val="000000"/>
                <w:sz w:val="18"/>
                <w:szCs w:val="18"/>
                <w:lang w:val="en-US" w:eastAsia="zh-CN" w:bidi="ar-SA"/>
              </w:rPr>
              <w:t xml:space="preserve">1、</w:t>
            </w:r>
            <w:r>
              <w:rPr>
                <w:rFonts w:hint="default" w:ascii="Times New Roman" w:hAnsi="Times New Roman" w:cs="Times New Roman"/>
                <w:color w:val="000000"/>
                <w:sz w:val="18"/>
                <w:szCs w:val="18"/>
              </w:rPr>
              <w:t xml:space="preserve">尺寸：长度为1900mm</w:t>
            </w:r>
            <w:r>
              <w:rPr>
                <w:rFonts w:hint="default" w:ascii="Times New Roman" w:hAnsi="Times New Roman" w:cs="Times New Roman"/>
                <w:color w:val="000000"/>
                <w:sz w:val="18"/>
                <w:szCs w:val="18"/>
                <w:lang w:eastAsia="zh-CN"/>
              </w:rPr>
              <w:t xml:space="preserve">，</w:t>
            </w:r>
            <w:r>
              <w:rPr>
                <w:rFonts w:hint="default" w:ascii="Times New Roman" w:hAnsi="Times New Roman" w:cs="Times New Roman"/>
                <w:color w:val="000000"/>
                <w:sz w:val="18"/>
                <w:szCs w:val="18"/>
              </w:rPr>
              <w:t xml:space="preserve">宽度与床宽匹配，厚度为</w:t>
            </w:r>
            <w:r>
              <w:rPr>
                <w:rFonts w:hint="default" w:ascii="Times New Roman" w:hAnsi="Times New Roman" w:cs="Times New Roman"/>
                <w:color w:val="000000"/>
                <w:sz w:val="18"/>
                <w:szCs w:val="18"/>
                <w:lang w:val="en-US" w:eastAsia="zh-CN"/>
              </w:rPr>
              <w:t xml:space="preserve">6</w:t>
            </w:r>
            <w:r>
              <w:rPr>
                <w:rFonts w:hint="default" w:ascii="Times New Roman" w:hAnsi="Times New Roman" w:cs="Times New Roman"/>
                <w:color w:val="000000"/>
                <w:sz w:val="18"/>
                <w:szCs w:val="18"/>
              </w:rPr>
              <w:t xml:space="preserve">0mm</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2、面料：阻燃布料，高针织数，透气性好，正面绗缝面料层须至少有 4 层，边缘滚边处理，表面无刺触感，平滑舒适，防螨性能好，无明显色差。</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3、填充物：内芯填充天然椰棕</w:t>
            </w:r>
            <w:r>
              <w:rPr>
                <w:rFonts w:hint="default" w:ascii="Times New Roman" w:hAnsi="Times New Roman" w:cs="Times New Roman"/>
                <w:color w:val="000000"/>
                <w:sz w:val="18"/>
                <w:szCs w:val="18"/>
                <w:lang w:eastAsia="zh-CN"/>
              </w:rPr>
              <w:t xml:space="preserve">，</w:t>
            </w:r>
            <w:r>
              <w:rPr>
                <w:rFonts w:hint="default" w:ascii="Times New Roman" w:hAnsi="Times New Roman" w:cs="Times New Roman"/>
                <w:color w:val="000000"/>
                <w:sz w:val="18"/>
                <w:szCs w:val="18"/>
              </w:rPr>
              <w:t xml:space="preserve">弹性好，软硬均匀,密度不小于60kg/m3</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4、绿色环保，产品各项指标符合：GB/T 35607-2017《绿色产品评价 家具》;GB/T 26706-2011《软体家具 棕纤维弹性床垫》</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5、成品：床体边缘部位倒圆处理，无棱角，降低安全风险，整体结构、安全防护、质量、环保、舒适性、便利性等参数均须符合适老化要求，同时体现居家风格。</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89</w:t>
            </w:r>
            <w:r/>
          </w:p>
        </w:tc>
        <w:tc>
          <w:tcPr>
            <w:shd w:val="clear" w:color="auto" w:fill="auto"/>
            <w:tcW w:w="375" w:type="dxa"/>
            <w:vAlign w:val="center"/>
            <w:textDirection w:val="lrTb"/>
            <w:noWrap w:val="false"/>
          </w:tcPr>
          <w:p>
            <w:pPr>
              <w:jc w:val="center"/>
              <w:widowControl/>
              <w:tabs>
                <w:tab w:val="left" w:pos="4171" w:leader="none"/>
                <w:tab w:val="center" w:pos="4868" w:leader="none"/>
              </w:tabs>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套</w:t>
            </w:r>
            <w:r/>
          </w:p>
        </w:tc>
      </w:tr>
      <w:tr>
        <w:trPr>
          <w:jc w:val="center"/>
          <w:trHeight w:val="3151"/>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2</w:t>
            </w:r>
            <w:r/>
          </w:p>
        </w:tc>
        <w:tc>
          <w:tcPr>
            <w:shd w:val="clear" w:color="auto" w:fill="auto"/>
            <w:tcW w:w="77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适老床（含床垫）　</w:t>
            </w:r>
            <w:r/>
          </w:p>
        </w:tc>
        <w:tc>
          <w:tcPr>
            <w:shd w:val="clear" w:color="auto" w:fill="auto"/>
            <w:tcW w:w="1523"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771525" cy="583565"/>
                      <wp:effectExtent l="0" t="0" r="9525" b="698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9" name="图片 2"/>
                              <pic:cNvPicPr>
                                <a:picLocks noChangeAspect="1"/>
                              </pic:cNvPicPr>
                              <pic:nvPr/>
                            </pic:nvPicPr>
                            <pic:blipFill>
                              <a:blip r:embed="rId14"/>
                              <a:stretch/>
                            </pic:blipFill>
                            <pic:spPr bwMode="auto">
                              <a:xfrm>
                                <a:off x="0" y="0"/>
                                <a:ext cx="771525" cy="5835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0.8pt;height:45.9pt;mso-wrap-distance-left:0.0pt;mso-wrap-distance-top:0.0pt;mso-wrap-distance-right:0.0pt;mso-wrap-distance-bottom:0.0pt;" stroked="f" strokeweight="0.75pt">
                      <v:path textboxrect="0,0,0,0"/>
                      <v:imagedata r:id="rId14"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2030*1500*1100</w:t>
            </w:r>
            <w:r/>
          </w:p>
          <w:p>
            <w:pPr>
              <w:jc w:val="center"/>
              <w:widowControl/>
              <w:rPr>
                <w:rFonts w:hint="default" w:ascii="Times New Roman" w:hAnsi="Times New Roman" w:eastAsia="等线" w:cs="Times New Roman"/>
                <w:color w:val="000000"/>
                <w:sz w:val="18"/>
                <w:szCs w:val="18"/>
              </w:rPr>
            </w:pPr>
            <w:r>
              <w:rPr>
                <w:rStyle w:val="909"/>
                <w:rFonts w:hint="default" w:ascii="Times New Roman" w:hAnsi="Times New Roman" w:cs="Times New Roman"/>
                <w:sz w:val="18"/>
                <w:szCs w:val="18"/>
                <w:lang w:val="en-US" w:eastAsia="zh-CN"/>
              </w:rPr>
              <w:t xml:space="preserve">坐高420（含床垫）</w:t>
            </w:r>
            <w:r/>
          </w:p>
        </w:tc>
        <w:tc>
          <w:tcPr>
            <w:shd w:val="clear" w:color="auto" w:fill="auto"/>
            <w:tcW w:w="5641" w:type="dxa"/>
            <w:vAlign w:val="center"/>
            <w:vMerge w:val="continue"/>
            <w:textDirection w:val="lrTb"/>
            <w:noWrap w:val="false"/>
          </w:tcPr>
          <w:p>
            <w:pPr>
              <w:jc w:val="left"/>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20</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套</w:t>
            </w:r>
            <w:r/>
          </w:p>
        </w:tc>
      </w:tr>
      <w:tr>
        <w:trPr>
          <w:jc w:val="center"/>
          <w:trHeight w:val="150"/>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3</w:t>
            </w:r>
            <w:r/>
          </w:p>
        </w:tc>
        <w:tc>
          <w:tcPr>
            <w:shd w:val="clear" w:color="auto" w:fill="auto"/>
            <w:tcW w:w="77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适老床（含床垫）</w:t>
            </w:r>
            <w:r/>
          </w:p>
        </w:tc>
        <w:tc>
          <w:tcPr>
            <w:shd w:val="clear" w:color="auto" w:fill="auto"/>
            <w:tcW w:w="1523"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797560" cy="603250"/>
                      <wp:effectExtent l="19050" t="0" r="2401"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4"/>
                              <a:stretch/>
                            </pic:blipFill>
                            <pic:spPr bwMode="auto">
                              <a:xfrm>
                                <a:off x="0" y="0"/>
                                <a:ext cx="799205" cy="604388"/>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2.8pt;height:47.5pt;mso-wrap-distance-left:0.0pt;mso-wrap-distance-top:0.0pt;mso-wrap-distance-right:0.0pt;mso-wrap-distance-bottom:0.0pt;" stroked="f" strokeweight="0.75pt">
                      <v:path textboxrect="0,0,0,0"/>
                      <v:imagedata r:id="rId14"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2030*1800*1100</w:t>
            </w:r>
            <w:r/>
          </w:p>
          <w:p>
            <w:pPr>
              <w:jc w:val="center"/>
              <w:widowControl/>
              <w:rPr>
                <w:rFonts w:hint="default" w:ascii="Times New Roman" w:hAnsi="Times New Roman" w:eastAsia="等线" w:cs="Times New Roman"/>
                <w:color w:val="000000"/>
                <w:sz w:val="18"/>
                <w:szCs w:val="18"/>
              </w:rPr>
            </w:pPr>
            <w:r>
              <w:rPr>
                <w:rStyle w:val="909"/>
                <w:rFonts w:hint="default" w:ascii="Times New Roman" w:hAnsi="Times New Roman" w:cs="Times New Roman"/>
                <w:sz w:val="18"/>
                <w:szCs w:val="18"/>
                <w:lang w:val="en-US" w:eastAsia="zh-CN"/>
              </w:rPr>
              <w:t xml:space="preserve">坐高420（含床垫）</w:t>
            </w:r>
            <w:r/>
          </w:p>
        </w:tc>
        <w:tc>
          <w:tcPr>
            <w:shd w:val="clear" w:color="auto" w:fill="auto"/>
            <w:tcW w:w="5641" w:type="dxa"/>
            <w:vAlign w:val="center"/>
            <w:vMerge w:val="continue"/>
            <w:textDirection w:val="lrTb"/>
            <w:noWrap w:val="false"/>
          </w:tcPr>
          <w:p>
            <w:pPr>
              <w:jc w:val="left"/>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16</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套</w:t>
            </w:r>
            <w:r/>
          </w:p>
        </w:tc>
      </w:tr>
      <w:tr>
        <w:trPr>
          <w:jc w:val="center"/>
          <w:trHeight w:val="90"/>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4</w:t>
            </w:r>
            <w:r/>
          </w:p>
        </w:tc>
        <w:tc>
          <w:tcPr>
            <w:shd w:val="clear" w:color="auto" w:fill="auto"/>
            <w:tcW w:w="77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　</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适老床头柜</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　</w:t>
            </w:r>
            <w:r/>
          </w:p>
        </w:tc>
        <w:tc>
          <w:tcPr>
            <w:shd w:val="clear" w:color="auto" w:fill="auto"/>
            <w:tcW w:w="1523"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748665" cy="848995"/>
                      <wp:effectExtent l="0" t="0" r="13335" b="8255"/>
                      <wp:docPr id="4" name="ID_0DC8067FBDA24EC79613AF9EA9779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1" name="ID_0DC8067FBDA24EC79613AF9EA9779499"/>
                              <pic:cNvPicPr>
                                <a:picLocks noChangeAspect="1"/>
                              </pic:cNvPicPr>
                              <pic:nvPr/>
                            </pic:nvPicPr>
                            <pic:blipFill>
                              <a:blip r:embed="rId15"/>
                              <a:stretch/>
                            </pic:blipFill>
                            <pic:spPr bwMode="auto">
                              <a:xfrm flipH="1">
                                <a:off x="0" y="0"/>
                                <a:ext cx="748665" cy="8489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8.9pt;height:66.8pt;mso-wrap-distance-left:0.0pt;mso-wrap-distance-top:0.0pt;mso-wrap-distance-right:0.0pt;mso-wrap-distance-bottom:0.0pt;flip:x;" stroked="f" strokeweight="0.75pt">
                      <v:path textboxrect="0,0,0,0"/>
                      <v:imagedata r:id="rId15"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420*400*600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1、结构：顶板（有挡边），中空层，双层抽屉。</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2、柜体基材：采用橡胶木实木，厚度18mm,材质相关参数符合GB/T 3324-2017《木家具通用技术条件》，GB 18584-2001《室内装饰装修材料 木家具中有害物质限量》要求。木材含水率符合国家标准，木材无腐朽或较明显虫眼等瑕疵，符合国家环保标准</w:t>
            </w:r>
            <w:r>
              <w:rPr>
                <w:rFonts w:hint="default" w:ascii="Times New Roman" w:hAnsi="Times New Roman" w:cs="Times New Roman"/>
                <w:color w:val="000000"/>
                <w:sz w:val="18"/>
                <w:szCs w:val="18"/>
                <w:lang w:eastAsia="zh-CN"/>
              </w:rPr>
              <w:t xml:space="preserve">。</w:t>
            </w:r>
            <w:r>
              <w:rPr>
                <w:rFonts w:hint="default" w:ascii="Times New Roman" w:hAnsi="Times New Roman" w:cs="Times New Roman"/>
                <w:color w:val="000000"/>
                <w:sz w:val="18"/>
                <w:szCs w:val="18"/>
              </w:rPr>
              <w:t xml:space="preserve"> 木材均经过刨光、砂光，成品无毛刺、无裂纹，接缝自然，无明显缺口和缝隙。</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3、油漆：水性底漆、水性面漆，整体喷涂漆面，喷漆均匀，表面漆膜平整光亮、无皱皮、发粘和漏漆现象，有害物含量符合GB 18581-2020 《木器涂料中有害物质限量》要求 </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4、导轨：优质三节导轨，符合QB/T 2454-2013《家具五金 抽屉导轨》要求</w:t>
            </w:r>
            <w:r/>
          </w:p>
          <w:p>
            <w:pPr>
              <w:jc w:val="left"/>
              <w:widowControl/>
              <w:rPr>
                <w:rFonts w:hint="default" w:ascii="Times New Roman" w:hAnsi="Times New Roman" w:cs="Times New Roman"/>
                <w:color w:val="000000"/>
                <w:sz w:val="18"/>
                <w:szCs w:val="18"/>
                <w:highlight w:val="yellow"/>
              </w:rPr>
            </w:pPr>
            <w:r>
              <w:rPr>
                <w:rFonts w:hint="default" w:ascii="Times New Roman" w:hAnsi="Times New Roman" w:cs="Times New Roman"/>
                <w:color w:val="000000"/>
                <w:sz w:val="18"/>
                <w:szCs w:val="18"/>
              </w:rPr>
              <w:t xml:space="preserve">5、锁具：抽屉带锁，优质锁具，符合QB/T 1621-2015《家具锁》要求</w:t>
            </w:r>
            <w:r/>
          </w:p>
          <w:p>
            <w:pPr>
              <w:jc w:val="left"/>
              <w:widowControl/>
              <w:rPr>
                <w:rFonts w:hint="default" w:ascii="Times New Roman" w:hAnsi="Times New Roman" w:cs="Times New Roman"/>
                <w:color w:val="000000"/>
                <w:sz w:val="18"/>
                <w:szCs w:val="18"/>
                <w:highlight w:val="yellow"/>
              </w:rPr>
            </w:pPr>
            <w:r>
              <w:rPr>
                <w:rFonts w:hint="default" w:ascii="Times New Roman" w:hAnsi="Times New Roman" w:cs="Times New Roman"/>
                <w:color w:val="000000"/>
                <w:sz w:val="18"/>
                <w:szCs w:val="18"/>
              </w:rPr>
              <w:t xml:space="preserve">6、调节脚：金属调节脚，调节脚底部为PP塑料，螺杆为钢制螺杆。</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7、连接件：金属三合一连接件，耐腐蚀性强。符合QB/T 3832-1999《轻工产品金属镀层腐蚀试验结果的评价》的要求，达到10级。</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8、其他要求：边缘部位倒圆处理，无棱角，降低安全风险，整体结构、安全防护、质量、环保、舒适性、便利性等参数均须符合适老化要求。</w:t>
            </w:r>
            <w:r/>
          </w:p>
          <w:p>
            <w:pPr>
              <w:jc w:val="left"/>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9、颜色：淡雅暖色系，与现场环境匹配</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161</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个</w:t>
            </w:r>
            <w:r/>
          </w:p>
        </w:tc>
      </w:tr>
      <w:tr>
        <w:trPr>
          <w:jc w:val="center"/>
          <w:trHeight w:val="2057"/>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5</w:t>
            </w:r>
            <w:r/>
          </w:p>
        </w:tc>
        <w:tc>
          <w:tcPr>
            <w:shd w:val="clear" w:color="auto" w:fill="auto"/>
            <w:tcW w:w="771" w:type="dxa"/>
            <w:vAlign w:val="center"/>
            <w:vMerge w:val="restart"/>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电视柜</w:t>
            </w:r>
            <w:r/>
          </w:p>
        </w:tc>
        <w:tc>
          <w:tcPr>
            <w:shd w:val="clear" w:color="auto" w:fill="auto"/>
            <w:tcW w:w="1523" w:type="dxa"/>
            <w:vAlign w:val="center"/>
            <w:vMerge w:val="restart"/>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773430" cy="713105"/>
                      <wp:effectExtent l="0" t="0" r="7620" b="10795"/>
                      <wp:docPr id="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2" name="图片 6"/>
                              <pic:cNvPicPr>
                                <a:picLocks noChangeAspect="1"/>
                              </pic:cNvPicPr>
                              <pic:nvPr/>
                            </pic:nvPicPr>
                            <pic:blipFill>
                              <a:blip r:embed="rId16"/>
                              <a:stretch/>
                            </pic:blipFill>
                            <pic:spPr bwMode="auto">
                              <a:xfrm>
                                <a:off x="0" y="0"/>
                                <a:ext cx="773430" cy="7131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0.9pt;height:56.1pt;mso-wrap-distance-left:0.0pt;mso-wrap-distance-top:0.0pt;mso-wrap-distance-right:0.0pt;mso-wrap-distance-bottom:0.0pt;" stroked="f" strokeweight="0.75pt">
                      <v:path textboxrect="0,0,0,0"/>
                      <v:imagedata r:id="rId16"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2200*500*800</w:t>
            </w:r>
            <w:r/>
          </w:p>
        </w:tc>
        <w:tc>
          <w:tcPr>
            <w:shd w:val="clear" w:color="auto" w:fill="auto"/>
            <w:tcW w:w="5641" w:type="dxa"/>
            <w:vAlign w:val="center"/>
            <w:vMerge w:val="restart"/>
            <w:textDirection w:val="lrTb"/>
            <w:noWrap w:val="false"/>
          </w:tcPr>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1、基材：优质浸渍胶膜纸饰面刨花板。板厚25mm, 甲醛释放量 ENF 级。各项指标符合GB/T 15102-2017《浸渍胶膜纸饰面纤维板和刨花板》、GB 18580-2017《室内装饰装修材料 人造板及其制品中甲醛释放限量》、GB/T 39600-2021《人造板及其制品甲醛释放量分级》、GB/T 35601-2017《绿色产品评价 人造板和木质地板》、HJ 571-2010《环境标志产品技术要求 人造板及其制品》、GB 8624-2012《建筑材料及制品燃烧性能分级》要求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2、封边：激光封边条，各项指标符合QB/T 4463-2013《家具用封边条技术要求》要求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sz w:val="18"/>
                <w:szCs w:val="18"/>
              </w:rPr>
              <w:t xml:space="preserve">3、连接件：金属三合一连接件，耐腐蚀性强。符合QB/T 3832-1999《轻工产品金属镀层腐蚀试验结果的评价》的要求，</w:t>
            </w:r>
            <w:r>
              <w:rPr>
                <w:rFonts w:hint="default" w:ascii="Times New Roman" w:hAnsi="Times New Roman" w:cs="Times New Roman"/>
                <w:color w:val="000000"/>
                <w:sz w:val="18"/>
                <w:szCs w:val="18"/>
              </w:rPr>
              <w:t xml:space="preserve">达到10级。</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4、结构：曲线型桌面，下部开放式中空储物盒，可做为电视柜使用，亦可做为桌子使用。</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5、其他要求：边缘部位倒圆处理，无棱角，降低安全风险，整体结构、安全防护、质量、环保、舒适性、便利性等参数均须符合适老化要求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6、颜色：淡雅暖色系，与现场环境匹配</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44</w:t>
            </w:r>
            <w:r/>
          </w:p>
        </w:tc>
        <w:tc>
          <w:tcPr>
            <w:shd w:val="clear" w:color="auto" w:fill="auto"/>
            <w:tcW w:w="375" w:type="dxa"/>
            <w:vAlign w:val="center"/>
            <w:vMerge w:val="restart"/>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个</w:t>
            </w:r>
            <w:r/>
          </w:p>
        </w:tc>
      </w:tr>
      <w:tr>
        <w:trPr>
          <w:jc w:val="center"/>
          <w:trHeight w:val="1053"/>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6</w:t>
            </w:r>
            <w:r/>
          </w:p>
        </w:tc>
        <w:tc>
          <w:tcPr>
            <w:shd w:val="clear" w:color="auto" w:fill="auto"/>
            <w:tcW w:w="771" w:type="dxa"/>
            <w:vAlign w:val="center"/>
            <w:vMerge w:val="continue"/>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r>
            <w:r/>
          </w:p>
        </w:tc>
        <w:tc>
          <w:tcPr>
            <w:shd w:val="clear" w:color="auto" w:fill="auto"/>
            <w:tcW w:w="1523" w:type="dxa"/>
            <w:vAlign w:val="center"/>
            <w:vMerge w:val="continue"/>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1800*500*800</w:t>
            </w:r>
            <w:r/>
          </w:p>
        </w:tc>
        <w:tc>
          <w:tcPr>
            <w:shd w:val="clear" w:color="auto" w:fill="auto"/>
            <w:tcW w:w="5641" w:type="dxa"/>
            <w:vAlign w:val="center"/>
            <w:vMerge w:val="continue"/>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36</w:t>
            </w:r>
            <w:r/>
          </w:p>
        </w:tc>
        <w:tc>
          <w:tcPr>
            <w:shd w:val="clear" w:color="auto" w:fill="auto"/>
            <w:tcW w:w="375" w:type="dxa"/>
            <w:vAlign w:val="center"/>
            <w:vMerge w:val="continue"/>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r>
            <w:r/>
          </w:p>
        </w:tc>
      </w:tr>
      <w:tr>
        <w:trPr>
          <w:jc w:val="center"/>
          <w:trHeight w:val="90"/>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7</w:t>
            </w:r>
            <w:r/>
          </w:p>
        </w:tc>
        <w:tc>
          <w:tcPr>
            <w:shd w:val="clear" w:color="auto" w:fill="auto"/>
            <w:tcW w:w="77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　</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铝合金休闲椅</w:t>
            </w:r>
            <w:r/>
          </w:p>
        </w:tc>
        <w:tc>
          <w:tcPr>
            <w:shd w:val="clear" w:color="auto" w:fill="auto"/>
            <w:tcW w:w="1523"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617855" cy="712470"/>
                      <wp:effectExtent l="0" t="0" r="10795" b="11430"/>
                      <wp:docPr id="6" name="ID_0B5AA6A9FEBC416AA75CEDBCAB6AD90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3" name="ID_0B5AA6A9FEBC416AA75CEDBCAB6AD90E"/>
                              <pic:cNvPicPr>
                                <a:picLocks noChangeAspect="1"/>
                              </pic:cNvPicPr>
                              <pic:nvPr/>
                            </pic:nvPicPr>
                            <pic:blipFill>
                              <a:blip r:embed="rId17"/>
                              <a:stretch/>
                            </pic:blipFill>
                            <pic:spPr bwMode="auto">
                              <a:xfrm>
                                <a:off x="0" y="0"/>
                                <a:ext cx="617855" cy="7124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8.6pt;height:56.1pt;mso-wrap-distance-left:0.0pt;mso-wrap-distance-top:0.0pt;mso-wrap-distance-right:0.0pt;mso-wrap-distance-bottom:0.0pt;" stroked="f" strokeweight="0.75pt">
                      <v:path textboxrect="0,0,0,0"/>
                      <v:imagedata r:id="rId17"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r>
            <w:r/>
          </w:p>
          <w:p>
            <w:pPr>
              <w:jc w:val="center"/>
              <w:widowControl/>
              <w:rPr>
                <w:rStyle w:val="909"/>
                <w:rFonts w:hint="default" w:ascii="Times New Roman" w:hAnsi="Times New Roman" w:cs="Times New Roman"/>
              </w:rPr>
            </w:pPr>
            <w:r>
              <w:rPr>
                <w:rFonts w:hint="default" w:ascii="Times New Roman" w:hAnsi="Times New Roman" w:cs="Times New Roman"/>
                <w:color w:val="000000"/>
                <w:sz w:val="18"/>
                <w:szCs w:val="18"/>
              </w:rPr>
              <w:t xml:space="preserve">565*630*770</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坐高430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1、坐垫及靠背饰面：阻燃布料，透气性好，表面无刺触感，平滑舒适，防螨性能优，无明显色差，性能、环保性、质量、防螨等参数符合GB 18401-2010 《国家纺织产品基本安全技术规范》、GB/T 18885-2020《生态纺织品技术要求》</w:t>
            </w:r>
            <w:r>
              <w:rPr>
                <w:rFonts w:hint="default" w:ascii="Times New Roman" w:hAnsi="Times New Roman" w:cs="Times New Roman"/>
                <w:color w:val="000000"/>
                <w:sz w:val="18"/>
                <w:szCs w:val="18"/>
                <w:lang w:eastAsia="zh-CN"/>
              </w:rPr>
              <w:t xml:space="preserve">、</w:t>
            </w:r>
            <w:r>
              <w:rPr>
                <w:rFonts w:hint="default" w:ascii="Times New Roman" w:hAnsi="Times New Roman" w:cs="Times New Roman"/>
                <w:color w:val="000000"/>
                <w:sz w:val="18"/>
                <w:szCs w:val="18"/>
              </w:rPr>
              <w:t xml:space="preserve">GB/T 24253-2009《纺织品 防螨性能的评价》、GB 8624-2012《建筑材料及制品燃烧性能分级》、HJ 2546-2016《环境标志产品技术要求纺织产品》要求。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2、海绵：成型海绵，密度大于40kg/m3，回弹力大于50%，厚度≥5cm，符合GB/T 10802-2023《</w:t>
            </w:r>
            <w:r>
              <w:rPr>
                <w:rFonts w:hint="default" w:ascii="Times New Roman" w:hAnsi="Times New Roman" w:cs="Times New Roman"/>
                <w:color w:val="333333"/>
                <w:sz w:val="18"/>
                <w:szCs w:val="18"/>
                <w:shd w:val="clear" w:color="auto" w:fill="ffffff"/>
              </w:rPr>
              <w:t xml:space="preserve">通用软质聚氨酯泡沫塑料》。</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3、框架：铝合金框架，表面喷涂砂纹粉末。指标符合GB/T 3325-2017《金属家具通用技术条件》；</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4、椅脚：铝合金圆管，直径25mm, 壁厚1.5mm，交叉管加固工艺</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5、扶手：铝合金，侧边包裹高强度塑编带。</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6、成品：各项技术指标符合国家相关标准。</w:t>
            </w:r>
            <w:r/>
          </w:p>
          <w:p>
            <w:pPr>
              <w:jc w:val="left"/>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7、其他：边缘部位倒圆处理，无棱角，降低安全风险，整体结构、安全防护、质量、环保、舒适性、便利性等参数均须符合适老化要求</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88</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张</w:t>
            </w:r>
            <w:r/>
          </w:p>
        </w:tc>
      </w:tr>
      <w:tr>
        <w:trPr>
          <w:jc w:val="center"/>
          <w:trHeight w:val="90"/>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8</w:t>
            </w:r>
            <w:r/>
          </w:p>
        </w:tc>
        <w:tc>
          <w:tcPr>
            <w:shd w:val="clear" w:color="auto" w:fill="auto"/>
            <w:tcW w:w="77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休闲沙发（单人位）</w:t>
            </w:r>
            <w:r/>
          </w:p>
        </w:tc>
        <w:tc>
          <w:tcPr>
            <w:shd w:val="clear" w:color="auto" w:fill="auto"/>
            <w:tcW w:w="1523"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802005" cy="565785"/>
                      <wp:effectExtent l="0" t="0" r="17145" b="5715"/>
                      <wp:docPr id="7" name="ID_5639BF3C808349A78391FB8C3A1990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4" name="ID_5639BF3C808349A78391FB8C3A1990F0"/>
                              <pic:cNvPicPr>
                                <a:picLocks noChangeAspect="1"/>
                              </pic:cNvPicPr>
                              <pic:nvPr/>
                            </pic:nvPicPr>
                            <pic:blipFill>
                              <a:blip r:embed="rId18"/>
                              <a:stretch/>
                            </pic:blipFill>
                            <pic:spPr bwMode="auto">
                              <a:xfrm>
                                <a:off x="0" y="0"/>
                                <a:ext cx="802005" cy="5657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3.1pt;height:44.5pt;mso-wrap-distance-left:0.0pt;mso-wrap-distance-top:0.0pt;mso-wrap-distance-right:0.0pt;mso-wrap-distance-bottom:0.0pt;" stroked="f" strokeweight="0.75pt">
                      <v:path textboxrect="0,0,0,0"/>
                      <v:imagedata r:id="rId18"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单人位</w:t>
            </w:r>
            <w:r/>
          </w:p>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840*780*800（坐高4</w:t>
            </w:r>
            <w:r>
              <w:rPr>
                <w:rFonts w:hint="default" w:ascii="Times New Roman" w:hAnsi="Times New Roman" w:cs="Times New Roman"/>
                <w:sz w:val="18"/>
                <w:szCs w:val="18"/>
                <w:lang w:val="en-US" w:eastAsia="zh-CN"/>
              </w:rPr>
              <w:t xml:space="preserve">2</w:t>
            </w:r>
            <w:r>
              <w:rPr>
                <w:rFonts w:hint="default" w:ascii="Times New Roman" w:hAnsi="Times New Roman" w:cs="Times New Roman"/>
                <w:sz w:val="18"/>
                <w:szCs w:val="18"/>
              </w:rPr>
              <w:t xml:space="preserve">0）</w:t>
            </w:r>
            <w:r/>
          </w:p>
        </w:tc>
        <w:tc>
          <w:tcPr>
            <w:shd w:val="clear" w:color="auto" w:fill="auto"/>
            <w:tcW w:w="5641" w:type="dxa"/>
            <w:vAlign w:val="center"/>
            <w:textDirection w:val="lrTb"/>
            <w:noWrap w:val="false"/>
          </w:tcPr>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1、尺寸：840*780*800（坐高400mm）</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2、饰面：优质超纤皮，表面纹理清晰，具有良好的色牢度、耐光耐磨性、透气性等特性。</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3、海绵：阻燃海绵，厚度不小于100mm，密度大于40kg/m3，回弹力大于50%，符合GB/T 10802-2023</w:t>
            </w:r>
            <w:r>
              <w:rPr>
                <w:rFonts w:hint="default" w:ascii="Times New Roman" w:hAnsi="Times New Roman" w:cs="Times New Roman"/>
                <w:color w:val="000000"/>
                <w:sz w:val="18"/>
                <w:szCs w:val="18"/>
              </w:rPr>
              <w:t xml:space="preserve">《</w:t>
            </w:r>
            <w:r>
              <w:rPr>
                <w:rFonts w:hint="default" w:ascii="Times New Roman" w:hAnsi="Times New Roman" w:cs="Times New Roman"/>
                <w:color w:val="333333"/>
                <w:sz w:val="18"/>
                <w:szCs w:val="18"/>
                <w:shd w:val="clear" w:color="auto" w:fill="ffffff"/>
              </w:rPr>
              <w:t xml:space="preserve">通用软质聚氨酯泡沫塑料》</w:t>
            </w:r>
            <w:r>
              <w:rPr>
                <w:rFonts w:hint="default" w:ascii="Times New Roman" w:hAnsi="Times New Roman" w:cs="Times New Roman"/>
                <w:sz w:val="18"/>
                <w:szCs w:val="18"/>
              </w:rPr>
              <w:t xml:space="preserve">、GB 8624-2012《建筑材料及制品燃烧性能分级》等标准要求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4、内部框架：橡胶木实木框架：采用榫卯结构，表面平整，无毛刺。</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5、胶粘剂：环保型喷胶，符合GB 18583-2008《室内装饰装修材料 胶粘剂中有害物质限量》、HJ 2541-2016《环境标志产品技术要求胶粘剂》、GB 33372-2020《胶粘剂挥发性有机化合物限量》要求。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6、沙发脚：橡胶木实木沙发脚。</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sz w:val="18"/>
                <w:szCs w:val="18"/>
              </w:rPr>
              <w:t xml:space="preserve">7、椅架及扶手：橡胶木实木，木材相关参数符合GB/T 3324-2017《木家具通用技术条件》，GB 18584-2001《室内装饰装修材料 木家具中有害物质限量》要求。</w:t>
            </w:r>
            <w:r>
              <w:rPr>
                <w:rFonts w:hint="default" w:ascii="Times New Roman" w:hAnsi="Times New Roman" w:cs="Times New Roman"/>
                <w:color w:val="000000"/>
                <w:sz w:val="18"/>
                <w:szCs w:val="18"/>
              </w:rPr>
              <w:t xml:space="preserve">木材含水率符合国家标准，木材无腐朽或较明显虫眼等瑕疵，符合国家环保标准</w:t>
            </w:r>
            <w:r>
              <w:rPr>
                <w:rFonts w:hint="default" w:ascii="Times New Roman" w:hAnsi="Times New Roman" w:cs="Times New Roman"/>
                <w:color w:val="000000"/>
                <w:sz w:val="18"/>
                <w:szCs w:val="18"/>
                <w:lang w:eastAsia="zh-CN"/>
              </w:rPr>
              <w:t xml:space="preserve">。</w:t>
            </w:r>
            <w:r>
              <w:rPr>
                <w:rFonts w:hint="default" w:ascii="Times New Roman" w:hAnsi="Times New Roman" w:cs="Times New Roman"/>
                <w:color w:val="000000"/>
                <w:sz w:val="18"/>
                <w:szCs w:val="18"/>
              </w:rPr>
              <w:t xml:space="preserve"> 木材均经过刨光、砂光，成品无毛刺、无裂纹，接缝自然，无明显缺口和缝隙</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8、颜色：淡雅暖色系，与现场环境匹配</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9、成品：各项技术指标符合QB/T 1952.1-2023《软体家具沙发》 标准的要求。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10、其他：边缘部位倒圆处理，无棱角，降低安全风险，整体结构、安全防护、质量、环保、舒适性、便利性等参数均须符合适老化要求。</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72</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张</w:t>
            </w:r>
            <w:r/>
          </w:p>
        </w:tc>
      </w:tr>
      <w:tr>
        <w:trPr>
          <w:jc w:val="center"/>
          <w:trHeight w:val="90"/>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9</w:t>
            </w:r>
            <w:r/>
          </w:p>
        </w:tc>
        <w:tc>
          <w:tcPr>
            <w:shd w:val="clear" w:color="auto" w:fill="auto"/>
            <w:tcW w:w="77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圆形茶几</w:t>
            </w:r>
            <w:r/>
          </w:p>
        </w:tc>
        <w:tc>
          <w:tcPr>
            <w:shd w:val="clear" w:color="auto" w:fill="auto"/>
            <w:tcW w:w="1523"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594995" cy="769620"/>
                      <wp:effectExtent l="0" t="0" r="14604" b="11430"/>
                      <wp:docPr id="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5" name="图片 9"/>
                              <pic:cNvPicPr>
                                <a:picLocks noChangeAspect="1"/>
                              </pic:cNvPicPr>
                              <pic:nvPr/>
                            </pic:nvPicPr>
                            <pic:blipFill>
                              <a:blip r:embed="rId19"/>
                              <a:stretch/>
                            </pic:blipFill>
                            <pic:spPr bwMode="auto">
                              <a:xfrm>
                                <a:off x="0" y="0"/>
                                <a:ext cx="594995" cy="7696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6.8pt;height:60.6pt;mso-wrap-distance-left:0.0pt;mso-wrap-distance-top:0.0pt;mso-wrap-distance-right:0.0pt;mso-wrap-distance-bottom:0.0pt;" stroked="f" strokeweight="0.75pt">
                      <v:path textboxrect="0,0,0,0"/>
                      <v:imagedata r:id="rId19"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φ</w:t>
            </w:r>
            <w:r>
              <w:rPr>
                <w:rFonts w:hint="default" w:ascii="Times New Roman" w:hAnsi="Times New Roman" w:eastAsia="等线" w:cs="Times New Roman"/>
                <w:color w:val="000000"/>
                <w:sz w:val="18"/>
                <w:szCs w:val="18"/>
              </w:rPr>
              <w:t xml:space="preserve">600*500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1、结构：上下双层托盘，上托盘有档边，三足鼎立结构。</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2、基材：采用橡胶木实木，木榫结构，材质相关参数符合GB/T 3324-2017《木家具通用技术条件》，GB 18584-2001《室内装饰装修材料 木家具中有害物质限量》要求。木材含水率符合国家标准，木材无腐朽或较明显虫眼等瑕疵，符合国家环保标准</w:t>
            </w:r>
            <w:r>
              <w:rPr>
                <w:rFonts w:hint="default" w:ascii="Times New Roman" w:hAnsi="Times New Roman" w:cs="Times New Roman"/>
                <w:color w:val="000000"/>
                <w:sz w:val="18"/>
                <w:szCs w:val="18"/>
                <w:lang w:eastAsia="zh-CN"/>
              </w:rPr>
              <w:t xml:space="preserve">。</w:t>
            </w:r>
            <w:r>
              <w:rPr>
                <w:rFonts w:hint="default" w:ascii="Times New Roman" w:hAnsi="Times New Roman" w:cs="Times New Roman"/>
                <w:color w:val="000000"/>
                <w:sz w:val="18"/>
                <w:szCs w:val="18"/>
              </w:rPr>
              <w:t xml:space="preserve">木材均经过刨光、砂光，成品无毛刺、无裂纹，接缝自然，无明显缺口和缝隙。</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3、油漆：水性底漆、水性面漆，整体喷涂漆面，喷漆均匀，表面漆膜平整光亮、无皱皮、发粘和漏漆现象，有害物含量符合GB 18581-2020 《木器涂料中有害物质限量》要求 </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4、尺寸：上托盘厚度25mm,下托盘厚度18mm</w:t>
            </w:r>
            <w:r/>
          </w:p>
          <w:p>
            <w:pPr>
              <w:jc w:val="left"/>
              <w:widowControl/>
              <w:rPr>
                <w:rFonts w:hint="default" w:ascii="Times New Roman" w:hAnsi="Times New Roman" w:eastAsia="宋体" w:cs="Times New Roman"/>
                <w:color w:val="000000"/>
                <w:sz w:val="18"/>
                <w:szCs w:val="18"/>
                <w:lang w:val="en-US" w:eastAsia="zh-CN"/>
              </w:rPr>
            </w:pPr>
            <w:r>
              <w:rPr>
                <w:rFonts w:hint="default" w:ascii="Times New Roman" w:hAnsi="Times New Roman" w:cs="Times New Roman"/>
                <w:color w:val="000000"/>
                <w:sz w:val="18"/>
                <w:szCs w:val="18"/>
              </w:rPr>
              <w:t xml:space="preserve">5、桌腿：异形橡胶木方</w:t>
            </w:r>
            <w:r>
              <w:rPr>
                <w:rStyle w:val="909"/>
                <w:rFonts w:hint="default" w:ascii="Times New Roman" w:hAnsi="Times New Roman" w:cs="Times New Roman"/>
                <w:sz w:val="18"/>
                <w:szCs w:val="18"/>
                <w:lang w:eastAsia="zh-CN"/>
              </w:rPr>
              <w:t xml:space="preserve">，</w:t>
            </w:r>
            <w:r>
              <w:rPr>
                <w:rStyle w:val="909"/>
                <w:rFonts w:hint="default" w:ascii="Times New Roman" w:hAnsi="Times New Roman" w:cs="Times New Roman"/>
                <w:sz w:val="18"/>
                <w:szCs w:val="18"/>
                <w:lang w:val="en-US" w:eastAsia="zh-CN"/>
              </w:rPr>
              <w:t xml:space="preserve">断面尺寸≥40*30mm；</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6、其他要求：边缘部位倒圆处理，无棱角，降低安全风险，整体结构、安全防护、质量、环保、舒适性、便利性等参数均须符合适老化要求</w:t>
            </w:r>
            <w:r/>
          </w:p>
          <w:p>
            <w:pPr>
              <w:jc w:val="left"/>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7、颜色：淡雅暖色系，与现场环境匹配</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36</w:t>
            </w:r>
            <w:r/>
          </w:p>
        </w:tc>
        <w:tc>
          <w:tcPr>
            <w:shd w:val="clear" w:color="auto" w:fill="auto"/>
            <w:tcW w:w="37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个</w:t>
            </w:r>
            <w:r/>
          </w:p>
        </w:tc>
      </w:tr>
      <w:tr>
        <w:trPr>
          <w:jc w:val="center"/>
          <w:trHeight w:val="315"/>
        </w:trPr>
        <w:tc>
          <w:tcPr>
            <w:gridSpan w:val="7"/>
            <w:shd w:val="clear" w:color="000000" w:fill="d9d9d9"/>
            <w:tcW w:w="10301" w:type="dxa"/>
            <w:textDirection w:val="lrTb"/>
            <w:noWrap w:val="false"/>
          </w:tcPr>
          <w:p>
            <w:pPr>
              <w:jc w:val="center"/>
              <w:widowControl/>
              <w:rPr>
                <w:rFonts w:hint="default" w:ascii="Times New Roman" w:hAnsi="Times New Roman" w:eastAsia="等线" w:cs="Times New Roman"/>
                <w:b/>
                <w:bCs/>
                <w:color w:val="12501a"/>
                <w:sz w:val="18"/>
                <w:szCs w:val="18"/>
              </w:rPr>
            </w:pPr>
            <w:r>
              <w:rPr>
                <w:rFonts w:hint="default" w:ascii="Times New Roman" w:hAnsi="Times New Roman" w:eastAsia="等线" w:cs="Times New Roman"/>
                <w:b/>
                <w:bCs/>
                <w:color w:val="12501a"/>
                <w:sz w:val="18"/>
                <w:szCs w:val="18"/>
              </w:rPr>
              <w:t xml:space="preserve">公共区&amp;餐厅</w:t>
            </w:r>
            <w:r/>
          </w:p>
        </w:tc>
      </w:tr>
      <w:tr>
        <w:trPr>
          <w:jc w:val="center"/>
          <w:trHeight w:val="995"/>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10</w:t>
            </w:r>
            <w:r/>
          </w:p>
        </w:tc>
        <w:tc>
          <w:tcPr>
            <w:shd w:val="clear" w:color="auto" w:fill="auto"/>
            <w:tcW w:w="771"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　</w:t>
            </w:r>
            <w:r/>
          </w:p>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适老桌（方形）</w:t>
            </w:r>
            <w:r/>
          </w:p>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　</w:t>
            </w:r>
            <w:r/>
          </w:p>
        </w:tc>
        <w:tc>
          <w:tcPr>
            <w:shd w:val="clear" w:color="auto" w:fill="auto"/>
            <w:tcW w:w="1523"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810895" cy="574040"/>
                      <wp:effectExtent l="0" t="0" r="8255" b="16510"/>
                      <wp:docPr id="9" name="ID_1F23A864245949F5AD15752B6171BB85" descr="Enscape_2024-04-07-19-3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D_1F23A864245949F5AD15752B6171BB85" descr="Enscape_2024-04-07-19-39-16"/>
                              <pic:cNvPicPr>
                                <a:picLocks noChangeAspect="1"/>
                              </pic:cNvPicPr>
                              <pic:nvPr/>
                            </pic:nvPicPr>
                            <pic:blipFill>
                              <a:blip r:embed="rId20"/>
                              <a:srcRect l="18712" t="14848" r="36629" b="15659"/>
                              <a:stretch/>
                            </pic:blipFill>
                            <pic:spPr bwMode="auto">
                              <a:xfrm>
                                <a:off x="0" y="0"/>
                                <a:ext cx="810895" cy="5740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3.8pt;height:45.2pt;mso-wrap-distance-left:0.0pt;mso-wrap-distance-top:0.0pt;mso-wrap-distance-right:0.0pt;mso-wrap-distance-bottom:0.0pt;" stroked="f" strokeweight="0.75pt">
                      <v:path textboxrect="0,0,0,0"/>
                      <v:imagedata r:id="rId20"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900*900*750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1、结构：四脚桌，无存储格</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2、基材：采用橡胶木实木，木榫结构，材质相关参数符合GB/T 3324-2017《木家具通用技术条件》，GB 18584-2001《室内装饰装修材料 木家具中有害物质限量》。木材含水率符合国家标准，木材无腐朽或较明显虫眼等瑕疵，符合国家环保标准</w:t>
            </w:r>
            <w:r>
              <w:rPr>
                <w:rFonts w:hint="default" w:ascii="Times New Roman" w:hAnsi="Times New Roman" w:cs="Times New Roman"/>
                <w:color w:val="000000"/>
                <w:sz w:val="18"/>
                <w:szCs w:val="18"/>
                <w:lang w:eastAsia="zh-CN"/>
              </w:rPr>
              <w:t xml:space="preserve">。</w:t>
            </w:r>
            <w:r>
              <w:rPr>
                <w:rFonts w:hint="default" w:ascii="Times New Roman" w:hAnsi="Times New Roman" w:cs="Times New Roman"/>
                <w:color w:val="000000"/>
                <w:sz w:val="18"/>
                <w:szCs w:val="18"/>
              </w:rPr>
              <w:t xml:space="preserve"> 木材均经过刨光、砂光，成品无毛刺、无裂纹，接缝自然，无明显缺口和缝隙</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3、油漆：UV漆，耐磨性强，整体喷涂漆面，喷漆均匀，表面漆膜平整光亮、无皱皮、发粘和漏漆现象，有害物含量符合GB 18581-2020《木器涂料中有害物质限量》要求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4、桌面：桌面厚度25mm，四角倒圆，桌面具备阻滞汁液溢流功能。</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5、桌腿：方形橡胶木方，</w:t>
            </w:r>
            <w:r>
              <w:rPr>
                <w:rStyle w:val="909"/>
                <w:rFonts w:hint="default" w:ascii="Times New Roman" w:hAnsi="Times New Roman" w:cs="Times New Roman"/>
                <w:sz w:val="18"/>
                <w:szCs w:val="18"/>
                <w:lang w:val="en-US" w:eastAsia="zh-CN"/>
              </w:rPr>
              <w:t xml:space="preserve">断面尺寸≥55*55mm，</w:t>
            </w:r>
            <w:r>
              <w:rPr>
                <w:rFonts w:hint="default" w:ascii="Times New Roman" w:hAnsi="Times New Roman" w:cs="Times New Roman"/>
                <w:color w:val="000000"/>
                <w:sz w:val="18"/>
                <w:szCs w:val="18"/>
              </w:rPr>
              <w:t xml:space="preserve">上宽下窄，上部与桌面连接处弧形结构</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6、其他要求：边缘部位倒圆处理，无棱角，降低安全风险，整体结构、安全防护、质量、环保、舒适性、便利性等参数均须符合适老化要求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7、颜色：淡雅暖色系，与现场环境匹配。</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47</w:t>
            </w:r>
            <w:r/>
          </w:p>
        </w:tc>
        <w:tc>
          <w:tcPr>
            <w:shd w:val="clear" w:color="auto" w:fill="auto"/>
            <w:tcW w:w="37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张</w:t>
            </w:r>
            <w:r/>
          </w:p>
        </w:tc>
      </w:tr>
      <w:tr>
        <w:trPr>
          <w:jc w:val="center"/>
          <w:trHeight w:val="1370"/>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11</w:t>
            </w:r>
            <w:r/>
          </w:p>
        </w:tc>
        <w:tc>
          <w:tcPr>
            <w:shd w:val="clear" w:color="auto" w:fill="auto"/>
            <w:tcW w:w="771"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适老桌（长方形）</w:t>
            </w:r>
            <w:r/>
          </w:p>
        </w:tc>
        <w:tc>
          <w:tcPr>
            <w:shd w:val="clear" w:color="auto" w:fill="auto"/>
            <w:tcW w:w="1523"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815340" cy="615950"/>
                      <wp:effectExtent l="0" t="0" r="3810" b="12700"/>
                      <wp:docPr id="10" name="ID_CF44D14904DA4956B0E00F8CDDDF9C4D" descr="Enscape_2024-04-07-19-4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7" name="ID_CF44D14904DA4956B0E00F8CDDDF9C4D" descr="Enscape_2024-04-07-19-42-18"/>
                              <pic:cNvPicPr>
                                <a:picLocks noChangeAspect="1"/>
                              </pic:cNvPicPr>
                              <pic:nvPr/>
                            </pic:nvPicPr>
                            <pic:blipFill>
                              <a:blip r:embed="rId21"/>
                              <a:srcRect l="20812" t="15111" r="31917" b="13331"/>
                              <a:stretch/>
                            </pic:blipFill>
                            <pic:spPr bwMode="auto">
                              <a:xfrm>
                                <a:off x="0" y="0"/>
                                <a:ext cx="815340" cy="615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4.2pt;height:48.5pt;mso-wrap-distance-left:0.0pt;mso-wrap-distance-top:0.0pt;mso-wrap-distance-right:0.0pt;mso-wrap-distance-bottom:0.0pt;" stroked="f" strokeweight="0.75pt">
                      <v:path textboxrect="0,0,0,0"/>
                      <v:imagedata r:id="rId21"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1400*800*750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1、结构：四脚桌，无存储格</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2、基材：采用橡胶木实木，木榫结构，材质相关参数符合GB/T 3324-2017《木家具通用技术条件》，GB 18584-2001《室内装饰装修材料 木家具中有害物质限量》要求。木材含水率符合国家标准，木材无腐朽或较明显虫眼等瑕疵，符合国家环保标准</w:t>
            </w:r>
            <w:r>
              <w:rPr>
                <w:rFonts w:hint="default" w:ascii="Times New Roman" w:hAnsi="Times New Roman" w:cs="Times New Roman"/>
                <w:color w:val="000000"/>
                <w:sz w:val="18"/>
                <w:szCs w:val="18"/>
                <w:lang w:eastAsia="zh-CN"/>
              </w:rPr>
              <w:t xml:space="preserve">。</w:t>
            </w:r>
            <w:r>
              <w:rPr>
                <w:rFonts w:hint="default" w:ascii="Times New Roman" w:hAnsi="Times New Roman" w:cs="Times New Roman"/>
                <w:color w:val="000000"/>
                <w:sz w:val="18"/>
                <w:szCs w:val="18"/>
              </w:rPr>
              <w:t xml:space="preserve"> 木材均经过刨光、砂光，成品无毛刺、无裂纹，接缝自然，无明显缺口和缝隙</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3、油漆：UV漆，耐磨性强，整体喷涂漆面，喷漆均匀，表面漆膜平整光亮、无皱皮、发粘和漏漆现象，有害物含量符合GB 18581-2020 《木器涂料中有害物质限量》要求 </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4、桌面：桌面厚度25mm，四角倒圆，桌面具备阻滞汁液溢流功能。</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5、桌腿：方形橡胶木方，</w:t>
            </w:r>
            <w:r>
              <w:rPr>
                <w:rStyle w:val="909"/>
                <w:rFonts w:hint="default" w:ascii="Times New Roman" w:hAnsi="Times New Roman" w:cs="Times New Roman"/>
                <w:sz w:val="18"/>
                <w:szCs w:val="18"/>
                <w:lang w:val="en-US" w:eastAsia="zh-CN"/>
              </w:rPr>
              <w:t xml:space="preserve">断面尺寸≥55*55mm，</w:t>
            </w:r>
            <w:r>
              <w:rPr>
                <w:rFonts w:hint="default" w:ascii="Times New Roman" w:hAnsi="Times New Roman" w:cs="Times New Roman"/>
                <w:color w:val="000000"/>
                <w:sz w:val="18"/>
                <w:szCs w:val="18"/>
              </w:rPr>
              <w:t xml:space="preserve">上宽下窄，上部与桌面连接处弧形结构</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6、其他要求：边缘部位倒圆处理，无棱角，降低安全风险，整体结构、安全防护、质量、环保、舒适性、便利性等参数均须符合适老化要求</w:t>
            </w:r>
            <w:r/>
          </w:p>
          <w:p>
            <w:pPr>
              <w:jc w:val="left"/>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7、颜色：淡雅暖色系，与现场环境匹配</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4</w:t>
            </w:r>
            <w:r/>
          </w:p>
        </w:tc>
        <w:tc>
          <w:tcPr>
            <w:shd w:val="clear" w:color="auto" w:fill="auto"/>
            <w:tcW w:w="37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张</w:t>
            </w:r>
            <w:r/>
          </w:p>
        </w:tc>
      </w:tr>
      <w:tr>
        <w:trPr>
          <w:jc w:val="center"/>
          <w:trHeight w:val="126"/>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12</w:t>
            </w:r>
            <w:r/>
          </w:p>
        </w:tc>
        <w:tc>
          <w:tcPr>
            <w:shd w:val="clear" w:color="auto" w:fill="auto"/>
            <w:tcW w:w="77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书画桌</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tc>
        <w:tc>
          <w:tcPr>
            <w:shd w:val="clear" w:color="auto" w:fill="auto"/>
            <w:tcW w:w="1523"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800100" cy="548640"/>
                      <wp:effectExtent l="0" t="0" r="0" b="3810"/>
                      <wp:docPr id="11" name="ID_E0619440B3CA455E968CF731F56E6C50" descr="Enscape_2024-04-08-10-0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9" name="ID_E0619440B3CA455E968CF731F56E6C50" descr="Enscape_2024-04-08-10-00-17"/>
                              <pic:cNvPicPr>
                                <a:picLocks noChangeAspect="1"/>
                              </pic:cNvPicPr>
                              <pic:nvPr/>
                            </pic:nvPicPr>
                            <pic:blipFill>
                              <a:blip r:embed="rId22"/>
                              <a:srcRect l="8057" t="11359" r="34029" b="2962"/>
                              <a:stretch/>
                            </pic:blipFill>
                            <pic:spPr bwMode="auto">
                              <a:xfrm>
                                <a:off x="0" y="0"/>
                                <a:ext cx="800100" cy="5486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63.0pt;height:43.2pt;mso-wrap-distance-left:0.0pt;mso-wrap-distance-top:0.0pt;mso-wrap-distance-right:0.0pt;mso-wrap-distance-bottom:0.0pt;" stroked="f" strokeweight="0.75pt">
                      <v:path textboxrect="0,0,0,0"/>
                      <v:imagedata r:id="rId22"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2000*1000*750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1、结构：双侧脚+横梁，无存储格</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2、基材：采用橡胶木实木，木榫结构，材质相关参数符合GB/T 3324-2017《木家具通用技术条件》，GB 18584-2001《室内装饰装修材料 木家具中有害物质限量》要求。木材含水率符合国家标准，木材无腐朽或较明显虫眼等瑕疵，符合国家环保标准</w:t>
            </w:r>
            <w:r>
              <w:rPr>
                <w:rFonts w:hint="default" w:ascii="Times New Roman" w:hAnsi="Times New Roman" w:cs="Times New Roman"/>
                <w:color w:val="000000"/>
                <w:sz w:val="18"/>
                <w:szCs w:val="18"/>
                <w:lang w:eastAsia="zh-CN"/>
              </w:rPr>
              <w:t xml:space="preserve">。</w:t>
            </w:r>
            <w:r>
              <w:rPr>
                <w:rFonts w:hint="default" w:ascii="Times New Roman" w:hAnsi="Times New Roman" w:cs="Times New Roman"/>
                <w:color w:val="000000"/>
                <w:sz w:val="18"/>
                <w:szCs w:val="18"/>
              </w:rPr>
              <w:t xml:space="preserve"> 木材均经过刨光、砂光，成品无毛刺、无裂纹，接缝自然，无明显缺口和缝隙</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3、油漆：UV漆,耐磨性强，整体喷涂漆面，喷漆均匀，表面漆膜平整光亮、无皱皮、发粘和漏漆现象，有害物含量符合GB 18581-2020 《木器涂料中有害物质限量》要求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4、尺寸：桌面厚度25mm</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5、桌腿：方框形桌腿,</w:t>
            </w:r>
            <w:r>
              <w:rPr>
                <w:rStyle w:val="909"/>
                <w:rFonts w:hint="default" w:ascii="Times New Roman" w:hAnsi="Times New Roman" w:cs="Times New Roman"/>
                <w:sz w:val="18"/>
                <w:szCs w:val="18"/>
                <w:lang w:val="en-US" w:eastAsia="zh-CN"/>
              </w:rPr>
              <w:t xml:space="preserve">断面尺寸≥55*55mm，</w:t>
            </w:r>
            <w:r>
              <w:rPr>
                <w:rFonts w:hint="default" w:ascii="Times New Roman" w:hAnsi="Times New Roman" w:cs="Times New Roman"/>
                <w:color w:val="000000"/>
                <w:sz w:val="18"/>
                <w:szCs w:val="18"/>
              </w:rPr>
              <w:t xml:space="preserve">中间有实木加强立柱。</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6、横梁：</w:t>
            </w:r>
            <w:r>
              <w:rPr>
                <w:rFonts w:hint="default" w:ascii="Times New Roman" w:hAnsi="Times New Roman" w:cs="Times New Roman"/>
                <w:color w:val="000000"/>
                <w:sz w:val="18"/>
                <w:szCs w:val="18"/>
                <w:lang w:val="en-US" w:eastAsia="zh-CN"/>
              </w:rPr>
              <w:t xml:space="preserve">尺寸为W1600*D50*H50mm，</w:t>
            </w:r>
            <w:r>
              <w:rPr>
                <w:rFonts w:hint="default" w:ascii="Times New Roman" w:hAnsi="Times New Roman" w:cs="Times New Roman"/>
                <w:color w:val="000000"/>
                <w:sz w:val="18"/>
                <w:szCs w:val="18"/>
              </w:rPr>
              <w:t xml:space="preserve">桌下设置2根钢横梁用于增加桌子稳固性。</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7、其他要求：边缘部位倒圆处理，无棱角，降低安全风险，整体结构、安全防护、质量、环保、舒适性、便利性等参数均须符合适老化要求。</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4</w:t>
            </w:r>
            <w:r/>
          </w:p>
        </w:tc>
        <w:tc>
          <w:tcPr>
            <w:shd w:val="clear" w:color="auto" w:fill="auto"/>
            <w:tcW w:w="37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张</w:t>
            </w:r>
            <w:r/>
          </w:p>
        </w:tc>
      </w:tr>
      <w:tr>
        <w:trPr>
          <w:jc w:val="center"/>
          <w:trHeight w:val="90"/>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13</w:t>
            </w:r>
            <w:r/>
          </w:p>
        </w:tc>
        <w:tc>
          <w:tcPr>
            <w:shd w:val="clear" w:color="auto" w:fill="auto"/>
            <w:tcW w:w="77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适老椅</w:t>
            </w:r>
            <w:r/>
          </w:p>
        </w:tc>
        <w:tc>
          <w:tcPr>
            <w:shd w:val="clear" w:color="auto" w:fill="auto"/>
            <w:tcW w:w="1523"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682625" cy="843280"/>
                      <wp:effectExtent l="0" t="0" r="3175" b="1397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8" name="图片 12"/>
                              <pic:cNvPicPr>
                                <a:picLocks noChangeAspect="1"/>
                              </pic:cNvPicPr>
                              <pic:nvPr/>
                            </pic:nvPicPr>
                            <pic:blipFill>
                              <a:blip r:embed="rId23"/>
                              <a:stretch/>
                            </pic:blipFill>
                            <pic:spPr bwMode="auto">
                              <a:xfrm>
                                <a:off x="0" y="0"/>
                                <a:ext cx="682625" cy="8432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53.8pt;height:66.4pt;mso-wrap-distance-left:0.0pt;mso-wrap-distance-top:0.0pt;mso-wrap-distance-right:0.0pt;mso-wrap-distance-bottom:0.0pt;" stroked="f" strokeweight="0.75pt">
                      <v:path textboxrect="0,0,0,0"/>
                      <v:imagedata r:id="rId23"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520*450*830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1、结构：四脚，双扶手，木框架</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2、基材：采用橡胶木实木，木榫结构，材质相关参数符合GB/T 3324-2017《木家具通用技术条件》，GB 18584-2001《室内装饰装修材料 木家具中有害物质限量》要求。木材含水率符合国家标准，木材无腐朽或较明显虫眼等瑕疵，符合国家环保标准</w:t>
            </w:r>
            <w:r>
              <w:rPr>
                <w:rFonts w:hint="default" w:ascii="Times New Roman" w:hAnsi="Times New Roman" w:cs="Times New Roman"/>
                <w:color w:val="000000"/>
                <w:sz w:val="18"/>
                <w:szCs w:val="18"/>
                <w:lang w:eastAsia="zh-CN"/>
              </w:rPr>
              <w:t xml:space="preserve">。</w:t>
            </w:r>
            <w:r>
              <w:rPr>
                <w:rFonts w:hint="default" w:ascii="Times New Roman" w:hAnsi="Times New Roman" w:cs="Times New Roman"/>
                <w:color w:val="000000"/>
                <w:sz w:val="18"/>
                <w:szCs w:val="18"/>
              </w:rPr>
              <w:t xml:space="preserve"> 木材均经过刨光、砂光，成品无毛刺、无裂纹，接缝自然，无明显缺口和缝隙</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3、油漆：UV底漆、UV面漆，整体喷涂漆面，喷漆均匀，表面漆膜平整光亮、无皱皮、发粘和漏漆现象，有害物含量符合GB 18581-2020 《木器涂料中有害物质限量》要求 </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4、尺寸：W520*D450*H830，坐垫离地高度430mm</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5、扶手：橡胶木实木，表面平整、无毛刺</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6、桌腿：橡胶木方，</w:t>
            </w:r>
            <w:r>
              <w:rPr>
                <w:rStyle w:val="909"/>
                <w:rFonts w:hint="default" w:ascii="Times New Roman" w:hAnsi="Times New Roman" w:cs="Times New Roman"/>
                <w:sz w:val="18"/>
                <w:szCs w:val="18"/>
                <w:lang w:val="en-US" w:eastAsia="zh-CN"/>
              </w:rPr>
              <w:t xml:space="preserve">断面尺寸≥45*30mm，</w:t>
            </w:r>
            <w:r>
              <w:rPr>
                <w:rFonts w:hint="default" w:ascii="Times New Roman" w:hAnsi="Times New Roman" w:cs="Times New Roman"/>
                <w:color w:val="000000"/>
                <w:sz w:val="18"/>
                <w:szCs w:val="18"/>
              </w:rPr>
              <w:t xml:space="preserve">表面平整、无毛刺</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7、海绵：阻燃海绵，用于靠背及坐垫，厚度不小于30mm，密度大于40kg/m3，回弹力大于50%，符合GB/T 10802-2023《通用软质聚氨酯泡沫塑料》、GB 8624-2012《建筑材料及制品燃烧性能分级》等标准要求；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8、饰面：</w:t>
            </w:r>
            <w:r>
              <w:rPr>
                <w:rFonts w:hint="default" w:ascii="Times New Roman" w:hAnsi="Times New Roman" w:cs="Times New Roman"/>
                <w:sz w:val="18"/>
                <w:szCs w:val="20"/>
              </w:rPr>
              <w:t xml:space="preserve">优质超纤皮，表面纹理清晰，具有良好的色牢度、耐光耐磨性、透气性等特性</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9、其他要求：边缘部位倒圆处理，无棱角，降低安全风险，整体结构、安全防护、质量、环保、舒适性、便利性等参数均须符合适老化要求</w:t>
            </w:r>
            <w:r/>
          </w:p>
          <w:p>
            <w:pPr>
              <w:jc w:val="left"/>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10、颜色：淡雅暖色系，与现场环境匹配</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225</w:t>
            </w:r>
            <w:r/>
          </w:p>
        </w:tc>
        <w:tc>
          <w:tcPr>
            <w:shd w:val="clear" w:color="auto" w:fill="auto"/>
            <w:tcW w:w="37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张</w:t>
            </w:r>
            <w:r/>
          </w:p>
        </w:tc>
      </w:tr>
      <w:tr>
        <w:trPr>
          <w:jc w:val="center"/>
          <w:trHeight w:val="1564"/>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14</w:t>
            </w:r>
            <w:r/>
          </w:p>
        </w:tc>
        <w:tc>
          <w:tcPr>
            <w:shd w:val="clear" w:color="auto" w:fill="auto"/>
            <w:tcW w:w="771" w:type="dxa"/>
            <w:vAlign w:val="center"/>
            <w:textDirection w:val="lrTb"/>
            <w:noWrap w:val="false"/>
          </w:tcPr>
          <w:p>
            <w:pPr>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休闲沙发（单人位）</w:t>
            </w:r>
            <w:r/>
          </w:p>
        </w:tc>
        <w:tc>
          <w:tcPr>
            <w:shd w:val="clear" w:color="auto" w:fill="auto"/>
            <w:tcW w:w="1523"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806450" cy="466725"/>
                      <wp:effectExtent l="0" t="0" r="12700" b="9525"/>
                      <wp:docPr id="13" name="ID_781248B74409497E8042E80886C08FEB" descr="Enscape_2024-04-08-10-5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0" name="ID_781248B74409497E8042E80886C08FEB" descr="Enscape_2024-04-08-10-52-21"/>
                              <pic:cNvPicPr>
                                <a:picLocks noChangeAspect="1"/>
                              </pic:cNvPicPr>
                              <pic:nvPr/>
                            </pic:nvPicPr>
                            <pic:blipFill>
                              <a:blip r:embed="rId24"/>
                              <a:srcRect l="13638" t="15556" r="19462" b="17979"/>
                              <a:stretch/>
                            </pic:blipFill>
                            <pic:spPr bwMode="auto">
                              <a:xfrm>
                                <a:off x="0" y="0"/>
                                <a:ext cx="806450" cy="466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3.5pt;height:36.8pt;mso-wrap-distance-left:0.0pt;mso-wrap-distance-top:0.0pt;mso-wrap-distance-right:0.0pt;mso-wrap-distance-bottom:0.0pt;" stroked="f" strokeweight="0.75pt">
                      <v:path textboxrect="0,0,0,0"/>
                      <v:imagedata r:id="rId24"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840*780*800</w:t>
            </w:r>
            <w:r/>
          </w:p>
        </w:tc>
        <w:tc>
          <w:tcPr>
            <w:shd w:val="clear" w:color="auto" w:fill="auto"/>
            <w:tcW w:w="5641" w:type="dxa"/>
            <w:vAlign w:val="center"/>
            <w:vMerge w:val="restart"/>
            <w:textDirection w:val="lrTb"/>
            <w:noWrap w:val="false"/>
          </w:tcPr>
          <w:p>
            <w:pPr>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1、尺寸：坐高4</w:t>
            </w:r>
            <w:r>
              <w:rPr>
                <w:rFonts w:hint="default" w:ascii="Times New Roman" w:hAnsi="Times New Roman" w:cs="Times New Roman"/>
                <w:color w:val="000000"/>
                <w:sz w:val="18"/>
                <w:szCs w:val="18"/>
                <w:lang w:val="en-US" w:eastAsia="zh-CN"/>
              </w:rPr>
              <w:t xml:space="preserve">2</w:t>
            </w:r>
            <w:r>
              <w:rPr>
                <w:rFonts w:hint="default" w:ascii="Times New Roman" w:hAnsi="Times New Roman" w:cs="Times New Roman"/>
                <w:color w:val="000000"/>
                <w:sz w:val="18"/>
                <w:szCs w:val="18"/>
              </w:rPr>
              <w:t xml:space="preserve">0mm</w:t>
            </w:r>
            <w:r/>
          </w:p>
          <w:p>
            <w:pPr>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2、饰面：优质超纤皮，表面纹理清晰，具有良好的色牢度、耐光耐磨性、透气性等特性 </w:t>
            </w:r>
            <w:r/>
          </w:p>
          <w:p>
            <w:pPr>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3、海绵：阻燃海绵，厚度不小于100mm，密度大于40kg/m3，回弹力大于50%，符合GB/T 10802-2023《</w:t>
            </w:r>
            <w:r>
              <w:rPr>
                <w:rFonts w:hint="default" w:ascii="Times New Roman" w:hAnsi="Times New Roman" w:cs="Times New Roman"/>
                <w:color w:val="333333"/>
                <w:sz w:val="18"/>
                <w:szCs w:val="18"/>
                <w:shd w:val="clear" w:color="auto" w:fill="ffffff"/>
              </w:rPr>
              <w:t xml:space="preserve">通用软质聚氨酯泡沫塑料》</w:t>
            </w:r>
            <w:r>
              <w:rPr>
                <w:rFonts w:hint="default" w:ascii="Times New Roman" w:hAnsi="Times New Roman" w:cs="Times New Roman"/>
                <w:color w:val="000000"/>
                <w:sz w:val="18"/>
                <w:szCs w:val="18"/>
              </w:rPr>
              <w:t xml:space="preserve">、GB 8624-2012《建筑材料及制品燃烧性能分级》等标准要求</w:t>
            </w:r>
            <w:r/>
          </w:p>
          <w:p>
            <w:pPr>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4、内部框架：橡胶木实木框架：采用榫卯结构，表面平整，无毛刺。</w:t>
            </w:r>
            <w:r/>
          </w:p>
          <w:p>
            <w:pPr>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5、胶粘剂：环保型喷胶，符合GB 18583-2008《室内装饰装修材料 胶粘剂中有害物质限量》、HJ 2541-2016《环境标志产品技术要求胶粘剂》、GB 33372-2020《胶粘剂挥发性有机化合物限量》要求。</w:t>
            </w:r>
            <w:r/>
          </w:p>
          <w:p>
            <w:pPr>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6、沙发脚：橡胶木实木沙发脚。</w:t>
            </w:r>
            <w:r/>
          </w:p>
          <w:p>
            <w:pPr>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7、扶手：橡胶木实木</w:t>
            </w:r>
            <w:r/>
          </w:p>
          <w:p>
            <w:pPr>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8、颜色：淡雅暖色系，与现场环境匹配</w:t>
            </w:r>
            <w:r/>
          </w:p>
          <w:p>
            <w:pPr>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9、成品：各项技术指标符合QB/T 1952.1-2023《软体家具沙发》 标准的要求。</w:t>
            </w:r>
            <w:r/>
          </w:p>
          <w:p>
            <w:pPr>
              <w:rPr>
                <w:rFonts w:hint="default" w:ascii="Times New Roman" w:hAnsi="Times New Roman" w:cs="Times New Roman"/>
                <w:b/>
                <w:bCs/>
                <w:color w:val="ff0000"/>
                <w:spacing w:val="2"/>
                <w:sz w:val="18"/>
                <w:szCs w:val="18"/>
                <w:highlight w:val="yellow"/>
              </w:rPr>
            </w:pPr>
            <w:r>
              <w:rPr>
                <w:rFonts w:hint="default" w:ascii="Times New Roman" w:hAnsi="Times New Roman" w:cs="Times New Roman"/>
                <w:color w:val="000000"/>
                <w:sz w:val="18"/>
                <w:szCs w:val="18"/>
              </w:rPr>
              <w:t xml:space="preserve">10、其他：边缘部位倒圆处理，无棱角，降低安全风险，整体结构、安全防护、质量、环保、舒适性、便利性等参数均须符合适老化要求</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16</w:t>
            </w:r>
            <w:r/>
          </w:p>
        </w:tc>
        <w:tc>
          <w:tcPr>
            <w:shd w:val="clear" w:color="auto" w:fill="auto"/>
            <w:tcW w:w="37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张</w:t>
            </w:r>
            <w:r/>
          </w:p>
        </w:tc>
      </w:tr>
      <w:tr>
        <w:trPr>
          <w:jc w:val="center"/>
          <w:trHeight w:val="1689"/>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15</w:t>
            </w:r>
            <w:r/>
          </w:p>
        </w:tc>
        <w:tc>
          <w:tcPr>
            <w:shd w:val="clear" w:color="auto" w:fill="auto"/>
            <w:tcW w:w="771" w:type="dxa"/>
            <w:vAlign w:val="center"/>
            <w:textDirection w:val="lrTb"/>
            <w:noWrap w:val="false"/>
          </w:tcPr>
          <w:p>
            <w:pPr>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休闲沙发（双人位）</w:t>
            </w:r>
            <w:r/>
          </w:p>
        </w:tc>
        <w:tc>
          <w:tcPr>
            <w:shd w:val="clear" w:color="auto" w:fill="auto"/>
            <w:tcW w:w="1523"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806450" cy="466725"/>
                      <wp:effectExtent l="0" t="0" r="12700" b="9525"/>
                      <wp:docPr id="14" name="ID_781248B74409497E8042E80886C08FEB" descr="Enscape_2024-04-08-10-5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D_781248B74409497E8042E80886C08FEB" descr="Enscape_2024-04-08-10-52-21"/>
                              <pic:cNvPicPr>
                                <a:picLocks noChangeAspect="1"/>
                              </pic:cNvPicPr>
                              <pic:nvPr/>
                            </pic:nvPicPr>
                            <pic:blipFill>
                              <a:blip r:embed="rId24"/>
                              <a:srcRect l="13638" t="15556" r="19462" b="17979"/>
                              <a:stretch/>
                            </pic:blipFill>
                            <pic:spPr bwMode="auto">
                              <a:xfrm>
                                <a:off x="0" y="0"/>
                                <a:ext cx="806450" cy="466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63.5pt;height:36.8pt;mso-wrap-distance-left:0.0pt;mso-wrap-distance-top:0.0pt;mso-wrap-distance-right:0.0pt;mso-wrap-distance-bottom:0.0pt;" stroked="f" strokeweight="0.75pt">
                      <v:path textboxrect="0,0,0,0"/>
                      <v:imagedata r:id="rId24"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1480*780*800</w:t>
            </w:r>
            <w:r/>
          </w:p>
        </w:tc>
        <w:tc>
          <w:tcPr>
            <w:shd w:val="clear" w:color="auto" w:fill="auto"/>
            <w:tcW w:w="5641" w:type="dxa"/>
            <w:vAlign w:val="center"/>
            <w:vMerge w:val="continue"/>
            <w:textDirection w:val="lrTb"/>
            <w:noWrap w:val="false"/>
          </w:tcPr>
          <w:p>
            <w:pPr>
              <w:jc w:val="left"/>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20</w:t>
            </w:r>
            <w:r/>
          </w:p>
        </w:tc>
        <w:tc>
          <w:tcPr>
            <w:shd w:val="clear" w:color="auto" w:fill="auto"/>
            <w:tcW w:w="37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张</w:t>
            </w:r>
            <w:r/>
          </w:p>
        </w:tc>
      </w:tr>
      <w:tr>
        <w:trPr>
          <w:jc w:val="center"/>
          <w:trHeight w:val="1367"/>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16</w:t>
            </w:r>
            <w:r/>
          </w:p>
        </w:tc>
        <w:tc>
          <w:tcPr>
            <w:shd w:val="clear" w:color="auto" w:fill="auto"/>
            <w:tcW w:w="771" w:type="dxa"/>
            <w:vAlign w:val="center"/>
            <w:textDirection w:val="lrTb"/>
            <w:noWrap w:val="false"/>
          </w:tcPr>
          <w:p>
            <w:pPr>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休闲沙发（三人位）</w:t>
            </w:r>
            <w:r/>
          </w:p>
        </w:tc>
        <w:tc>
          <w:tcPr>
            <w:shd w:val="clear" w:color="auto" w:fill="auto"/>
            <w:tcW w:w="1523"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806450" cy="466725"/>
                      <wp:effectExtent l="0" t="0" r="12700" b="9525"/>
                      <wp:docPr id="15" name="ID_781248B74409497E8042E80886C08FEB" descr="Enscape_2024-04-08-10-5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D_781248B74409497E8042E80886C08FEB" descr="Enscape_2024-04-08-10-52-21"/>
                              <pic:cNvPicPr>
                                <a:picLocks noChangeAspect="1"/>
                              </pic:cNvPicPr>
                              <pic:nvPr/>
                            </pic:nvPicPr>
                            <pic:blipFill>
                              <a:blip r:embed="rId24"/>
                              <a:srcRect l="13638" t="15556" r="19462" b="17979"/>
                              <a:stretch/>
                            </pic:blipFill>
                            <pic:spPr bwMode="auto">
                              <a:xfrm>
                                <a:off x="0" y="0"/>
                                <a:ext cx="806450" cy="466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63.5pt;height:36.8pt;mso-wrap-distance-left:0.0pt;mso-wrap-distance-top:0.0pt;mso-wrap-distance-right:0.0pt;mso-wrap-distance-bottom:0.0pt;" stroked="f" strokeweight="0.75pt">
                      <v:path textboxrect="0,0,0,0"/>
                      <v:imagedata r:id="rId24"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2080*780*800</w:t>
            </w:r>
            <w:r/>
          </w:p>
        </w:tc>
        <w:tc>
          <w:tcPr>
            <w:shd w:val="clear" w:color="auto" w:fill="auto"/>
            <w:tcW w:w="5641" w:type="dxa"/>
            <w:vAlign w:val="center"/>
            <w:vMerge w:val="continue"/>
            <w:textDirection w:val="lrTb"/>
            <w:noWrap w:val="false"/>
          </w:tcPr>
          <w:p>
            <w:pPr>
              <w:jc w:val="left"/>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2</w:t>
            </w:r>
            <w:r/>
          </w:p>
        </w:tc>
        <w:tc>
          <w:tcPr>
            <w:shd w:val="clear" w:color="auto" w:fill="auto"/>
            <w:tcW w:w="37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张</w:t>
            </w:r>
            <w:r/>
          </w:p>
        </w:tc>
      </w:tr>
      <w:tr>
        <w:trPr>
          <w:jc w:val="center"/>
          <w:trHeight w:val="725"/>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17</w:t>
            </w:r>
            <w:r/>
          </w:p>
        </w:tc>
        <w:tc>
          <w:tcPr>
            <w:shd w:val="clear" w:color="auto" w:fill="auto"/>
            <w:tcW w:w="77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休闲椅</w:t>
            </w:r>
            <w:r/>
          </w:p>
        </w:tc>
        <w:tc>
          <w:tcPr>
            <w:shd w:val="clear" w:color="auto" w:fill="auto"/>
            <w:tcW w:w="1523"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708660" cy="732790"/>
                      <wp:effectExtent l="0" t="0" r="15240" b="1016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1" name="图片 16"/>
                              <pic:cNvPicPr>
                                <a:picLocks noChangeAspect="1"/>
                              </pic:cNvPicPr>
                              <pic:nvPr/>
                            </pic:nvPicPr>
                            <pic:blipFill>
                              <a:blip r:embed="rId25"/>
                              <a:stretch/>
                            </pic:blipFill>
                            <pic:spPr bwMode="auto">
                              <a:xfrm>
                                <a:off x="0" y="0"/>
                                <a:ext cx="708660" cy="7327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55.8pt;height:57.7pt;mso-wrap-distance-left:0.0pt;mso-wrap-distance-top:0.0pt;mso-wrap-distance-right:0.0pt;mso-wrap-distance-bottom:0.0pt;" stroked="f" strokeweight="0.75pt">
                      <v:path textboxrect="0,0,0,0"/>
                      <v:imagedata r:id="rId25"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eastAsia="等线" w:cs="Times New Roman"/>
                <w:color w:val="000000"/>
                <w:sz w:val="18"/>
                <w:szCs w:val="18"/>
              </w:rPr>
              <w:t xml:space="preserve">600*610*825</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1、尺寸：600*610*825mm（坐高4</w:t>
            </w:r>
            <w:r>
              <w:rPr>
                <w:rFonts w:hint="default" w:ascii="Times New Roman" w:hAnsi="Times New Roman" w:cs="Times New Roman"/>
                <w:color w:val="000000"/>
                <w:sz w:val="18"/>
                <w:szCs w:val="18"/>
                <w:lang w:val="en-US" w:eastAsia="zh-CN"/>
              </w:rPr>
              <w:t xml:space="preserve">2</w:t>
            </w:r>
            <w:r>
              <w:rPr>
                <w:rFonts w:hint="default" w:ascii="Times New Roman" w:hAnsi="Times New Roman" w:cs="Times New Roman"/>
                <w:color w:val="000000"/>
                <w:sz w:val="18"/>
                <w:szCs w:val="18"/>
              </w:rPr>
              <w:t xml:space="preserve">0mm）</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2、饰面：阻燃布料，透气性好，表面无刺触感，平滑舒适，防螨性能优，无明显色差，性能、环保性、质量、防螨等参数符合GB 18401-2010 《国家纺织产品基本安全技术规范》、GB/T 18885-2020《生态纺织品技术要求》、GB/T 24253-2009《纺织品 防螨性能的评价》</w:t>
            </w:r>
            <w:r>
              <w:rPr>
                <w:rFonts w:hint="default" w:ascii="Times New Roman" w:hAnsi="Times New Roman" w:cs="Times New Roman"/>
                <w:color w:val="000000"/>
                <w:sz w:val="18"/>
                <w:szCs w:val="18"/>
                <w:lang w:eastAsia="zh-CN"/>
              </w:rPr>
              <w:t xml:space="preserve">、</w:t>
            </w:r>
            <w:r>
              <w:rPr>
                <w:rFonts w:hint="default" w:ascii="Times New Roman" w:hAnsi="Times New Roman" w:cs="Times New Roman"/>
                <w:color w:val="000000"/>
                <w:sz w:val="18"/>
                <w:szCs w:val="18"/>
              </w:rPr>
              <w:t xml:space="preserve">GB 8624-2012《建筑材料及制品燃烧性能分级》、HJ 2546-2016《环境标志产品技术要求纺织产品》要求。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3、海绵：阻燃海绵，厚度不小于100mm，密度大于40kg/m3，回弹力大于50%，符合GB/T 10802-2023《通用软质聚氨酯泡沫塑料》、GB 8624-2012《建筑材料及制品燃烧性能分级》等标准要求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4、内部框架：橡胶木实木框架，表面平整，无毛刺。</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5、胶粘剂：环保型喷胶，符合GB 18583-2008《室内装饰装修材料 胶粘剂中有害物质限量》、HJ 2541-2016《环境标志产品技术要求胶粘剂》、GB 33372-2020《胶粘剂挥发性有机化合物限量》要求。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6、沙发脚：水曲柳实木沙发脚。</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7、扶手：弧线形软包扶手</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8、颜色：采购人自选</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9、成品：各项技术指标符合QB/T 1952.1-2023《软体家具沙发》 标准的要求。</w:t>
            </w:r>
            <w:r/>
          </w:p>
          <w:p>
            <w:pPr>
              <w:jc w:val="left"/>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10、其他：边缘部位倒圆处理，无棱角，降低安全风险，整体结构、安全防护、质量、环保、舒适性、便利性等参数均须符合适老化要求</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8</w:t>
            </w:r>
            <w:r/>
          </w:p>
        </w:tc>
        <w:tc>
          <w:tcPr>
            <w:shd w:val="clear" w:color="auto" w:fill="auto"/>
            <w:tcW w:w="37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张</w:t>
            </w:r>
            <w:r/>
          </w:p>
        </w:tc>
      </w:tr>
      <w:tr>
        <w:trPr>
          <w:jc w:val="center"/>
          <w:trHeight w:val="3632"/>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18</w:t>
            </w:r>
            <w:r/>
          </w:p>
        </w:tc>
        <w:tc>
          <w:tcPr>
            <w:shd w:val="clear" w:color="auto" w:fill="auto"/>
            <w:tcW w:w="771"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椭圆形长茶几</w:t>
            </w:r>
            <w:r/>
          </w:p>
        </w:tc>
        <w:tc>
          <w:tcPr>
            <w:shd w:val="clear" w:color="auto" w:fill="auto"/>
            <w:tcW w:w="1523"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805180" cy="508000"/>
                      <wp:effectExtent l="0" t="0" r="13970" b="6350"/>
                      <wp:docPr id="17"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2" name="图片 18"/>
                              <pic:cNvPicPr>
                                <a:picLocks noChangeAspect="1"/>
                              </pic:cNvPicPr>
                              <pic:nvPr/>
                            </pic:nvPicPr>
                            <pic:blipFill>
                              <a:blip r:embed="rId26"/>
                              <a:stretch/>
                            </pic:blipFill>
                            <pic:spPr bwMode="auto">
                              <a:xfrm>
                                <a:off x="0" y="0"/>
                                <a:ext cx="805180" cy="508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63.4pt;height:40.0pt;mso-wrap-distance-left:0.0pt;mso-wrap-distance-top:0.0pt;mso-wrap-distance-right:0.0pt;mso-wrap-distance-bottom:0.0pt;" stroked="f" strokeweight="0.75pt">
                      <v:path textboxrect="0,0,0,0"/>
                      <v:imagedata r:id="rId26"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1200*600*500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1、结构：上下双层托盘，上托盘有档边，四足结构。</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2、基材：采用橡胶木实木，木榫结构，材质相关参数符合GB/T 3324-2017《木家具通用技术条件》，GB 18584-2001《室内装饰装修材料 木家具中有害物质限量》要求。木材含水率符合国家标准，木材无腐朽或较明显虫眼等瑕疵，符合国家环保标准</w:t>
            </w:r>
            <w:r>
              <w:rPr>
                <w:rFonts w:hint="default" w:ascii="Times New Roman" w:hAnsi="Times New Roman" w:cs="Times New Roman"/>
                <w:color w:val="000000"/>
                <w:sz w:val="18"/>
                <w:szCs w:val="18"/>
                <w:lang w:eastAsia="zh-CN"/>
              </w:rPr>
              <w:t xml:space="preserve">。</w:t>
            </w:r>
            <w:r>
              <w:rPr>
                <w:rFonts w:hint="default" w:ascii="Times New Roman" w:hAnsi="Times New Roman" w:cs="Times New Roman"/>
                <w:color w:val="000000"/>
                <w:sz w:val="18"/>
                <w:szCs w:val="18"/>
              </w:rPr>
              <w:t xml:space="preserve"> 木材均经过刨光、砂光，成品无毛刺、无裂纹，接缝自然，无明显缺口和缝隙</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3、油漆：水性底漆、水性面漆，整体喷涂漆面，喷漆均匀，表面漆膜平整光亮、无皱皮、发粘和漏漆现象，有害物含量符合GB 18581-2020 《木器涂料中有害物质限量》要求 </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4、尺寸：上托盘厚度25mm,下托盘厚度18mm</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5、桌腿：异形橡胶木方</w:t>
            </w:r>
            <w:r>
              <w:rPr>
                <w:rStyle w:val="909"/>
                <w:rFonts w:hint="default" w:ascii="Times New Roman" w:hAnsi="Times New Roman" w:cs="Times New Roman"/>
                <w:sz w:val="18"/>
                <w:szCs w:val="18"/>
                <w:lang w:val="en-US" w:eastAsia="zh-CN"/>
              </w:rPr>
              <w:t xml:space="preserve">断面尺寸≥45*35mm；</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6、其他要求：边缘部位倒圆处理，无棱角，降低安全风险，整体结构、安全防护、质量、环保、舒适性、便利性等参数均须符合适老化要求</w:t>
            </w:r>
            <w:r/>
          </w:p>
          <w:p>
            <w:pPr>
              <w:jc w:val="left"/>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7、颜色：淡雅暖色系，与现场环境匹配</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12</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个</w:t>
            </w:r>
            <w:r/>
          </w:p>
        </w:tc>
      </w:tr>
      <w:tr>
        <w:trPr>
          <w:jc w:val="center"/>
          <w:trHeight w:val="228"/>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19</w:t>
            </w:r>
            <w:r/>
          </w:p>
        </w:tc>
        <w:tc>
          <w:tcPr>
            <w:shd w:val="clear" w:color="auto" w:fill="auto"/>
            <w:tcW w:w="77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圆形茶几</w:t>
            </w:r>
            <w:r/>
          </w:p>
        </w:tc>
        <w:tc>
          <w:tcPr>
            <w:shd w:val="clear" w:color="auto" w:fill="auto"/>
            <w:tcW w:w="1523"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637540" cy="833755"/>
                      <wp:effectExtent l="0" t="0" r="10160" b="4445"/>
                      <wp:docPr id="18"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5" name="图片 54"/>
                              <pic:cNvPicPr>
                                <a:picLocks noChangeAspect="1"/>
                              </pic:cNvPicPr>
                              <pic:nvPr/>
                            </pic:nvPicPr>
                            <pic:blipFill>
                              <a:blip r:embed="rId27"/>
                              <a:stretch/>
                            </pic:blipFill>
                            <pic:spPr bwMode="auto">
                              <a:xfrm>
                                <a:off x="0" y="0"/>
                                <a:ext cx="637540" cy="8337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50.2pt;height:65.6pt;mso-wrap-distance-left:0.0pt;mso-wrap-distance-top:0.0pt;mso-wrap-distance-right:0.0pt;mso-wrap-distance-bottom:0.0pt;" stroked="f" strokeweight="0.75pt">
                      <v:path textboxrect="0,0,0,0"/>
                      <v:imagedata r:id="rId27"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φ</w:t>
            </w:r>
            <w:r>
              <w:rPr>
                <w:rFonts w:hint="default" w:ascii="Times New Roman" w:hAnsi="Times New Roman" w:eastAsia="等线" w:cs="Times New Roman"/>
                <w:color w:val="000000"/>
                <w:sz w:val="18"/>
                <w:szCs w:val="18"/>
              </w:rPr>
              <w:t xml:space="preserve">600*500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1、结构：上下双层托盘，上托盘有档边，三足鼎立结构。</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2、基材：采用橡胶木实木，木榫结构，材质相关参数符合GB/T 3324-2017《木家具通用技术条件》，GB 18584-2001《室内装饰装修材料 木家具中有害物质限量》要求。木材含水率符合国家标准，木材无腐朽或较明显虫眼等瑕疵，符合国家环保标准</w:t>
            </w:r>
            <w:r>
              <w:rPr>
                <w:rFonts w:hint="default" w:ascii="Times New Roman" w:hAnsi="Times New Roman" w:cs="Times New Roman"/>
                <w:color w:val="000000"/>
                <w:sz w:val="18"/>
                <w:szCs w:val="18"/>
                <w:lang w:eastAsia="zh-CN"/>
              </w:rPr>
              <w:t xml:space="preserve">。</w:t>
            </w:r>
            <w:r>
              <w:rPr>
                <w:rFonts w:hint="default" w:ascii="Times New Roman" w:hAnsi="Times New Roman" w:cs="Times New Roman"/>
                <w:color w:val="000000"/>
                <w:sz w:val="18"/>
                <w:szCs w:val="18"/>
              </w:rPr>
              <w:t xml:space="preserve"> 木材均经过刨光、砂光，成品无毛刺、无裂纹，接缝自然，无明显缺口和缝隙</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3、油漆：水性底漆、水性面漆，整体喷涂漆面，喷漆均匀，表面漆膜平整光亮、无皱皮、发粘和漏漆现象，有害物含量符合GB 18581-2020 《木器涂料中有害物质限量》要求 </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4、尺寸：上托盘厚度25mm,下托盘厚度18mm</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5、桌腿：异形橡胶木方</w:t>
            </w:r>
            <w:r>
              <w:rPr>
                <w:rStyle w:val="909"/>
                <w:rFonts w:hint="default" w:ascii="Times New Roman" w:hAnsi="Times New Roman" w:cs="Times New Roman"/>
                <w:sz w:val="18"/>
                <w:szCs w:val="18"/>
                <w:lang w:eastAsia="zh-CN"/>
              </w:rPr>
              <w:t xml:space="preserve">，</w:t>
            </w:r>
            <w:r>
              <w:rPr>
                <w:rStyle w:val="909"/>
                <w:rFonts w:hint="default" w:ascii="Times New Roman" w:hAnsi="Times New Roman" w:cs="Times New Roman"/>
                <w:sz w:val="18"/>
                <w:szCs w:val="18"/>
                <w:lang w:val="en-US" w:eastAsia="zh-CN"/>
              </w:rPr>
              <w:t xml:space="preserve">断面尺寸≥40*30mm；</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6、其他要求：边缘部位倒圆处理，无棱角，降低安全风险，整体结构、安全防护、质量、环保、舒适性、便利性等参数均须符合适老化要求</w:t>
            </w:r>
            <w:r/>
          </w:p>
          <w:p>
            <w:pPr>
              <w:jc w:val="left"/>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7、颜色：淡雅暖色系，与现场环境匹配</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14</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个</w:t>
            </w:r>
            <w:r/>
          </w:p>
        </w:tc>
      </w:tr>
      <w:tr>
        <w:trPr>
          <w:jc w:val="center"/>
          <w:trHeight w:val="90"/>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20</w:t>
            </w:r>
            <w:r/>
          </w:p>
        </w:tc>
        <w:tc>
          <w:tcPr>
            <w:shd w:val="clear" w:color="auto" w:fill="auto"/>
            <w:tcW w:w="77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双面书柜</w:t>
            </w:r>
            <w:r/>
          </w:p>
        </w:tc>
        <w:tc>
          <w:tcPr>
            <w:shd w:val="clear" w:color="auto" w:fill="auto"/>
            <w:tcW w:w="1523"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779145" cy="767715"/>
                      <wp:effectExtent l="0" t="0" r="1905" b="13335"/>
                      <wp:docPr id="1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1" name="图片 29"/>
                              <pic:cNvPicPr>
                                <a:picLocks noChangeAspect="1"/>
                              </pic:cNvPicPr>
                              <pic:nvPr/>
                            </pic:nvPicPr>
                            <pic:blipFill>
                              <a:blip r:embed="rId28"/>
                              <a:stretch/>
                            </pic:blipFill>
                            <pic:spPr bwMode="auto">
                              <a:xfrm>
                                <a:off x="0" y="0"/>
                                <a:ext cx="779145" cy="7677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61.3pt;height:60.4pt;mso-wrap-distance-left:0.0pt;mso-wrap-distance-top:0.0pt;mso-wrap-distance-right:0.0pt;mso-wrap-distance-bottom:0.0pt;" stroked="f" strokeweight="0.75pt">
                      <v:path textboxrect="0,0,0,0"/>
                      <v:imagedata r:id="rId28"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2000*600*2200</w:t>
            </w:r>
            <w:r/>
          </w:p>
        </w:tc>
        <w:tc>
          <w:tcPr>
            <w:shd w:val="clear" w:color="auto" w:fill="auto"/>
            <w:tcW w:w="5641" w:type="dxa"/>
            <w:vAlign w:val="center"/>
            <w:textDirection w:val="lrTb"/>
            <w:noWrap w:val="false"/>
          </w:tcPr>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1、基材：优质浸渍胶膜纸饰面刨花板。板厚25mm, 甲醛释放量 ENF 级。各项指标符合GB/T 15102-2017《浸渍胶膜纸饰面纤维板和刨花板》、GB 18580-2017《室内装饰装修材料 人造板及其制品中甲醛释放限量》、GB/T 39600-2021《人造板及其制品甲醛释放量分级》、</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GB/T 35601-2017《绿色产品评价 人造板和木质地板》、HJ 571-2010《环境标志产品技术要求 人造板及其制品》、GB 8624-2012《建筑材料及制品燃烧性能分级》要求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2、封边：激光封边条，各项指标符合QB/T 4463-2013《家具用封边条技术要求》要求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3、连接件：金属三合一连接件，耐腐蚀性强。符合QB/T 3832-1999《轻工产品金属镀层腐蚀试验结果的评价》的要求，</w:t>
            </w:r>
            <w:r>
              <w:rPr>
                <w:rFonts w:hint="default" w:ascii="Times New Roman" w:hAnsi="Times New Roman" w:cs="Times New Roman"/>
                <w:color w:val="000000"/>
                <w:sz w:val="18"/>
                <w:szCs w:val="18"/>
              </w:rPr>
              <w:t xml:space="preserve">达到10级。</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4、结构：共30个储格，共6层，每层一个大格(W633*D287mm），4个小格（W304*D287mm），错位分布。</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5、整体结构、安全防护、质量、环保、舒适性、便利性等参数均须符合适老化要求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6、颜色：淡雅暖色系，与现场环境匹配</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7、成品：各项技术指标符合GB/T 3324-2017《木家具通用技术条件》标准的要求。</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个</w:t>
            </w:r>
            <w:r/>
          </w:p>
        </w:tc>
      </w:tr>
      <w:tr>
        <w:trPr>
          <w:jc w:val="center"/>
          <w:trHeight w:val="90"/>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21</w:t>
            </w:r>
            <w:r/>
          </w:p>
        </w:tc>
        <w:tc>
          <w:tcPr>
            <w:shd w:val="clear" w:color="auto" w:fill="auto"/>
            <w:tcW w:w="77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博古架</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720725" cy="680085"/>
                      <wp:effectExtent l="0" t="0" r="3175" b="5715"/>
                      <wp:docPr id="20" name="ID_1D6F8FBA474B42EBBCA58B17452584CB" descr="Enscape_2024-04-07-19-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D_1D6F8FBA474B42EBBCA58B17452584CB" descr="Enscape_2024-04-07-19-21-38"/>
                              <pic:cNvPicPr>
                                <a:picLocks noChangeAspect="1"/>
                              </pic:cNvPicPr>
                              <pic:nvPr/>
                            </pic:nvPicPr>
                            <pic:blipFill>
                              <a:blip r:embed="rId29"/>
                              <a:srcRect l="24255" t="9109" r="31849" b="10444"/>
                              <a:stretch/>
                            </pic:blipFill>
                            <pic:spPr bwMode="auto">
                              <a:xfrm>
                                <a:off x="0" y="0"/>
                                <a:ext cx="720724" cy="6800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56.8pt;height:53.5pt;mso-wrap-distance-left:0.0pt;mso-wrap-distance-top:0.0pt;mso-wrap-distance-right:0.0pt;mso-wrap-distance-bottom:0.0pt;" stroked="f" strokeweight="0.75pt">
                      <v:path textboxrect="0,0,0,0"/>
                      <v:imagedata r:id="rId29"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2200*500*2200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1、结构：镂空设计，双面均可取放物品，上为镂空货架，五层存储空间，中部为圆形框架，内有四层储物空间，下柜为2单开门，2双开门，内各置一块活动层板，配锁。</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2、基材：采用橡胶木实木，板厚18mm，木榫结构，材质相关参数符合GB/T 3324-2017《木家具通用技术条件》，GB 18584-2001《室内装饰装修材料 木家具中有害物质限量》要求。木材含水率符合国家标准，木材无腐朽或较明显虫眼等瑕疵，符合国家环保标准</w:t>
            </w:r>
            <w:r>
              <w:rPr>
                <w:rFonts w:hint="default" w:ascii="Times New Roman" w:hAnsi="Times New Roman" w:cs="Times New Roman"/>
                <w:color w:val="000000"/>
                <w:sz w:val="18"/>
                <w:szCs w:val="18"/>
                <w:lang w:eastAsia="zh-CN"/>
              </w:rPr>
              <w:t xml:space="preserve">。</w:t>
            </w:r>
            <w:r>
              <w:rPr>
                <w:rFonts w:hint="default" w:ascii="Times New Roman" w:hAnsi="Times New Roman" w:cs="Times New Roman"/>
                <w:color w:val="000000"/>
                <w:sz w:val="18"/>
                <w:szCs w:val="18"/>
              </w:rPr>
              <w:t xml:space="preserve"> 木材均经过刨光、砂光，成品无毛刺、无裂纹，接缝自然，无明显缺口和缝隙</w:t>
            </w:r>
            <w:r/>
          </w:p>
          <w:p>
            <w:pPr>
              <w:jc w:val="left"/>
              <w:widowControl/>
              <w:rPr>
                <w:rFonts w:hint="default" w:ascii="Times New Roman" w:hAnsi="Times New Roman" w:cs="Times New Roman"/>
                <w:sz w:val="18"/>
                <w:szCs w:val="18"/>
              </w:rPr>
            </w:pPr>
            <w:r>
              <w:rPr>
                <w:rFonts w:hint="default" w:ascii="Times New Roman" w:hAnsi="Times New Roman" w:cs="Times New Roman"/>
                <w:color w:val="000000"/>
                <w:sz w:val="18"/>
                <w:szCs w:val="18"/>
              </w:rPr>
              <w:t xml:space="preserve">3、油漆：水性底漆、水性面漆，整体喷涂漆面，喷漆均匀，表面漆</w:t>
            </w:r>
            <w:r>
              <w:rPr>
                <w:rFonts w:hint="default" w:ascii="Times New Roman" w:hAnsi="Times New Roman" w:cs="Times New Roman"/>
                <w:sz w:val="18"/>
                <w:szCs w:val="18"/>
              </w:rPr>
              <w:t xml:space="preserve">膜平整光亮、无皱皮、发粘和漏漆现象，有害物含量符合GB 18581-2020 《木器涂料中有害物质限量》要求 </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4、铰链：优质金属铰链，指标符合QB/T 2189-2013《家具五金 杯状暗铰链》要求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5、锁具：优质锁具，符合QB/T 1621-2015《家具锁》要求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6、其他要求：整体结构、安全防护、质量、环保、舒适性、便利性等参数均须符合适老化要求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7、颜色：淡雅暖色系，与现场环境匹配</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8、其他：后期需深化图纸，成交后需根据中标产品做图纸深化，由使用方确认无误后方可生产。</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4</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个</w:t>
            </w:r>
            <w:r/>
          </w:p>
        </w:tc>
      </w:tr>
      <w:tr>
        <w:trPr>
          <w:jc w:val="center"/>
          <w:trHeight w:val="1338"/>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22</w:t>
            </w:r>
            <w:r/>
          </w:p>
        </w:tc>
        <w:tc>
          <w:tcPr>
            <w:shd w:val="clear" w:color="auto" w:fill="auto"/>
            <w:tcW w:w="771"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电动沙发椅</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818515" cy="815975"/>
                      <wp:effectExtent l="0" t="0" r="635" b="3175"/>
                      <wp:docPr id="2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1"/>
                              <pic:cNvPicPr>
                                <a:picLocks noChangeAspect="1"/>
                              </pic:cNvPicPr>
                              <pic:nvPr/>
                            </pic:nvPicPr>
                            <pic:blipFill>
                              <a:blip r:embed="rId30"/>
                              <a:stretch/>
                            </pic:blipFill>
                            <pic:spPr bwMode="auto">
                              <a:xfrm>
                                <a:off x="0" y="0"/>
                                <a:ext cx="818515" cy="815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64.5pt;height:64.2pt;mso-wrap-distance-left:0.0pt;mso-wrap-distance-top:0.0pt;mso-wrap-distance-right:0.0pt;mso-wrap-distance-bottom:0.0pt;" stroked="f" strokeweight="0.75pt">
                      <v:path textboxrect="0,0,0,0"/>
                      <v:imagedata r:id="rId30"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单人位</w:t>
            </w:r>
            <w:r/>
          </w:p>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960*960*1020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1、尺寸：坐高450mm</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2、饰面：优质超纤皮，表面纹理清晰，具有良好的色牢度、耐光耐磨性、透气性等特性  </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3、海绵：阻燃海绵，密度大于30kg/m3，回弹力大于45%，符合GB/T 10802-2023《通用软质聚氨酯泡沫塑料》、GB 8624-2012《建筑材料及制品燃烧性能分级》等标准要求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4、内部框架：钢+松木框架</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5、胶粘剂：环保型喷胶，符合GB 18583-2008《室内装饰装修材料 胶粘剂中有害物质限量》、HJ 2541-2016《环境标志产品技术要求胶粘剂》、GB 33372-2020《胶粘剂挥发性有机化合物限量》要求。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6、沙发脚：钢制圆形底盘，圆管管径18mm，壁厚≥2.0mm，表面环氧树脂粉末涂料喷涂，符合HG/T 2006-2022《热固性和热塑性粉末涂料》要求；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7、扶手：软包扶手</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8、颜色：深棕色</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9、电机：24V直流电机，50HZ，电动收纳和抬起；靠背可以电动调节倾仰角度；最大倾仰角度170度。</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10、成品：各项技术指标符合QB/T 1952.1-2023《软体家具沙发》 标准的要求。</w:t>
            </w:r>
            <w:r/>
          </w:p>
          <w:p>
            <w:pPr>
              <w:jc w:val="left"/>
              <w:widowControl/>
              <w:rPr>
                <w:rFonts w:hint="default" w:ascii="Times New Roman" w:hAnsi="Times New Roman" w:cs="Times New Roman"/>
                <w:b/>
                <w:bCs/>
                <w:color w:val="ff0000"/>
                <w:spacing w:val="2"/>
                <w:sz w:val="18"/>
                <w:szCs w:val="18"/>
                <w:highlight w:val="yellow"/>
              </w:rPr>
            </w:pPr>
            <w:r>
              <w:rPr>
                <w:rFonts w:hint="default" w:ascii="Times New Roman" w:hAnsi="Times New Roman" w:cs="Times New Roman"/>
                <w:color w:val="000000"/>
                <w:sz w:val="18"/>
                <w:szCs w:val="18"/>
              </w:rPr>
              <w:t xml:space="preserve">11、其他：边缘部位倒圆处理，无棱角，降低安全风险，整体结构、安全防护、质量、环保、舒适性、便利性等参数均须符合适老化要求</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5</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张</w:t>
            </w:r>
            <w:r/>
          </w:p>
        </w:tc>
      </w:tr>
      <w:tr>
        <w:trPr>
          <w:jc w:val="center"/>
          <w:trHeight w:val="765"/>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23</w:t>
            </w:r>
            <w:r/>
          </w:p>
        </w:tc>
        <w:tc>
          <w:tcPr>
            <w:shd w:val="clear" w:color="auto" w:fill="auto"/>
            <w:tcW w:w="771"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户外休闲桌</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817245" cy="567055"/>
                      <wp:effectExtent l="0" t="0" r="1905" b="4445"/>
                      <wp:docPr id="2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2"/>
                              <pic:cNvPicPr>
                                <a:picLocks noChangeAspect="1"/>
                              </pic:cNvPicPr>
                              <pic:nvPr/>
                            </pic:nvPicPr>
                            <pic:blipFill>
                              <a:blip r:embed="rId31"/>
                              <a:stretch/>
                            </pic:blipFill>
                            <pic:spPr bwMode="auto">
                              <a:xfrm>
                                <a:off x="0" y="0"/>
                                <a:ext cx="817245" cy="5670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64.3pt;height:44.6pt;mso-wrap-distance-left:0.0pt;mso-wrap-distance-top:0.0pt;mso-wrap-distance-right:0.0pt;mso-wrap-distance-bottom:0.0pt;" stroked="f" strokeweight="0.75pt">
                      <v:path textboxrect="0,0,0,0"/>
                      <v:imagedata r:id="rId31" o:title=""/>
                    </v:shape>
                  </w:pict>
                </mc:Fallback>
              </mc:AlternateContent>
            </w:r>
            <w:r/>
          </w:p>
        </w:tc>
        <w:tc>
          <w:tcPr>
            <w:shd w:val="clear" w:color="auto" w:fill="auto"/>
            <w:tcW w:w="961" w:type="dxa"/>
            <w:vAlign w:val="center"/>
            <w:textDirection w:val="lrTb"/>
            <w:noWrap w:val="false"/>
          </w:tcPr>
          <w:p>
            <w:pPr>
              <w:widowControl/>
              <w:rPr>
                <w:rFonts w:hint="default" w:ascii="Times New Roman" w:hAnsi="Times New Roman" w:cs="Times New Roman"/>
                <w:sz w:val="18"/>
                <w:szCs w:val="18"/>
              </w:rPr>
            </w:pPr>
            <w:r>
              <w:rPr>
                <w:rFonts w:hint="default" w:ascii="Times New Roman" w:hAnsi="Times New Roman" w:cs="Times New Roman"/>
                <w:color w:val="000000"/>
                <w:sz w:val="18"/>
                <w:szCs w:val="18"/>
              </w:rPr>
              <w:t xml:space="preserve">φ600*580</w:t>
            </w:r>
            <w:r/>
          </w:p>
        </w:tc>
        <w:tc>
          <w:tcPr>
            <w:shd w:val="clear" w:color="auto" w:fill="auto"/>
            <w:tcW w:w="5641" w:type="dxa"/>
            <w:vAlign w:val="center"/>
            <w:textDirection w:val="lrTb"/>
            <w:noWrap w:val="false"/>
          </w:tcPr>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1、结构：圆盘脚，直径500mm,圆形桌面直径600mm，圆立柱直径60mm</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2、底盘：优质电解钢板，壁厚≥1.5mm，表面环氧树脂粉末涂料喷涂，符合HG/T 2006-2022《热固性和热塑性粉末涂料》要求；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3、桌面：户外用岩板，厚度12mm</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4、成品：各项技术指标符合GB/T 3325-2017《金属家具通用技术条件》标准的要求；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5、其他：边缘部位倒圆处理，无棱角，降低安全风险，整体结构、安全防护、质量、环保、舒适性、便利性等参数均须符合适老化要求</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8</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张</w:t>
            </w:r>
            <w:r/>
          </w:p>
        </w:tc>
      </w:tr>
      <w:tr>
        <w:trPr>
          <w:jc w:val="center"/>
          <w:trHeight w:val="830"/>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24</w:t>
            </w:r>
            <w:r/>
          </w:p>
        </w:tc>
        <w:tc>
          <w:tcPr>
            <w:shd w:val="clear" w:color="auto" w:fill="auto"/>
            <w:tcW w:w="771" w:type="dxa"/>
            <w:vAlign w:val="center"/>
            <w:textDirection w:val="lrTb"/>
            <w:noWrap w:val="false"/>
          </w:tcPr>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铝合金休闲椅</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624840" cy="808355"/>
                      <wp:effectExtent l="0" t="0" r="3810" b="10795"/>
                      <wp:docPr id="23" name="ID_0B5AA6A9FEBC416AA75CEDBCAB6AD90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D_0B5AA6A9FEBC416AA75CEDBCAB6AD90E"/>
                              <pic:cNvPicPr>
                                <a:picLocks noChangeAspect="1"/>
                              </pic:cNvPicPr>
                              <pic:nvPr/>
                            </pic:nvPicPr>
                            <pic:blipFill>
                              <a:blip r:embed="rId17"/>
                              <a:stretch/>
                            </pic:blipFill>
                            <pic:spPr bwMode="auto">
                              <a:xfrm>
                                <a:off x="0" y="0"/>
                                <a:ext cx="624840" cy="8083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9.2pt;height:63.6pt;mso-wrap-distance-left:0.0pt;mso-wrap-distance-top:0.0pt;mso-wrap-distance-right:0.0pt;mso-wrap-distance-bottom:0.0pt;" stroked="f" strokeweight="0.75pt">
                      <v:path textboxrect="0,0,0,0"/>
                      <v:imagedata r:id="rId17" o:title=""/>
                    </v:shape>
                  </w:pict>
                </mc:Fallback>
              </mc:AlternateContent>
            </w:r>
            <w:r/>
          </w:p>
        </w:tc>
        <w:tc>
          <w:tcPr>
            <w:shd w:val="clear" w:color="auto" w:fill="auto"/>
            <w:tcW w:w="961" w:type="dxa"/>
            <w:vAlign w:val="center"/>
            <w:textDirection w:val="lrTb"/>
            <w:noWrap w:val="false"/>
          </w:tcPr>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565*630*770坐高430</w:t>
            </w:r>
            <w:r/>
          </w:p>
        </w:tc>
        <w:tc>
          <w:tcPr>
            <w:shd w:val="clear" w:color="auto" w:fill="auto"/>
            <w:tcW w:w="5641" w:type="dxa"/>
            <w:vAlign w:val="center"/>
            <w:textDirection w:val="lrTb"/>
            <w:noWrap w:val="false"/>
          </w:tcPr>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w:t>
            </w:r>
            <w:r>
              <w:rPr>
                <w:rFonts w:hint="default" w:ascii="Times New Roman" w:hAnsi="Times New Roman" w:cs="Times New Roman"/>
                <w:color w:val="000000"/>
                <w:sz w:val="18"/>
                <w:szCs w:val="18"/>
              </w:rPr>
              <w:t xml:space="preserve">坐垫及靠背</w:t>
            </w:r>
            <w:r>
              <w:rPr>
                <w:rFonts w:hint="default" w:ascii="Times New Roman" w:hAnsi="Times New Roman" w:cs="Times New Roman"/>
                <w:sz w:val="18"/>
                <w:szCs w:val="18"/>
              </w:rPr>
              <w:t xml:space="preserve">饰面：阻燃布料，透气性好，表面无刺触感，平滑舒适，防螨性能优，无明显色差，性能、环保性、质量、防螨等参数符合GB 18401-2010 《国家纺织产品基本安全技术规范》、GB/T 18885-2020《生态纺织品技术要求》</w:t>
            </w:r>
            <w:r>
              <w:rPr>
                <w:rFonts w:hint="default" w:ascii="Times New Roman" w:hAnsi="Times New Roman" w:cs="Times New Roman"/>
                <w:sz w:val="18"/>
                <w:szCs w:val="18"/>
                <w:lang w:eastAsia="zh-CN"/>
              </w:rPr>
              <w:t xml:space="preserve">、</w:t>
            </w:r>
            <w:r>
              <w:rPr>
                <w:rFonts w:hint="default" w:ascii="Times New Roman" w:hAnsi="Times New Roman" w:cs="Times New Roman"/>
                <w:sz w:val="18"/>
                <w:szCs w:val="18"/>
              </w:rPr>
              <w:t xml:space="preserve">GB/T 24253-2009《纺织品 防螨性能的评价》、GB 8624-2012《建筑材料及制品燃烧性能分级》</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HJ 2546-2016《环境标志产品技术要求纺织产品》要求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2、海绵：成型海绵，密度大于40kg/m3，回弹力大于50%，</w:t>
            </w:r>
            <w:r>
              <w:rPr>
                <w:rFonts w:hint="default" w:ascii="Times New Roman" w:hAnsi="Times New Roman" w:cs="Times New Roman"/>
                <w:color w:val="000000"/>
                <w:sz w:val="18"/>
                <w:szCs w:val="18"/>
              </w:rPr>
              <w:t xml:space="preserve">厚度≥5cm，</w:t>
            </w:r>
            <w:r>
              <w:rPr>
                <w:rFonts w:hint="default" w:ascii="Times New Roman" w:hAnsi="Times New Roman" w:cs="Times New Roman"/>
                <w:sz w:val="18"/>
                <w:szCs w:val="18"/>
              </w:rPr>
              <w:t xml:space="preserve">符合GB/T 10802-2023</w:t>
            </w:r>
            <w:r>
              <w:rPr>
                <w:rFonts w:hint="default" w:ascii="Times New Roman" w:hAnsi="Times New Roman" w:cs="Times New Roman"/>
                <w:color w:val="000000"/>
                <w:sz w:val="18"/>
                <w:szCs w:val="18"/>
              </w:rPr>
              <w:t xml:space="preserve">《</w:t>
            </w:r>
            <w:r>
              <w:rPr>
                <w:rFonts w:hint="default" w:ascii="Times New Roman" w:hAnsi="Times New Roman" w:cs="Times New Roman"/>
                <w:color w:val="333333"/>
                <w:sz w:val="18"/>
                <w:szCs w:val="18"/>
                <w:shd w:val="clear" w:color="auto" w:fill="ffffff"/>
              </w:rPr>
              <w:t xml:space="preserve">通用软质聚氨酯泡沫塑料》</w:t>
            </w:r>
            <w:r>
              <w:rPr>
                <w:rStyle w:val="909"/>
                <w:rFonts w:hint="default" w:ascii="Times New Roman" w:hAnsi="Times New Roman" w:cs="Times New Roman"/>
                <w:sz w:val="18"/>
                <w:szCs w:val="18"/>
              </w:rPr>
              <w:t xml:space="preserve">、</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3、框架：铝合金框架，表面喷涂砂纹粉末。指标符合GB/T 3325-2017《金属家具通用技术条件》；</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4、椅脚：铝合金圆管，</w:t>
            </w:r>
            <w:r>
              <w:rPr>
                <w:rFonts w:hint="default" w:ascii="Times New Roman" w:hAnsi="Times New Roman" w:cs="Times New Roman"/>
                <w:color w:val="000000"/>
                <w:sz w:val="18"/>
                <w:szCs w:val="18"/>
              </w:rPr>
              <w:t xml:space="preserve">直径 </w:t>
            </w:r>
            <w:r>
              <w:rPr>
                <w:rFonts w:hint="default" w:ascii="Times New Roman" w:hAnsi="Times New Roman" w:cs="Times New Roman"/>
                <w:sz w:val="18"/>
                <w:szCs w:val="18"/>
              </w:rPr>
              <w:t xml:space="preserve">25mm, 壁厚1.5mm，交叉管加固工艺，</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5、扶手：铝合金，侧边包裹高强度塑编带。</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6、成品：各项技术指标符合国家相关标准。</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7、其他：边缘部位倒圆处理，无棱角，降低安全风险，整体结构、安全防护、质量、环保、舒适性、便利性等参数均须符合适老化要求</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16</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张</w:t>
            </w:r>
            <w:r/>
          </w:p>
        </w:tc>
      </w:tr>
      <w:tr>
        <w:trPr>
          <w:jc w:val="center"/>
          <w:trHeight w:val="185"/>
        </w:trPr>
        <w:tc>
          <w:tcPr>
            <w:gridSpan w:val="7"/>
            <w:shd w:val="clear" w:color="000000" w:fill="d9d9d9"/>
            <w:tcW w:w="10301" w:type="dxa"/>
            <w:textDirection w:val="lrTb"/>
            <w:noWrap w:val="false"/>
          </w:tcPr>
          <w:p>
            <w:pPr>
              <w:jc w:val="center"/>
              <w:widowControl/>
              <w:rPr>
                <w:rFonts w:hint="default" w:ascii="Times New Roman" w:hAnsi="Times New Roman" w:cs="Times New Roman"/>
                <w:b/>
                <w:bCs/>
                <w:color w:val="12501a"/>
                <w:sz w:val="18"/>
                <w:szCs w:val="18"/>
              </w:rPr>
            </w:pPr>
            <w:r>
              <w:rPr>
                <w:rFonts w:hint="default" w:ascii="Times New Roman" w:hAnsi="Times New Roman" w:cs="Times New Roman"/>
                <w:b/>
                <w:bCs/>
                <w:color w:val="e46c0a" w:themeColor="accent6" w:themeShade="BF"/>
                <w:sz w:val="18"/>
                <w:szCs w:val="18"/>
              </w:rPr>
              <w:t xml:space="preserve">办公区</w:t>
            </w:r>
            <w:r/>
          </w:p>
        </w:tc>
      </w:tr>
      <w:tr>
        <w:trPr>
          <w:jc w:val="center"/>
          <w:trHeight w:val="771"/>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25</w:t>
            </w:r>
            <w:r/>
          </w:p>
        </w:tc>
        <w:tc>
          <w:tcPr>
            <w:shd w:val="clear" w:color="auto" w:fill="auto"/>
            <w:tcW w:w="771"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班台</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796925" cy="440690"/>
                      <wp:effectExtent l="0" t="0" r="3175" b="16510"/>
                      <wp:docPr id="2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4"/>
                              <pic:cNvPicPr>
                                <a:picLocks noChangeAspect="1"/>
                              </pic:cNvPicPr>
                              <pic:nvPr/>
                            </pic:nvPicPr>
                            <pic:blipFill>
                              <a:blip r:embed="rId32"/>
                              <a:stretch/>
                            </pic:blipFill>
                            <pic:spPr bwMode="auto">
                              <a:xfrm>
                                <a:off x="0" y="0"/>
                                <a:ext cx="796925" cy="4406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62.8pt;height:34.7pt;mso-wrap-distance-left:0.0pt;mso-wrap-distance-top:0.0pt;mso-wrap-distance-right:0.0pt;mso-wrap-distance-bottom:0.0pt;" stroked="f" strokeweight="0.75pt">
                      <v:path textboxrect="0,0,0,0"/>
                      <v:imagedata r:id="rId32"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2000*2020*760</w:t>
            </w:r>
            <w:r/>
          </w:p>
        </w:tc>
        <w:tc>
          <w:tcPr>
            <w:shd w:val="clear" w:color="auto" w:fill="auto"/>
            <w:tcW w:w="5641" w:type="dxa"/>
            <w:vAlign w:val="center"/>
            <w:textDirection w:val="lrTb"/>
            <w:noWrap w:val="false"/>
          </w:tcPr>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1、基材：优质浸渍胶膜纸饰面刨花板。板厚60mm, 甲醛释放量 ENF 级。各项指标符合GB/T 15102-2017《浸渍胶膜纸饰面纤维板和刨花板》、GB 18580-2017《室内装饰装修材料 人造板及其制品中甲醛释放限量》、GB/T 39600-2021《人造板及其制品甲醛释放量分级》、GB/T 35601-2017《绿色产品评价 人造板和木质地板》、HJ 571-2010《环境标志产品技术要求 人造板及其制品》、GB 8624-2012《建筑材料及制品燃烧性能分级》要求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2、封边：PVC封边条，厚度2mm，各项指标符合QB/T 4463-2013《家具用封边条技术要求》要求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3、连接件：金属三合一连接件，耐腐蚀性强。符合QB/T 3832-1999《轻工产品金属镀层腐蚀试验结果的评价》的要求，</w:t>
            </w:r>
            <w:r>
              <w:rPr>
                <w:rFonts w:hint="default" w:ascii="Times New Roman" w:hAnsi="Times New Roman" w:cs="Times New Roman"/>
                <w:color w:val="000000"/>
                <w:sz w:val="18"/>
                <w:szCs w:val="18"/>
              </w:rPr>
              <w:t xml:space="preserve">达到10级。</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4、胶水：PUR湿气固化反应型聚氨酯热熔胶，安全环保，符合GB 18583-2008《室内装饰装修材料 胶粘剂中有害物质限量》、HJ 2541-2016《环境标志产品技术要求胶粘剂》、GB 33372-2020《胶粘剂挥发性有机化合物限量》要求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5、结构：板材桌脚，侧边为侧柜，含三抽及开门柜，桌面、侧柜均配置线盒，内有多功能集成插座。</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6、锁具：抽屉带锁，优质锁具，符合QB/T 1621-2015《家具锁》要求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7、成品：各项技术指标符合GB/T 3324-2017《木家具通用技术条件》标准的要求。</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套</w:t>
            </w:r>
            <w:r/>
          </w:p>
        </w:tc>
      </w:tr>
      <w:tr>
        <w:trPr>
          <w:jc w:val="center"/>
          <w:trHeight w:val="110"/>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26</w:t>
            </w:r>
            <w:r/>
          </w:p>
        </w:tc>
        <w:tc>
          <w:tcPr>
            <w:shd w:val="clear" w:color="auto" w:fill="auto"/>
            <w:tcW w:w="771"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背柜</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658495" cy="831215"/>
                      <wp:effectExtent l="0" t="0" r="8255" b="6985"/>
                      <wp:docPr id="25" name="ID_202555D3BE9F4BB7BD4A2A173AA60B4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D_202555D3BE9F4BB7BD4A2A173AA60B4B"/>
                              <pic:cNvPicPr>
                                <a:picLocks noChangeAspect="1"/>
                              </pic:cNvPicPr>
                              <pic:nvPr/>
                            </pic:nvPicPr>
                            <pic:blipFill>
                              <a:blip r:embed="rId33"/>
                              <a:stretch/>
                            </pic:blipFill>
                            <pic:spPr bwMode="auto">
                              <a:xfrm>
                                <a:off x="0" y="0"/>
                                <a:ext cx="658495" cy="8312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51.8pt;height:65.5pt;mso-wrap-distance-left:0.0pt;mso-wrap-distance-top:0.0pt;mso-wrap-distance-right:0.0pt;mso-wrap-distance-bottom:0.0pt;" stroked="f" strokeweight="0.75pt">
                      <v:path textboxrect="0,0,0,0"/>
                      <v:imagedata r:id="rId33"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1800*420*2000</w:t>
            </w:r>
            <w:r/>
          </w:p>
        </w:tc>
        <w:tc>
          <w:tcPr>
            <w:shd w:val="clear" w:color="auto" w:fill="auto"/>
            <w:tcW w:w="5641" w:type="dxa"/>
            <w:vAlign w:val="center"/>
            <w:textDirection w:val="lrTb"/>
            <w:noWrap w:val="false"/>
          </w:tcPr>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1、基材：优质浸渍胶膜纸饰面刨花板。 甲醛释放量 ENF 级。板厚25mm，各项指标符合GB/T 15102-2017《浸渍胶膜纸饰面纤维板和刨花板》、GB 18580-2017《室内装饰装修材料 人造板及其制品中甲醛释放限量》、GB/T 39600-2021《人造板及其制品甲醛释放量分级》</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GB/T 35601-2017《绿色产品评价 人造板和木质地板》、HJ 571-2010《环境标志产品技术要求 人造板及其制品》、GB 8624-2012《建筑材料及制品燃烧性能分级》要求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2、封边：PVC封边条，厚度2mm，各项指标符合QB/T 4463-2013《家具用封边条技术要求》要求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3、连接件：金属三合一连接件，耐腐蚀性强。符合QB/T 3832-1999《轻工产品金属镀层腐蚀试验结果的评价》的要求，达到10级。</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4、胶水：PUR湿气固化反应型聚氨酯热熔胶，安全环保，符合GB 18583-2008《室内装饰装修材料 胶粘剂中有害物质限量》、HJ 2541-2016《环境标志产品技术要求胶粘剂》、GB 33372-2020《胶粘剂挥发性有机化合物限量》要求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5、结构：上-左右为单开木掩门，内置一块活动层板，中间为双开玻璃门，</w:t>
            </w:r>
            <w:r>
              <w:rPr>
                <w:rFonts w:hint="default" w:ascii="Times New Roman" w:hAnsi="Times New Roman" w:cs="Times New Roman"/>
                <w:sz w:val="18"/>
                <w:szCs w:val="18"/>
                <w:lang w:val="en-US" w:eastAsia="zh-CN"/>
              </w:rPr>
              <w:t xml:space="preserve">玻璃材质为钢化清玻，</w:t>
            </w:r>
            <w:r>
              <w:rPr>
                <w:rFonts w:hint="default" w:ascii="Times New Roman" w:hAnsi="Times New Roman" w:cs="Times New Roman"/>
                <w:sz w:val="18"/>
                <w:szCs w:val="18"/>
              </w:rPr>
              <w:t xml:space="preserve">厚度≥</w:t>
            </w:r>
            <w:r>
              <w:rPr>
                <w:rFonts w:hint="default" w:ascii="Times New Roman" w:hAnsi="Times New Roman" w:cs="Times New Roman"/>
                <w:sz w:val="18"/>
                <w:szCs w:val="18"/>
                <w:lang w:val="en-US" w:eastAsia="zh-CN"/>
              </w:rPr>
              <w:t xml:space="preserve">5mm</w:t>
            </w:r>
            <w:r>
              <w:rPr>
                <w:rFonts w:hint="default" w:ascii="Times New Roman" w:hAnsi="Times New Roman" w:cs="Times New Roman"/>
                <w:sz w:val="18"/>
                <w:szCs w:val="18"/>
              </w:rPr>
              <w:t xml:space="preserve">内置两块活动层板，下-左右单开木掩门，中间双开木掩门，所有下柜内置一块活动层板，柜门带锁；</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6、铰链：优质金属铰链，指标符合QB/T 2189-2013《家具五金 杯状暗铰链》要求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7、锁具：柜门带锁，优质锁具，符合QB/T 1621-2015《家具锁》要求；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8、成品：各项技术指标符合GB/T 3324-2017《木家具通用技术条件》标准的要求。</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个</w:t>
            </w:r>
            <w:r/>
          </w:p>
        </w:tc>
      </w:tr>
      <w:tr>
        <w:trPr>
          <w:jc w:val="center"/>
          <w:trHeight w:val="456"/>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27</w:t>
            </w:r>
            <w:r/>
          </w:p>
        </w:tc>
        <w:tc>
          <w:tcPr>
            <w:shd w:val="clear" w:color="auto" w:fill="auto"/>
            <w:tcW w:w="771"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班椅</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688340" cy="819150"/>
                      <wp:effectExtent l="0" t="0" r="16510" b="0"/>
                      <wp:docPr id="2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6"/>
                              <pic:cNvPicPr>
                                <a:picLocks noChangeAspect="1"/>
                              </pic:cNvPicPr>
                              <pic:nvPr/>
                            </pic:nvPicPr>
                            <pic:blipFill>
                              <a:blip r:embed="rId34"/>
                              <a:stretch/>
                            </pic:blipFill>
                            <pic:spPr bwMode="auto">
                              <a:xfrm>
                                <a:off x="0" y="0"/>
                                <a:ext cx="688340" cy="8191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54.2pt;height:64.5pt;mso-wrap-distance-left:0.0pt;mso-wrap-distance-top:0.0pt;mso-wrap-distance-right:0.0pt;mso-wrap-distance-bottom:0.0pt;" stroked="f" strokeweight="0.75pt">
                      <v:path textboxrect="0,0,0,0"/>
                      <v:imagedata r:id="rId34"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650*640*（1180-1240）</w:t>
            </w:r>
            <w:r/>
          </w:p>
        </w:tc>
        <w:tc>
          <w:tcPr>
            <w:shd w:val="clear" w:color="auto" w:fill="auto"/>
            <w:tcW w:w="5641" w:type="dxa"/>
            <w:vAlign w:val="center"/>
            <w:textDirection w:val="lrTb"/>
            <w:noWrap w:val="false"/>
          </w:tcPr>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1、椅背/椅座：优质超纤皮，表面纹理清晰，具有良好的色牢度、耐光耐磨性、透气性等特性；   </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2、海绵：成型海绵，厚度≥10cm，密度大于40kg/m3，回弹力大于50%，符合GB/T 10802-2023《通用软质聚氨酯泡沫塑料》、QB/T 2280-2016《办公家具 办公椅》要求；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3、扶手：铝合金，表面超纤皮软包固定扶手；</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4、气压棒：金属气压棒，升降行程60mm，棒芯壁厚须符合GB/T 29525-2013《座椅升降气弹簧 技术条件》要求；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5、脚轮：铝合金抛光五星脚，五星脚直径670mm，尼龙轮，轮径60mm，滑动时无杂音、活动自如；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6、胶粘剂：环保型喷胶，符合GB 18583-2008《室内装饰装修材料 胶粘剂中有害物质限量》、HJ 2541-2016《环境标志产品技术要求胶粘剂》、GB 33372-2020《胶粘剂挥发性有机化合物限量》要求；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7、颜色：黑色；</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8、成品：需符合QB/T 2280-2016《办公家具 办公椅》；</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9、其他：前置式倾仰机构，原位锁定，靠背及坐垫支撑为多层曲木板，厚度≥15mm；</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10、净尺寸：坐宽505mm，坐高450-510mm，座深460mm；</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张</w:t>
            </w:r>
            <w:r/>
          </w:p>
        </w:tc>
      </w:tr>
      <w:tr>
        <w:trPr>
          <w:jc w:val="center"/>
          <w:trHeight w:val="716"/>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28</w:t>
            </w:r>
            <w:r/>
          </w:p>
        </w:tc>
        <w:tc>
          <w:tcPr>
            <w:shd w:val="clear" w:color="auto" w:fill="auto"/>
            <w:tcW w:w="771"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班前椅</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694055" cy="774700"/>
                      <wp:effectExtent l="0" t="0" r="10795" b="6350"/>
                      <wp:docPr id="27" name="ID_7E29F11A92824F12A831BDB470712EB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D_7E29F11A92824F12A831BDB470712EB8"/>
                              <pic:cNvPicPr>
                                <a:picLocks noChangeAspect="1"/>
                              </pic:cNvPicPr>
                              <pic:nvPr/>
                            </pic:nvPicPr>
                            <pic:blipFill>
                              <a:blip r:embed="rId35"/>
                              <a:srcRect l="0" t="16978" r="0" b="0"/>
                              <a:stretch/>
                            </pic:blipFill>
                            <pic:spPr bwMode="auto">
                              <a:xfrm>
                                <a:off x="0" y="0"/>
                                <a:ext cx="694055" cy="774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54.6pt;height:61.0pt;mso-wrap-distance-left:0.0pt;mso-wrap-distance-top:0.0pt;mso-wrap-distance-right:0.0pt;mso-wrap-distance-bottom:0.0pt;" stroked="f" strokeweight="0.75pt">
                      <v:path textboxrect="0,0,0,0"/>
                      <v:imagedata r:id="rId35"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650*640*960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1、椅背/椅座：优质超纤皮，表面纹理清晰，具有良好的色牢度、耐光耐磨性、透气性等特性；  </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2、海绵：成型海绵，厚度≥10cm，密度大于40kg/m³，回弹力大于50%，符合GB/T 10802-2023《</w:t>
            </w:r>
            <w:r>
              <w:rPr>
                <w:rFonts w:hint="default" w:ascii="Times New Roman" w:hAnsi="Times New Roman" w:cs="Times New Roman"/>
                <w:color w:val="333333"/>
                <w:sz w:val="18"/>
                <w:szCs w:val="18"/>
                <w:shd w:val="clear" w:color="auto" w:fill="ffffff"/>
              </w:rPr>
              <w:t xml:space="preserve">通用软质聚氨酯泡沫塑料》</w:t>
            </w:r>
            <w:r>
              <w:rPr>
                <w:rFonts w:hint="default" w:ascii="Times New Roman" w:hAnsi="Times New Roman" w:cs="Times New Roman"/>
                <w:color w:val="000000"/>
                <w:sz w:val="18"/>
                <w:szCs w:val="18"/>
              </w:rPr>
              <w:t xml:space="preserve">、QB/T 2280-2016《办公家具 办公椅》要求；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3、扶手：超纤皮软包，固定扶手；</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4、椅脚：钢制电镀弓形脚；</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5、胶粘剂：环保型喷胶，符合GB 18583-2008《室内装饰装修材料 胶粘剂中有害物质限量》、HJ 2541-2016《环境标志产品技术要求胶粘剂》、GB 33372-2020《胶粘剂挥发性有机化合物限量》要求；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6、颜色：黑色；</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7、成品：需符合QB/T 2280-2016《办公家具 办公椅》要求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8、其他：固定式靠背及坐垫支撑为多层曲木板，厚度≥15mm；</w:t>
            </w:r>
            <w:r/>
          </w:p>
          <w:p>
            <w:pPr>
              <w:jc w:val="left"/>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9、净尺寸：坐宽505mm，坐高450mm，坐深460mm；</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2</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张</w:t>
            </w:r>
            <w:r/>
          </w:p>
        </w:tc>
      </w:tr>
      <w:tr>
        <w:trPr>
          <w:jc w:val="center"/>
          <w:trHeight w:val="355"/>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29</w:t>
            </w:r>
            <w:r/>
          </w:p>
        </w:tc>
        <w:tc>
          <w:tcPr>
            <w:shd w:val="clear" w:color="auto" w:fill="auto"/>
            <w:tcW w:w="771"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沙发（双人位）　</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805180" cy="434340"/>
                      <wp:effectExtent l="0" t="0" r="13970" b="3810"/>
                      <wp:docPr id="2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8"/>
                              <pic:cNvPicPr>
                                <a:picLocks noChangeAspect="1"/>
                              </pic:cNvPicPr>
                              <pic:nvPr/>
                            </pic:nvPicPr>
                            <pic:blipFill>
                              <a:blip r:embed="rId36"/>
                              <a:stretch/>
                            </pic:blipFill>
                            <pic:spPr bwMode="auto">
                              <a:xfrm>
                                <a:off x="0" y="0"/>
                                <a:ext cx="805180" cy="4343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63.4pt;height:34.2pt;mso-wrap-distance-left:0.0pt;mso-wrap-distance-top:0.0pt;mso-wrap-distance-right:0.0pt;mso-wrap-distance-bottom:0.0pt;" stroked="f" strokeweight="0.75pt">
                      <v:path textboxrect="0,0,0,0"/>
                      <v:imagedata r:id="rId36"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1700*860*900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1、饰面：优质超纤皮，表面纹理清晰，具有良好的色牢度、耐光耐磨性、透气性等特性；</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2、海绵：阻燃海绵，密度大于40kg/m3，回弹力大于50%，符合GB/T 10802-2023《</w:t>
            </w:r>
            <w:r>
              <w:rPr>
                <w:rFonts w:hint="default" w:ascii="Times New Roman" w:hAnsi="Times New Roman" w:cs="Times New Roman"/>
                <w:color w:val="333333"/>
                <w:sz w:val="18"/>
                <w:szCs w:val="18"/>
                <w:shd w:val="clear" w:color="auto" w:fill="ffffff"/>
              </w:rPr>
              <w:t xml:space="preserve">通用软质聚氨酯泡沫塑料》</w:t>
            </w:r>
            <w:r>
              <w:rPr>
                <w:rStyle w:val="909"/>
                <w:rFonts w:hint="default" w:ascii="Times New Roman" w:hAnsi="Times New Roman" w:cs="Times New Roman"/>
                <w:sz w:val="18"/>
                <w:szCs w:val="18"/>
              </w:rPr>
              <w:t xml:space="preserve">、</w:t>
            </w:r>
            <w:r>
              <w:rPr>
                <w:rFonts w:hint="default" w:ascii="Times New Roman" w:hAnsi="Times New Roman" w:cs="Times New Roman"/>
                <w:color w:val="000000"/>
                <w:sz w:val="18"/>
                <w:szCs w:val="18"/>
              </w:rPr>
              <w:t xml:space="preserve">GB 8624-2012《建筑材料及制品燃烧性能分级》等标准要求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3、框架：采用优质天然松木，经专业干燥设备处理，保证长时间使用不开裂、不变形；</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4、胶粘剂：环保型喷胶，符合GB 18583-2008《室内装饰装修材料 胶粘剂中有害物质限量》：HJ 2541-2016《环境标志产品技术要求胶粘剂》；GB 33372-2020《胶粘剂挥发性有机化合物限量》要求；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5、沙发脚：钢制脚，表面静电粉末喷涂处理；</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6、扶手：超纤皮软包扶手；</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7、颜色：黑色；</w:t>
            </w:r>
            <w:r/>
          </w:p>
          <w:p>
            <w:pPr>
              <w:jc w:val="left"/>
              <w:widowControl/>
              <w:rPr>
                <w:rFonts w:hint="default" w:ascii="Times New Roman" w:hAnsi="Times New Roman" w:cs="Times New Roman"/>
                <w:b/>
                <w:bCs/>
                <w:color w:val="ff0000"/>
                <w:spacing w:val="2"/>
                <w:sz w:val="18"/>
                <w:szCs w:val="18"/>
                <w:highlight w:val="yellow"/>
              </w:rPr>
            </w:pPr>
            <w:r>
              <w:rPr>
                <w:rFonts w:hint="default" w:ascii="Times New Roman" w:hAnsi="Times New Roman" w:cs="Times New Roman"/>
                <w:color w:val="000000"/>
                <w:sz w:val="18"/>
                <w:szCs w:val="18"/>
              </w:rPr>
              <w:t xml:space="preserve">8、成品：各项技术指标符合QB/T 1952.1-2023《软体家具沙发》 标准的要求。</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张</w:t>
            </w:r>
            <w:r/>
          </w:p>
        </w:tc>
      </w:tr>
      <w:tr>
        <w:trPr>
          <w:jc w:val="center"/>
          <w:trHeight w:val="90"/>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30</w:t>
            </w:r>
            <w:r/>
          </w:p>
        </w:tc>
        <w:tc>
          <w:tcPr>
            <w:shd w:val="clear" w:color="auto" w:fill="auto"/>
            <w:tcW w:w="771"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方茶几</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777875" cy="513080"/>
                      <wp:effectExtent l="0" t="0" r="3175" b="1270"/>
                      <wp:docPr id="2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39"/>
                              <pic:cNvPicPr>
                                <a:picLocks noChangeAspect="1"/>
                              </pic:cNvPicPr>
                              <pic:nvPr/>
                            </pic:nvPicPr>
                            <pic:blipFill>
                              <a:blip r:embed="rId37"/>
                              <a:stretch/>
                            </pic:blipFill>
                            <pic:spPr bwMode="auto">
                              <a:xfrm>
                                <a:off x="0" y="0"/>
                                <a:ext cx="777875" cy="5130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61.2pt;height:40.4pt;mso-wrap-distance-left:0.0pt;mso-wrap-distance-top:0.0pt;mso-wrap-distance-right:0.0pt;mso-wrap-distance-bottom:0.0pt;" stroked="f" strokeweight="0.75pt">
                      <v:path textboxrect="0,0,0,0"/>
                      <v:imagedata r:id="rId37"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600*600*420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1、结构：四脚桌；</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2、基材：优质浸渍胶膜纸饰面刨花板。 甲醛释放量 ENF 级。板厚25mm，各项指标符合GB/T 15102-2017《浸渍胶膜纸饰面纤维板和刨花板》、GB 18580-2017《室内装饰装修材料 人造板及其制品中甲醛释放限量》、GB/T 39600-2021《人造板及其制品甲醛释放量分级》、GB/T 35601-2017《绿色产品评价 人造板和木质地板》、HJ 571-2010《环境标志产品技术要求 人造板及其制品》、GB 8624-2012《建筑材料及制品燃烧性能分级》要求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3、封边：PVC封边条，厚度2mm，各项指标符合QB/T 4463-2013《家具用封边条技术要求》要求；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4、桌腿：优质钢腿及桌架，方管尺寸50*50mm，表面环氧树脂粉末涂料喷涂，符合HG/T 2006-2022《热固性和热塑性粉末涂料》要求；</w:t>
            </w:r>
            <w:r/>
          </w:p>
          <w:p>
            <w:pPr>
              <w:jc w:val="left"/>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5、成品：各项技术指标符合GB/T 3325-2017《金属家具通用技术条件》标准的要求；</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个</w:t>
            </w:r>
            <w:r/>
          </w:p>
        </w:tc>
      </w:tr>
      <w:tr>
        <w:trPr>
          <w:jc w:val="center"/>
          <w:trHeight w:val="5100"/>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31</w:t>
            </w:r>
            <w:r/>
          </w:p>
        </w:tc>
        <w:tc>
          <w:tcPr>
            <w:shd w:val="clear" w:color="auto" w:fill="auto"/>
            <w:tcW w:w="77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屏风工位</w:t>
            </w:r>
            <w:r/>
          </w:p>
        </w:tc>
        <w:tc>
          <w:tcPr>
            <w:shd w:val="clear" w:color="auto" w:fill="auto"/>
            <w:tcW w:w="1523" w:type="dxa"/>
            <w:vAlign w:val="center"/>
            <w:vMerge w:val="restart"/>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808990" cy="553720"/>
                      <wp:effectExtent l="0" t="0" r="10160" b="17780"/>
                      <wp:docPr id="30" name="ID_4A5264C807D94F8DACEB35691C298ABA" descr="Enscape_2024-04-05-17-0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D_4A5264C807D94F8DACEB35691C298ABA" descr="Enscape_2024-04-05-17-08-56"/>
                              <pic:cNvPicPr>
                                <a:picLocks noChangeAspect="1"/>
                              </pic:cNvPicPr>
                              <pic:nvPr/>
                            </pic:nvPicPr>
                            <pic:blipFill>
                              <a:blip r:embed="rId38"/>
                              <a:srcRect l="17812" t="8235" r="25417" b="11209"/>
                              <a:stretch/>
                            </pic:blipFill>
                            <pic:spPr bwMode="auto">
                              <a:xfrm>
                                <a:off x="0" y="0"/>
                                <a:ext cx="808989" cy="5537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63.7pt;height:43.6pt;mso-wrap-distance-left:0.0pt;mso-wrap-distance-top:0.0pt;mso-wrap-distance-right:0.0pt;mso-wrap-distance-bottom:0.0pt;" stroked="f" strokeweight="0.75pt">
                      <v:path textboxrect="0,0,0,0"/>
                      <v:imagedata r:id="rId38" o:title=""/>
                    </v:shape>
                  </w:pict>
                </mc:Fallback>
              </mc:AlternateContent>
            </w:r>
            <w:r/>
          </w:p>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r>
            <w:r/>
          </w:p>
          <w:p>
            <w:pPr>
              <w:jc w:val="right"/>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523875" cy="644525"/>
                      <wp:effectExtent l="0" t="0" r="9525" b="3175"/>
                      <wp:docPr id="31" name="图片 35" descr="02莱克活动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35" descr="02莱克活动柜"/>
                              <pic:cNvPicPr>
                                <a:picLocks noChangeAspect="1"/>
                              </pic:cNvPicPr>
                              <pic:nvPr/>
                            </pic:nvPicPr>
                            <pic:blipFill>
                              <a:blip r:embed="rId39"/>
                              <a:stretch/>
                            </pic:blipFill>
                            <pic:spPr bwMode="auto">
                              <a:xfrm>
                                <a:off x="0" y="0"/>
                                <a:ext cx="523875" cy="644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41.2pt;height:50.8pt;mso-wrap-distance-left:0.0pt;mso-wrap-distance-top:0.0pt;mso-wrap-distance-right:0.0pt;mso-wrap-distance-bottom:0.0pt;" stroked="f" strokeweight="0.75pt">
                      <v:path textboxrect="0,0,0,0"/>
                      <v:imagedata r:id="rId39"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工作位：1600*1600*750/1200 </w:t>
            </w:r>
            <w:r>
              <w:rPr>
                <w:rFonts w:hint="default" w:ascii="Times New Roman" w:hAnsi="Times New Roman" w:cs="Times New Roman"/>
                <w:color w:val="000000"/>
                <w:sz w:val="18"/>
                <w:szCs w:val="18"/>
              </w:rPr>
              <w:br/>
            </w:r>
            <w:r>
              <w:rPr>
                <w:rFonts w:hint="default" w:ascii="Times New Roman" w:hAnsi="Times New Roman" w:cs="Times New Roman"/>
                <w:color w:val="000000"/>
                <w:sz w:val="18"/>
                <w:szCs w:val="18"/>
              </w:rPr>
              <w:t xml:space="preserve">活动柜：</w:t>
            </w:r>
            <w:r>
              <w:rPr>
                <w:rFonts w:hint="default" w:ascii="Times New Roman" w:hAnsi="Times New Roman" w:cs="Times New Roman"/>
                <w:color w:val="000000"/>
                <w:sz w:val="18"/>
                <w:szCs w:val="18"/>
              </w:rPr>
              <w:br/>
            </w:r>
            <w:r>
              <w:rPr>
                <w:rFonts w:hint="default" w:ascii="Times New Roman" w:hAnsi="Times New Roman" w:cs="Times New Roman"/>
                <w:color w:val="000000"/>
                <w:sz w:val="18"/>
                <w:szCs w:val="18"/>
              </w:rPr>
              <w:t xml:space="preserve">410*490*630</w:t>
            </w:r>
            <w:r/>
          </w:p>
        </w:tc>
        <w:tc>
          <w:tcPr>
            <w:shd w:val="clear" w:color="auto" w:fill="auto"/>
            <w:tcW w:w="5641" w:type="dxa"/>
            <w:vAlign w:val="center"/>
            <w:vMerge w:val="restart"/>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1、屏风框架：屏风工位主龙骨采用铝型材，走线屏风厚度45mm，非走线屏风厚度30mm,符合GB/T 22792.1-2009《办公家具屏风第1部分：尺寸》。主材壁厚不小于1.2mm。</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2、安全角设计：所有人体接触棱角、棱边均倒圆弧，避免铝材切口位置对人体接触时的伤害。裸露的接口和切口处加铝合金边盖。</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3、屏风面板：基材：刨花板；外饰：阻燃布料；甲醛释放量符合国家标准ENF级要求。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走线槽在45mm厚屏风上，可拆卸，便于打开检修。</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屏风结实牢靠，所有接头卡位牢固；顶部接头无螺丝位，能多次无损拆装。</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4、桌面面板：优质浸渍胶膜纸饰面刨花板，厚度25mm，甲醛释放量 ENF 级。各项指标符合GB/T 15102-2017《浸渍胶膜纸饰面纤维板和刨花板》、GB 18580-2017《室内装饰装修材料 人造板及其制品中甲醛释放限量》、GB/T 39600-2021《人造板及其制品甲醛释放量分级》、GB/T 35601-2017《绿色产品评价 人造板和木质地板》、HJ 571-2010《环境标志产品技术要求 人造板及其制品》、GB 8624-2012《建筑材料及制品燃烧性能分级》要求。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5、封边：激光封边条，各项指标符合QB/T 4463-2013《家具用封边条技术要求》要求。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6、走线：走线符合安全使用要求，走暗线，暗线槽设置符合现场使用要求。桌面设备铝合金线盒，可放置4个86型插座。</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7、底脚：底脚带有高度调节功能。</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8、成品：桌面高度为750mm，屏风高度为1200mm，各项技术指标符合GB/T 22792.1-2009《办公家具 屏风 第1部分：尺寸》、GB 22792.2-2008《办公家具 屏风 第2部分：安全要求》、GB/T 22792.3-2008《办公家具 屏风 第3部分:试验方法》、GB/T 3325-2017《金属家具通用技术条件》、QB/T 4935-2016《办公家具屏风桌》标准的要求；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9、柜类配置：</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①每个工位含板式活动柜一个，外部及抽面材质：优质浸渍胶膜纸饰面刨花板，颜色同桌面</w:t>
            </w:r>
            <w:r/>
          </w:p>
          <w:p>
            <w:pPr>
              <w:jc w:val="left"/>
              <w:widowControl/>
              <w:rPr>
                <w:rFonts w:hint="default" w:ascii="Times New Roman" w:hAnsi="Times New Roman" w:eastAsia="宋体" w:cs="Times New Roman"/>
                <w:color w:val="000000"/>
                <w:sz w:val="18"/>
                <w:szCs w:val="18"/>
                <w:lang w:eastAsia="zh-CN"/>
              </w:rPr>
            </w:pPr>
            <w:r>
              <w:rPr>
                <w:rFonts w:hint="default" w:ascii="Times New Roman" w:hAnsi="Times New Roman" w:cs="Times New Roman"/>
                <w:color w:val="000000"/>
                <w:sz w:val="18"/>
                <w:szCs w:val="18"/>
              </w:rPr>
              <w:t xml:space="preserve">三层抽屉，抽屉材质为电解钢板，厚度为0.8mm，符合GB/T 35607-2017《绿色产品评价 家具》、GB/T 11253-2019《碳素结构钢冷轧钢板及钢带》要求，表面粉末喷涂</w:t>
            </w:r>
            <w:r>
              <w:rPr>
                <w:rFonts w:hint="default" w:ascii="Times New Roman" w:hAnsi="Times New Roman" w:cs="Times New Roman"/>
                <w:color w:val="000000"/>
                <w:sz w:val="18"/>
                <w:szCs w:val="18"/>
                <w:lang w:eastAsia="zh-CN"/>
              </w:rPr>
              <w:t xml:space="preserve">。</w:t>
            </w:r>
            <w:r/>
          </w:p>
          <w:p>
            <w:pPr>
              <w:jc w:val="left"/>
              <w:widowControl/>
              <w:rPr>
                <w:rFonts w:hint="default" w:ascii="Times New Roman" w:hAnsi="Times New Roman" w:cs="Times New Roman"/>
                <w:sz w:val="18"/>
                <w:szCs w:val="18"/>
              </w:rPr>
            </w:pPr>
            <w:r>
              <w:rPr>
                <w:rFonts w:hint="default" w:ascii="Times New Roman" w:hAnsi="Times New Roman" w:cs="Times New Roman"/>
                <w:color w:val="000000"/>
                <w:sz w:val="18"/>
                <w:szCs w:val="18"/>
              </w:rPr>
              <w:t xml:space="preserve">三节导轨符合QB/T 2454-2013《家具五金 抽屉导轨》要求，首层抽屉配文具盒，底层抽屉可挂挂块牢档案袋，带锁具，锁具符合QB/T 1621-2015《家具锁》要求，底部5个活动轮，配有防倾倒轮，静音。</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24</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套</w:t>
            </w:r>
            <w:r/>
          </w:p>
        </w:tc>
      </w:tr>
      <w:tr>
        <w:trPr>
          <w:jc w:val="center"/>
          <w:trHeight w:val="1275"/>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32</w:t>
            </w:r>
            <w:r/>
          </w:p>
        </w:tc>
        <w:tc>
          <w:tcPr>
            <w:shd w:val="clear" w:color="auto" w:fill="auto"/>
            <w:tcW w:w="771"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屏风工位</w:t>
            </w:r>
            <w:r/>
          </w:p>
        </w:tc>
        <w:tc>
          <w:tcPr>
            <w:shd w:val="clear" w:color="auto" w:fill="auto"/>
            <w:tcW w:w="1523" w:type="dxa"/>
            <w:vAlign w:val="center"/>
            <w:vMerge w:val="continue"/>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r>
            <w:r/>
          </w:p>
        </w:tc>
        <w:tc>
          <w:tcPr>
            <w:shd w:val="clear" w:color="auto" w:fill="auto"/>
            <w:tcW w:w="961"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工作位：1500*1500*750/1200</w:t>
            </w:r>
            <w:r>
              <w:rPr>
                <w:rFonts w:hint="default" w:ascii="Times New Roman" w:hAnsi="Times New Roman" w:cs="Times New Roman"/>
                <w:color w:val="000000"/>
                <w:sz w:val="18"/>
                <w:szCs w:val="18"/>
              </w:rPr>
              <w:br/>
            </w:r>
            <w:r>
              <w:rPr>
                <w:rFonts w:hint="default" w:ascii="Times New Roman" w:hAnsi="Times New Roman" w:cs="Times New Roman"/>
                <w:color w:val="000000"/>
                <w:sz w:val="18"/>
                <w:szCs w:val="18"/>
              </w:rPr>
              <w:t xml:space="preserve">活动柜：</w:t>
            </w:r>
            <w:r>
              <w:rPr>
                <w:rFonts w:hint="default" w:ascii="Times New Roman" w:hAnsi="Times New Roman" w:cs="Times New Roman"/>
                <w:color w:val="000000"/>
                <w:sz w:val="18"/>
                <w:szCs w:val="18"/>
              </w:rPr>
              <w:br/>
            </w:r>
            <w:r>
              <w:rPr>
                <w:rFonts w:hint="default" w:ascii="Times New Roman" w:hAnsi="Times New Roman" w:cs="Times New Roman"/>
                <w:color w:val="000000"/>
                <w:sz w:val="18"/>
                <w:szCs w:val="18"/>
              </w:rPr>
              <w:t xml:space="preserve">410*490*630</w:t>
            </w:r>
            <w:r/>
          </w:p>
        </w:tc>
        <w:tc>
          <w:tcPr>
            <w:shd w:val="clear" w:color="auto" w:fill="auto"/>
            <w:tcW w:w="5641" w:type="dxa"/>
            <w:vAlign w:val="center"/>
            <w:vMerge w:val="continue"/>
            <w:textDirection w:val="lrTb"/>
            <w:noWrap w:val="false"/>
          </w:tcPr>
          <w:p>
            <w:pPr>
              <w:jc w:val="left"/>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2</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套</w:t>
            </w:r>
            <w:r/>
          </w:p>
        </w:tc>
      </w:tr>
      <w:tr>
        <w:trPr>
          <w:jc w:val="center"/>
          <w:trHeight w:val="3570"/>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33</w:t>
            </w:r>
            <w:r/>
          </w:p>
        </w:tc>
        <w:tc>
          <w:tcPr>
            <w:shd w:val="clear" w:color="auto" w:fill="auto"/>
            <w:tcW w:w="771"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办公椅</w:t>
            </w:r>
            <w:r/>
          </w:p>
        </w:tc>
        <w:tc>
          <w:tcPr>
            <w:shd w:val="clear" w:color="auto" w:fill="auto"/>
            <w:tcW w:w="1523"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753110" cy="1058545"/>
                      <wp:effectExtent l="0" t="0" r="8890" b="8255"/>
                      <wp:docPr id="3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42"/>
                              <pic:cNvPicPr>
                                <a:picLocks noChangeAspect="1"/>
                              </pic:cNvPicPr>
                              <pic:nvPr/>
                            </pic:nvPicPr>
                            <pic:blipFill>
                              <a:blip r:embed="rId40"/>
                              <a:stretch/>
                            </pic:blipFill>
                            <pic:spPr bwMode="auto">
                              <a:xfrm>
                                <a:off x="0" y="0"/>
                                <a:ext cx="753110" cy="10585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59.3pt;height:83.3pt;mso-wrap-distance-left:0.0pt;mso-wrap-distance-top:0.0pt;mso-wrap-distance-right:0.0pt;mso-wrap-distance-bottom:0.0pt;" stroked="f" strokeweight="0.75pt">
                      <v:path textboxrect="0,0,0,0"/>
                      <v:imagedata r:id="rId40"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645*560*（970-1060）</w:t>
            </w:r>
            <w:r/>
          </w:p>
        </w:tc>
        <w:tc>
          <w:tcPr>
            <w:shd w:val="clear" w:color="auto" w:fill="auto"/>
            <w:tcW w:w="5641" w:type="dxa"/>
            <w:vAlign w:val="center"/>
            <w:textDirection w:val="lrTb"/>
            <w:noWrap w:val="false"/>
          </w:tcPr>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1、椅背：优质网布，具有透气性和防静电性能，耐磨性强，厚度1.0mm。甲醛含量低于300mg/kg，安全环保，符合GB 18401-2010《国家纺织产品基本安全技术规范》标准。具有透气性和防静电性能，耐磨性强，厚度≥1.0mm。</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2、背框：全新PP一次注塑成型背框，内外框结构，结构坚固。</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3、坐垫：纤维织物，具有耐磨性。</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4、海绵：软质聚醚型聚氨酯泡沫塑料成型海绵，厚度≥75mm，密度大于40kg/m3，回弹力大于50%，符合GB/T 10802-2023</w:t>
            </w:r>
            <w:r>
              <w:rPr>
                <w:rFonts w:hint="default" w:ascii="Times New Roman" w:hAnsi="Times New Roman" w:cs="Times New Roman"/>
                <w:color w:val="000000"/>
                <w:sz w:val="18"/>
                <w:szCs w:val="18"/>
              </w:rPr>
              <w:t xml:space="preserve">《</w:t>
            </w:r>
            <w:r>
              <w:rPr>
                <w:rFonts w:hint="default" w:ascii="Times New Roman" w:hAnsi="Times New Roman" w:cs="Times New Roman"/>
                <w:color w:val="333333"/>
                <w:sz w:val="18"/>
                <w:szCs w:val="18"/>
                <w:shd w:val="clear" w:color="auto" w:fill="ffffff"/>
              </w:rPr>
              <w:t xml:space="preserve">通用软质聚氨酯泡沫塑料》</w:t>
            </w:r>
            <w:r>
              <w:rPr>
                <w:rFonts w:hint="default" w:ascii="Times New Roman" w:hAnsi="Times New Roman" w:cs="Times New Roman"/>
                <w:sz w:val="18"/>
                <w:szCs w:val="18"/>
              </w:rPr>
              <w:t xml:space="preserve">；QB/T 2280-2016《办公家具 办公椅》要求。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5、座板：采用15mm多层曲木板热压成型，板材绿色环保，经防潮、防腐、防蛀等化学处理。底部采用PP底壳包底。</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6、扶手：PP可升降T型扶手,扶手面PU材质</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7、底盘：采用安全可锁定同步倾仰底盘，由3.2mm钢板压制而成，经防腐处理。</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8、气压棒：金属气压棒，升降行程90mm，棒芯壁厚须符合GB/T 29525-2013《座椅升降气弹簧 技术条件》要求。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9、胶粘剂：环保型喷胶，符合GB 18583-2008《室内装饰装修材料 胶粘剂中有害物质限量》、HJ 2541-2016《环境标志产品技术要求胶粘剂》、GB 33372-2020《胶粘剂挥发性有机化合物限量》要求；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10、五星脚：塑料五星脚，直径650 mm。</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11、脚轮：PU万向轮，直径60 mm，滑动时无杂音、活动自如。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12、成品：需符合QB/T 2280-2016《办公家具 办公椅》的要求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13、腰托：PP腰托，可上下调节</w:t>
            </w:r>
            <w:r/>
          </w:p>
          <w:p>
            <w:pPr>
              <w:jc w:val="left"/>
              <w:widowControl/>
              <w:rPr>
                <w:rFonts w:hint="default" w:ascii="Times New Roman" w:hAnsi="Times New Roman" w:cs="Times New Roman" w:eastAsiaTheme="majorEastAsia"/>
                <w:sz w:val="18"/>
                <w:szCs w:val="18"/>
                <w:highlight w:val="yellow"/>
              </w:rPr>
            </w:pPr>
            <w:r>
              <w:rPr>
                <w:rFonts w:hint="default" w:ascii="Times New Roman" w:hAnsi="Times New Roman" w:cs="Times New Roman"/>
                <w:sz w:val="18"/>
                <w:szCs w:val="18"/>
              </w:rPr>
              <w:t xml:space="preserve">14、净尺寸：座宽455mm，坐高405-495mm，坐深：450mm；</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26</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张</w:t>
            </w:r>
            <w:r/>
          </w:p>
        </w:tc>
      </w:tr>
      <w:tr>
        <w:trPr>
          <w:jc w:val="center"/>
          <w:trHeight w:val="725"/>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34</w:t>
            </w:r>
            <w:r/>
          </w:p>
        </w:tc>
        <w:tc>
          <w:tcPr>
            <w:shd w:val="clear" w:color="auto" w:fill="auto"/>
            <w:tcW w:w="771"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医用办公桌</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813435" cy="528320"/>
                      <wp:effectExtent l="0" t="0" r="5715" b="5080"/>
                      <wp:docPr id="33" name="ID_11C844D108A94EC8BBB85194F915E2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D_11C844D108A94EC8BBB85194F915E2FA"/>
                              <pic:cNvPicPr>
                                <a:picLocks noChangeAspect="1"/>
                              </pic:cNvPicPr>
                              <pic:nvPr/>
                            </pic:nvPicPr>
                            <pic:blipFill>
                              <a:blip r:embed="rId41"/>
                              <a:stretch/>
                            </pic:blipFill>
                            <pic:spPr bwMode="auto">
                              <a:xfrm>
                                <a:off x="0" y="0"/>
                                <a:ext cx="813435" cy="5283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64.0pt;height:41.6pt;mso-wrap-distance-left:0.0pt;mso-wrap-distance-top:0.0pt;mso-wrap-distance-right:0.0pt;mso-wrap-distance-bottom:0.0pt;" stroked="f" strokeweight="0.75pt">
                      <v:path textboxrect="0,0,0,0"/>
                      <v:imagedata r:id="rId41"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1500*700*750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1、结构：钢横梁及钢腿，侧边为三抽固定柜，桌面配备铝合金翻盖板，配插座安装盒，预留标准86面板孔；</w:t>
            </w:r>
            <w:r/>
          </w:p>
          <w:p>
            <w:pPr>
              <w:jc w:val="left"/>
              <w:widowControl/>
              <w:rPr>
                <w:rFonts w:hint="default" w:ascii="Times New Roman" w:hAnsi="Times New Roman" w:cs="Times New Roman"/>
                <w:color w:val="000000"/>
                <w:sz w:val="18"/>
                <w:szCs w:val="18"/>
                <w:highlight w:val="yellow"/>
              </w:rPr>
            </w:pPr>
            <w:r>
              <w:rPr>
                <w:rFonts w:hint="default" w:ascii="Times New Roman" w:hAnsi="Times New Roman" w:cs="Times New Roman"/>
                <w:color w:val="000000"/>
                <w:sz w:val="18"/>
                <w:szCs w:val="18"/>
              </w:rPr>
              <w:t xml:space="preserve">2、桌面：优质浸渍胶膜纸饰面刨花板。板厚25mm, 甲醛释放量 ENF 级。各项指标符合GB/T 15102-2017《浸渍胶膜纸饰面纤维板和刨花板》、GB 18580-2017《室内装饰装修材料 人造板及其制品中甲醛释放限量》、GB/T 39600-2021《人造板及其制品甲醛释放量分级》、GB/T 35601-2017《绿色产品评价 人造板和木质地板》、HJ 571-2010《环境标志产品技术要求 人造板及其制品》、GB 8624-2012《建筑材料及制品燃烧性能分级》要求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3、封边：激光封边条，各项指标符合QB/T 4463-2013《家具用封边条技术要求》要求</w:t>
            </w:r>
            <w:r/>
          </w:p>
          <w:p>
            <w:pPr>
              <w:jc w:val="left"/>
              <w:widowControl/>
              <w:rPr>
                <w:rFonts w:hint="default" w:ascii="Times New Roman" w:hAnsi="Times New Roman" w:cs="Times New Roman" w:eastAsiaTheme="minorEastAsia"/>
                <w:color w:val="000000"/>
                <w:sz w:val="18"/>
                <w:szCs w:val="18"/>
                <w:highlight w:val="yellow"/>
              </w:rPr>
            </w:pPr>
            <w:r>
              <w:rPr>
                <w:rFonts w:hint="default" w:ascii="Times New Roman" w:hAnsi="Times New Roman" w:cs="Times New Roman"/>
                <w:color w:val="000000"/>
                <w:sz w:val="18"/>
                <w:szCs w:val="18"/>
              </w:rPr>
              <w:t xml:space="preserve">4、金属喷涂粉末：防腐抗菌喷涂粉末，符合HG/T 2006-2022《热固性和热塑性粉末涂料》、GB/T 35607-2017《绿色产品评价 家具》、QB/T 4371-2012《家具抗菌性能的评价》、GB/T 1741-2020《漆膜耐霉菌性测定法》要求，耐霉菌性等级达到0级</w:t>
            </w:r>
            <w:r>
              <w:rPr>
                <w:rFonts w:hint="default" w:ascii="Times New Roman" w:hAnsi="Times New Roman" w:cs="Times New Roman"/>
              </w:rPr>
              <w:t xml:space="preserve">；</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5、固定抽屉柜：本体及抽屉材质为电解钢板，厚度0.8mm,表面粉末喷涂，粉末为防腐抗菌喷涂粉表面粉末喷涂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三节导轨符合QB/T 2454-2013《家具五金 抽屉导轨》要求，首层抽屉配文具盒，底层抽屉可挂挂块牢档案袋，带锁具，锁具符合QB/T 1621-2015《家具锁》要求；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6、电解钢板：厚度0.8mm,符合GB/T 35607-2017《绿色产品评价 家具》、GB/T 11253-2019《碳素结构钢冷轧钢板及钢带》要求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7、桌腿：方腿，截面50*50钢方管，壁厚1.5mm,表面静电粉末喷涂，防腐抗菌喷涂粉末</w:t>
            </w:r>
            <w:r/>
          </w:p>
          <w:p>
            <w:pPr>
              <w:jc w:val="left"/>
              <w:widowControl/>
              <w:rPr>
                <w:rFonts w:hint="default" w:ascii="Times New Roman" w:hAnsi="Times New Roman" w:cs="Times New Roman"/>
                <w:sz w:val="18"/>
                <w:szCs w:val="18"/>
              </w:rPr>
            </w:pPr>
            <w:r>
              <w:rPr>
                <w:rFonts w:hint="default" w:ascii="Times New Roman" w:hAnsi="Times New Roman" w:cs="Times New Roman"/>
                <w:color w:val="000000"/>
                <w:sz w:val="18"/>
                <w:szCs w:val="18"/>
              </w:rPr>
              <w:t xml:space="preserve">8、成品：各项技术指标符合GB/T 3325-2017《金属家具通用技术条件》标准的要求；</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2</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套</w:t>
            </w:r>
            <w:r/>
          </w:p>
        </w:tc>
      </w:tr>
      <w:tr>
        <w:trPr>
          <w:jc w:val="center"/>
          <w:trHeight w:val="90"/>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35</w:t>
            </w:r>
            <w:r/>
          </w:p>
        </w:tc>
        <w:tc>
          <w:tcPr>
            <w:shd w:val="clear" w:color="auto" w:fill="auto"/>
            <w:tcW w:w="771" w:type="dxa"/>
            <w:vAlign w:val="center"/>
            <w:textDirection w:val="lrTb"/>
            <w:noWrap w:val="false"/>
          </w:tcPr>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　矮柜　</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725170" cy="754380"/>
                      <wp:effectExtent l="0" t="0" r="17780" b="7620"/>
                      <wp:docPr id="34" name="ID_FE7CAE82699642ABA5E50EA15B07D58D" descr="MS2B-0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D_FE7CAE82699642ABA5E50EA15B07D58D" descr="MS2B-0809"/>
                              <pic:cNvPicPr>
                                <a:picLocks noChangeAspect="1"/>
                              </pic:cNvPicPr>
                              <pic:nvPr/>
                            </pic:nvPicPr>
                            <pic:blipFill>
                              <a:blip r:embed="rId42"/>
                              <a:stretch/>
                            </pic:blipFill>
                            <pic:spPr bwMode="auto">
                              <a:xfrm>
                                <a:off x="0" y="0"/>
                                <a:ext cx="725170" cy="75437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57.1pt;height:59.4pt;mso-wrap-distance-left:0.0pt;mso-wrap-distance-top:0.0pt;mso-wrap-distance-right:0.0pt;mso-wrap-distance-bottom:0.0pt;" stroked="f" strokeweight="0.75pt">
                      <v:path textboxrect="0,0,0,0"/>
                      <v:imagedata r:id="rId42"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900*420*900</w:t>
            </w:r>
            <w:r/>
          </w:p>
        </w:tc>
        <w:tc>
          <w:tcPr>
            <w:shd w:val="clear" w:color="auto" w:fill="auto"/>
            <w:tcW w:w="5641" w:type="dxa"/>
            <w:vAlign w:val="center"/>
            <w:textDirection w:val="lrTb"/>
            <w:noWrap w:val="false"/>
          </w:tcPr>
          <w:p>
            <w:pPr>
              <w:jc w:val="left"/>
              <w:widowControl/>
              <w:rPr>
                <w:rFonts w:hint="default" w:ascii="Times New Roman" w:hAnsi="Times New Roman" w:cs="Times New Roman"/>
                <w:sz w:val="18"/>
                <w:szCs w:val="18"/>
                <w:highlight w:val="yellow"/>
              </w:rPr>
            </w:pPr>
            <w:r>
              <w:rPr>
                <w:rFonts w:hint="default" w:ascii="Times New Roman" w:hAnsi="Times New Roman" w:cs="Times New Roman"/>
                <w:sz w:val="18"/>
                <w:szCs w:val="18"/>
              </w:rPr>
              <w:t xml:space="preserve">1、优质浸渍胶膜纸饰面刨花板。 甲醛释放量 ENF 级。板厚25mm，各项指标符合GB/T 15102-2017《浸渍胶膜纸饰面纤维板和刨花板》、GB 18580-2017《室内装饰装修材料 人造板及其制品中甲醛释放限量》、GB/T 39600-2021《人造板及其制品甲醛释放量分级》、GB/T 35601-2017《绿色产品评价 人造板和木质地板》、HJ 571-2010《环境标志产品技术要求 人造板及其制品》、GB 8624-2012《建筑材料及制品燃烧性能分级》要求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2、封边：激光封边条，各项指标符合QB/T 4463-2013《家具用封边条技术要求》要求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3、连接件：金属三合一连接件，耐腐蚀性强。符合QB/T 3832-1999《轻工产品金属镀层腐蚀试验结果的评价》的要求，</w:t>
            </w:r>
            <w:r>
              <w:rPr>
                <w:rFonts w:hint="default" w:ascii="Times New Roman" w:hAnsi="Times New Roman" w:cs="Times New Roman"/>
                <w:color w:val="000000"/>
                <w:sz w:val="18"/>
                <w:szCs w:val="18"/>
              </w:rPr>
              <w:t xml:space="preserve">达到10级。</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4、结构：双开木掩门，内置一块活动层板，柜门带锁；</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5、铰链：优质金属铰链，指标符合QB/T 2189-2013《家具五金 杯状暗铰链》要求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6、锁具：柜门带锁，优质锁具，符合QB/T 1621-2015《家具锁》要求；</w:t>
            </w:r>
            <w:r/>
          </w:p>
          <w:p>
            <w:pPr>
              <w:jc w:val="left"/>
              <w:widowControl/>
              <w:rPr>
                <w:rFonts w:hint="default" w:ascii="Times New Roman" w:hAnsi="Times New Roman" w:eastAsia="等线" w:cs="Times New Roman"/>
                <w:color w:val="000000"/>
                <w:sz w:val="18"/>
                <w:szCs w:val="18"/>
              </w:rPr>
            </w:pPr>
            <w:r>
              <w:rPr>
                <w:rFonts w:hint="default" w:ascii="Times New Roman" w:hAnsi="Times New Roman" w:cs="Times New Roman"/>
                <w:sz w:val="18"/>
                <w:szCs w:val="18"/>
              </w:rPr>
              <w:t xml:space="preserve">7、成品：各项技术指标符合GB/T 3324-2017《木家具通用技术条件》标准的要求。 </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20</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个</w:t>
            </w:r>
            <w:r/>
          </w:p>
        </w:tc>
      </w:tr>
      <w:tr>
        <w:trPr>
          <w:jc w:val="center"/>
          <w:trHeight w:val="90"/>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36</w:t>
            </w:r>
            <w:r/>
          </w:p>
        </w:tc>
        <w:tc>
          <w:tcPr>
            <w:shd w:val="clear" w:color="auto" w:fill="auto"/>
            <w:tcW w:w="771" w:type="dxa"/>
            <w:vAlign w:val="center"/>
            <w:textDirection w:val="lrTb"/>
            <w:noWrap w:val="false"/>
          </w:tcPr>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板式文件柜（上玻璃下木掩门柜）</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692150" cy="1106170"/>
                      <wp:effectExtent l="0" t="0" r="12700" b="17780"/>
                      <wp:docPr id="35" name="ID_0E9D5B77CEC04E16BAF7DA9BEB28D77A" descr="MS4B-0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D_0E9D5B77CEC04E16BAF7DA9BEB28D77A" descr="MS4B-0920"/>
                              <pic:cNvPicPr>
                                <a:picLocks noChangeAspect="1"/>
                              </pic:cNvPicPr>
                              <pic:nvPr/>
                            </pic:nvPicPr>
                            <pic:blipFill>
                              <a:blip r:embed="rId43"/>
                              <a:stretch/>
                            </pic:blipFill>
                            <pic:spPr bwMode="auto">
                              <a:xfrm>
                                <a:off x="0" y="0"/>
                                <a:ext cx="692150" cy="11061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54.5pt;height:87.1pt;mso-wrap-distance-left:0.0pt;mso-wrap-distance-top:0.0pt;mso-wrap-distance-right:0.0pt;mso-wrap-distance-bottom:0.0pt;" stroked="f" strokeweight="0.75pt">
                      <v:path textboxrect="0,0,0,0"/>
                      <v:imagedata r:id="rId43"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900*420*2000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highlight w:val="yellow"/>
              </w:rPr>
            </w:pPr>
            <w:r>
              <w:rPr>
                <w:rFonts w:hint="default" w:ascii="Times New Roman" w:hAnsi="Times New Roman" w:cs="Times New Roman"/>
                <w:color w:val="000000"/>
                <w:sz w:val="18"/>
                <w:szCs w:val="18"/>
              </w:rPr>
              <w:t xml:space="preserve">1、基材：优质浸渍胶膜纸饰面刨花板。 甲醛释放量 ENF 级。板厚25mm，各项指标符合GB/T 15102-2017《浸渍胶膜纸饰面纤维板和刨花板》、GB 18580-2017《室内装饰装修材料 人造板及其制品中甲醛释放限量》、GB/T 39600-2021《人造板及其制品甲醛释放量分级》、GB/T 35601-2017《绿色产品评价 人造板和木质地板》、HJ 571-2010《环境标志产品技术要求 人造板及其制品》、GB 8624-2012《建筑材料及制品燃烧性能分级》要求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2、封边：激光封边条，各项指标符合QB/T 4463-2013《家具用封边条技术要求》要求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3、连接件：金属三合一连接件，耐腐蚀性强。符合QB/T 3832-1999《轻工产品金属镀层腐蚀试验结果的评价》的要求，达到10级。</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4、结构：上-二块活动层板，双开铝框玻璃门</w:t>
            </w:r>
            <w:r>
              <w:rPr>
                <w:rStyle w:val="909"/>
                <w:rFonts w:hint="default" w:ascii="Times New Roman" w:hAnsi="Times New Roman" w:cs="Times New Roman"/>
                <w:lang w:eastAsia="zh-CN"/>
              </w:rPr>
              <w:t xml:space="preserve">，</w:t>
            </w:r>
            <w:r>
              <w:rPr>
                <w:rFonts w:hint="default" w:ascii="Times New Roman" w:hAnsi="Times New Roman" w:cs="Times New Roman"/>
                <w:sz w:val="18"/>
                <w:szCs w:val="18"/>
                <w:lang w:val="en-US" w:eastAsia="zh-CN"/>
              </w:rPr>
              <w:t xml:space="preserve">玻璃材质为钢化清玻，</w:t>
            </w:r>
            <w:r>
              <w:rPr>
                <w:rFonts w:hint="default" w:ascii="Times New Roman" w:hAnsi="Times New Roman" w:cs="Times New Roman"/>
                <w:sz w:val="18"/>
                <w:szCs w:val="18"/>
              </w:rPr>
              <w:t xml:space="preserve">厚度≥</w:t>
            </w:r>
            <w:r>
              <w:rPr>
                <w:rFonts w:hint="default" w:ascii="Times New Roman" w:hAnsi="Times New Roman" w:cs="Times New Roman"/>
                <w:sz w:val="18"/>
                <w:szCs w:val="18"/>
                <w:lang w:val="en-US" w:eastAsia="zh-CN"/>
              </w:rPr>
              <w:t xml:space="preserve">5mm，</w:t>
            </w:r>
            <w:r>
              <w:rPr>
                <w:rFonts w:hint="default" w:ascii="Times New Roman" w:hAnsi="Times New Roman" w:cs="Times New Roman"/>
                <w:color w:val="000000"/>
                <w:sz w:val="18"/>
                <w:szCs w:val="18"/>
              </w:rPr>
              <w:t xml:space="preserve">下-一块活动层板，双开带锁木掩门；</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5、铰链：优质金属铰链，指标符合QB/T 2189-2013《家具五金 杯状暗铰链》要求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6、锁具：下柜门带锁，优质锁具，符合QB/T 1621-2015《家具锁》要求；</w:t>
            </w:r>
            <w:r/>
          </w:p>
          <w:p>
            <w:pPr>
              <w:jc w:val="left"/>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7、成品：各项技术指标符合GB/T 3324-2017《木家具通用技术条件》标准的要求。</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12</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个</w:t>
            </w:r>
            <w:r/>
          </w:p>
        </w:tc>
      </w:tr>
      <w:tr>
        <w:trPr>
          <w:jc w:val="center"/>
          <w:trHeight w:val="1440"/>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37</w:t>
            </w:r>
            <w:r/>
          </w:p>
        </w:tc>
        <w:tc>
          <w:tcPr>
            <w:shd w:val="clear" w:color="auto" w:fill="auto"/>
            <w:tcW w:w="771"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会议桌</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707390" cy="695325"/>
                      <wp:effectExtent l="0" t="0" r="16510" b="9525"/>
                      <wp:docPr id="36" name="ID_1562F24239B14672BA01A088934825B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D_1562F24239B14672BA01A088934825B6"/>
                              <pic:cNvPicPr>
                                <a:picLocks noChangeAspect="1"/>
                              </pic:cNvPicPr>
                              <pic:nvPr/>
                            </pic:nvPicPr>
                            <pic:blipFill>
                              <a:blip r:embed="rId44"/>
                              <a:srcRect l="0" t="11905" r="0" b="0"/>
                              <a:stretch/>
                            </pic:blipFill>
                            <pic:spPr bwMode="auto">
                              <a:xfrm>
                                <a:off x="0" y="0"/>
                                <a:ext cx="707390" cy="695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55.7pt;height:54.8pt;mso-wrap-distance-left:0.0pt;mso-wrap-distance-top:0.0pt;mso-wrap-distance-right:0.0pt;mso-wrap-distance-bottom:0.0pt;" stroked="f" strokeweight="0.75pt">
                      <v:path textboxrect="0,0,0,0"/>
                      <v:imagedata r:id="rId44"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2000*1000*750</w:t>
            </w:r>
            <w:r/>
          </w:p>
        </w:tc>
        <w:tc>
          <w:tcPr>
            <w:shd w:val="clear" w:color="auto" w:fill="auto"/>
            <w:tcW w:w="5641" w:type="dxa"/>
            <w:vAlign w:val="center"/>
            <w:textDirection w:val="lrTb"/>
            <w:noWrap w:val="false"/>
          </w:tcPr>
          <w:p>
            <w:pPr>
              <w:numPr>
                <w:ilvl w:val="0"/>
                <w:numId w:val="0"/>
              </w:numPr>
              <w:jc w:val="left"/>
              <w:widowControl/>
              <w:rPr>
                <w:rFonts w:hint="default" w:ascii="Times New Roman" w:hAnsi="Times New Roman" w:cs="Times New Roman"/>
                <w:color w:val="000000"/>
                <w:sz w:val="18"/>
                <w:szCs w:val="18"/>
                <w:lang w:val="en-US" w:eastAsia="zh-CN"/>
              </w:rPr>
            </w:pPr>
            <w:r>
              <w:rPr>
                <w:rFonts w:hint="default" w:ascii="Times New Roman" w:hAnsi="Times New Roman" w:eastAsia="宋体" w:cs="Times New Roman"/>
                <w:color w:val="000000"/>
                <w:sz w:val="18"/>
                <w:szCs w:val="18"/>
                <w:lang w:val="en-US" w:eastAsia="zh-CN" w:bidi="ar-SA"/>
              </w:rPr>
              <w:t xml:space="preserve">1、</w:t>
            </w:r>
            <w:r>
              <w:rPr>
                <w:rFonts w:hint="default" w:ascii="Times New Roman" w:hAnsi="Times New Roman" w:cs="Times New Roman"/>
                <w:color w:val="000000"/>
                <w:sz w:val="18"/>
                <w:szCs w:val="18"/>
              </w:rPr>
              <w:t xml:space="preserve">结构：四脚桌，桌面带</w:t>
            </w:r>
            <w:r>
              <w:rPr>
                <w:rFonts w:hint="default" w:ascii="Times New Roman" w:hAnsi="Times New Roman" w:cs="Times New Roman"/>
                <w:color w:val="000000"/>
                <w:sz w:val="18"/>
                <w:szCs w:val="18"/>
                <w:lang w:val="en-US" w:eastAsia="zh-CN"/>
              </w:rPr>
              <w:t xml:space="preserve">1个</w:t>
            </w:r>
            <w:r>
              <w:rPr>
                <w:rFonts w:hint="default" w:ascii="Times New Roman" w:hAnsi="Times New Roman" w:cs="Times New Roman"/>
                <w:color w:val="000000"/>
                <w:sz w:val="18"/>
                <w:szCs w:val="18"/>
              </w:rPr>
              <w:t xml:space="preserve">铝合金</w:t>
            </w:r>
            <w:r>
              <w:rPr>
                <w:rFonts w:hint="default" w:ascii="Times New Roman" w:hAnsi="Times New Roman" w:cs="Times New Roman"/>
                <w:color w:val="000000"/>
                <w:sz w:val="18"/>
                <w:szCs w:val="18"/>
                <w:lang w:val="en-US" w:eastAsia="zh-CN"/>
              </w:rPr>
              <w:t xml:space="preserve">线盒（含钢制底盒，内有4个86面板安装孔）</w:t>
            </w:r>
            <w:r/>
          </w:p>
          <w:p>
            <w:pPr>
              <w:numPr>
                <w:ilvl w:val="0"/>
                <w:numId w:val="0"/>
              </w:numPr>
              <w:jc w:val="left"/>
              <w:widowControl/>
              <w:rPr>
                <w:rFonts w:hint="default" w:ascii="Times New Roman" w:hAnsi="Times New Roman" w:cs="Times New Roman"/>
                <w:color w:val="000000"/>
                <w:sz w:val="18"/>
                <w:szCs w:val="18"/>
                <w:highlight w:val="yellow"/>
              </w:rPr>
            </w:pPr>
            <w:r>
              <w:rPr>
                <w:rFonts w:hint="default" w:ascii="Times New Roman" w:hAnsi="Times New Roman" w:cs="Times New Roman"/>
                <w:color w:val="000000"/>
                <w:sz w:val="18"/>
                <w:szCs w:val="18"/>
              </w:rPr>
              <w:t xml:space="preserve">2、桌面：基材优质浸渍胶膜纸饰面刨花板。 甲醛释放量 ENF 级。板厚25mm，各项指标符合GB/T 15102-2017《浸渍胶膜纸饰面纤维板和刨花板》、GB 18580-2017《室内装饰装修材料 人造板及其制品中甲醛释放限量》、GB/T 39600-2021《人造板及其制品甲醛释放量分级》、GB/T 35601-2017《绿色产品评价 人造板和木质地板》、HJ 571-2010《环境标志产品技术要求 人造板及其制品》、GB 8624-2012《建筑材料及制品燃烧性能分级》要求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3、封边：激光封边条，各项指标符合QB/T 4463-2013《家具用封边条技术要求》要求；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4、线盒：桌面配备铝合金双面翻盖板，内部可安装4个86型插座便于使用电源；</w:t>
            </w:r>
            <w:r/>
          </w:p>
          <w:p>
            <w:pPr>
              <w:jc w:val="left"/>
              <w:widowControl/>
              <w:rPr>
                <w:rFonts w:hint="default" w:ascii="Times New Roman" w:hAnsi="Times New Roman" w:cs="Times New Roman"/>
                <w:color w:val="000000"/>
                <w:sz w:val="18"/>
                <w:szCs w:val="18"/>
                <w:highlight w:val="yellow"/>
              </w:rPr>
            </w:pPr>
            <w:r>
              <w:rPr>
                <w:rFonts w:hint="default" w:ascii="Times New Roman" w:hAnsi="Times New Roman" w:cs="Times New Roman"/>
                <w:color w:val="000000"/>
                <w:sz w:val="18"/>
                <w:szCs w:val="18"/>
              </w:rPr>
              <w:t xml:space="preserve">5、桌架及腿：方形桌腿及横梁，截面50*50钢方管，壁厚1.5mm,表面静电粉末喷涂，粉末符合HG/T 2006-2022《热固性和热塑性粉末涂料》</w:t>
            </w:r>
            <w:r>
              <w:rPr>
                <w:rFonts w:hint="default" w:ascii="Times New Roman" w:hAnsi="Times New Roman" w:cs="Times New Roman"/>
                <w:color w:val="000000"/>
                <w:sz w:val="18"/>
                <w:szCs w:val="18"/>
                <w:highlight w:val="none"/>
              </w:rPr>
              <w:t xml:space="preserve">、GB/T 35607-2017《绿色产品评价 家具》要求</w:t>
            </w:r>
            <w:r/>
          </w:p>
          <w:p>
            <w:pPr>
              <w:jc w:val="left"/>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6、成品：各项技术指标符合GB/T 3325-2017《金属家具通用技术条件》标准的要求；</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张</w:t>
            </w:r>
            <w:r/>
          </w:p>
        </w:tc>
      </w:tr>
      <w:tr>
        <w:trPr>
          <w:jc w:val="center"/>
          <w:trHeight w:val="725"/>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38</w:t>
            </w:r>
            <w:r/>
          </w:p>
        </w:tc>
        <w:tc>
          <w:tcPr>
            <w:shd w:val="clear" w:color="auto" w:fill="auto"/>
            <w:tcW w:w="771"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椅子</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659765" cy="927735"/>
                      <wp:effectExtent l="0" t="0" r="6985" b="5715"/>
                      <wp:docPr id="37"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43"/>
                              <pic:cNvPicPr>
                                <a:picLocks noChangeAspect="1"/>
                              </pic:cNvPicPr>
                              <pic:nvPr/>
                            </pic:nvPicPr>
                            <pic:blipFill>
                              <a:blip r:embed="rId45"/>
                              <a:stretch/>
                            </pic:blipFill>
                            <pic:spPr bwMode="auto">
                              <a:xfrm>
                                <a:off x="0" y="0"/>
                                <a:ext cx="659765" cy="9277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51.9pt;height:73.0pt;mso-wrap-distance-left:0.0pt;mso-wrap-distance-top:0.0pt;mso-wrap-distance-right:0.0pt;mso-wrap-distance-bottom:0.0pt;" stroked="f" strokeweight="0.75pt">
                      <v:path textboxrect="0,0,0,0"/>
                      <v:imagedata r:id="rId45"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645*560*（970-1060）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1、椅背：优质网布，具有透气性和防静电性能，耐磨性强，厚度1.0mm。甲醛含量低于300mg/kg，安全环保，符合GB 18401-2010《国家纺织产品基本安全技术规范》标准。具有透气性和防静电性能，耐磨性强，厚度≥1.0mm。</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2、背框：全新PP一次注塑成型背框，内外框结构，结构坚固。</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3、坐垫：纤维织物，具有耐磨性。</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4、海绵：软质聚醚型聚氨酯泡沫塑料成型海绵，厚度≥75mm，密度大于40kg/m3，回弹力大于50%，符合GB/T 10802-2023《</w:t>
            </w:r>
            <w:r>
              <w:rPr>
                <w:rFonts w:hint="default" w:ascii="Times New Roman" w:hAnsi="Times New Roman" w:cs="Times New Roman"/>
                <w:color w:val="333333"/>
                <w:sz w:val="18"/>
                <w:szCs w:val="18"/>
                <w:shd w:val="clear" w:color="auto" w:fill="ffffff"/>
              </w:rPr>
              <w:t xml:space="preserve">通用软质聚氨酯泡沫塑料》</w:t>
            </w:r>
            <w:r>
              <w:rPr>
                <w:rFonts w:hint="default" w:ascii="Times New Roman" w:hAnsi="Times New Roman" w:cs="Times New Roman"/>
                <w:color w:val="000000"/>
                <w:sz w:val="18"/>
                <w:szCs w:val="18"/>
              </w:rPr>
              <w:t xml:space="preserve">；QB/T 2280-2016《办公家具 办公椅》要求。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5、座板：采用15mm多层曲木板热压成型，板材绿色环保，经防潮、防腐、防蛀等化学处理。底部采用PP底壳包底。</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6、扶手：PP可升降T型扶手,扶手面PU材质</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7、底盘：采用安全可锁定同步倾仰底盘，由3.2mm钢板压制而成，经防腐处理。</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8、气压棒：金属气压棒，升降行程90mm，棒芯壁厚须符合GB/T 29525-2013《座椅升降气弹簧 技术条件》要求。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9、胶粘剂：环保型喷胶，符合GB 18583-2008《室内装饰装修材料 胶粘剂中有害物质限量》：HJ 2541-2016《环境标志产品技术要求胶粘剂》；GB 33372-2020《胶粘剂挥发性有机化合物限量》要求；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10、五星脚：塑料五星脚，直径650 mm。</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11、脚轮：PU万向轮，直径60 mm，滑动时无杂音、活动自如。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12、成品：需符合QB/T 2280-2016《办公家具 办公椅》的要求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13、腰托：PP腰托，可上下调节</w:t>
            </w:r>
            <w:r/>
          </w:p>
          <w:p>
            <w:pPr>
              <w:jc w:val="left"/>
              <w:widowControl/>
              <w:rPr>
                <w:rFonts w:hint="default" w:ascii="Times New Roman" w:hAnsi="Times New Roman" w:cs="Times New Roman" w:eastAsiaTheme="majorEastAsia"/>
                <w:sz w:val="18"/>
                <w:szCs w:val="18"/>
                <w:highlight w:val="yellow"/>
              </w:rPr>
            </w:pPr>
            <w:r>
              <w:rPr>
                <w:rFonts w:hint="default" w:ascii="Times New Roman" w:hAnsi="Times New Roman" w:cs="Times New Roman"/>
                <w:color w:val="000000"/>
                <w:sz w:val="18"/>
                <w:szCs w:val="18"/>
              </w:rPr>
              <w:t xml:space="preserve">14、净尺寸：座宽455mm，坐高405-495mm，坐深：450mm；</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12</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张</w:t>
            </w:r>
            <w:r/>
          </w:p>
        </w:tc>
      </w:tr>
      <w:tr>
        <w:trPr>
          <w:jc w:val="center"/>
          <w:trHeight w:val="380"/>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39</w:t>
            </w:r>
            <w:r/>
          </w:p>
        </w:tc>
        <w:tc>
          <w:tcPr>
            <w:shd w:val="clear" w:color="auto" w:fill="auto"/>
            <w:tcW w:w="771"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休闲椅</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753745" cy="784860"/>
                      <wp:effectExtent l="0" t="0" r="8255" b="15240"/>
                      <wp:docPr id="38"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pic:cNvPicPr>
                              <pic:nvPr/>
                            </pic:nvPicPr>
                            <pic:blipFill>
                              <a:blip r:embed="rId25"/>
                              <a:stretch/>
                            </pic:blipFill>
                            <pic:spPr bwMode="auto">
                              <a:xfrm>
                                <a:off x="0" y="0"/>
                                <a:ext cx="753745" cy="7848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59.3pt;height:61.8pt;mso-wrap-distance-left:0.0pt;mso-wrap-distance-top:0.0pt;mso-wrap-distance-right:0.0pt;mso-wrap-distance-bottom:0.0pt;" stroked="f" strokeweight="0.75pt">
                      <v:path textboxrect="0,0,0,0"/>
                      <v:imagedata r:id="rId25"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600*610*825</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1、尺寸：600*610*825mm（坐高430mm）</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2、饰面：阻燃布料，透气性好，表面无刺触感，平滑舒适，防螨性能优，无明显色差，性能、环保性、质量、防螨等参数符合GB 18401-2010 《国家纺织产品基本安全技术规范》、GB/T 18885-2020《生态纺织品技术要求》</w:t>
            </w:r>
            <w:r>
              <w:rPr>
                <w:rFonts w:hint="default" w:ascii="Times New Roman" w:hAnsi="Times New Roman" w:cs="Times New Roman"/>
                <w:color w:val="000000"/>
                <w:sz w:val="18"/>
                <w:szCs w:val="18"/>
                <w:lang w:eastAsia="zh-CN"/>
              </w:rPr>
              <w:t xml:space="preserve">、</w:t>
            </w:r>
            <w:r>
              <w:rPr>
                <w:rFonts w:hint="default" w:ascii="Times New Roman" w:hAnsi="Times New Roman" w:cs="Times New Roman"/>
                <w:color w:val="000000"/>
                <w:sz w:val="18"/>
                <w:szCs w:val="18"/>
              </w:rPr>
              <w:t xml:space="preserve">GB/T 24253-2009《纺织品 防螨性能的评价》、GB 8624-2012《建筑材料及制品燃烧性能分级》、HJ 2546-2016《环境标志产品技术要求纺织产品》要求。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3、海绵：阻燃海绵，厚度不小于100mm，密度大于40kg/m³，回弹力大于50%，符合GB/T 10802-2023《</w:t>
            </w:r>
            <w:r>
              <w:rPr>
                <w:rFonts w:hint="default" w:ascii="Times New Roman" w:hAnsi="Times New Roman" w:cs="Times New Roman"/>
                <w:color w:val="333333"/>
                <w:sz w:val="18"/>
                <w:szCs w:val="18"/>
                <w:shd w:val="clear" w:color="auto" w:fill="ffffff"/>
              </w:rPr>
              <w:t xml:space="preserve">通用软质聚氨酯泡沫塑料》</w:t>
            </w:r>
            <w:r>
              <w:rPr>
                <w:rFonts w:hint="default" w:ascii="Times New Roman" w:hAnsi="Times New Roman" w:cs="Times New Roman"/>
                <w:color w:val="000000"/>
                <w:sz w:val="18"/>
                <w:szCs w:val="18"/>
              </w:rPr>
              <w:t xml:space="preserve">、GB 8624-2012《建筑材料及制品燃烧性能分级》等标准要求；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4、内部框架：橡胶木实木框架，表面平整，无毛刺。</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5、胶粘剂：环保型喷胶，符合GB 18583-2008《室内装饰装修材料 胶粘剂中有害物质限量》：HJ 2541-2016《环境标志产品技术要求胶粘剂》；GB 33372-2020《胶粘剂挥发性有机化合物限量》要求。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6、沙发脚：水曲柳实木沙发脚。</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7、扶手：弧线形软包扶手</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8、颜色：采购人自选</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9、成品：各项技术指标符合QB/T 1952.1-2023《软体家具沙发》 标准的要求。</w:t>
            </w:r>
            <w:r/>
          </w:p>
          <w:p>
            <w:pPr>
              <w:jc w:val="left"/>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10、其他：边缘部位倒圆处理，无棱角，降低安全风险，整体结构、安全防护、质量、环保、舒适性、便利性等参数均须符合适老化要求</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8</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张</w:t>
            </w:r>
            <w:r/>
          </w:p>
        </w:tc>
      </w:tr>
      <w:tr>
        <w:trPr>
          <w:jc w:val="center"/>
          <w:trHeight w:val="858"/>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40</w:t>
            </w:r>
            <w:r/>
          </w:p>
        </w:tc>
        <w:tc>
          <w:tcPr>
            <w:shd w:val="clear" w:color="auto" w:fill="auto"/>
            <w:tcW w:w="77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三人沙发</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808355" cy="499110"/>
                      <wp:effectExtent l="0" t="0" r="10795" b="15240"/>
                      <wp:docPr id="39" name="图片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95"/>
                              <pic:cNvPicPr>
                                <a:picLocks noChangeAspect="1"/>
                              </pic:cNvPicPr>
                              <pic:nvPr/>
                            </pic:nvPicPr>
                            <pic:blipFill>
                              <a:blip r:embed="rId46"/>
                              <a:stretch/>
                            </pic:blipFill>
                            <pic:spPr bwMode="auto">
                              <a:xfrm>
                                <a:off x="0" y="0"/>
                                <a:ext cx="808355" cy="4991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63.6pt;height:39.3pt;mso-wrap-distance-left:0.0pt;mso-wrap-distance-top:0.0pt;mso-wrap-distance-right:0.0pt;mso-wrap-distance-bottom:0.0pt;" stroked="f" strokeweight="0.75pt">
                      <v:path textboxrect="0,0,0,0"/>
                      <v:imagedata r:id="rId46"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1780*650*890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1、饰面：优质超纤皮，表面纹理清晰，具有良好的色牢度、耐光耐磨性、透气性等特性   </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2、海绵：阻燃海绵，厚度不小于100mm，密度大于40kg/m3，回弹力大于50%，符合GB/T 10802-2023《</w:t>
            </w:r>
            <w:r>
              <w:rPr>
                <w:rFonts w:hint="default" w:ascii="Times New Roman" w:hAnsi="Times New Roman" w:cs="Times New Roman"/>
                <w:color w:val="333333"/>
                <w:sz w:val="18"/>
                <w:szCs w:val="18"/>
                <w:shd w:val="clear" w:color="auto" w:fill="ffffff"/>
              </w:rPr>
              <w:t xml:space="preserve">通用软质聚氨酯泡沫塑料》</w:t>
            </w:r>
            <w:r>
              <w:rPr>
                <w:rFonts w:hint="default" w:ascii="Times New Roman" w:hAnsi="Times New Roman" w:cs="Times New Roman"/>
                <w:color w:val="000000"/>
                <w:sz w:val="18"/>
                <w:szCs w:val="18"/>
              </w:rPr>
              <w:t xml:space="preserve">、GB 8624-2012《建筑材料及制品燃烧性能分级》等标准要求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3、内部框架：橡胶木实木框架：采用榫卯结构，表面平整，无毛刺。</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4、胶粘剂：环保型喷胶，符合GB 18583-2008《室内装饰装修材料 胶粘剂中有害物质限量》：HJ 2541-2016《环境标志产品技术要求胶粘剂》；GB 33372-2020《胶粘剂挥发性有机化合物限量》要求。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5、沙发脚：橡胶木实木沙发脚。</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6、扶手：橡胶木实木</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7、颜色：与现场环境匹配</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8、成品：各项技术指标符合QB/T 1952.1-2023《软体家具沙发》 标准的要求。</w:t>
            </w:r>
            <w:r/>
          </w:p>
          <w:p>
            <w:pPr>
              <w:jc w:val="left"/>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9、其他：边缘部位倒圆处理，无棱角，降低安全风险，整体结构、安全防护、质量、环保、舒适性、便利性等参数均须符合适老化要求</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14</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张</w:t>
            </w:r>
            <w:r/>
          </w:p>
        </w:tc>
      </w:tr>
      <w:tr>
        <w:trPr>
          <w:jc w:val="center"/>
          <w:trHeight w:val="1177"/>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41</w:t>
            </w:r>
            <w:r/>
          </w:p>
        </w:tc>
        <w:tc>
          <w:tcPr>
            <w:shd w:val="clear" w:color="auto" w:fill="auto"/>
            <w:tcW w:w="77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演讲台</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870585" cy="1120140"/>
                      <wp:effectExtent l="0" t="0" r="5715" b="3810"/>
                      <wp:docPr id="40" name="图片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96"/>
                              <pic:cNvPicPr>
                                <a:picLocks noChangeAspect="1"/>
                              </pic:cNvPicPr>
                              <pic:nvPr/>
                            </pic:nvPicPr>
                            <pic:blipFill>
                              <a:blip r:embed="rId47"/>
                              <a:stretch/>
                            </pic:blipFill>
                            <pic:spPr bwMode="auto">
                              <a:xfrm>
                                <a:off x="0" y="0"/>
                                <a:ext cx="870585" cy="11201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68.5pt;height:88.2pt;mso-wrap-distance-left:0.0pt;mso-wrap-distance-top:0.0pt;mso-wrap-distance-right:0.0pt;mso-wrap-distance-bottom:0.0pt;" stroked="f" strokeweight="0.75pt">
                      <v:path textboxrect="0,0,0,0"/>
                      <v:imagedata r:id="rId47"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常规</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700*602*1100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1、基材：采用优质中密度纤维板。甲醛释放量ENF级。各项指标符合GB/T 39600-2021 《人造板及其制品甲醛释放量分级》、HJ 571-2010《环境标志产品技术要求 人造板及其制品》、GB/T 11718-2021 《中密度纤维板》</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GB 18584-2001《室内装饰装修材料术家具中有害物质限量》、GB/T 35601-2017 《绿色产品评价 人造板和木质地板》、GB/T 18958-2022《难燃中密度纤维板》要求；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2、油漆：水性底漆、水性面漆，整体喷涂漆面，喷漆均匀，表面漆膜平整光亮、无皱皮、发粘和漏漆现象，有害物含量符合GB 18581-2020 《木器涂料中有害物质限量》要求 </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3、连接件：金属三合一连接件，耐腐蚀性强。符合QB/T 3832-1999《轻工产品金属镀层腐蚀试验结果的评价》的要求，达到10级。</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4、面材：采用天然木皮，厚度≥0.6mm；</w:t>
            </w:r>
            <w:r/>
          </w:p>
          <w:p>
            <w:pPr>
              <w:jc w:val="left"/>
              <w:widowControl/>
              <w:rPr>
                <w:rFonts w:hint="default" w:ascii="Times New Roman" w:hAnsi="Times New Roman" w:cs="Times New Roman"/>
              </w:rPr>
            </w:pPr>
            <w:r>
              <w:rPr>
                <w:rFonts w:hint="default" w:ascii="Times New Roman" w:hAnsi="Times New Roman" w:cs="Times New Roman"/>
                <w:color w:val="000000"/>
                <w:sz w:val="18"/>
                <w:szCs w:val="18"/>
              </w:rPr>
              <w:t xml:space="preserve">5、结构：</w:t>
            </w:r>
            <w:r>
              <w:rPr>
                <w:rFonts w:hint="default" w:ascii="Times New Roman" w:hAnsi="Times New Roman" w:cs="Times New Roman"/>
                <w:sz w:val="18"/>
                <w:szCs w:val="18"/>
              </w:rPr>
              <w:t xml:space="preserve">顶部及中部为3面围挡，中部配置一块固定层板，底部为阶梯式支撑底座，配置上线孔及上线盖；</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个</w:t>
            </w:r>
            <w:r/>
          </w:p>
        </w:tc>
      </w:tr>
      <w:tr>
        <w:trPr>
          <w:jc w:val="center"/>
          <w:trHeight w:val="90"/>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42</w:t>
            </w:r>
            <w:r/>
          </w:p>
        </w:tc>
        <w:tc>
          <w:tcPr>
            <w:shd w:val="clear" w:color="auto" w:fill="auto"/>
            <w:tcW w:w="77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会议桌</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826770" cy="515620"/>
                      <wp:effectExtent l="0" t="0" r="11430" b="17780"/>
                      <wp:docPr id="41" name="ID_D30FE55BF49B4A988AD7BE272ABF3CB0" descr="兰迪会议桌-郑州宇通客车股份有限公司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D_D30FE55BF49B4A988AD7BE272ABF3CB0" descr="兰迪会议桌-郑州宇通客车股份有限公司 (5)"/>
                              <pic:cNvPicPr>
                                <a:picLocks noChangeAspect="1"/>
                              </pic:cNvPicPr>
                              <pic:nvPr/>
                            </pic:nvPicPr>
                            <pic:blipFill>
                              <a:blip r:embed="rId48"/>
                              <a:srcRect l="14333" t="6200" r="19360" b="2388"/>
                              <a:stretch/>
                            </pic:blipFill>
                            <pic:spPr bwMode="auto">
                              <a:xfrm>
                                <a:off x="0" y="0"/>
                                <a:ext cx="826770" cy="5156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65.1pt;height:40.6pt;mso-wrap-distance-left:0.0pt;mso-wrap-distance-top:0.0pt;mso-wrap-distance-right:0.0pt;mso-wrap-distance-bottom:0.0pt;" stroked="f" strokeweight="0.75pt">
                      <v:path textboxrect="0,0,0,0"/>
                      <v:imagedata r:id="rId48"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5100*1800*760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highlight w:val="yellow"/>
              </w:rPr>
            </w:pPr>
            <w:r>
              <w:rPr>
                <w:rFonts w:hint="default" w:ascii="Times New Roman" w:hAnsi="Times New Roman" w:cs="Times New Roman"/>
                <w:color w:val="000000"/>
                <w:sz w:val="18"/>
                <w:szCs w:val="18"/>
              </w:rPr>
              <w:t xml:space="preserve">1、基材：桌面及桌脚采用优质中密度纤维板。甲醛释放量 ENF 级。桌面厚度50mm,各项指标符合GB/T 39600-2021 《人造板及其制品甲醛释放量分级》、HJ 571-2010《环境标志产品技术要求 人造板及其制品》、GB/T 11718-2021 《中密度纤维板》、GB 18584-2001《室内装饰装修材料术家具中有害物质限量》、GB/T 35601-2017 《绿色产品评价 人造板和木质地板》、GB/T 18958-2022《难燃中密度纤维板》要求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2、油漆：水性底漆、水性面漆，整体喷涂漆面，喷漆均匀，表面漆膜平整光亮、无皱皮、发粘和漏漆现象，有害物含量符合GB 18581-2020 《木器涂料中有害物质限量》要求 </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3、连接件：金属三合一连接件，耐腐蚀性强。符合QB/T 3832-1999《轻工产品金属镀层腐蚀试验结果的评价》的要求，达到10级。</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4、结构：桌面</w:t>
            </w:r>
            <w:r>
              <w:rPr>
                <w:rFonts w:hint="eastAsia" w:cs="Times New Roman"/>
                <w:color w:val="000000"/>
                <w:sz w:val="18"/>
                <w:szCs w:val="18"/>
                <w:lang w:val="en-US" w:eastAsia="zh-CN"/>
              </w:rPr>
              <w:t xml:space="preserve">分五段；4个木制支撑脚，中间支撑脚</w:t>
            </w:r>
            <w:r>
              <w:rPr>
                <w:rStyle w:val="909"/>
                <w:rFonts w:hint="default" w:ascii="Times New Roman" w:hAnsi="Times New Roman" w:cs="Times New Roman"/>
                <w:sz w:val="18"/>
                <w:szCs w:val="18"/>
                <w:lang w:val="en-US" w:eastAsia="zh-CN"/>
              </w:rPr>
              <w:t xml:space="preserve">断面</w:t>
            </w:r>
            <w:r>
              <w:rPr>
                <w:rStyle w:val="909"/>
                <w:rFonts w:hint="eastAsia" w:cs="Times New Roman"/>
                <w:sz w:val="18"/>
                <w:szCs w:val="18"/>
                <w:lang w:val="en-US" w:eastAsia="zh-CN"/>
              </w:rPr>
              <w:t xml:space="preserve">最小</w:t>
            </w:r>
            <w:r>
              <w:rPr>
                <w:rStyle w:val="909"/>
                <w:rFonts w:hint="default" w:ascii="Times New Roman" w:hAnsi="Times New Roman" w:cs="Times New Roman"/>
                <w:sz w:val="18"/>
                <w:szCs w:val="18"/>
                <w:lang w:val="en-US" w:eastAsia="zh-CN"/>
              </w:rPr>
              <w:t xml:space="preserve">尺寸≥1300*</w:t>
            </w:r>
            <w:r>
              <w:rPr>
                <w:rStyle w:val="909"/>
                <w:rFonts w:hint="eastAsia" w:cs="Times New Roman"/>
                <w:sz w:val="18"/>
                <w:szCs w:val="18"/>
                <w:lang w:val="en-US" w:eastAsia="zh-CN"/>
              </w:rPr>
              <w:t xml:space="preserve">60</w:t>
            </w:r>
            <w:r>
              <w:rPr>
                <w:rStyle w:val="909"/>
                <w:rFonts w:hint="default" w:ascii="Times New Roman" w:hAnsi="Times New Roman" w:cs="Times New Roman"/>
                <w:sz w:val="18"/>
                <w:szCs w:val="18"/>
                <w:lang w:val="en-US" w:eastAsia="zh-CN"/>
              </w:rPr>
              <w:t xml:space="preserve">mm</w:t>
            </w:r>
            <w:r>
              <w:rPr>
                <w:rStyle w:val="909"/>
                <w:rFonts w:hint="eastAsia" w:cs="Times New Roman"/>
                <w:sz w:val="18"/>
                <w:szCs w:val="18"/>
                <w:lang w:val="en-US" w:eastAsia="zh-CN"/>
              </w:rPr>
              <w:t xml:space="preserve">，内部可过线</w:t>
            </w:r>
            <w:r>
              <w:rPr>
                <w:rStyle w:val="909"/>
                <w:rFonts w:hint="default" w:ascii="Times New Roman" w:hAnsi="Times New Roman" w:cs="Times New Roman"/>
                <w:sz w:val="18"/>
                <w:szCs w:val="18"/>
                <w:lang w:val="en-US" w:eastAsia="zh-CN"/>
              </w:rPr>
              <w:t xml:space="preserve">；</w:t>
            </w:r>
            <w:r>
              <w:rPr>
                <w:rFonts w:hint="default" w:ascii="Times New Roman" w:hAnsi="Times New Roman" w:cs="Times New Roman"/>
                <w:color w:val="000000"/>
                <w:sz w:val="18"/>
                <w:szCs w:val="18"/>
              </w:rPr>
              <w:t xml:space="preserve">配置</w:t>
            </w:r>
            <w:r>
              <w:rPr>
                <w:rFonts w:hint="eastAsia" w:cs="Times New Roman"/>
                <w:color w:val="000000"/>
                <w:sz w:val="18"/>
                <w:szCs w:val="18"/>
                <w:lang w:val="en-US" w:eastAsia="zh-CN"/>
              </w:rPr>
              <w:t xml:space="preserve">4个</w:t>
            </w:r>
            <w:r>
              <w:rPr>
                <w:rFonts w:hint="default" w:ascii="Times New Roman" w:hAnsi="Times New Roman" w:cs="Times New Roman"/>
                <w:color w:val="000000"/>
                <w:sz w:val="18"/>
                <w:szCs w:val="18"/>
              </w:rPr>
              <w:t xml:space="preserve">铝合金线盒，内有插座盒，每盒可安装4个86型插座面板，预留面板孔</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5、面材：采用天然木皮，厚度≥0.6mm；</w:t>
            </w:r>
            <w:r/>
          </w:p>
          <w:p>
            <w:pPr>
              <w:jc w:val="left"/>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6、成品：各项技术指标符合GB/T 3324-2017《木家具通用技术条件》标准的要求。</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张</w:t>
            </w:r>
            <w:r/>
          </w:p>
        </w:tc>
      </w:tr>
      <w:tr>
        <w:trPr>
          <w:jc w:val="center"/>
          <w:trHeight w:val="2295"/>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43</w:t>
            </w:r>
            <w:r/>
          </w:p>
        </w:tc>
        <w:tc>
          <w:tcPr>
            <w:shd w:val="clear" w:color="auto" w:fill="auto"/>
            <w:tcW w:w="77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会议椅</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793750" cy="930910"/>
                      <wp:effectExtent l="0" t="0" r="6350" b="2540"/>
                      <wp:docPr id="42" name="ID_7E29F11A92824F12A831BDB470712EB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D_7E29F11A92824F12A831BDB470712EB8"/>
                              <pic:cNvPicPr>
                                <a:picLocks noChangeAspect="1"/>
                              </pic:cNvPicPr>
                              <pic:nvPr/>
                            </pic:nvPicPr>
                            <pic:blipFill>
                              <a:blip r:embed="rId35"/>
                              <a:srcRect l="0" t="16978" r="0" b="0"/>
                              <a:stretch/>
                            </pic:blipFill>
                            <pic:spPr bwMode="auto">
                              <a:xfrm>
                                <a:off x="0" y="0"/>
                                <a:ext cx="793750" cy="93090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62.5pt;height:73.3pt;mso-wrap-distance-left:0.0pt;mso-wrap-distance-top:0.0pt;mso-wrap-distance-right:0.0pt;mso-wrap-distance-bottom:0.0pt;" stroked="f" strokeweight="0.75pt">
                      <v:path textboxrect="0,0,0,0"/>
                      <v:imagedata r:id="rId35"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650*640*960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1、椅背/椅座：优质超纤皮，表面纹理清晰，具有良好的色牢度、耐光耐磨性、透气性等特性；  </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2、海绵：成型海绵，厚度≥10cm，密度大于40kg/m3，回弹力大于50%，符合GB/T 10802-2023《</w:t>
            </w:r>
            <w:r>
              <w:rPr>
                <w:rFonts w:hint="default" w:ascii="Times New Roman" w:hAnsi="Times New Roman" w:cs="Times New Roman"/>
                <w:color w:val="333333"/>
                <w:sz w:val="18"/>
                <w:szCs w:val="18"/>
                <w:shd w:val="clear" w:color="auto" w:fill="ffffff"/>
              </w:rPr>
              <w:t xml:space="preserve">通用软质聚氨酯泡沫塑料》</w:t>
            </w:r>
            <w:r>
              <w:rPr>
                <w:rFonts w:hint="default" w:ascii="Times New Roman" w:hAnsi="Times New Roman" w:cs="Times New Roman"/>
                <w:color w:val="000000"/>
                <w:sz w:val="18"/>
                <w:szCs w:val="18"/>
              </w:rPr>
              <w:t xml:space="preserve">、QB/T 2280-2016《办公家具 办公椅》要求；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3、扶手：超纤皮软包，固定扶手；</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4、椅脚：钢制电镀弓形脚；</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5、胶粘剂：环保型喷胶，符合GB 18583-2008《室内装饰装修材料 胶粘剂中有害物质限量》：HJ 2541-2016《环境标志产品技术要求胶粘剂》；GB 33372-2020《胶粘剂挥发性有机化合物限量》要求；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6、颜色：黑色；</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7、成品：需符合QB/T 2280-2016《办公家具 办公椅》要求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8、其他:固定式靠背及坐垫支撑为多层曲木板，厚度≥15mm；</w:t>
            </w:r>
            <w:r/>
          </w:p>
          <w:p>
            <w:pPr>
              <w:jc w:val="left"/>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9、净尺寸：坐宽505mm，坐高450mm，坐深460mm；</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29</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张</w:t>
            </w:r>
            <w:r/>
          </w:p>
        </w:tc>
      </w:tr>
      <w:tr>
        <w:trPr>
          <w:jc w:val="center"/>
          <w:trHeight w:val="315"/>
        </w:trPr>
        <w:tc>
          <w:tcPr>
            <w:gridSpan w:val="7"/>
            <w:shd w:val="clear" w:color="000000" w:fill="d9d9d9"/>
            <w:tcW w:w="10301" w:type="dxa"/>
            <w:textDirection w:val="lrTb"/>
            <w:noWrap w:val="false"/>
          </w:tcPr>
          <w:p>
            <w:pPr>
              <w:jc w:val="center"/>
              <w:widowControl/>
              <w:rPr>
                <w:rFonts w:hint="default" w:ascii="Times New Roman" w:hAnsi="Times New Roman" w:eastAsia="等线" w:cs="Times New Roman"/>
                <w:b/>
                <w:bCs/>
                <w:color w:val="12501a"/>
                <w:sz w:val="18"/>
                <w:szCs w:val="18"/>
              </w:rPr>
            </w:pPr>
            <w:r>
              <w:rPr>
                <w:rFonts w:hint="default" w:ascii="Times New Roman" w:hAnsi="Times New Roman" w:eastAsia="等线" w:cs="Times New Roman"/>
                <w:b/>
                <w:bCs/>
                <w:color w:val="12501a"/>
                <w:sz w:val="18"/>
                <w:szCs w:val="18"/>
              </w:rPr>
              <w:t xml:space="preserve">诊室</w:t>
            </w:r>
            <w:r/>
          </w:p>
        </w:tc>
      </w:tr>
      <w:tr>
        <w:trPr>
          <w:jc w:val="center"/>
          <w:trHeight w:val="178"/>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44</w:t>
            </w:r>
            <w:r/>
          </w:p>
        </w:tc>
        <w:tc>
          <w:tcPr>
            <w:shd w:val="clear" w:color="auto" w:fill="auto"/>
            <w:tcW w:w="77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医用办公桌</w:t>
            </w:r>
            <w:r/>
          </w:p>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　</w:t>
            </w:r>
            <w:r/>
          </w:p>
        </w:tc>
        <w:tc>
          <w:tcPr>
            <w:shd w:val="clear" w:color="auto" w:fill="auto"/>
            <w:tcW w:w="1523"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794385" cy="404495"/>
                      <wp:effectExtent l="0" t="0" r="5715" b="14604"/>
                      <wp:docPr id="43" name="ID_807AE487077F4EDABC1F339B686C7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D_807AE487077F4EDABC1F339B686C7637"/>
                              <pic:cNvPicPr>
                                <a:picLocks noChangeAspect="1"/>
                              </pic:cNvPicPr>
                              <pic:nvPr/>
                            </pic:nvPicPr>
                            <pic:blipFill>
                              <a:blip r:embed="rId49"/>
                              <a:stretch/>
                            </pic:blipFill>
                            <pic:spPr bwMode="auto">
                              <a:xfrm>
                                <a:off x="0" y="0"/>
                                <a:ext cx="794385" cy="40449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62.5pt;height:31.8pt;mso-wrap-distance-left:0.0pt;mso-wrap-distance-top:0.0pt;mso-wrap-distance-right:0.0pt;mso-wrap-distance-bottom:0.0pt;" stroked="f" strokeweight="0.75pt">
                      <v:path textboxrect="0,0,0,0"/>
                      <v:imagedata r:id="rId49"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1500*1600*750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1、结构：钢横梁及钢腿，一侧为三抽固定柜，另一侧为圆盘支撑脚</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2、桌面：优质浸渍胶膜纸饰面刨花板。板厚25mm, 甲醛释放量 ENF 级。一侧弧形，各项指标符合GB/T 15102-2017《浸渍胶膜纸饰面纤维板和刨花板》、GB 18580-2017《室内装饰装修材料 人造板及其制品中甲醛释放限量》、GB/T 39600-2021《人造板及其制品甲醛释放量分级》、GB/T 35601-2017《绿色产品评价 人造板和木质地板》、HJ 571-2010《环境标志产品技术要求 人造板及其制品》、GB 8624-2012《建筑材料及制品燃烧性能分级》要求</w:t>
            </w:r>
            <w:r/>
          </w:p>
          <w:p>
            <w:pPr>
              <w:jc w:val="left"/>
              <w:widowControl/>
              <w:rPr>
                <w:rFonts w:hint="default" w:ascii="Times New Roman" w:hAnsi="Times New Roman" w:cs="Times New Roman"/>
                <w:color w:val="000000"/>
                <w:sz w:val="18"/>
                <w:szCs w:val="18"/>
                <w:highlight w:val="none"/>
              </w:rPr>
            </w:pPr>
            <w:r>
              <w:rPr>
                <w:rFonts w:hint="default" w:ascii="Times New Roman" w:hAnsi="Times New Roman" w:cs="Times New Roman"/>
                <w:color w:val="000000"/>
                <w:sz w:val="18"/>
                <w:szCs w:val="18"/>
              </w:rPr>
              <w:t xml:space="preserve">3、封边：激光封边</w:t>
            </w:r>
            <w:r>
              <w:rPr>
                <w:rFonts w:hint="default" w:ascii="Times New Roman" w:hAnsi="Times New Roman" w:cs="Times New Roman"/>
                <w:color w:val="000000"/>
                <w:sz w:val="18"/>
                <w:szCs w:val="18"/>
                <w:highlight w:val="none"/>
              </w:rPr>
              <w:t xml:space="preserve">条，各项指标符合QB/T 4463-2013《家具用封边条技术要求》要求</w:t>
            </w:r>
            <w:r/>
          </w:p>
          <w:p>
            <w:pPr>
              <w:jc w:val="left"/>
              <w:widowControl/>
              <w:rPr>
                <w:rFonts w:hint="default" w:ascii="Times New Roman" w:hAnsi="Times New Roman" w:cs="Times New Roman"/>
                <w:color w:val="000000"/>
                <w:sz w:val="18"/>
                <w:szCs w:val="18"/>
                <w:highlight w:val="none"/>
              </w:rPr>
            </w:pPr>
            <w:r>
              <w:rPr>
                <w:rFonts w:hint="default" w:ascii="Times New Roman" w:hAnsi="Times New Roman" w:cs="Times New Roman"/>
                <w:color w:val="000000"/>
                <w:sz w:val="18"/>
                <w:szCs w:val="18"/>
                <w:highlight w:val="none"/>
              </w:rPr>
              <w:t xml:space="preserve">4、固定抽屉柜：本体及抽屉材质为电解钢板，厚度0.8mm,表面粉末喷涂，粉末为防腐抗菌喷涂粉末</w:t>
            </w:r>
            <w:r/>
          </w:p>
          <w:p>
            <w:pPr>
              <w:jc w:val="left"/>
              <w:widowControl/>
              <w:rPr>
                <w:rFonts w:hint="default" w:ascii="Times New Roman" w:hAnsi="Times New Roman" w:cs="Times New Roman"/>
                <w:color w:val="000000"/>
                <w:sz w:val="18"/>
                <w:szCs w:val="18"/>
                <w:highlight w:val="none"/>
              </w:rPr>
            </w:pPr>
            <w:r>
              <w:rPr>
                <w:rFonts w:hint="default" w:ascii="Times New Roman" w:hAnsi="Times New Roman" w:cs="Times New Roman"/>
                <w:color w:val="000000"/>
                <w:sz w:val="18"/>
                <w:szCs w:val="18"/>
                <w:highlight w:val="none"/>
              </w:rPr>
              <w:t xml:space="preserve">三节导轨符合QB/T 2454-2013《家具五金 抽屉导轨》要求，首层抽屉配文具盒，底层抽屉可挂挂块牢档案袋，带锁具，锁具符合QB/T 1621-2015《家具锁》要求；</w:t>
            </w:r>
            <w:r/>
          </w:p>
          <w:p>
            <w:pPr>
              <w:jc w:val="left"/>
              <w:widowControl/>
              <w:rPr>
                <w:rFonts w:hint="default" w:ascii="Times New Roman" w:hAnsi="Times New Roman" w:cs="Times New Roman"/>
                <w:color w:val="000000"/>
                <w:sz w:val="18"/>
                <w:szCs w:val="18"/>
                <w:highlight w:val="none"/>
              </w:rPr>
            </w:pPr>
            <w:r>
              <w:rPr>
                <w:rFonts w:hint="default" w:ascii="Times New Roman" w:hAnsi="Times New Roman" w:cs="Times New Roman"/>
                <w:color w:val="000000"/>
                <w:sz w:val="18"/>
                <w:szCs w:val="18"/>
                <w:highlight w:val="none"/>
              </w:rPr>
              <w:t xml:space="preserve">5、桌腿：圆盘脚，直径300mm，表面静电粉末喷涂，防腐抗菌喷涂粉末</w:t>
            </w:r>
            <w:r/>
          </w:p>
          <w:p>
            <w:pPr>
              <w:jc w:val="left"/>
              <w:widowControl/>
              <w:rPr>
                <w:rFonts w:hint="default" w:ascii="Times New Roman" w:hAnsi="Times New Roman" w:cs="Times New Roman"/>
                <w:color w:val="000000"/>
                <w:sz w:val="18"/>
                <w:szCs w:val="18"/>
                <w:highlight w:val="none"/>
              </w:rPr>
            </w:pPr>
            <w:r>
              <w:rPr>
                <w:rFonts w:hint="default" w:ascii="Times New Roman" w:hAnsi="Times New Roman" w:cs="Times New Roman"/>
                <w:color w:val="000000"/>
                <w:sz w:val="18"/>
                <w:szCs w:val="18"/>
                <w:highlight w:val="none"/>
              </w:rPr>
              <w:t xml:space="preserve">6、防腐抗菌喷涂粉末：符合HG/T 2006-2022《热固性和热塑性粉末涂料》、GB/T 35607-2017《绿色产品评价 家具》、QB/T 4371-2012《家具抗菌性能的评价》、GB/T 1741-2020《漆膜耐霉菌性测定法》要求，耐霉菌性等级达到0级</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highlight w:val="none"/>
              </w:rPr>
              <w:t xml:space="preserve">7、电解钢板：抽屉及前档板为电解钢板，符合GB/T 35607-2017《绿色产品评价 家具》、GB/T 11253-2019《碳素结构</w:t>
            </w:r>
            <w:r>
              <w:rPr>
                <w:rFonts w:hint="default" w:ascii="Times New Roman" w:hAnsi="Times New Roman" w:cs="Times New Roman"/>
                <w:color w:val="000000"/>
                <w:sz w:val="18"/>
                <w:szCs w:val="18"/>
              </w:rPr>
              <w:t xml:space="preserve">钢冷轧钢板及钢带》要求</w:t>
            </w:r>
            <w:r/>
          </w:p>
          <w:p>
            <w:pPr>
              <w:jc w:val="left"/>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8、成品：各项技术指标符合GB/T 3325-2017《金属家具通用技术条件》标准的要求；</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2</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套</w:t>
            </w:r>
            <w:r/>
          </w:p>
        </w:tc>
      </w:tr>
      <w:tr>
        <w:trPr>
          <w:jc w:val="center"/>
          <w:trHeight w:val="180"/>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45</w:t>
            </w:r>
            <w:r/>
          </w:p>
        </w:tc>
        <w:tc>
          <w:tcPr>
            <w:shd w:val="clear" w:color="auto" w:fill="auto"/>
            <w:tcW w:w="77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椅子</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669925" cy="903605"/>
                      <wp:effectExtent l="0" t="0" r="15875" b="10795"/>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44"/>
                              <pic:cNvPicPr>
                                <a:picLocks noChangeAspect="1"/>
                              </pic:cNvPicPr>
                              <pic:nvPr/>
                            </pic:nvPicPr>
                            <pic:blipFill>
                              <a:blip r:embed="rId40"/>
                              <a:stretch/>
                            </pic:blipFill>
                            <pic:spPr bwMode="auto">
                              <a:xfrm>
                                <a:off x="0" y="0"/>
                                <a:ext cx="669925" cy="9036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52.8pt;height:71.1pt;mso-wrap-distance-left:0.0pt;mso-wrap-distance-top:0.0pt;mso-wrap-distance-right:0.0pt;mso-wrap-distance-bottom:0.0pt;" stroked="f" strokeweight="0.75pt">
                      <v:path textboxrect="0,0,0,0"/>
                      <v:imagedata r:id="rId40"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645*560*（970-1060）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1、椅背：优质网布，具有透气性和防静电性能，耐磨性强，厚度1.0mm。甲醛含量低于300mg/kg，安全环保，符合GB 18401-2010《国家纺织产品基本安全技术规范》标准。具有透气性和防静电性能，耐磨性强，厚度≥1.0mm。</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2、背框：全新PP一次注塑成型背框，内外框结构，结构坚固。</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3、坐垫：纤维织物，具有耐磨性。</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4、海绵：软质聚醚型聚氨酯泡沫塑料成型海绵，厚度≥75mm，密度大于40kg/m3，回弹力大于50%，符合GB/T 10802-2023《</w:t>
            </w:r>
            <w:r>
              <w:rPr>
                <w:rFonts w:hint="default" w:ascii="Times New Roman" w:hAnsi="Times New Roman" w:cs="Times New Roman"/>
                <w:color w:val="333333"/>
                <w:sz w:val="18"/>
                <w:szCs w:val="18"/>
                <w:shd w:val="clear" w:color="auto" w:fill="ffffff"/>
              </w:rPr>
              <w:t xml:space="preserve">通用软质聚氨酯泡沫塑料》</w:t>
            </w:r>
            <w:r>
              <w:rPr>
                <w:rFonts w:hint="default" w:ascii="Times New Roman" w:hAnsi="Times New Roman" w:cs="Times New Roman"/>
                <w:color w:val="000000"/>
                <w:sz w:val="18"/>
                <w:szCs w:val="18"/>
              </w:rPr>
              <w:t xml:space="preserve">；QB/T 2280-2016《办公家具 办公椅》要求。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5、座板：采用15mm多层曲木板热压成型，板材绿色环保，经防潮、防腐、防蛀等化学处理。底部采用PP底壳包底。</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6、扶手：PP可升降T型扶手,扶手面PU材质</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7、底盘：采用安全可锁定同步倾仰底盘，由3.2mm钢板压制而成，经防腐处理。</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8、气压棒：金属气压棒，升降行程90mm，棒芯壁厚须符合GB/T 29525-2013《座椅升降气弹簧 技术条件》要求。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9、胶粘剂：环保型喷胶，符合GB 18583-2008《室内装饰装修材料 胶粘剂中有害物质限量》：HJ 2541-2016《环境标志产品技术要求胶粘剂》；GB 33372-2020《胶粘剂挥发性有机化合物限量》要求；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10、五星脚：塑料五星脚，直径650 mm。</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11、脚轮：PU万向轮，直径60 mm，滑动时无杂音、活动自如。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12、成品：需符合QB/T 2280-2016《办公家具 办公椅》的要求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13、腰托：PP腰托，可上下调节</w:t>
            </w:r>
            <w:r/>
          </w:p>
          <w:p>
            <w:pPr>
              <w:jc w:val="left"/>
              <w:widowControl/>
              <w:rPr>
                <w:rFonts w:hint="default" w:ascii="Times New Roman" w:hAnsi="Times New Roman" w:cs="Times New Roman" w:eastAsiaTheme="majorEastAsia"/>
                <w:sz w:val="18"/>
                <w:szCs w:val="18"/>
                <w:highlight w:val="yellow"/>
              </w:rPr>
            </w:pPr>
            <w:r>
              <w:rPr>
                <w:rFonts w:hint="default" w:ascii="Times New Roman" w:hAnsi="Times New Roman" w:cs="Times New Roman"/>
                <w:color w:val="000000"/>
                <w:sz w:val="18"/>
                <w:szCs w:val="18"/>
              </w:rPr>
              <w:t xml:space="preserve">14、净尺寸：座宽455mm，坐高405-495mm，坐深：450mm；</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2</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张</w:t>
            </w:r>
            <w:r/>
          </w:p>
        </w:tc>
      </w:tr>
      <w:tr>
        <w:trPr>
          <w:jc w:val="center"/>
          <w:trHeight w:val="700"/>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46</w:t>
            </w:r>
            <w:r/>
          </w:p>
        </w:tc>
        <w:tc>
          <w:tcPr>
            <w:shd w:val="clear" w:color="auto" w:fill="auto"/>
            <w:tcW w:w="77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患者问诊椅</w:t>
            </w:r>
            <w:r/>
          </w:p>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　</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759460" cy="790575"/>
                      <wp:effectExtent l="0" t="0" r="2540" b="9525"/>
                      <wp:docPr id="45"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24"/>
                              <pic:cNvPicPr>
                                <a:picLocks noChangeAspect="1"/>
                              </pic:cNvPicPr>
                              <pic:nvPr/>
                            </pic:nvPicPr>
                            <pic:blipFill>
                              <a:blip r:embed="rId25"/>
                              <a:stretch/>
                            </pic:blipFill>
                            <pic:spPr bwMode="auto">
                              <a:xfrm>
                                <a:off x="0" y="0"/>
                                <a:ext cx="759460" cy="7905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59.8pt;height:62.2pt;mso-wrap-distance-left:0.0pt;mso-wrap-distance-top:0.0pt;mso-wrap-distance-right:0.0pt;mso-wrap-distance-bottom:0.0pt;" stroked="f" strokeweight="0.75pt">
                      <v:path textboxrect="0,0,0,0"/>
                      <v:imagedata r:id="rId25"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中背</w:t>
            </w:r>
            <w:r/>
          </w:p>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600*610*825</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1、尺寸：600*610*825mm（坐高430mm）</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2、饰面：阻燃布料，透气性好，表面无刺触感，平滑舒适，防螨性能优，无明显色差，性能、环保性、质量、防螨等参数符合GB 18401-2010 《国家纺织产品基本安全技术规范》、GB/T 18885-2020《生态纺织品技术要求》</w:t>
            </w:r>
            <w:r>
              <w:rPr>
                <w:rFonts w:hint="default" w:ascii="Times New Roman" w:hAnsi="Times New Roman" w:cs="Times New Roman"/>
                <w:color w:val="000000"/>
                <w:sz w:val="18"/>
                <w:szCs w:val="18"/>
                <w:lang w:eastAsia="zh-CN"/>
              </w:rPr>
              <w:t xml:space="preserve">、</w:t>
            </w:r>
            <w:r>
              <w:rPr>
                <w:rFonts w:hint="default" w:ascii="Times New Roman" w:hAnsi="Times New Roman" w:cs="Times New Roman"/>
                <w:color w:val="000000"/>
                <w:sz w:val="18"/>
                <w:szCs w:val="18"/>
              </w:rPr>
              <w:t xml:space="preserve">GB/T 24253-2009《纺织品 防螨性能的评价》、GB 8624-2012《建筑材料及制品燃烧性能分级》</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HJ 2546-2016《环境标志产品技术要求纺织产品》要求。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3、海绵：阻燃海绵，厚度不小于100mm，密度大于40kg/m³，回弹力大于50%，符合GB/T 10802-2023《</w:t>
            </w:r>
            <w:r>
              <w:rPr>
                <w:rFonts w:hint="default" w:ascii="Times New Roman" w:hAnsi="Times New Roman" w:cs="Times New Roman"/>
                <w:color w:val="333333"/>
                <w:sz w:val="18"/>
                <w:szCs w:val="18"/>
                <w:shd w:val="clear" w:color="auto" w:fill="ffffff"/>
              </w:rPr>
              <w:t xml:space="preserve">通用软质聚氨酯泡沫塑料》</w:t>
            </w:r>
            <w:r>
              <w:rPr>
                <w:rFonts w:hint="default" w:ascii="Times New Roman" w:hAnsi="Times New Roman" w:cs="Times New Roman"/>
                <w:color w:val="000000"/>
                <w:sz w:val="18"/>
                <w:szCs w:val="18"/>
              </w:rPr>
              <w:t xml:space="preserve">、GB 8624-2012《建筑材料及制品燃烧性能分级》等标准要求；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4、内部框架：橡胶木实木框架，表面平整，无毛刺。</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5、胶粘剂：环保型喷胶，符合GB 18583-2008《室内装饰装修材料 胶粘剂中有害物质限量》：HJ 2541-2016《环境标志产品技术要求胶粘剂》；GB 33372-2020《胶粘剂挥发性有机化合物限量》要求。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6、沙发脚：水曲柳实木沙发脚。</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7、扶手：弧线形软包扶手</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8、颜色：采购人自选</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9、成品：各项技术指标符合QB/T 1952.1-2023《软体家具沙发》 标准的要求</w:t>
            </w:r>
            <w:r/>
          </w:p>
          <w:p>
            <w:pPr>
              <w:jc w:val="left"/>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10、其他：边缘部位倒圆处理，无棱角，降低安全风险，整体结构、安全防护、质量、环保、舒适性、便利性等参数均须符合适老化要求</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2</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张</w:t>
            </w:r>
            <w:r/>
          </w:p>
        </w:tc>
      </w:tr>
      <w:tr>
        <w:trPr>
          <w:jc w:val="center"/>
          <w:trHeight w:val="90"/>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47</w:t>
            </w:r>
            <w:r/>
          </w:p>
        </w:tc>
        <w:tc>
          <w:tcPr>
            <w:shd w:val="clear" w:color="auto" w:fill="auto"/>
            <w:tcW w:w="77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板式文件柜</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825500" cy="988695"/>
                      <wp:effectExtent l="0" t="0" r="12700" b="1905"/>
                      <wp:docPr id="46" name="图片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200"/>
                              <pic:cNvPicPr>
                                <a:picLocks noChangeAspect="1"/>
                              </pic:cNvPicPr>
                              <pic:nvPr/>
                            </pic:nvPicPr>
                            <pic:blipFill>
                              <a:blip r:embed="rId50"/>
                              <a:stretch/>
                            </pic:blipFill>
                            <pic:spPr bwMode="auto">
                              <a:xfrm>
                                <a:off x="0" y="0"/>
                                <a:ext cx="825500" cy="9886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65.0pt;height:77.8pt;mso-wrap-distance-left:0.0pt;mso-wrap-distance-top:0.0pt;mso-wrap-distance-right:0.0pt;mso-wrap-distance-bottom:0.0pt;" stroked="f" strokeweight="0.75pt">
                      <v:path textboxrect="0,0,0,0"/>
                      <v:imagedata r:id="rId50"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1200*420*1800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1、基材：优质浸渍胶膜纸饰面刨花板。 甲醛释放量 ENF 级。板厚25mm，各项指标符合</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GB/T 15102-2017《浸渍胶膜纸饰面纤维板和刨花板》 、GB 18580-2017《室内装饰装修材料 人造板及其制品中甲醛释放限量》、GB/T 39600-2021《人造板及其制品甲醛释放量分级》、GB/T 35601-2017《绿色产品评价 人造板和木质地板》、、HJ 571-2010《环境标志产品技术要求 人造板及其制品》 、GB 8624-2012《建筑材料及制品燃烧性能分级》要求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2、封边：激光封边条，各项指标符合QB/T 4463-2013《家具用封边条技术要求》要求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3、连接件：金属三合一连接件，耐腐蚀性强。符合QB/T 3832-1999《轻工产品金属镀层腐蚀试验结果的评价》的要求，达到10级。</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4、结构：左上-单开木掩门,内置一块活动层板，右上-双开铝框玻璃门，</w:t>
            </w:r>
            <w:r>
              <w:rPr>
                <w:rFonts w:hint="default" w:ascii="Times New Roman" w:hAnsi="Times New Roman" w:cs="Times New Roman"/>
                <w:sz w:val="18"/>
                <w:szCs w:val="18"/>
                <w:lang w:val="en-US" w:eastAsia="zh-CN"/>
              </w:rPr>
              <w:t xml:space="preserve">玻璃材质为钢化清玻，</w:t>
            </w:r>
            <w:r>
              <w:rPr>
                <w:rFonts w:hint="default" w:ascii="Times New Roman" w:hAnsi="Times New Roman" w:cs="Times New Roman"/>
                <w:sz w:val="18"/>
                <w:szCs w:val="18"/>
              </w:rPr>
              <w:t xml:space="preserve">厚度≥</w:t>
            </w:r>
            <w:r>
              <w:rPr>
                <w:rFonts w:hint="default" w:ascii="Times New Roman" w:hAnsi="Times New Roman" w:cs="Times New Roman"/>
                <w:sz w:val="18"/>
                <w:szCs w:val="18"/>
                <w:lang w:val="en-US" w:eastAsia="zh-CN"/>
              </w:rPr>
              <w:t xml:space="preserve">5mm</w:t>
            </w:r>
            <w:r>
              <w:rPr>
                <w:rFonts w:hint="default" w:ascii="Times New Roman" w:hAnsi="Times New Roman" w:cs="Times New Roman"/>
                <w:color w:val="000000"/>
                <w:sz w:val="18"/>
                <w:szCs w:val="18"/>
              </w:rPr>
              <w:t xml:space="preserve">内置一块活动层板；左下-单开木掩门，内置一块活动层板，右下-双开木掩门,内置一块活动层板，柜门均带锁具；</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5、铰链：优质金属铰链，指标符合QB/T 2189-2013《家具五金 杯状暗铰链》要求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6、锁具：下柜门带锁，优质锁具，符合QB/T 1621-2015《家具锁》要求；</w:t>
            </w:r>
            <w:r/>
          </w:p>
          <w:p>
            <w:pPr>
              <w:jc w:val="left"/>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7、成品：各项技术指标符合GB/T 3324-2017《木家具通用技术条件》标准的要求。</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2</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个</w:t>
            </w:r>
            <w:r/>
          </w:p>
        </w:tc>
      </w:tr>
      <w:tr>
        <w:trPr>
          <w:jc w:val="center"/>
          <w:trHeight w:val="1075"/>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48</w:t>
            </w:r>
            <w:r/>
          </w:p>
        </w:tc>
        <w:tc>
          <w:tcPr>
            <w:shd w:val="clear" w:color="auto" w:fill="auto"/>
            <w:tcW w:w="77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电动沙发椅</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760095" cy="772795"/>
                      <wp:effectExtent l="0" t="0" r="1905" b="8255"/>
                      <wp:docPr id="47" name="图片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202"/>
                              <pic:cNvPicPr>
                                <a:picLocks noChangeAspect="1"/>
                              </pic:cNvPicPr>
                              <pic:nvPr/>
                            </pic:nvPicPr>
                            <pic:blipFill>
                              <a:blip r:embed="rId30"/>
                              <a:stretch/>
                            </pic:blipFill>
                            <pic:spPr bwMode="auto">
                              <a:xfrm>
                                <a:off x="0" y="0"/>
                                <a:ext cx="760095" cy="7727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59.8pt;height:60.8pt;mso-wrap-distance-left:0.0pt;mso-wrap-distance-top:0.0pt;mso-wrap-distance-right:0.0pt;mso-wrap-distance-bottom:0.0pt;" stroked="f" strokeweight="0.75pt">
                      <v:path textboxrect="0,0,0,0"/>
                      <v:imagedata r:id="rId30"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单人位</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960*960*1020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1、尺寸：坐高450mm</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2、饰面：优质超纤皮，表面纹理清晰，具有良好的色牢度、耐光耐磨性、透气性等特性   </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3、海绵：阻燃海绵，密度大于30kg/m³，回弹力大于45%，符合GB/T 10802-2023《</w:t>
            </w:r>
            <w:r>
              <w:rPr>
                <w:rFonts w:hint="default" w:ascii="Times New Roman" w:hAnsi="Times New Roman" w:cs="Times New Roman"/>
                <w:color w:val="333333"/>
                <w:sz w:val="18"/>
                <w:szCs w:val="18"/>
                <w:shd w:val="clear" w:color="auto" w:fill="ffffff"/>
              </w:rPr>
              <w:t xml:space="preserve">通用软质聚氨酯泡沫塑料》</w:t>
            </w:r>
            <w:r>
              <w:rPr>
                <w:rFonts w:hint="default" w:ascii="Times New Roman" w:hAnsi="Times New Roman" w:cs="Times New Roman"/>
                <w:color w:val="000000"/>
                <w:sz w:val="18"/>
                <w:szCs w:val="18"/>
              </w:rPr>
              <w:t xml:space="preserve">、GB 8624-2012《建筑材料及制品燃烧性能分级》等标准要求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4、内部框架：钢+松木框架</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5、胶粘剂：环保型喷胶，符合GB 18583-2008《室内装饰装修材料 胶粘剂中有害物质限量》：HJ 2541-2016《环境标志产品技术要求胶粘剂》；GB 33372-2020《胶粘剂挥发性有机化合物限量》要求。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6、沙发脚：钢制圆形底盘，圆管管径18mm，壁厚≥2.0mm，表面环氧树脂粉末涂料喷涂，符合HG/T 2006-2022《热固性和热塑性粉末涂料》要求；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7、扶手：软包扶手</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8、颜色：深棕色</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9、电机：24V直流电机，50HZ，电动收纳和抬起；靠背可以电动调节倾仰角度；最大倾仰角度170度。</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10、成品：各项技术指标符合QB/T 1952.1-2023《软体家具沙发》 标准的要求。</w:t>
            </w:r>
            <w:r/>
          </w:p>
          <w:p>
            <w:pPr>
              <w:jc w:val="left"/>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11、其他：边缘部位倒圆处理，无棱角，降低安全风险，整体结构、安全防护、质量、环保、舒适性、便利性等参数均须符合适老化要求</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张</w:t>
            </w:r>
            <w:r/>
          </w:p>
        </w:tc>
      </w:tr>
      <w:tr>
        <w:trPr>
          <w:jc w:val="center"/>
          <w:trHeight w:val="315"/>
        </w:trPr>
        <w:tc>
          <w:tcPr>
            <w:gridSpan w:val="7"/>
            <w:shd w:val="clear" w:color="000000" w:fill="d9d9d9"/>
            <w:tcW w:w="10301" w:type="dxa"/>
            <w:textDirection w:val="lrTb"/>
            <w:noWrap w:val="false"/>
          </w:tcPr>
          <w:p>
            <w:pPr>
              <w:jc w:val="center"/>
              <w:widowControl/>
              <w:rPr>
                <w:rFonts w:hint="default" w:ascii="Times New Roman" w:hAnsi="Times New Roman" w:eastAsia="等线" w:cs="Times New Roman"/>
                <w:b/>
                <w:bCs/>
                <w:color w:val="12501a"/>
                <w:sz w:val="18"/>
                <w:szCs w:val="18"/>
              </w:rPr>
            </w:pPr>
            <w:r>
              <w:rPr>
                <w:rFonts w:hint="default" w:ascii="Times New Roman" w:hAnsi="Times New Roman" w:eastAsia="等线" w:cs="Times New Roman"/>
                <w:b/>
                <w:bCs/>
                <w:color w:val="12501a"/>
                <w:sz w:val="18"/>
                <w:szCs w:val="18"/>
              </w:rPr>
              <w:t xml:space="preserve">存储区</w:t>
            </w:r>
            <w:r/>
          </w:p>
        </w:tc>
      </w:tr>
      <w:tr>
        <w:trPr>
          <w:jc w:val="center"/>
          <w:trHeight w:val="1440"/>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highlight w:val="none"/>
              </w:rPr>
            </w:pPr>
            <w:r>
              <w:rPr>
                <w:rFonts w:hint="default" w:ascii="Times New Roman" w:hAnsi="Times New Roman" w:cs="Times New Roman"/>
                <w:color w:val="000000"/>
                <w:sz w:val="18"/>
                <w:szCs w:val="18"/>
                <w:highlight w:val="none"/>
              </w:rPr>
              <w:t xml:space="preserve">49</w:t>
            </w:r>
            <w:r/>
          </w:p>
        </w:tc>
        <w:tc>
          <w:tcPr>
            <w:shd w:val="clear" w:color="auto" w:fill="auto"/>
            <w:tcW w:w="771" w:type="dxa"/>
            <w:vAlign w:val="center"/>
            <w:textDirection w:val="lrTb"/>
            <w:noWrap w:val="false"/>
          </w:tcPr>
          <w:p>
            <w:pPr>
              <w:jc w:val="center"/>
              <w:widowControl/>
              <w:rPr>
                <w:rFonts w:hint="default" w:ascii="Times New Roman" w:hAnsi="Times New Roman" w:eastAsia="等线" w:cs="Times New Roman"/>
                <w:color w:val="000000"/>
                <w:sz w:val="18"/>
                <w:szCs w:val="18"/>
                <w:highlight w:val="none"/>
              </w:rPr>
            </w:pPr>
            <w:r>
              <w:rPr>
                <w:rFonts w:hint="default" w:ascii="Times New Roman" w:hAnsi="Times New Roman" w:eastAsia="等线" w:cs="Times New Roman"/>
                <w:color w:val="000000"/>
                <w:sz w:val="18"/>
                <w:szCs w:val="18"/>
                <w:highlight w:val="none"/>
              </w:rPr>
              <w:t xml:space="preserve">　</w:t>
            </w:r>
            <w:r/>
          </w:p>
          <w:p>
            <w:pPr>
              <w:jc w:val="center"/>
              <w:widowControl/>
              <w:rPr>
                <w:rFonts w:hint="default" w:ascii="Times New Roman" w:hAnsi="Times New Roman" w:eastAsia="等线" w:cs="Times New Roman"/>
                <w:color w:val="000000"/>
                <w:sz w:val="18"/>
                <w:szCs w:val="18"/>
                <w:highlight w:val="none"/>
              </w:rPr>
            </w:pPr>
            <w:r>
              <w:rPr>
                <w:rFonts w:hint="default" w:ascii="Times New Roman" w:hAnsi="Times New Roman" w:eastAsia="等线" w:cs="Times New Roman"/>
                <w:color w:val="000000"/>
                <w:sz w:val="18"/>
                <w:szCs w:val="18"/>
                <w:highlight w:val="none"/>
              </w:rPr>
              <w:t xml:space="preserve">钢制文件柜</w:t>
            </w:r>
            <w:r/>
          </w:p>
          <w:p>
            <w:pPr>
              <w:jc w:val="center"/>
              <w:widowControl/>
              <w:rPr>
                <w:rFonts w:hint="default" w:ascii="Times New Roman" w:hAnsi="Times New Roman" w:eastAsia="等线" w:cs="Times New Roman"/>
                <w:color w:val="000000"/>
                <w:sz w:val="18"/>
                <w:szCs w:val="18"/>
                <w:highlight w:val="none"/>
              </w:rPr>
            </w:pPr>
            <w:r>
              <w:rPr>
                <w:rFonts w:hint="default" w:ascii="Times New Roman" w:hAnsi="Times New Roman" w:eastAsia="等线" w:cs="Times New Roman"/>
                <w:color w:val="000000"/>
                <w:sz w:val="18"/>
                <w:szCs w:val="18"/>
                <w:highlight w:val="none"/>
              </w:rPr>
              <w:t xml:space="preserve">　</w:t>
            </w:r>
            <w:r/>
          </w:p>
        </w:tc>
        <w:tc>
          <w:tcPr>
            <w:shd w:val="clear" w:color="auto" w:fill="auto"/>
            <w:tcW w:w="1523" w:type="dxa"/>
            <w:vAlign w:val="center"/>
            <w:textDirection w:val="lrTb"/>
            <w:noWrap w:val="false"/>
          </w:tcPr>
          <w:p>
            <w:pPr>
              <w:jc w:val="center"/>
              <w:widowControl/>
              <w:rPr>
                <w:rFonts w:hint="default" w:ascii="Times New Roman" w:hAnsi="Times New Roman" w:eastAsia="等线" w:cs="Times New Roman"/>
                <w:color w:val="000000"/>
                <w:sz w:val="18"/>
                <w:szCs w:val="18"/>
                <w:highlight w:val="none"/>
              </w:rPr>
            </w:pPr>
            <w:r>
              <w:rPr>
                <w:rFonts w:hint="default" w:ascii="Times New Roman" w:hAnsi="Times New Roman" w:cs="Times New Roman"/>
                <w:sz w:val="18"/>
                <w:szCs w:val="18"/>
                <w:highlight w:val="none"/>
              </w:rPr>
              <mc:AlternateContent>
                <mc:Choice Requires="wpg">
                  <w:drawing>
                    <wp:inline xmlns:wp="http://schemas.openxmlformats.org/drawingml/2006/wordprocessingDrawing" distT="0" distB="0" distL="0" distR="0">
                      <wp:extent cx="428625" cy="879475"/>
                      <wp:effectExtent l="0" t="0" r="9525" b="15875"/>
                      <wp:docPr id="48" name="ID_02541B49FEE64801A4ED1E8A3036A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8" name="ID_02541B49FEE64801A4ED1E8A3036A984"/>
                              <pic:cNvPicPr>
                                <a:picLocks noChangeAspect="1"/>
                              </pic:cNvPicPr>
                              <pic:nvPr/>
                            </pic:nvPicPr>
                            <pic:blipFill>
                              <a:blip r:embed="rId51"/>
                              <a:stretch/>
                            </pic:blipFill>
                            <pic:spPr bwMode="auto">
                              <a:xfrm>
                                <a:off x="0" y="0"/>
                                <a:ext cx="428625" cy="8794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33.8pt;height:69.2pt;mso-wrap-distance-left:0.0pt;mso-wrap-distance-top:0.0pt;mso-wrap-distance-right:0.0pt;mso-wrap-distance-bottom:0.0pt;" stroked="f" strokeweight="0.75pt">
                      <v:path textboxrect="0,0,0,0"/>
                      <v:imagedata r:id="rId51"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highlight w:val="none"/>
              </w:rPr>
            </w:pPr>
            <w:r>
              <w:rPr>
                <w:rFonts w:hint="default" w:ascii="Times New Roman" w:hAnsi="Times New Roman" w:eastAsia="等线" w:cs="Times New Roman"/>
                <w:color w:val="000000"/>
                <w:sz w:val="18"/>
                <w:szCs w:val="18"/>
                <w:highlight w:val="none"/>
              </w:rPr>
              <w:t xml:space="preserve">900*420*2000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highlight w:val="none"/>
              </w:rPr>
            </w:pPr>
            <w:r>
              <w:rPr>
                <w:rFonts w:hint="default" w:ascii="Times New Roman" w:hAnsi="Times New Roman" w:cs="Times New Roman"/>
                <w:color w:val="000000"/>
                <w:sz w:val="18"/>
                <w:szCs w:val="18"/>
                <w:highlight w:val="none"/>
              </w:rPr>
              <w:t xml:space="preserve">1、基材：优质电解钢板，板厚</w:t>
            </w:r>
            <w:r>
              <w:rPr>
                <w:rFonts w:hint="default" w:ascii="Times New Roman" w:hAnsi="Times New Roman" w:cs="Times New Roman"/>
                <w:color w:val="000000"/>
                <w:sz w:val="18"/>
                <w:szCs w:val="18"/>
                <w:highlight w:val="none"/>
                <w:lang w:val="en-US" w:eastAsia="zh-CN"/>
              </w:rPr>
              <w:t xml:space="preserve">≥1.00</w:t>
            </w:r>
            <w:r>
              <w:rPr>
                <w:rFonts w:hint="default" w:ascii="Times New Roman" w:hAnsi="Times New Roman" w:cs="Times New Roman"/>
                <w:color w:val="000000"/>
                <w:sz w:val="18"/>
                <w:szCs w:val="18"/>
                <w:highlight w:val="none"/>
              </w:rPr>
              <w:t xml:space="preserve">mm，表面静电粉末喷涂</w:t>
            </w:r>
            <w:r/>
          </w:p>
          <w:p>
            <w:pPr>
              <w:jc w:val="left"/>
              <w:widowControl/>
              <w:rPr>
                <w:rFonts w:hint="default" w:ascii="Times New Roman" w:hAnsi="Times New Roman" w:cs="Times New Roman"/>
                <w:color w:val="000000"/>
                <w:sz w:val="18"/>
                <w:szCs w:val="18"/>
                <w:highlight w:val="none"/>
              </w:rPr>
            </w:pPr>
            <w:r>
              <w:rPr>
                <w:rFonts w:hint="default" w:ascii="Times New Roman" w:hAnsi="Times New Roman" w:cs="Times New Roman"/>
                <w:color w:val="000000"/>
                <w:sz w:val="18"/>
                <w:szCs w:val="18"/>
                <w:highlight w:val="none"/>
              </w:rPr>
              <w:t xml:space="preserve">2、</w:t>
            </w:r>
            <w:r>
              <w:rPr>
                <w:rFonts w:hint="default" w:ascii="Times New Roman" w:hAnsi="Times New Roman" w:cs="Times New Roman"/>
                <w:color w:val="000000"/>
                <w:sz w:val="18"/>
                <w:szCs w:val="18"/>
                <w:highlight w:val="none"/>
                <w:lang w:val="en-US" w:eastAsia="zh-CN"/>
              </w:rPr>
              <w:t xml:space="preserve">喷涂粉末</w:t>
            </w:r>
            <w:r>
              <w:rPr>
                <w:rFonts w:hint="default" w:ascii="Times New Roman" w:hAnsi="Times New Roman" w:cs="Times New Roman"/>
                <w:color w:val="000000"/>
                <w:sz w:val="18"/>
                <w:szCs w:val="18"/>
                <w:highlight w:val="none"/>
              </w:rPr>
              <w:t xml:space="preserve">：粉末符合HG/T 2006-2022《热固性和热塑性粉末涂料》、GB/T 35607-2017《绿色产品评价 家具》要求</w:t>
            </w:r>
            <w:r/>
          </w:p>
          <w:p>
            <w:pPr>
              <w:jc w:val="left"/>
              <w:widowControl/>
              <w:rPr>
                <w:rFonts w:hint="default" w:ascii="Times New Roman" w:hAnsi="Times New Roman" w:cs="Times New Roman"/>
                <w:color w:val="000000"/>
                <w:sz w:val="18"/>
                <w:szCs w:val="18"/>
                <w:highlight w:val="none"/>
              </w:rPr>
            </w:pPr>
            <w:r>
              <w:rPr>
                <w:rFonts w:hint="default" w:ascii="Times New Roman" w:hAnsi="Times New Roman" w:cs="Times New Roman"/>
                <w:color w:val="000000"/>
                <w:sz w:val="18"/>
                <w:szCs w:val="18"/>
                <w:highlight w:val="none"/>
              </w:rPr>
              <w:t xml:space="preserve">3、电解钢板：符合GB/T 35607-2017《绿色产品评价 家具》、GB/T 11253-2019《碳素结构钢冷轧钢板及钢带》要求</w:t>
            </w:r>
            <w:r/>
          </w:p>
          <w:p>
            <w:pPr>
              <w:jc w:val="left"/>
              <w:widowControl/>
              <w:rPr>
                <w:rFonts w:hint="default" w:ascii="Times New Roman" w:hAnsi="Times New Roman" w:cs="Times New Roman"/>
                <w:color w:val="000000"/>
                <w:sz w:val="18"/>
                <w:szCs w:val="18"/>
                <w:highlight w:val="none"/>
              </w:rPr>
            </w:pPr>
            <w:r>
              <w:rPr>
                <w:rFonts w:hint="default" w:ascii="Times New Roman" w:hAnsi="Times New Roman" w:cs="Times New Roman"/>
                <w:color w:val="000000"/>
                <w:sz w:val="18"/>
                <w:szCs w:val="18"/>
                <w:highlight w:val="none"/>
              </w:rPr>
              <w:t xml:space="preserve">4、结构：上钢化玻璃内带二件活动层板</w:t>
            </w:r>
            <w:r>
              <w:rPr>
                <w:rFonts w:hint="default" w:ascii="Times New Roman" w:hAnsi="Times New Roman" w:cs="Times New Roman"/>
                <w:color w:val="000000"/>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玻璃材质为钢化清玻，</w:t>
            </w:r>
            <w:r>
              <w:rPr>
                <w:rFonts w:hint="default" w:ascii="Times New Roman" w:hAnsi="Times New Roman" w:cs="Times New Roman"/>
                <w:sz w:val="18"/>
                <w:szCs w:val="18"/>
                <w:highlight w:val="none"/>
              </w:rPr>
              <w:t xml:space="preserve">厚度≥</w:t>
            </w:r>
            <w:r>
              <w:rPr>
                <w:rFonts w:hint="default" w:ascii="Times New Roman" w:hAnsi="Times New Roman" w:cs="Times New Roman"/>
                <w:sz w:val="18"/>
                <w:szCs w:val="18"/>
                <w:highlight w:val="none"/>
                <w:lang w:val="en-US" w:eastAsia="zh-CN"/>
              </w:rPr>
              <w:t xml:space="preserve">5mm</w:t>
            </w:r>
            <w:r>
              <w:rPr>
                <w:rFonts w:hint="default" w:ascii="Times New Roman" w:hAnsi="Times New Roman" w:cs="Times New Roman"/>
                <w:color w:val="000000"/>
                <w:sz w:val="18"/>
                <w:szCs w:val="18"/>
                <w:highlight w:val="none"/>
              </w:rPr>
              <w:t xml:space="preserve">，下掩门内带一件活动层板，右门带拉手，上下柜门带锁；</w:t>
            </w:r>
            <w:r/>
          </w:p>
          <w:p>
            <w:pPr>
              <w:jc w:val="left"/>
              <w:widowControl/>
              <w:rPr>
                <w:rFonts w:hint="default" w:ascii="Times New Roman" w:hAnsi="Times New Roman" w:cs="Times New Roman"/>
                <w:color w:val="000000"/>
                <w:sz w:val="18"/>
                <w:szCs w:val="18"/>
                <w:highlight w:val="none"/>
              </w:rPr>
            </w:pPr>
            <w:r>
              <w:rPr>
                <w:rFonts w:hint="default" w:ascii="Times New Roman" w:hAnsi="Times New Roman" w:cs="Times New Roman"/>
                <w:color w:val="000000"/>
                <w:sz w:val="18"/>
                <w:szCs w:val="18"/>
                <w:highlight w:val="none"/>
              </w:rPr>
              <w:t xml:space="preserve">5、锁具：柜门带锁，优质锁具，符合QB/T 1621-2015《家具锁》要求；</w:t>
            </w:r>
            <w:r/>
          </w:p>
          <w:p>
            <w:pPr>
              <w:jc w:val="left"/>
              <w:widowControl/>
              <w:rPr>
                <w:rFonts w:hint="default" w:ascii="Times New Roman" w:hAnsi="Times New Roman" w:cs="Times New Roman"/>
                <w:color w:val="000000"/>
                <w:sz w:val="18"/>
                <w:szCs w:val="18"/>
                <w:highlight w:val="none"/>
              </w:rPr>
            </w:pPr>
            <w:r>
              <w:rPr>
                <w:rFonts w:hint="default" w:ascii="Times New Roman" w:hAnsi="Times New Roman" w:cs="Times New Roman"/>
                <w:color w:val="000000"/>
                <w:sz w:val="18"/>
                <w:szCs w:val="18"/>
                <w:highlight w:val="none"/>
              </w:rPr>
              <w:t xml:space="preserve">6、铰链：优质金属铰链（非插销），指标符合QB/T 2189-2013《家具五金 杯状暗铰链》要求</w:t>
            </w:r>
            <w:r/>
          </w:p>
          <w:p>
            <w:pPr>
              <w:jc w:val="left"/>
              <w:widowControl/>
              <w:rPr>
                <w:rFonts w:hint="default" w:ascii="Times New Roman" w:hAnsi="Times New Roman" w:eastAsia="等线" w:cs="Times New Roman"/>
                <w:color w:val="000000"/>
                <w:sz w:val="18"/>
                <w:szCs w:val="18"/>
                <w:highlight w:val="none"/>
              </w:rPr>
            </w:pPr>
            <w:r>
              <w:rPr>
                <w:rFonts w:hint="default" w:ascii="Times New Roman" w:hAnsi="Times New Roman" w:cs="Times New Roman"/>
                <w:color w:val="000000"/>
                <w:sz w:val="18"/>
                <w:szCs w:val="18"/>
                <w:highlight w:val="none"/>
              </w:rPr>
              <w:t xml:space="preserve">7、成品：各项技术指标符合GB/T 3325-2017《金属家具通用技术条件》标准的要求。</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highlight w:val="none"/>
              </w:rPr>
            </w:pPr>
            <w:r>
              <w:rPr>
                <w:rFonts w:hint="default" w:ascii="Times New Roman" w:hAnsi="Times New Roman" w:eastAsia="等线" w:cs="Times New Roman"/>
                <w:color w:val="000000"/>
                <w:sz w:val="18"/>
                <w:szCs w:val="18"/>
                <w:highlight w:val="none"/>
              </w:rPr>
              <w:t xml:space="preserve">14</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highlight w:val="none"/>
              </w:rPr>
            </w:pPr>
            <w:r>
              <w:rPr>
                <w:rFonts w:hint="default" w:ascii="Times New Roman" w:hAnsi="Times New Roman" w:cs="Times New Roman"/>
                <w:color w:val="000000"/>
                <w:sz w:val="18"/>
                <w:szCs w:val="18"/>
                <w:highlight w:val="none"/>
              </w:rPr>
              <w:t xml:space="preserve">个</w:t>
            </w:r>
            <w:r/>
          </w:p>
        </w:tc>
      </w:tr>
      <w:tr>
        <w:trPr>
          <w:jc w:val="center"/>
          <w:trHeight w:val="3405"/>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50</w:t>
            </w:r>
            <w:r/>
          </w:p>
        </w:tc>
        <w:tc>
          <w:tcPr>
            <w:shd w:val="clear" w:color="auto" w:fill="auto"/>
            <w:tcW w:w="77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更衣柜</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779145" cy="723265"/>
                      <wp:effectExtent l="0" t="0" r="1905" b="635"/>
                      <wp:docPr id="49" name="ID_25A113D1EC2F41CD98A751E5BB248E6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D_25A113D1EC2F41CD98A751E5BB248E6B"/>
                              <pic:cNvPicPr>
                                <a:picLocks noChangeAspect="1"/>
                              </pic:cNvPicPr>
                              <pic:nvPr/>
                            </pic:nvPicPr>
                            <pic:blipFill>
                              <a:blip r:embed="rId52"/>
                              <a:stretch/>
                            </pic:blipFill>
                            <pic:spPr bwMode="auto">
                              <a:xfrm>
                                <a:off x="0" y="0"/>
                                <a:ext cx="779145" cy="7232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61.3pt;height:56.9pt;mso-wrap-distance-left:0.0pt;mso-wrap-distance-top:0.0pt;mso-wrap-distance-right:0.0pt;mso-wrap-distance-bottom:0.0pt;" stroked="f" strokeweight="0.75pt">
                      <v:path textboxrect="0,0,0,0"/>
                      <v:imagedata r:id="rId52"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900*500*1800*</w:t>
            </w:r>
            <w:r>
              <w:rPr>
                <w:rFonts w:hint="default" w:ascii="Times New Roman" w:hAnsi="Times New Roman" w:eastAsia="等线" w:cs="Times New Roman"/>
                <w:color w:val="000000"/>
                <w:sz w:val="18"/>
                <w:szCs w:val="18"/>
                <w:lang w:val="en-US" w:eastAsia="zh-CN"/>
              </w:rPr>
              <w:t xml:space="preserve">不锈钢底座支架</w:t>
            </w:r>
            <w:r>
              <w:rPr>
                <w:rFonts w:hint="default" w:ascii="Times New Roman" w:hAnsi="Times New Roman" w:eastAsia="等线" w:cs="Times New Roman"/>
                <w:color w:val="000000"/>
                <w:sz w:val="18"/>
                <w:szCs w:val="18"/>
              </w:rPr>
              <w:t xml:space="preserve">150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1、基材：优质电解钢板，板厚</w:t>
            </w:r>
            <w:r>
              <w:rPr>
                <w:rFonts w:hint="default" w:ascii="Times New Roman" w:hAnsi="Times New Roman" w:cs="Times New Roman"/>
                <w:color w:val="000000"/>
                <w:sz w:val="18"/>
                <w:szCs w:val="18"/>
                <w:lang w:val="en-US" w:eastAsia="zh-CN"/>
              </w:rPr>
              <w:t xml:space="preserve">≥1.00</w:t>
            </w:r>
            <w:r>
              <w:rPr>
                <w:rFonts w:hint="default" w:ascii="Times New Roman" w:hAnsi="Times New Roman" w:cs="Times New Roman"/>
                <w:color w:val="000000"/>
                <w:sz w:val="18"/>
                <w:szCs w:val="18"/>
              </w:rPr>
              <w:t xml:space="preserve">mm，表面静电粉末喷涂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w:t>
            </w:r>
            <w:r>
              <w:rPr>
                <w:rFonts w:hint="default" w:ascii="Times New Roman" w:hAnsi="Times New Roman" w:cs="Times New Roman"/>
                <w:color w:val="000000"/>
                <w:sz w:val="18"/>
                <w:szCs w:val="18"/>
                <w:lang w:val="en-US" w:eastAsia="zh-CN"/>
              </w:rPr>
              <w:t xml:space="preserve">喷涂粉末</w:t>
            </w:r>
            <w:r>
              <w:rPr>
                <w:rFonts w:hint="default" w:ascii="Times New Roman" w:hAnsi="Times New Roman" w:cs="Times New Roman"/>
                <w:color w:val="000000"/>
                <w:sz w:val="18"/>
                <w:szCs w:val="18"/>
              </w:rPr>
              <w:t xml:space="preserve">：粉末符合HG/T 2006-2022《热固性和热塑性粉末涂料》、</w:t>
            </w:r>
            <w:r>
              <w:rPr>
                <w:rFonts w:hint="default" w:ascii="Times New Roman" w:hAnsi="Times New Roman" w:cs="Times New Roman"/>
                <w:color w:val="000000"/>
                <w:sz w:val="18"/>
                <w:szCs w:val="18"/>
                <w:highlight w:val="none"/>
              </w:rPr>
              <w:t xml:space="preserve">GB/T 35607-2017《绿色产品评价 家具》要求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3、电解钢板：符合GB/T 35607-2017《绿色产品评价 家具》、GB/T 11253-2019《碳素结构钢冷轧钢板及钢带》要求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4、结构：6门，上3门下3门，均匀分布，每门内含衣杆，一片活动层板，镜子，每门板上外置毛巾架。</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5、锁具：机构密码锁，符合QB/T 1621-2015《家具锁》要求；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6、铰链：优质金属铰链，指标符合QB/T 2189-2013《家具五金 杯状暗铰链》要求</w:t>
            </w:r>
            <w:r/>
          </w:p>
          <w:p>
            <w:pPr>
              <w:jc w:val="left"/>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7、成品：各项技术指标符合GB/T 3325-2017《金属家具通用技术条件》标准的要求。</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6</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个</w:t>
            </w:r>
            <w:r/>
          </w:p>
        </w:tc>
      </w:tr>
      <w:tr>
        <w:trPr>
          <w:jc w:val="center"/>
          <w:trHeight w:val="90"/>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51</w:t>
            </w:r>
            <w:r/>
          </w:p>
        </w:tc>
        <w:tc>
          <w:tcPr>
            <w:shd w:val="clear" w:color="auto" w:fill="auto"/>
            <w:tcW w:w="77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货架</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tc>
        <w:tc>
          <w:tcPr>
            <w:shd w:val="clear" w:color="auto" w:fill="auto"/>
            <w:tcW w:w="1523"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768350" cy="832485"/>
                      <wp:effectExtent l="0" t="0" r="12700" b="5715"/>
                      <wp:docPr id="50" name="图片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205"/>
                              <pic:cNvPicPr>
                                <a:picLocks noChangeAspect="1"/>
                              </pic:cNvPicPr>
                              <pic:nvPr/>
                            </pic:nvPicPr>
                            <pic:blipFill>
                              <a:blip r:embed="rId53"/>
                              <a:stretch/>
                            </pic:blipFill>
                            <pic:spPr bwMode="auto">
                              <a:xfrm>
                                <a:off x="0" y="0"/>
                                <a:ext cx="768350" cy="8324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60.5pt;height:65.5pt;mso-wrap-distance-left:0.0pt;mso-wrap-distance-top:0.0pt;mso-wrap-distance-right:0.0pt;mso-wrap-distance-bottom:0.0pt;" stroked="f" strokeweight="0.75pt">
                      <v:path textboxrect="0,0,0,0"/>
                      <v:imagedata r:id="rId53"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1500*500*1800</w:t>
            </w:r>
            <w:r/>
          </w:p>
        </w:tc>
        <w:tc>
          <w:tcPr>
            <w:shd w:val="clear" w:color="auto" w:fill="auto"/>
            <w:tcW w:w="5641" w:type="dxa"/>
            <w:vAlign w:val="center"/>
            <w:textDirection w:val="lrTb"/>
            <w:noWrap w:val="false"/>
          </w:tcPr>
          <w:p>
            <w:pPr>
              <w:jc w:val="left"/>
              <w:widowControl/>
              <w:rPr>
                <w:rFonts w:hint="default" w:ascii="Times New Roman" w:hAnsi="Times New Roman" w:cs="Times New Roman"/>
                <w:sz w:val="18"/>
                <w:szCs w:val="18"/>
                <w:highlight w:val="none"/>
              </w:rPr>
            </w:pPr>
            <w:r>
              <w:rPr>
                <w:rFonts w:hint="default" w:ascii="Times New Roman" w:hAnsi="Times New Roman" w:cs="Times New Roman"/>
                <w:sz w:val="18"/>
                <w:szCs w:val="18"/>
              </w:rPr>
              <w:t xml:space="preserve">1、材料：钢板采用电解钢板，经剪切，冲压，折弯，焊接，装配 而成。无甲醛释放量，各零部件、组合件表面应光滑、平整，色泽应一致，漆面</w:t>
            </w:r>
            <w:r>
              <w:rPr>
                <w:rFonts w:hint="default" w:ascii="Times New Roman" w:hAnsi="Times New Roman" w:cs="Times New Roman"/>
                <w:sz w:val="18"/>
                <w:szCs w:val="18"/>
                <w:highlight w:val="none"/>
              </w:rPr>
              <w:t xml:space="preserve">均匀光亮、无任何流挂。</w:t>
            </w:r>
            <w:r/>
          </w:p>
          <w:p>
            <w:pPr>
              <w:jc w:val="lef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2、立柱材料壁厚大于等于1.2mm，横梁厚度大于等于1.5mm.</w:t>
            </w:r>
            <w:r/>
          </w:p>
          <w:p>
            <w:pPr>
              <w:jc w:val="lef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3、层板厚度</w:t>
            </w:r>
            <w:r>
              <w:rPr>
                <w:rFonts w:hint="default" w:ascii="Times New Roman" w:hAnsi="Times New Roman" w:cs="Times New Roman"/>
                <w:sz w:val="18"/>
                <w:szCs w:val="18"/>
                <w:highlight w:val="none"/>
                <w:lang w:val="en-US" w:eastAsia="zh-CN"/>
              </w:rPr>
              <w:t xml:space="preserve">≥1</w:t>
            </w:r>
            <w:r>
              <w:rPr>
                <w:rFonts w:hint="default" w:ascii="Times New Roman" w:hAnsi="Times New Roman" w:cs="Times New Roman"/>
                <w:sz w:val="18"/>
                <w:szCs w:val="18"/>
                <w:highlight w:val="none"/>
              </w:rPr>
              <w:t xml:space="preserve">mm。背部焊有加强筋，增加承重，每层承重大于250kg</w:t>
            </w:r>
            <w:r/>
          </w:p>
          <w:p>
            <w:pPr>
              <w:jc w:val="lef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4、成品：各项指标符合GB/T 3325-2017《金属家具通用技术》要求</w:t>
            </w:r>
            <w:r/>
          </w:p>
          <w:p>
            <w:pPr>
              <w:jc w:val="lef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5、工艺要求：立柱上开蝴蝶孔，方便拆卸组装，可根据需要调整层高。焊接部分采用高标准熔接焊，表面平整光滑，表面经静电粉末喷涂处理</w:t>
            </w:r>
            <w:r/>
          </w:p>
          <w:p>
            <w:pPr>
              <w:jc w:val="lef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6、</w:t>
            </w:r>
            <w:r>
              <w:rPr>
                <w:rFonts w:hint="default" w:ascii="Times New Roman" w:hAnsi="Times New Roman" w:cs="Times New Roman"/>
                <w:sz w:val="18"/>
                <w:szCs w:val="18"/>
                <w:highlight w:val="none"/>
                <w:lang w:val="en-US" w:eastAsia="zh-CN"/>
              </w:rPr>
              <w:t xml:space="preserve">喷涂粉末</w:t>
            </w:r>
            <w:r>
              <w:rPr>
                <w:rFonts w:hint="default" w:ascii="Times New Roman" w:hAnsi="Times New Roman" w:cs="Times New Roman"/>
                <w:sz w:val="18"/>
                <w:szCs w:val="18"/>
                <w:highlight w:val="none"/>
              </w:rPr>
              <w:t xml:space="preserve">：粉末符合HG/T 2006-2022《热固性和热塑性粉末涂料》、GB/T 35607-2017《绿色产品评价 家具》要求</w:t>
            </w:r>
            <w:r>
              <w:rPr>
                <w:rFonts w:hint="default" w:ascii="Times New Roman" w:hAnsi="Times New Roman" w:cs="Times New Roman"/>
                <w:sz w:val="18"/>
                <w:szCs w:val="18"/>
                <w:highlight w:val="none"/>
                <w:lang w:eastAsia="zh-CN"/>
              </w:rPr>
              <w:t xml:space="preserve">，</w:t>
            </w:r>
            <w:r/>
          </w:p>
          <w:p>
            <w:pPr>
              <w:jc w:val="left"/>
              <w:widowControl/>
              <w:rPr>
                <w:rFonts w:hint="default" w:ascii="Times New Roman" w:hAnsi="Times New Roman" w:eastAsia="等线" w:cs="Times New Roman"/>
                <w:sz w:val="18"/>
                <w:szCs w:val="18"/>
              </w:rPr>
            </w:pPr>
            <w:r>
              <w:rPr>
                <w:rFonts w:hint="default" w:ascii="Times New Roman" w:hAnsi="Times New Roman" w:cs="Times New Roman"/>
                <w:sz w:val="18"/>
                <w:szCs w:val="18"/>
                <w:highlight w:val="none"/>
              </w:rPr>
              <w:t xml:space="preserve">7、电解钢板：符合GB/T 35607-2017《绿色产品评价 家具》、GB/T 11253-2019《碳素结构钢冷轧钢板及钢带》要求</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39</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个</w:t>
            </w:r>
            <w:r/>
          </w:p>
        </w:tc>
      </w:tr>
      <w:tr>
        <w:trPr>
          <w:jc w:val="center"/>
          <w:trHeight w:val="450"/>
        </w:trPr>
        <w:tc>
          <w:tcPr>
            <w:gridSpan w:val="7"/>
            <w:shd w:val="clear" w:color="000000" w:fill="104861"/>
            <w:tcW w:w="10301" w:type="dxa"/>
            <w:textDirection w:val="lrTb"/>
            <w:noWrap w:val="false"/>
          </w:tcPr>
          <w:p>
            <w:pPr>
              <w:jc w:val="center"/>
              <w:widowControl/>
              <w:rPr>
                <w:rFonts w:hint="default" w:ascii="Times New Roman" w:hAnsi="Times New Roman" w:eastAsia="等线" w:cs="Times New Roman"/>
                <w:b/>
                <w:bCs/>
                <w:color w:val="ff0000"/>
                <w:sz w:val="18"/>
                <w:szCs w:val="18"/>
              </w:rPr>
            </w:pPr>
            <w:r>
              <w:rPr>
                <w:rFonts w:hint="default" w:ascii="Times New Roman" w:hAnsi="Times New Roman" w:eastAsia="等线" w:cs="Times New Roman"/>
                <w:b/>
                <w:bCs/>
                <w:color w:val="ff0000"/>
                <w:sz w:val="18"/>
                <w:szCs w:val="18"/>
              </w:rPr>
              <w:t xml:space="preserve">护理楼</w:t>
            </w:r>
            <w:r/>
          </w:p>
        </w:tc>
      </w:tr>
      <w:tr>
        <w:trPr>
          <w:jc w:val="center"/>
          <w:trHeight w:val="480"/>
        </w:trPr>
        <w:tc>
          <w:tcPr>
            <w:gridSpan w:val="7"/>
            <w:shd w:val="clear" w:color="000000" w:fill="d9d9d9"/>
            <w:tcW w:w="10301" w:type="dxa"/>
            <w:textDirection w:val="lrTb"/>
            <w:noWrap w:val="false"/>
          </w:tcPr>
          <w:p>
            <w:pPr>
              <w:jc w:val="center"/>
              <w:widowControl/>
              <w:rPr>
                <w:rFonts w:hint="default" w:ascii="Times New Roman" w:hAnsi="Times New Roman" w:eastAsia="等线" w:cs="Times New Roman"/>
                <w:b/>
                <w:bCs/>
                <w:color w:val="2d7dce"/>
                <w:sz w:val="18"/>
                <w:szCs w:val="18"/>
              </w:rPr>
            </w:pPr>
            <w:r>
              <w:rPr>
                <w:rFonts w:hint="default" w:ascii="Times New Roman" w:hAnsi="Times New Roman" w:eastAsia="等线" w:cs="Times New Roman"/>
                <w:b/>
                <w:bCs/>
                <w:color w:val="2d7dce"/>
                <w:sz w:val="18"/>
                <w:szCs w:val="18"/>
              </w:rPr>
              <w:t xml:space="preserve">住房区</w:t>
            </w:r>
            <w:r/>
          </w:p>
        </w:tc>
      </w:tr>
      <w:tr>
        <w:trPr>
          <w:jc w:val="center"/>
          <w:trHeight w:val="90"/>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52</w:t>
            </w:r>
            <w:r/>
          </w:p>
        </w:tc>
        <w:tc>
          <w:tcPr>
            <w:shd w:val="clear" w:color="auto" w:fill="auto"/>
            <w:tcW w:w="771"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适老床（电动护理）</w:t>
            </w:r>
            <w:r/>
          </w:p>
        </w:tc>
        <w:tc>
          <w:tcPr>
            <w:shd w:val="clear" w:color="auto" w:fill="auto"/>
            <w:tcW w:w="1523"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775970" cy="488315"/>
                      <wp:effectExtent l="0" t="0" r="5080" b="6985"/>
                      <wp:docPr id="51" name="ID_CF137005A1A640F485176EAF587A9B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9" name="ID_CF137005A1A640F485176EAF587A9B39"/>
                              <pic:cNvPicPr>
                                <a:picLocks noChangeAspect="1"/>
                              </pic:cNvPicPr>
                              <pic:nvPr/>
                            </pic:nvPicPr>
                            <pic:blipFill>
                              <a:blip r:embed="rId54"/>
                              <a:stretch/>
                            </pic:blipFill>
                            <pic:spPr bwMode="auto">
                              <a:xfrm>
                                <a:off x="0" y="0"/>
                                <a:ext cx="775970" cy="4883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61.1pt;height:38.4pt;mso-wrap-distance-left:0.0pt;mso-wrap-distance-top:0.0pt;mso-wrap-distance-right:0.0pt;mso-wrap-distance-bottom:0.0pt;" stroked="f" strokeweight="0.75pt">
                      <v:path textboxrect="0,0,0,0"/>
                      <v:imagedata r:id="rId54"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2030*1100*1100</w:t>
            </w:r>
            <w:r/>
          </w:p>
          <w:p>
            <w:pPr>
              <w:jc w:val="center"/>
              <w:widowControl/>
              <w:rPr>
                <w:rFonts w:hint="default" w:ascii="Times New Roman" w:hAnsi="Times New Roman" w:eastAsia="等线" w:cs="Times New Roman"/>
                <w:color w:val="000000"/>
                <w:sz w:val="18"/>
                <w:szCs w:val="18"/>
              </w:rPr>
            </w:pPr>
            <w:r>
              <w:rPr>
                <w:rStyle w:val="909"/>
                <w:rFonts w:hint="default" w:ascii="Times New Roman" w:hAnsi="Times New Roman" w:cs="Times New Roman"/>
                <w:sz w:val="18"/>
                <w:szCs w:val="18"/>
                <w:lang w:val="en-US" w:eastAsia="zh-CN"/>
              </w:rPr>
              <w:t xml:space="preserve">坐高420（含床垫）</w:t>
            </w:r>
            <w:r/>
          </w:p>
        </w:tc>
        <w:tc>
          <w:tcPr>
            <w:shd w:val="clear" w:color="auto" w:fill="auto"/>
            <w:tcW w:w="5641" w:type="dxa"/>
            <w:vAlign w:val="center"/>
            <w:textDirection w:val="lrTb"/>
            <w:noWrap w:val="false"/>
          </w:tcPr>
          <w:p>
            <w:pPr>
              <w:jc w:val="left"/>
              <w:widowControl/>
              <w:rPr>
                <w:rFonts w:hint="default" w:ascii="Times New Roman" w:hAnsi="Times New Roman" w:cs="Times New Roman"/>
                <w:b/>
                <w:bCs/>
                <w:color w:val="000000"/>
                <w:sz w:val="18"/>
                <w:szCs w:val="18"/>
              </w:rPr>
            </w:pPr>
            <w:r>
              <w:rPr>
                <w:rFonts w:hint="default" w:ascii="Times New Roman" w:hAnsi="Times New Roman" w:cs="Times New Roman"/>
                <w:b/>
                <w:bCs/>
                <w:color w:val="000000"/>
                <w:sz w:val="18"/>
                <w:szCs w:val="18"/>
              </w:rPr>
              <w:t xml:space="preserve">床体：</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1、结构：床体由前档、侧边围档、床板、调节脚、床靠、护栏、电机、钢框架等部分组成</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2、床体基材：采用橡胶木实木，木榫结构，材质相关参数符合GB/T 3324-2017《木家具通用技术条件》，GB 18584-2001《室内装饰装修材料 木家具中有害物质限量》要求。木材含水率符合国家标准，木材无腐朽或较明显虫眼等瑕疵，符合国家环保标准</w:t>
            </w:r>
            <w:r>
              <w:rPr>
                <w:rFonts w:hint="default" w:ascii="Times New Roman" w:hAnsi="Times New Roman" w:cs="Times New Roman"/>
                <w:color w:val="000000"/>
                <w:sz w:val="18"/>
                <w:szCs w:val="18"/>
                <w:lang w:eastAsia="zh-CN"/>
              </w:rPr>
              <w:t xml:space="preserve">。</w:t>
            </w:r>
            <w:r>
              <w:rPr>
                <w:rFonts w:hint="default" w:ascii="Times New Roman" w:hAnsi="Times New Roman" w:cs="Times New Roman"/>
                <w:color w:val="000000"/>
                <w:sz w:val="18"/>
                <w:szCs w:val="18"/>
              </w:rPr>
              <w:t xml:space="preserve"> 木材均经过刨光、砂光，成品无毛刺、无裂纹，接缝自然，无明显缺口和缝隙</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3、床架：采用钢制床架，三段式，横梁采用40*30mm方管，纵梁采用60*40mm方管，壁厚不小于1.5mm，表面静电粉末喷涂处理，环保、光滑美观，坚固耐用，符合HG/T 2006-2022《热固性和热塑性粉末涂料》、GB/T 35607-2017《绿色产品评价 家具》要求。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4、油漆：水性底漆、水性面漆，整体喷涂漆面，喷漆均匀，表面漆膜平整光亮、无皱皮、发粘和漏漆现象，有害物含量符合GB 18581-2020 《木器涂料中有害物质限量》要求 </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5、床靠海绵：阻燃海绵，厚度大于等于60mm，密度大于40kg/m3，符合GB/T 10802-2023《</w:t>
            </w:r>
            <w:r>
              <w:rPr>
                <w:rFonts w:hint="default" w:ascii="Times New Roman" w:hAnsi="Times New Roman" w:cs="Times New Roman"/>
                <w:color w:val="333333"/>
                <w:sz w:val="18"/>
                <w:szCs w:val="18"/>
                <w:shd w:val="clear" w:color="auto" w:fill="ffffff"/>
              </w:rPr>
              <w:t xml:space="preserve">通用软质聚氨酯泡沫塑料》</w:t>
            </w:r>
            <w:r>
              <w:rPr>
                <w:rFonts w:hint="default" w:ascii="Times New Roman" w:hAnsi="Times New Roman" w:cs="Times New Roman"/>
                <w:color w:val="000000"/>
                <w:sz w:val="18"/>
                <w:szCs w:val="18"/>
              </w:rPr>
              <w:t xml:space="preserve">、GB 8624-2012《建筑材料及制品燃烧性能分级》等标准要求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6、床靠面料：阻燃布料，透气性好，表面无刺触感，平滑舒适，防螨性能优，无明显色差，性能、环保性、质量、防螨等参数符合GB 18401-2010 《国家纺织产品基本安全技术规范》、GB/T 18885-2020《生态纺织品技术要求》、GB/T 24253-2009《纺织品 防螨性能的评价》</w:t>
            </w:r>
            <w:r>
              <w:rPr>
                <w:rFonts w:hint="default" w:ascii="Times New Roman" w:hAnsi="Times New Roman" w:cs="Times New Roman"/>
                <w:color w:val="000000"/>
                <w:sz w:val="18"/>
                <w:szCs w:val="18"/>
                <w:lang w:eastAsia="zh-CN"/>
              </w:rPr>
              <w:t xml:space="preserve">、</w:t>
            </w:r>
            <w:r>
              <w:rPr>
                <w:rFonts w:hint="default" w:ascii="Times New Roman" w:hAnsi="Times New Roman" w:cs="Times New Roman"/>
                <w:color w:val="000000"/>
                <w:sz w:val="18"/>
                <w:szCs w:val="18"/>
              </w:rPr>
              <w:t xml:space="preserve">GB 8624-2012《建筑材料及制品燃烧性能分级》、HJ 2546-2016《环境标志产品技术要求纺织产品》要求。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7、胶黏剂：床靠海绵与木板间采用环保喷胶，符合GB 18583-2008《室内装饰装修材料 胶粘剂中有害物质限量》：HJ 2541-2016《环境标志产品技术要求胶粘剂》；GB 33372-2020《胶粘剂挥发性有机化合物限量》要求。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8、护栏：</w:t>
            </w:r>
            <w:r>
              <w:rPr>
                <w:rFonts w:hint="default" w:ascii="Times New Roman" w:hAnsi="Times New Roman" w:cs="Times New Roman"/>
                <w:color w:val="000000"/>
                <w:sz w:val="18"/>
                <w:szCs w:val="18"/>
                <w:lang w:val="en-US" w:eastAsia="zh-CN"/>
              </w:rPr>
              <w:t xml:space="preserve">尺寸：W1690*H350mm，</w:t>
            </w:r>
            <w:r>
              <w:rPr>
                <w:rFonts w:hint="default" w:ascii="Times New Roman" w:hAnsi="Times New Roman" w:cs="Times New Roman"/>
                <w:color w:val="000000"/>
                <w:sz w:val="18"/>
                <w:szCs w:val="18"/>
              </w:rPr>
              <w:t xml:space="preserve">阻尼折叠护栏，铝合金材质，具有表面光滑，易擦拭，易清洁特点，侧面配有气动弹簧，上下锁紧定位，具有良好的安全性；色彩与床体协调一致；人体工程学把手开关，位置合理，方便使用。</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9、电机：采用24V直流电机采用优质电机系统，性能稳定，平缓静音，耐用寿命长，安全可靠，满足临床急救需求。带有手动操作遥控器，方便医护人员或家属进行操作。</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10、床脚：采用5寸移动万向静音轮，单轮承重300kg以上，带刹车。</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11、配床用餐桌</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12、颜色：淡雅暖色系，与现场环境匹配</w:t>
            </w:r>
            <w:r/>
          </w:p>
          <w:p>
            <w:pPr>
              <w:jc w:val="left"/>
              <w:widowControl/>
              <w:rPr>
                <w:rFonts w:hint="default" w:ascii="Times New Roman" w:hAnsi="Times New Roman" w:cs="Times New Roman"/>
                <w:b/>
                <w:bCs/>
                <w:color w:val="000000"/>
                <w:sz w:val="18"/>
                <w:szCs w:val="18"/>
              </w:rPr>
            </w:pPr>
            <w:r>
              <w:rPr>
                <w:rFonts w:hint="default" w:ascii="Times New Roman" w:hAnsi="Times New Roman" w:cs="Times New Roman"/>
                <w:b/>
                <w:bCs/>
                <w:color w:val="000000"/>
                <w:sz w:val="18"/>
                <w:szCs w:val="18"/>
              </w:rPr>
              <w:t xml:space="preserve">床垫：棕纤维弹性床垫</w:t>
            </w:r>
            <w:r/>
          </w:p>
          <w:p>
            <w:pPr>
              <w:numPr>
                <w:ilvl w:val="0"/>
                <w:numId w:val="0"/>
              </w:numPr>
              <w:jc w:val="left"/>
              <w:widowControl/>
              <w:rPr>
                <w:rFonts w:hint="default" w:ascii="Times New Roman" w:hAnsi="Times New Roman" w:cs="Times New Roman"/>
              </w:rPr>
            </w:pPr>
            <w:r>
              <w:rPr>
                <w:rFonts w:hint="default" w:ascii="Times New Roman" w:hAnsi="Times New Roman" w:cs="Times New Roman"/>
                <w:color w:val="000000"/>
                <w:sz w:val="18"/>
                <w:szCs w:val="18"/>
              </w:rPr>
              <w:t xml:space="preserve">1、尺寸：长度为1900mm</w:t>
            </w:r>
            <w:r>
              <w:rPr>
                <w:rFonts w:hint="default" w:ascii="Times New Roman" w:hAnsi="Times New Roman" w:cs="Times New Roman"/>
                <w:color w:val="000000"/>
                <w:sz w:val="18"/>
                <w:szCs w:val="18"/>
                <w:lang w:eastAsia="zh-CN"/>
              </w:rPr>
              <w:t xml:space="preserve">，</w:t>
            </w:r>
            <w:r>
              <w:rPr>
                <w:rFonts w:hint="default" w:ascii="Times New Roman" w:hAnsi="Times New Roman" w:cs="Times New Roman"/>
                <w:color w:val="000000"/>
                <w:sz w:val="18"/>
                <w:szCs w:val="18"/>
              </w:rPr>
              <w:t xml:space="preserve">宽度与床宽匹配，厚度为</w:t>
            </w:r>
            <w:r>
              <w:rPr>
                <w:rFonts w:hint="default" w:ascii="Times New Roman" w:hAnsi="Times New Roman" w:cs="Times New Roman"/>
                <w:color w:val="000000"/>
                <w:sz w:val="18"/>
                <w:szCs w:val="18"/>
                <w:lang w:val="en-US" w:eastAsia="zh-CN"/>
              </w:rPr>
              <w:t xml:space="preserve">6</w:t>
            </w:r>
            <w:r>
              <w:rPr>
                <w:rFonts w:hint="default" w:ascii="Times New Roman" w:hAnsi="Times New Roman" w:cs="Times New Roman"/>
                <w:color w:val="000000"/>
                <w:sz w:val="18"/>
                <w:szCs w:val="18"/>
              </w:rPr>
              <w:t xml:space="preserve">0mm</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2、面料：阻燃布料，高针织数，透气性好，正面绗缝面料层须至少有 4 层，边缘滚边处理，表面无刺触感，平滑舒适，防螨性能好，无明显色差。</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3、填充物：内芯填充天然椰棕</w:t>
            </w:r>
            <w:r>
              <w:rPr>
                <w:rFonts w:hint="default" w:ascii="Times New Roman" w:hAnsi="Times New Roman" w:cs="Times New Roman"/>
                <w:color w:val="000000"/>
                <w:sz w:val="18"/>
                <w:szCs w:val="18"/>
                <w:lang w:eastAsia="zh-CN"/>
              </w:rPr>
              <w:t xml:space="preserve">，</w:t>
            </w:r>
            <w:r>
              <w:rPr>
                <w:rFonts w:hint="default" w:ascii="Times New Roman" w:hAnsi="Times New Roman" w:cs="Times New Roman"/>
                <w:color w:val="000000"/>
                <w:sz w:val="18"/>
                <w:szCs w:val="18"/>
              </w:rPr>
              <w:t xml:space="preserve">弹性好，软硬均匀,密度不小于60kg/m3</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4、绿色环保，产品各项指标符合：GB/T 35607-2017《绿色产品评价 家具》;GB/T 26706-2011《软体家具 棕纤维弹性床垫》</w:t>
            </w:r>
            <w:r/>
          </w:p>
          <w:p>
            <w:pPr>
              <w:jc w:val="left"/>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5、成品：床体边缘部位倒圆处理，无棱角，降低安全风险，整体结构、安全防护、质量、环保、舒适性、便利性等参数均符合适老化要求，满足医疗护理及急救的功能，同时也体现居家风格。</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235</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套</w:t>
            </w:r>
            <w:r/>
          </w:p>
        </w:tc>
      </w:tr>
      <w:tr>
        <w:trPr>
          <w:jc w:val="center"/>
          <w:trHeight w:val="275"/>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53</w:t>
            </w:r>
            <w:r/>
          </w:p>
        </w:tc>
        <w:tc>
          <w:tcPr>
            <w:shd w:val="clear" w:color="auto" w:fill="auto"/>
            <w:tcW w:w="771"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适老床（电动护理）</w:t>
            </w:r>
            <w:r/>
          </w:p>
        </w:tc>
        <w:tc>
          <w:tcPr>
            <w:shd w:val="clear" w:color="auto" w:fill="auto"/>
            <w:tcW w:w="1523"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770890" cy="569595"/>
                      <wp:effectExtent l="0" t="0" r="10160" b="1905"/>
                      <wp:docPr id="52" name="ID_2C078467C8B04D05BD0DF6459215DA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0" name="ID_2C078467C8B04D05BD0DF6459215DAE5"/>
                              <pic:cNvPicPr>
                                <a:picLocks noChangeAspect="1"/>
                              </pic:cNvPicPr>
                              <pic:nvPr/>
                            </pic:nvPicPr>
                            <pic:blipFill>
                              <a:blip r:embed="rId55"/>
                              <a:stretch/>
                            </pic:blipFill>
                            <pic:spPr bwMode="auto">
                              <a:xfrm>
                                <a:off x="0" y="0"/>
                                <a:ext cx="770890" cy="5695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60.7pt;height:44.8pt;mso-wrap-distance-left:0.0pt;mso-wrap-distance-top:0.0pt;mso-wrap-distance-right:0.0pt;mso-wrap-distance-bottom:0.0pt;" stroked="f" strokeweight="0.75pt">
                      <v:path textboxrect="0,0,0,0"/>
                      <v:imagedata r:id="rId55"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2030*1500*1100</w:t>
            </w:r>
            <w:r/>
          </w:p>
          <w:p>
            <w:pPr>
              <w:jc w:val="center"/>
              <w:widowControl/>
              <w:rPr>
                <w:rFonts w:hint="default" w:ascii="Times New Roman" w:hAnsi="Times New Roman" w:eastAsia="等线" w:cs="Times New Roman"/>
                <w:color w:val="000000"/>
                <w:sz w:val="18"/>
                <w:szCs w:val="18"/>
              </w:rPr>
            </w:pPr>
            <w:r>
              <w:rPr>
                <w:rStyle w:val="909"/>
                <w:rFonts w:hint="default" w:ascii="Times New Roman" w:hAnsi="Times New Roman" w:cs="Times New Roman"/>
                <w:sz w:val="18"/>
                <w:szCs w:val="18"/>
                <w:lang w:val="en-US" w:eastAsia="zh-CN"/>
              </w:rPr>
              <w:t xml:space="preserve">坐高420（含床垫）</w:t>
            </w:r>
            <w:r/>
          </w:p>
        </w:tc>
        <w:tc>
          <w:tcPr>
            <w:shd w:val="clear" w:color="auto" w:fill="auto"/>
            <w:tcW w:w="5641" w:type="dxa"/>
            <w:vAlign w:val="center"/>
            <w:textDirection w:val="lrTb"/>
            <w:noWrap w:val="false"/>
          </w:tcPr>
          <w:p>
            <w:pPr>
              <w:jc w:val="left"/>
              <w:widowControl/>
              <w:rPr>
                <w:rFonts w:hint="default" w:ascii="Times New Roman" w:hAnsi="Times New Roman" w:cs="Times New Roman"/>
                <w:b/>
                <w:bCs/>
                <w:color w:val="000000"/>
                <w:sz w:val="18"/>
                <w:szCs w:val="18"/>
              </w:rPr>
            </w:pPr>
            <w:r>
              <w:rPr>
                <w:rFonts w:hint="default" w:ascii="Times New Roman" w:hAnsi="Times New Roman" w:cs="Times New Roman"/>
                <w:b/>
                <w:bCs/>
                <w:color w:val="000000"/>
                <w:sz w:val="18"/>
                <w:szCs w:val="18"/>
              </w:rPr>
              <w:t xml:space="preserve">床体：</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1、结构：床体由前档、侧边围档、床板、调节脚、床靠、护栏、电机、钢框架等部分组成</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2、床体基材：采用橡胶木实木，木榫结构，材质相关参数符合GB/T 3324-2017《木家具通用技术条件》，GB 18584-2001《室内装饰装修材料 木家具中有害物质限量》要求。木材含水率符合国家标准，木材无腐朽或较明显虫眼等瑕疵，符合国家环保标准</w:t>
            </w:r>
            <w:r>
              <w:rPr>
                <w:rFonts w:hint="default" w:ascii="Times New Roman" w:hAnsi="Times New Roman" w:cs="Times New Roman"/>
                <w:color w:val="000000"/>
                <w:sz w:val="18"/>
                <w:szCs w:val="18"/>
                <w:lang w:eastAsia="zh-CN"/>
              </w:rPr>
              <w:t xml:space="preserve">。</w:t>
            </w:r>
            <w:r>
              <w:rPr>
                <w:rFonts w:hint="default" w:ascii="Times New Roman" w:hAnsi="Times New Roman" w:cs="Times New Roman"/>
                <w:color w:val="000000"/>
                <w:sz w:val="18"/>
                <w:szCs w:val="18"/>
              </w:rPr>
              <w:t xml:space="preserve"> 木材均经过刨光、砂光，成品无毛刺、无裂纹，接缝自然，无明显缺口和缝隙</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3、床架：采用钢制床架，三段式，横梁采用40*30mm方管，纵梁采用60*40mm方管，壁厚不小于1.5mm，表面静电粉末喷涂处理，</w:t>
            </w:r>
            <w:r>
              <w:rPr>
                <w:rFonts w:hint="default" w:ascii="Times New Roman" w:hAnsi="Times New Roman" w:cs="Times New Roman"/>
                <w:color w:val="000000"/>
                <w:sz w:val="18"/>
                <w:szCs w:val="18"/>
                <w:lang w:eastAsia="zh-CN"/>
              </w:rPr>
              <w:t xml:space="preserve">环保、光滑美观，坚固耐用</w:t>
            </w:r>
            <w:r>
              <w:rPr>
                <w:rFonts w:hint="default" w:ascii="Times New Roman" w:hAnsi="Times New Roman" w:cs="Times New Roman"/>
                <w:color w:val="000000"/>
                <w:sz w:val="18"/>
                <w:szCs w:val="18"/>
              </w:rPr>
              <w:t xml:space="preserve">。粉末符合HG/T 2006-2022《热固性和热塑性粉末涂料》、GB/T 35607-2017《绿色产品评价 家具》要求；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4、油漆：水性底漆、水性面漆，整体喷涂漆面，喷漆均匀，表面漆膜平整光亮、无皱皮、发粘和漏漆现象，有害物含量符合GB 18581-2020 《木器涂料中有害物质限量》要求 </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5、床靠海绵：阻燃海绵，厚度大于等于60mm，密度大于40kg/m3，符合GB/T 10802-2023《</w:t>
            </w:r>
            <w:r>
              <w:rPr>
                <w:rFonts w:hint="default" w:ascii="Times New Roman" w:hAnsi="Times New Roman" w:cs="Times New Roman"/>
                <w:color w:val="333333"/>
                <w:sz w:val="18"/>
                <w:szCs w:val="18"/>
                <w:shd w:val="clear" w:color="auto" w:fill="ffffff"/>
              </w:rPr>
              <w:t xml:space="preserve">通用软质聚氨酯泡沫塑料》</w:t>
            </w:r>
            <w:r>
              <w:rPr>
                <w:rFonts w:hint="default" w:ascii="Times New Roman" w:hAnsi="Times New Roman" w:cs="Times New Roman"/>
                <w:color w:val="000000"/>
                <w:sz w:val="18"/>
                <w:szCs w:val="18"/>
              </w:rPr>
              <w:t xml:space="preserve">、GB 8624-2012《建筑材料及制品燃烧性能分级》等标准要求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6、床靠面料：阻燃布料，透气性好，表面无刺触感，平滑舒适，防螨性能优，无明显色差，性能、环保性、质量、防螨等参数符合GB 18401-2010 《国家纺织产品基本安全技术规范》、GB/T 18885-2020《生态纺织品技术要求》</w:t>
            </w:r>
            <w:r>
              <w:rPr>
                <w:rFonts w:hint="default" w:ascii="Times New Roman" w:hAnsi="Times New Roman" w:cs="Times New Roman"/>
                <w:color w:val="000000"/>
                <w:sz w:val="18"/>
                <w:szCs w:val="18"/>
                <w:lang w:eastAsia="zh-CN"/>
              </w:rPr>
              <w:t xml:space="preserve">、</w:t>
            </w:r>
            <w:r>
              <w:rPr>
                <w:rFonts w:hint="default" w:ascii="Times New Roman" w:hAnsi="Times New Roman" w:cs="Times New Roman"/>
                <w:color w:val="000000"/>
                <w:sz w:val="18"/>
                <w:szCs w:val="18"/>
              </w:rPr>
              <w:t xml:space="preserve">GB/T 24253-2009《纺织品 防螨性能的评价》、GB 8624-2012《建筑材料及制品燃烧性能分级》、HJ 2546-2016《环境标志产品技术要求纺织产品》要求。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7、胶黏剂：床靠海绵与木板间采用环保喷胶，符合GB 18583-2008《室内装饰装修材料 胶粘剂中有害物质限量》：HJ 2541-2016《环境标志产品技术要求胶粘剂》；GB 33372-2020《胶粘剂挥发性有机化合物限量》要求。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8、护栏：</w:t>
            </w:r>
            <w:r>
              <w:rPr>
                <w:rFonts w:hint="default" w:ascii="Times New Roman" w:hAnsi="Times New Roman" w:cs="Times New Roman"/>
                <w:color w:val="000000"/>
                <w:sz w:val="18"/>
                <w:szCs w:val="18"/>
                <w:lang w:val="en-US" w:eastAsia="zh-CN"/>
              </w:rPr>
              <w:t xml:space="preserve">尺寸为W1690*H350mm，</w:t>
            </w:r>
            <w:r>
              <w:rPr>
                <w:rFonts w:hint="default" w:ascii="Times New Roman" w:hAnsi="Times New Roman" w:cs="Times New Roman"/>
                <w:color w:val="000000"/>
                <w:sz w:val="18"/>
                <w:szCs w:val="18"/>
              </w:rPr>
              <w:t xml:space="preserve">阻尼折叠护栏，铝合金材质，具有表面光滑，易擦拭，易清洁特点，侧面配有气动弹簧，上下锁紧定位，具有良好的安全性；色彩与床体协调一致；人体工程学把手开关，位置合理，方便使用。</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9、电机：采用24V直流电机采用优质电机系统，性能稳定，平缓静音，耐用寿命长，安全可靠，满足临床急救需求。带有手动操作遥控器，方便医护人员或家属进行操作。</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10、床脚：采用5寸移动万向静音轮，单轮承重300kg以上，带刹车。</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11、配床用餐桌</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12、颜色：淡雅暖色系，与现场环境匹配</w:t>
            </w:r>
            <w:r/>
          </w:p>
          <w:p>
            <w:pPr>
              <w:jc w:val="left"/>
              <w:widowControl/>
              <w:rPr>
                <w:rFonts w:hint="default" w:ascii="Times New Roman" w:hAnsi="Times New Roman" w:cs="Times New Roman"/>
                <w:b/>
                <w:bCs/>
                <w:color w:val="000000"/>
                <w:sz w:val="18"/>
                <w:szCs w:val="18"/>
              </w:rPr>
            </w:pPr>
            <w:r>
              <w:rPr>
                <w:rFonts w:hint="default" w:ascii="Times New Roman" w:hAnsi="Times New Roman" w:cs="Times New Roman"/>
                <w:b/>
                <w:bCs/>
                <w:color w:val="000000"/>
                <w:sz w:val="18"/>
                <w:szCs w:val="18"/>
              </w:rPr>
              <w:t xml:space="preserve">床垫：棕纤维弹性床垫</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1、尺寸：长度为1900mm,宽度与床宽匹配，厚度为</w:t>
            </w:r>
            <w:r>
              <w:rPr>
                <w:rFonts w:hint="default" w:ascii="Times New Roman" w:hAnsi="Times New Roman" w:cs="Times New Roman"/>
                <w:color w:val="000000"/>
                <w:sz w:val="18"/>
                <w:szCs w:val="18"/>
                <w:lang w:val="en-US" w:eastAsia="zh-CN"/>
              </w:rPr>
              <w:t xml:space="preserve">6</w:t>
            </w:r>
            <w:r>
              <w:rPr>
                <w:rFonts w:hint="default" w:ascii="Times New Roman" w:hAnsi="Times New Roman" w:cs="Times New Roman"/>
                <w:color w:val="000000"/>
                <w:sz w:val="18"/>
                <w:szCs w:val="18"/>
              </w:rPr>
              <w:t xml:space="preserve">0mm</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2、面料：阻燃布料，高针织数，透气性好，正面绗缝面料层须至少有 4 层，边缘滚边处理，表面无刺触感，平滑舒适，防螨性能好，无明显色差。</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3、填充物：内芯填充天然椰棕</w:t>
            </w:r>
            <w:r>
              <w:rPr>
                <w:rFonts w:hint="default" w:ascii="Times New Roman" w:hAnsi="Times New Roman" w:cs="Times New Roman"/>
                <w:color w:val="000000"/>
                <w:sz w:val="18"/>
                <w:szCs w:val="18"/>
                <w:lang w:eastAsia="zh-CN"/>
              </w:rPr>
              <w:t xml:space="preserve">，</w:t>
            </w:r>
            <w:r>
              <w:rPr>
                <w:rFonts w:hint="default" w:ascii="Times New Roman" w:hAnsi="Times New Roman" w:cs="Times New Roman"/>
                <w:color w:val="000000"/>
                <w:sz w:val="18"/>
                <w:szCs w:val="18"/>
              </w:rPr>
              <w:t xml:space="preserve">弹性好，软硬均匀,密度不小于60kg/m3</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4、绿色环保，产品各项指标符合：GB/T 35607-2017《绿色产品评价 家具》;GB/T 26706-2011《软体家具 棕纤维弹性床垫》</w:t>
            </w:r>
            <w:r/>
          </w:p>
          <w:p>
            <w:pPr>
              <w:jc w:val="left"/>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5、成品：床体边缘部位倒圆处理，无棱角，降低安全风险，整体结构、安全防护、质量、环保、舒适性、便利性等参数均符合适老化要求，满足医疗护理的功能，同时也体现居家风格。</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8</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套</w:t>
            </w:r>
            <w:r/>
          </w:p>
        </w:tc>
      </w:tr>
      <w:tr>
        <w:trPr>
          <w:jc w:val="center"/>
          <w:trHeight w:val="350"/>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54</w:t>
            </w:r>
            <w:r/>
          </w:p>
        </w:tc>
        <w:tc>
          <w:tcPr>
            <w:shd w:val="clear" w:color="auto" w:fill="auto"/>
            <w:tcW w:w="771"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适老床头柜</w:t>
            </w:r>
            <w:r/>
          </w:p>
        </w:tc>
        <w:tc>
          <w:tcPr>
            <w:shd w:val="clear" w:color="auto" w:fill="auto"/>
            <w:tcW w:w="1523"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572770" cy="591185"/>
                      <wp:effectExtent l="0" t="0" r="17780" b="18415"/>
                      <wp:docPr id="53" name="ID_0DC8067FBDA24EC79613AF9EA9779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6" name="ID_0DC8067FBDA24EC79613AF9EA9779499"/>
                              <pic:cNvPicPr>
                                <a:picLocks noChangeAspect="1"/>
                              </pic:cNvPicPr>
                              <pic:nvPr/>
                            </pic:nvPicPr>
                            <pic:blipFill>
                              <a:blip r:embed="rId15"/>
                              <a:stretch/>
                            </pic:blipFill>
                            <pic:spPr bwMode="auto">
                              <a:xfrm>
                                <a:off x="0" y="0"/>
                                <a:ext cx="572770" cy="5911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45.1pt;height:46.5pt;mso-wrap-distance-left:0.0pt;mso-wrap-distance-top:0.0pt;mso-wrap-distance-right:0.0pt;mso-wrap-distance-bottom:0.0pt;" stroked="f" strokeweight="0.75pt">
                      <v:path textboxrect="0,0,0,0"/>
                      <v:imagedata r:id="rId15"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420*400*600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1、结构：顶板（有挡边），中空层，双层抽屉</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2、柜体基材：采用橡胶木实木，厚度18mm,材质相关参数符合GB/T 3324-2017《木家具通用技术条件》，GB 18584-2001《室内装饰装修材料 木家具中有害物质限量》要求。木材含水率符合国家标准，木材无腐朽或较明显虫眼等瑕疵，符合国家环保标准</w:t>
            </w:r>
            <w:r>
              <w:rPr>
                <w:rFonts w:hint="default" w:ascii="Times New Roman" w:hAnsi="Times New Roman" w:cs="Times New Roman"/>
                <w:color w:val="000000"/>
                <w:sz w:val="18"/>
                <w:szCs w:val="18"/>
                <w:lang w:eastAsia="zh-CN"/>
              </w:rPr>
              <w:t xml:space="preserve">。</w:t>
            </w:r>
            <w:r>
              <w:rPr>
                <w:rFonts w:hint="default" w:ascii="Times New Roman" w:hAnsi="Times New Roman" w:cs="Times New Roman"/>
                <w:color w:val="000000"/>
                <w:sz w:val="18"/>
                <w:szCs w:val="18"/>
              </w:rPr>
              <w:t xml:space="preserve"> 木材均经过刨光、砂光，成品无毛刺、无裂纹，接缝自然，无明显缺口和缝隙</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3、油漆：水性底漆、水性面漆，整体喷涂漆面，喷漆均匀，表面漆膜平整光亮、无皱皮、发粘和漏漆现象，有害物含量符合GB 18581-2020 《木器涂料中有害物质限量》要求 </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4、导轨：优质三节导轨，符合QB/T 2454-2013《家具五金 抽屉导轨》要求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5、锁具：抽屉带锁，优质锁具，符合QB/T 1621-2015《家具锁》要求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GB/T 35607-2017《绿色产品评价 家具》</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6、调节脚：金属调节脚，调节脚底部为PP塑料，螺杆为钢制螺杆。</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7、连接件：金属三合一连接件，耐腐蚀性强。符合QB/T 3832-1999《轻工产品金属镀层腐蚀试验结果的评价》的要求，达到10级。</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8、其他要求：边缘部位倒圆处理，无棱角，降低安全风险，整体结构、安全防护、质量、环保、舒适性、便利性等参数均须符合适老化要求</w:t>
            </w:r>
            <w:r/>
          </w:p>
          <w:p>
            <w:pPr>
              <w:jc w:val="left"/>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9、颜色：淡雅暖色系，与现场环境匹配</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250</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个</w:t>
            </w:r>
            <w:r/>
          </w:p>
        </w:tc>
      </w:tr>
      <w:tr>
        <w:trPr>
          <w:jc w:val="center"/>
          <w:trHeight w:val="1355"/>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55</w:t>
            </w:r>
            <w:r/>
          </w:p>
        </w:tc>
        <w:tc>
          <w:tcPr>
            <w:shd w:val="clear" w:color="auto" w:fill="auto"/>
            <w:tcW w:w="771"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电视柜</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735330" cy="720090"/>
                      <wp:effectExtent l="0" t="0" r="7620" b="3810"/>
                      <wp:docPr id="54" name="ID_3C66071BFA04483B87C41C8AF285CD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D_3C66071BFA04483B87C41C8AF285CD10"/>
                              <pic:cNvPicPr>
                                <a:picLocks noChangeAspect="1"/>
                              </pic:cNvPicPr>
                              <pic:nvPr/>
                            </pic:nvPicPr>
                            <pic:blipFill>
                              <a:blip r:embed="rId56"/>
                              <a:stretch/>
                            </pic:blipFill>
                            <pic:spPr bwMode="auto">
                              <a:xfrm>
                                <a:off x="0" y="0"/>
                                <a:ext cx="735330" cy="7200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57.9pt;height:56.7pt;mso-wrap-distance-left:0.0pt;mso-wrap-distance-top:0.0pt;mso-wrap-distance-right:0.0pt;mso-wrap-distance-bottom:0.0pt;" stroked="f" strokeweight="0.75pt">
                      <v:path textboxrect="0,0,0,0"/>
                      <v:imagedata r:id="rId56"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1500*400*800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1、基材：采用橡胶木实木，厚度18mm,材质相关参数符合GB/T 3324-2017《木家具通用技术条件》，GB 18584-2001《室内装饰装修材料 木家具中有害物质限量》要求。木材含水率符合国家标准，木材无腐朽或较明显虫眼等瑕疵，符合国家环保标准</w:t>
            </w:r>
            <w:r>
              <w:rPr>
                <w:rFonts w:hint="default" w:ascii="Times New Roman" w:hAnsi="Times New Roman" w:cs="Times New Roman"/>
                <w:color w:val="000000"/>
                <w:sz w:val="18"/>
                <w:szCs w:val="18"/>
                <w:lang w:eastAsia="zh-CN"/>
              </w:rPr>
              <w:t xml:space="preserve">。</w:t>
            </w:r>
            <w:r>
              <w:rPr>
                <w:rFonts w:hint="default" w:ascii="Times New Roman" w:hAnsi="Times New Roman" w:cs="Times New Roman"/>
                <w:color w:val="000000"/>
                <w:sz w:val="18"/>
                <w:szCs w:val="18"/>
              </w:rPr>
              <w:t xml:space="preserve"> 木材均经过刨光、砂光，成品无毛刺、无裂纹，接缝自然，无明显缺口和缝隙；</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2、油漆：水性底漆、水性面漆，整体喷涂漆面，喷漆均匀，表面漆膜平整光亮、无皱皮、发粘和漏漆现象，有害物含量符合GB 18581-2020 《木器涂料中有害物质限量》要求；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3、连接件：金属三合一连接件，耐腐蚀性强。符合QB/T 3832-1999《轻工产品金属镀层腐蚀试验结果的评价》的要求，达到10级。</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4、结构：柜面顶部有挡边，中部四格抽屉柜，下部双边双开木掩门；配锁具</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5、锁具：柜门带锁，优质锁具，符合QB/T 1621-2015《家具锁》要求；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6、其他要求：边缘部位倒圆处理，无棱角，降低安全风险，整体结构、安全防护、质量、环保、舒适性、便利性等参数均须符合适老化要求；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7、铰链：优质金属铰链，指标符合QB/T 2189-2013《家具五金 杯状暗铰链》要求</w:t>
            </w:r>
            <w:r/>
          </w:p>
          <w:p>
            <w:pPr>
              <w:jc w:val="left"/>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8、成品：各项技术指标符合GB/T 3324-2017《木家具通用技术条件》标准的要求；边缘部位倒圆处理，无棱角，降低安全风险，整体结构、安全防护、质量、环保、舒适性、便利性等参数均须符合适老化要求</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8</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个</w:t>
            </w:r>
            <w:r/>
          </w:p>
        </w:tc>
      </w:tr>
      <w:tr>
        <w:trPr>
          <w:jc w:val="center"/>
          <w:trHeight w:val="4002"/>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56</w:t>
            </w:r>
            <w:r/>
          </w:p>
        </w:tc>
        <w:tc>
          <w:tcPr>
            <w:shd w:val="clear" w:color="auto" w:fill="auto"/>
            <w:tcW w:w="771"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休闲沙发（双人位）　</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802640" cy="624205"/>
                      <wp:effectExtent l="0" t="0" r="16510" b="4445"/>
                      <wp:docPr id="55" name="ID_B586B3F8306C400283743A6AD30DFC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D_B586B3F8306C400283743A6AD30DFCB0"/>
                              <pic:cNvPicPr>
                                <a:picLocks noChangeAspect="1"/>
                              </pic:cNvPicPr>
                              <pic:nvPr/>
                            </pic:nvPicPr>
                            <pic:blipFill>
                              <a:blip r:embed="rId57"/>
                              <a:srcRect l="11040" t="0" r="6494" b="-2822"/>
                              <a:stretch/>
                            </pic:blipFill>
                            <pic:spPr bwMode="auto">
                              <a:xfrm>
                                <a:off x="0" y="0"/>
                                <a:ext cx="802640" cy="62420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63.2pt;height:49.1pt;mso-wrap-distance-left:0.0pt;mso-wrap-distance-top:0.0pt;mso-wrap-distance-right:0.0pt;mso-wrap-distance-bottom:0.0pt;" stroked="f" strokeweight="0.75pt">
                      <v:path textboxrect="0,0,0,0"/>
                      <v:imagedata r:id="rId57"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1480*780*800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1、尺寸：</w:t>
            </w:r>
            <w:r>
              <w:rPr>
                <w:rFonts w:hint="default" w:ascii="Times New Roman" w:hAnsi="Times New Roman" w:eastAsia="等线" w:cs="Times New Roman"/>
                <w:color w:val="000000"/>
                <w:sz w:val="18"/>
                <w:szCs w:val="18"/>
              </w:rPr>
              <w:t xml:space="preserve">1480*780*400/800（</w:t>
            </w:r>
            <w:r>
              <w:rPr>
                <w:rFonts w:hint="default" w:ascii="Times New Roman" w:hAnsi="Times New Roman" w:cs="Times New Roman"/>
                <w:color w:val="000000"/>
                <w:sz w:val="18"/>
                <w:szCs w:val="18"/>
              </w:rPr>
              <w:t xml:space="preserve">坐高4</w:t>
            </w:r>
            <w:r>
              <w:rPr>
                <w:rFonts w:hint="default" w:ascii="Times New Roman" w:hAnsi="Times New Roman" w:cs="Times New Roman"/>
                <w:color w:val="000000"/>
                <w:sz w:val="18"/>
                <w:szCs w:val="18"/>
                <w:lang w:val="en-US" w:eastAsia="zh-CN"/>
              </w:rPr>
              <w:t xml:space="preserve">2</w:t>
            </w:r>
            <w:r>
              <w:rPr>
                <w:rFonts w:hint="default" w:ascii="Times New Roman" w:hAnsi="Times New Roman" w:cs="Times New Roman"/>
                <w:color w:val="000000"/>
                <w:sz w:val="18"/>
                <w:szCs w:val="18"/>
              </w:rPr>
              <w:t xml:space="preserve">0mm</w:t>
            </w:r>
            <w:r>
              <w:rPr>
                <w:rFonts w:hint="default" w:ascii="Times New Roman" w:hAnsi="Times New Roman" w:eastAsia="等线" w:cs="Times New Roman"/>
                <w:color w:val="000000"/>
                <w:sz w:val="18"/>
                <w:szCs w:val="18"/>
              </w:rPr>
              <w:t xml:space="preserve">）</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2、饰面：优质超纤皮，表面纹理清晰，具有良好的色牢度、耐光耐磨性、透气性等特性  </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3、海绵：阻燃海绵，厚度不小于100mm，密度大于40kg/m3，回弹力大于50%，符合GB/T 10802-2023《通用软质聚氨酯泡沫塑料》、GB 8624-2012《建筑材料及制品燃烧性能分级》等标准要求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4、内部框架：橡胶木实木框架：采用榫卯结构，表面平整，无毛刺。木材含水率符合国家标准，木材无腐朽或较明显虫眼等瑕疵，符合国家环保标准</w:t>
            </w:r>
            <w:r>
              <w:rPr>
                <w:rFonts w:hint="default" w:ascii="Times New Roman" w:hAnsi="Times New Roman" w:cs="Times New Roman"/>
                <w:color w:val="000000"/>
                <w:sz w:val="18"/>
                <w:szCs w:val="18"/>
                <w:lang w:eastAsia="zh-CN"/>
              </w:rPr>
              <w:t xml:space="preserve">。</w:t>
            </w:r>
            <w:r>
              <w:rPr>
                <w:rFonts w:hint="default" w:ascii="Times New Roman" w:hAnsi="Times New Roman" w:cs="Times New Roman"/>
                <w:color w:val="000000"/>
                <w:sz w:val="18"/>
                <w:szCs w:val="18"/>
              </w:rPr>
              <w:t xml:space="preserve"> 木材均经过刨光、砂光，成品无毛刺、无裂纹，接缝自然，无明显缺口和缝隙</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5、胶粘剂：环保型喷胶，符合GB 18583-2008《室内装饰装修材料 胶粘剂中有害物质限量》、HJ 2541-2016《环境标志产品技术要求胶粘剂》；GB 33372-2020《胶粘剂挥发性有机化合物限量》要求。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6、沙发脚：橡胶木实木沙发脚。</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7、扶手：橡胶木实木</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8、颜色：淡雅暖色系，与现场环境匹配</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9、成品：各项技术指标符合QB/T 1952.1-2023《软体家具沙发》 标准的要求。</w:t>
            </w:r>
            <w:r/>
          </w:p>
          <w:p>
            <w:pPr>
              <w:jc w:val="left"/>
              <w:widowControl/>
              <w:rPr>
                <w:rFonts w:hint="default" w:ascii="Times New Roman" w:hAnsi="Times New Roman" w:cs="Times New Roman"/>
                <w:b/>
                <w:bCs/>
                <w:color w:val="ff0000"/>
                <w:spacing w:val="2"/>
                <w:sz w:val="18"/>
                <w:szCs w:val="18"/>
                <w:highlight w:val="yellow"/>
              </w:rPr>
            </w:pPr>
            <w:r>
              <w:rPr>
                <w:rFonts w:hint="default" w:ascii="Times New Roman" w:hAnsi="Times New Roman" w:cs="Times New Roman"/>
                <w:color w:val="000000"/>
                <w:sz w:val="18"/>
                <w:szCs w:val="18"/>
              </w:rPr>
              <w:t xml:space="preserve">10、其他：边缘部位倒圆处理，无棱角，降低安全风险，整体结构、安全防护、质量、环保、舒适性、便利性等参数均须符合适老化要求</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8</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张</w:t>
            </w:r>
            <w:r/>
          </w:p>
        </w:tc>
      </w:tr>
      <w:tr>
        <w:trPr>
          <w:jc w:val="center"/>
          <w:trHeight w:val="1395"/>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57</w:t>
            </w:r>
            <w:r/>
          </w:p>
        </w:tc>
        <w:tc>
          <w:tcPr>
            <w:shd w:val="clear" w:color="auto" w:fill="auto"/>
            <w:tcW w:w="771"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　</w:t>
            </w:r>
            <w:r/>
          </w:p>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休闲沙发（单人位）</w:t>
            </w:r>
            <w:r/>
          </w:p>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　</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764540" cy="541020"/>
                      <wp:effectExtent l="0" t="0" r="16510" b="11430"/>
                      <wp:docPr id="56" name="ID_5639BF3C808349A78391FB8C3A1990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D_5639BF3C808349A78391FB8C3A1990F0"/>
                              <pic:cNvPicPr>
                                <a:picLocks noChangeAspect="1"/>
                              </pic:cNvPicPr>
                              <pic:nvPr/>
                            </pic:nvPicPr>
                            <pic:blipFill>
                              <a:blip r:embed="rId18"/>
                              <a:stretch/>
                            </pic:blipFill>
                            <pic:spPr bwMode="auto">
                              <a:xfrm>
                                <a:off x="0" y="0"/>
                                <a:ext cx="764540" cy="5410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60.2pt;height:42.6pt;mso-wrap-distance-left:0.0pt;mso-wrap-distance-top:0.0pt;mso-wrap-distance-right:0.0pt;mso-wrap-distance-bottom:0.0pt;" stroked="f" strokeweight="0.75pt">
                      <v:path textboxrect="0,0,0,0"/>
                      <v:imagedata r:id="rId18"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840*780*800</w:t>
            </w:r>
            <w:r/>
          </w:p>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r>
            <w:r/>
          </w:p>
        </w:tc>
        <w:tc>
          <w:tcPr>
            <w:shd w:val="clear" w:color="auto" w:fill="auto"/>
            <w:tcW w:w="5641" w:type="dxa"/>
            <w:vAlign w:val="center"/>
            <w:textDirection w:val="lrTb"/>
            <w:noWrap w:val="false"/>
          </w:tcPr>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1、尺寸：</w:t>
            </w:r>
            <w:r>
              <w:rPr>
                <w:rFonts w:hint="default" w:ascii="Times New Roman" w:hAnsi="Times New Roman" w:cs="Times New Roman"/>
                <w:color w:val="000000"/>
                <w:sz w:val="18"/>
                <w:szCs w:val="18"/>
              </w:rPr>
              <w:t xml:space="preserve">840*780*800（</w:t>
            </w:r>
            <w:r>
              <w:rPr>
                <w:rFonts w:hint="default" w:ascii="Times New Roman" w:hAnsi="Times New Roman" w:cs="Times New Roman"/>
                <w:sz w:val="18"/>
                <w:szCs w:val="18"/>
              </w:rPr>
              <w:t xml:space="preserve">坐高4</w:t>
            </w:r>
            <w:r>
              <w:rPr>
                <w:rFonts w:hint="default" w:ascii="Times New Roman" w:hAnsi="Times New Roman" w:cs="Times New Roman"/>
                <w:sz w:val="18"/>
                <w:szCs w:val="18"/>
                <w:lang w:val="en-US" w:eastAsia="zh-CN"/>
              </w:rPr>
              <w:t xml:space="preserve">2</w:t>
            </w:r>
            <w:r>
              <w:rPr>
                <w:rFonts w:hint="default" w:ascii="Times New Roman" w:hAnsi="Times New Roman" w:cs="Times New Roman"/>
                <w:sz w:val="18"/>
                <w:szCs w:val="18"/>
              </w:rPr>
              <w:t xml:space="preserve">0mm）</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2、饰面：优质超纤皮，表面纹理清晰，具有良好的色牢度、耐光耐磨性、透气性等 </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3、海绵：阻燃海绵，厚度不小于100mm，密度大于40kg/m3，回弹力大于50%，符合GB/T 10802-2023</w:t>
            </w:r>
            <w:r>
              <w:rPr>
                <w:rFonts w:hint="default" w:ascii="Times New Roman" w:hAnsi="Times New Roman" w:cs="Times New Roman"/>
                <w:color w:val="000000"/>
                <w:sz w:val="18"/>
                <w:szCs w:val="18"/>
              </w:rPr>
              <w:t xml:space="preserve">《</w:t>
            </w:r>
            <w:r>
              <w:rPr>
                <w:rFonts w:hint="default" w:ascii="Times New Roman" w:hAnsi="Times New Roman" w:cs="Times New Roman"/>
                <w:color w:val="333333"/>
                <w:sz w:val="18"/>
                <w:szCs w:val="18"/>
                <w:shd w:val="clear" w:color="auto" w:fill="ffffff"/>
              </w:rPr>
              <w:t xml:space="preserve">通用软质聚氨酯泡沫塑料》</w:t>
            </w:r>
            <w:r>
              <w:rPr>
                <w:rFonts w:hint="default" w:ascii="Times New Roman" w:hAnsi="Times New Roman" w:cs="Times New Roman"/>
                <w:sz w:val="18"/>
                <w:szCs w:val="18"/>
              </w:rPr>
              <w:t xml:space="preserve">GB 8624-2012《建筑材料及制品燃烧性能分级》等标准要求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4、内部框架：橡胶木实木框架：采用榫卯结构，表面平整，无毛刺。</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5、胶粘剂：环保型喷胶，符合GB 18583-2008《室内装饰装修材料 胶粘剂中有害物质限量》、HJ 2541-2016《环境标志产品技术要求胶粘剂》、GB 33372-2020《胶粘剂挥发性有机化合物限量》要求。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6、沙发脚：橡胶木实木沙发脚。</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sz w:val="18"/>
                <w:szCs w:val="18"/>
              </w:rPr>
              <w:t xml:space="preserve">7、椅架及扶手：橡胶木实木，木材相关参数符合GB/T 3324-2017《木家具通用技术条件》，GB 18584-2001《室内装饰装修材料 木家具中有害物质限量》。</w:t>
            </w:r>
            <w:r>
              <w:rPr>
                <w:rFonts w:hint="default" w:ascii="Times New Roman" w:hAnsi="Times New Roman" w:cs="Times New Roman"/>
                <w:color w:val="000000"/>
                <w:sz w:val="18"/>
                <w:szCs w:val="18"/>
              </w:rPr>
              <w:t xml:space="preserve">木材含水率符合国家标准，木材无腐朽或较明显虫眼等瑕疵，符合国家环保标准</w:t>
            </w:r>
            <w:r>
              <w:rPr>
                <w:rFonts w:hint="default" w:ascii="Times New Roman" w:hAnsi="Times New Roman" w:cs="Times New Roman"/>
                <w:color w:val="000000"/>
                <w:sz w:val="18"/>
                <w:szCs w:val="18"/>
                <w:lang w:eastAsia="zh-CN"/>
              </w:rPr>
              <w:t xml:space="preserve">。</w:t>
            </w:r>
            <w:r>
              <w:rPr>
                <w:rFonts w:hint="default" w:ascii="Times New Roman" w:hAnsi="Times New Roman" w:cs="Times New Roman"/>
                <w:color w:val="000000"/>
                <w:sz w:val="18"/>
                <w:szCs w:val="18"/>
              </w:rPr>
              <w:t xml:space="preserve"> 木材均经过刨光、砂光，成品无毛刺、无裂纹，接缝自然，无明显缺口和缝隙。</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8、颜色：淡雅暖色系，与现场环境匹配</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9、成品：各项技术指标符合QB/T 1952.1-2023《软体家具沙发》 标准的要求。</w:t>
            </w:r>
            <w:r/>
          </w:p>
          <w:p>
            <w:pPr>
              <w:jc w:val="left"/>
              <w:widowControl/>
              <w:rPr>
                <w:rFonts w:hint="default" w:ascii="Times New Roman" w:hAnsi="Times New Roman" w:cs="Times New Roman"/>
                <w:b/>
                <w:bCs/>
                <w:color w:val="ff0000"/>
                <w:spacing w:val="2"/>
                <w:sz w:val="18"/>
                <w:szCs w:val="18"/>
                <w:highlight w:val="yellow"/>
              </w:rPr>
            </w:pPr>
            <w:r>
              <w:rPr>
                <w:rFonts w:hint="default" w:ascii="Times New Roman" w:hAnsi="Times New Roman" w:cs="Times New Roman"/>
                <w:sz w:val="18"/>
                <w:szCs w:val="18"/>
              </w:rPr>
              <w:t xml:space="preserve">10、其他：边缘部位倒圆处理，无棱角，降低安全风险，整体结构、安全防护、质量、环保、舒适性、便利性等参数均须符合适老化要求</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16</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张</w:t>
            </w:r>
            <w:r/>
          </w:p>
        </w:tc>
      </w:tr>
      <w:tr>
        <w:trPr>
          <w:jc w:val="center"/>
          <w:trHeight w:val="3135"/>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58</w:t>
            </w:r>
            <w:r/>
          </w:p>
        </w:tc>
        <w:tc>
          <w:tcPr>
            <w:shd w:val="clear" w:color="auto" w:fill="auto"/>
            <w:tcW w:w="771"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　</w:t>
            </w:r>
            <w:r/>
          </w:p>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椭圆形长茶几</w:t>
            </w:r>
            <w:r/>
          </w:p>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　</w:t>
            </w:r>
            <w:r/>
          </w:p>
        </w:tc>
        <w:tc>
          <w:tcPr>
            <w:shd w:val="clear" w:color="auto" w:fill="auto"/>
            <w:tcW w:w="1523"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805180" cy="507365"/>
                      <wp:effectExtent l="0" t="0" r="13970" b="6985"/>
                      <wp:docPr id="57" name="图片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3" name="图片 220"/>
                              <pic:cNvPicPr>
                                <a:picLocks noChangeAspect="1"/>
                              </pic:cNvPicPr>
                              <pic:nvPr/>
                            </pic:nvPicPr>
                            <pic:blipFill>
                              <a:blip r:embed="rId26"/>
                              <a:stretch/>
                            </pic:blipFill>
                            <pic:spPr bwMode="auto">
                              <a:xfrm>
                                <a:off x="0" y="0"/>
                                <a:ext cx="805180" cy="5073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63.4pt;height:39.9pt;mso-wrap-distance-left:0.0pt;mso-wrap-distance-top:0.0pt;mso-wrap-distance-right:0.0pt;mso-wrap-distance-bottom:0.0pt;" stroked="f" strokeweight="0.75pt">
                      <v:path textboxrect="0,0,0,0"/>
                      <v:imagedata r:id="rId26"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1200*600*500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1、结构：上下双层托盘，上托盘有档边，四足结构。</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2、基材：采用橡胶木实木，木榫结构，材质相关参数符合GB/T 3324-2017《木家具通用技术条件》，GB 18584-2001《室内装饰装修材料 木家具中有害物质限量》要求。木材含水率符合国家标准，木材无腐朽或较明显虫眼等瑕疵，符合国家环保标准</w:t>
            </w:r>
            <w:r>
              <w:rPr>
                <w:rFonts w:hint="default" w:ascii="Times New Roman" w:hAnsi="Times New Roman" w:cs="Times New Roman"/>
                <w:color w:val="000000"/>
                <w:sz w:val="18"/>
                <w:szCs w:val="18"/>
                <w:lang w:eastAsia="zh-CN"/>
              </w:rPr>
              <w:t xml:space="preserve">。</w:t>
            </w:r>
            <w:r>
              <w:rPr>
                <w:rFonts w:hint="default" w:ascii="Times New Roman" w:hAnsi="Times New Roman" w:cs="Times New Roman"/>
                <w:color w:val="000000"/>
                <w:sz w:val="18"/>
                <w:szCs w:val="18"/>
              </w:rPr>
              <w:t xml:space="preserve"> 木材均经过刨光、砂光，成品无毛刺、无裂纹，接缝自然，无明显缺口和缝隙</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3、油漆：水性底漆、水性面漆，整体喷涂漆面，喷漆均匀，表面漆膜平整光亮、无皱皮、发粘和漏漆现象，有害物含量符合GB 18581-2020 《木器涂料中有害物质限量》要求 </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4、尺寸：上托盘厚度25mm,下托盘厚度18mm</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5、桌腿：异形橡胶木方</w:t>
            </w:r>
            <w:r>
              <w:rPr>
                <w:rFonts w:hint="default" w:ascii="Times New Roman" w:hAnsi="Times New Roman" w:cs="Times New Roman"/>
                <w:lang w:eastAsia="zh-CN"/>
              </w:rPr>
              <w:t xml:space="preserve">，</w:t>
            </w:r>
            <w:r>
              <w:rPr>
                <w:rStyle w:val="909"/>
                <w:rFonts w:hint="default" w:ascii="Times New Roman" w:hAnsi="Times New Roman" w:cs="Times New Roman"/>
                <w:sz w:val="18"/>
                <w:szCs w:val="18"/>
                <w:lang w:val="en-US" w:eastAsia="zh-CN"/>
              </w:rPr>
              <w:t xml:space="preserve">断面尺寸≥45*35mm；</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6、其他要求：边缘部位倒圆处理，无棱角，降低安全风险，整体结构、安全防护、质量、环保、舒适性、便利性等参数均须符合适老化要求</w:t>
            </w:r>
            <w:r/>
          </w:p>
          <w:p>
            <w:pPr>
              <w:jc w:val="left"/>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7、颜色：淡雅暖色系，与现场环境匹配</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8</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个</w:t>
            </w:r>
            <w:r/>
          </w:p>
        </w:tc>
      </w:tr>
      <w:tr>
        <w:trPr>
          <w:jc w:val="center"/>
          <w:trHeight w:val="260"/>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59</w:t>
            </w:r>
            <w:r/>
          </w:p>
        </w:tc>
        <w:tc>
          <w:tcPr>
            <w:shd w:val="clear" w:color="auto" w:fill="auto"/>
            <w:tcW w:w="771"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　</w:t>
            </w:r>
            <w:r/>
          </w:p>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圆形茶几</w:t>
            </w:r>
            <w:r/>
          </w:p>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　</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786130" cy="1019175"/>
                      <wp:effectExtent l="0" t="0" r="13970" b="9525"/>
                      <wp:docPr id="58"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20"/>
                              <pic:cNvPicPr>
                                <a:picLocks noChangeAspect="1"/>
                              </pic:cNvPicPr>
                              <pic:nvPr/>
                            </pic:nvPicPr>
                            <pic:blipFill>
                              <a:blip r:embed="rId19"/>
                              <a:stretch/>
                            </pic:blipFill>
                            <pic:spPr bwMode="auto">
                              <a:xfrm>
                                <a:off x="0" y="0"/>
                                <a:ext cx="786130" cy="101917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61.9pt;height:80.2pt;mso-wrap-distance-left:0.0pt;mso-wrap-distance-top:0.0pt;mso-wrap-distance-right:0.0pt;mso-wrap-distance-bottom:0.0pt;" stroked="f" strokeweight="0.75pt">
                      <v:path textboxrect="0,0,0,0"/>
                      <v:imagedata r:id="rId19"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φ</w:t>
            </w:r>
            <w:r>
              <w:rPr>
                <w:rFonts w:hint="default" w:ascii="Times New Roman" w:hAnsi="Times New Roman" w:eastAsia="等线" w:cs="Times New Roman"/>
                <w:color w:val="000000"/>
                <w:sz w:val="18"/>
                <w:szCs w:val="18"/>
              </w:rPr>
              <w:t xml:space="preserve">600*500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1、结构：上下双层托盘，上托盘有档边，三足鼎立结构。</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2、基材：采用橡胶木实木，木榫结构，材质相关参数符合GB/T 3324-2017《木家具通用技术条件》，GB 18584-2001《室内装饰装修材料 木家具中有害物质限量》要求。木材含水率符合国家标准，木材无腐朽或较明显虫眼等瑕疵，符合国家环保标准</w:t>
            </w:r>
            <w:r>
              <w:rPr>
                <w:rFonts w:hint="default" w:ascii="Times New Roman" w:hAnsi="Times New Roman" w:cs="Times New Roman"/>
                <w:color w:val="000000"/>
                <w:sz w:val="18"/>
                <w:szCs w:val="18"/>
                <w:lang w:eastAsia="zh-CN"/>
              </w:rPr>
              <w:t xml:space="preserve">。</w:t>
            </w:r>
            <w:r>
              <w:rPr>
                <w:rFonts w:hint="default" w:ascii="Times New Roman" w:hAnsi="Times New Roman" w:cs="Times New Roman"/>
                <w:color w:val="000000"/>
                <w:sz w:val="18"/>
                <w:szCs w:val="18"/>
              </w:rPr>
              <w:t xml:space="preserve"> 木材均经过刨光、砂光，成品无毛刺、无裂纹，接缝自然，无明显缺口和缝隙</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3、油漆：水性底漆、水性面漆，整体喷涂漆面，喷漆均匀，表面漆膜平整光亮、无皱皮、发粘和漏漆现象，有害物含量符合GB 18581-2020 《木器涂料中有害物质限量》要求 </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4、尺寸：上托盘厚度25mm,下托盘厚度18mm</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5、桌腿：异形橡胶木方</w:t>
            </w:r>
            <w:r>
              <w:rPr>
                <w:rStyle w:val="909"/>
                <w:rFonts w:hint="default" w:ascii="Times New Roman" w:hAnsi="Times New Roman" w:cs="Times New Roman"/>
                <w:sz w:val="18"/>
                <w:szCs w:val="18"/>
                <w:lang w:eastAsia="zh-CN"/>
              </w:rPr>
              <w:t xml:space="preserve">，</w:t>
            </w:r>
            <w:r>
              <w:rPr>
                <w:rStyle w:val="909"/>
                <w:rFonts w:hint="default" w:ascii="Times New Roman" w:hAnsi="Times New Roman" w:cs="Times New Roman"/>
                <w:sz w:val="18"/>
                <w:szCs w:val="18"/>
                <w:lang w:val="en-US" w:eastAsia="zh-CN"/>
              </w:rPr>
              <w:t xml:space="preserve">断面尺寸≥40*30mm；</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6、其他要求：边缘部位倒圆处理，无棱角，降低安全风险，整体结构、安全防护、质量、环保、舒适性、便利性等参数均须符合适老化要求</w:t>
            </w:r>
            <w:r/>
          </w:p>
          <w:p>
            <w:pPr>
              <w:jc w:val="left"/>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7、颜色：淡雅暖色系，与现场环境匹配</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8</w:t>
            </w:r>
            <w:r/>
          </w:p>
        </w:tc>
        <w:tc>
          <w:tcPr>
            <w:shd w:val="clear" w:color="auto" w:fill="auto"/>
            <w:tcW w:w="37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个</w:t>
            </w:r>
            <w:r/>
          </w:p>
        </w:tc>
      </w:tr>
      <w:tr>
        <w:trPr>
          <w:jc w:val="center"/>
          <w:trHeight w:val="315"/>
        </w:trPr>
        <w:tc>
          <w:tcPr>
            <w:gridSpan w:val="7"/>
            <w:shd w:val="clear" w:color="000000" w:fill="d9d9d9"/>
            <w:tcW w:w="10301" w:type="dxa"/>
            <w:textDirection w:val="lrTb"/>
            <w:noWrap w:val="false"/>
          </w:tcPr>
          <w:p>
            <w:pPr>
              <w:jc w:val="center"/>
              <w:widowControl/>
              <w:rPr>
                <w:rFonts w:hint="default" w:ascii="Times New Roman" w:hAnsi="Times New Roman" w:eastAsia="等线" w:cs="Times New Roman"/>
                <w:b/>
                <w:bCs/>
                <w:color w:val="2d7dce"/>
                <w:sz w:val="18"/>
                <w:szCs w:val="18"/>
              </w:rPr>
            </w:pPr>
            <w:r>
              <w:rPr>
                <w:rFonts w:hint="default" w:ascii="Times New Roman" w:hAnsi="Times New Roman" w:eastAsia="等线" w:cs="Times New Roman"/>
                <w:b/>
                <w:bCs/>
                <w:color w:val="2d7dce"/>
                <w:sz w:val="18"/>
                <w:szCs w:val="18"/>
              </w:rPr>
              <w:t xml:space="preserve">公共区&amp;餐厅</w:t>
            </w:r>
            <w:r/>
          </w:p>
        </w:tc>
      </w:tr>
      <w:tr>
        <w:trPr>
          <w:jc w:val="center"/>
          <w:trHeight w:val="1945"/>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60</w:t>
            </w:r>
            <w:r/>
          </w:p>
        </w:tc>
        <w:tc>
          <w:tcPr>
            <w:shd w:val="clear" w:color="auto" w:fill="auto"/>
            <w:tcW w:w="771"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　</w:t>
            </w:r>
            <w:r/>
          </w:p>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适老桌（方形）</w:t>
            </w:r>
            <w:r/>
          </w:p>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　</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800100" cy="565150"/>
                      <wp:effectExtent l="0" t="0" r="0" b="6350"/>
                      <wp:docPr id="59" name="ID_1F23A864245949F5AD15752B6171BB85" descr="Enscape_2024-04-07-19-3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D_1F23A864245949F5AD15752B6171BB85" descr="Enscape_2024-04-07-19-39-16"/>
                              <pic:cNvPicPr>
                                <a:picLocks noChangeAspect="1"/>
                              </pic:cNvPicPr>
                              <pic:nvPr/>
                            </pic:nvPicPr>
                            <pic:blipFill>
                              <a:blip r:embed="rId20"/>
                              <a:srcRect l="18712" t="14848" r="36629" b="15659"/>
                              <a:stretch/>
                            </pic:blipFill>
                            <pic:spPr bwMode="auto">
                              <a:xfrm>
                                <a:off x="0" y="0"/>
                                <a:ext cx="800100" cy="5651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63.0pt;height:44.5pt;mso-wrap-distance-left:0.0pt;mso-wrap-distance-top:0.0pt;mso-wrap-distance-right:0.0pt;mso-wrap-distance-bottom:0.0pt;" stroked="f" strokeweight="0.75pt">
                      <v:path textboxrect="0,0,0,0"/>
                      <v:imagedata r:id="rId20"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900*900*750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1、结构：四脚桌，无存储格</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2、基材：采用橡胶木实木，木榫结构，材质相关参数符合GB/T 3324-2017《木家具通用技术条件》，GB 18584-2001《室内装饰装修材料 木家具中有害物质限量》要求。木材含水率符合国家标准，木材无腐朽或较明显虫眼等瑕疵，符合国家环保标准</w:t>
            </w:r>
            <w:r>
              <w:rPr>
                <w:rFonts w:hint="default" w:ascii="Times New Roman" w:hAnsi="Times New Roman" w:cs="Times New Roman"/>
                <w:color w:val="000000"/>
                <w:sz w:val="18"/>
                <w:szCs w:val="18"/>
                <w:lang w:eastAsia="zh-CN"/>
              </w:rPr>
              <w:t xml:space="preserve">。</w:t>
            </w:r>
            <w:r>
              <w:rPr>
                <w:rFonts w:hint="default" w:ascii="Times New Roman" w:hAnsi="Times New Roman" w:cs="Times New Roman"/>
                <w:color w:val="000000"/>
                <w:sz w:val="18"/>
                <w:szCs w:val="18"/>
              </w:rPr>
              <w:t xml:space="preserve"> 木材均经过刨光、砂光，成品无毛刺、无裂纹，接缝自然，无明显缺口和缝隙</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3、油漆：UV漆,耐磨性强，整体喷涂漆面，喷漆均匀，表面漆膜平整光亮、无皱皮、发粘和漏漆现象，有害物含量符合GB 18581-2020 《木器涂料中有害物质限量》要求 </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4、桌面：桌面厚度25mm，四角倒圆，桌面具备阻滞汁液溢流功能。</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5、桌腿：方形橡胶木方，</w:t>
            </w:r>
            <w:r>
              <w:rPr>
                <w:rStyle w:val="909"/>
                <w:rFonts w:hint="default" w:ascii="Times New Roman" w:hAnsi="Times New Roman" w:cs="Times New Roman"/>
                <w:sz w:val="18"/>
                <w:szCs w:val="18"/>
                <w:lang w:val="en-US" w:eastAsia="zh-CN"/>
              </w:rPr>
              <w:t xml:space="preserve">断面尺寸≥55*55mm，</w:t>
            </w:r>
            <w:r>
              <w:rPr>
                <w:rFonts w:hint="default" w:ascii="Times New Roman" w:hAnsi="Times New Roman" w:cs="Times New Roman"/>
                <w:color w:val="000000"/>
                <w:sz w:val="18"/>
                <w:szCs w:val="18"/>
              </w:rPr>
              <w:t xml:space="preserve">上宽下窄，上部与桌面连接处弧形结构</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6、其他要求：边缘部位倒圆处理，无棱角，降低安全风险，整体结构、安全防护、质量、环保、舒适性、便利性等参数均须符合适老化要求</w:t>
            </w:r>
            <w:r/>
          </w:p>
          <w:p>
            <w:pPr>
              <w:jc w:val="left"/>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7、颜色：淡雅暖色系，与现场环境匹配</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32</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张</w:t>
            </w:r>
            <w:r/>
          </w:p>
        </w:tc>
      </w:tr>
      <w:tr>
        <w:trPr>
          <w:jc w:val="center"/>
          <w:trHeight w:val="285"/>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61</w:t>
            </w:r>
            <w:r/>
          </w:p>
        </w:tc>
        <w:tc>
          <w:tcPr>
            <w:shd w:val="clear" w:color="auto" w:fill="auto"/>
            <w:tcW w:w="771"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　</w:t>
            </w:r>
            <w:r/>
          </w:p>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餐桌</w:t>
            </w:r>
            <w:r/>
          </w:p>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　</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947420" cy="662305"/>
                      <wp:effectExtent l="0" t="0" r="5080" b="4445"/>
                      <wp:docPr id="60" name="ID_467ED107B7604C1096EC811BE062F8C1" descr="尼尔餐桌-北京VIVO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D_467ED107B7604C1096EC811BE062F8C1" descr="尼尔餐桌-北京VIVO (16)"/>
                              <pic:cNvPicPr>
                                <a:picLocks noChangeAspect="1"/>
                              </pic:cNvPicPr>
                              <pic:nvPr/>
                            </pic:nvPicPr>
                            <pic:blipFill>
                              <a:blip r:embed="rId58"/>
                              <a:stretch/>
                            </pic:blipFill>
                            <pic:spPr bwMode="auto">
                              <a:xfrm>
                                <a:off x="0" y="0"/>
                                <a:ext cx="947420" cy="6623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74.6pt;height:52.1pt;mso-wrap-distance-left:0.0pt;mso-wrap-distance-top:0.0pt;mso-wrap-distance-right:0.0pt;mso-wrap-distance-bottom:0.0pt;" stroked="f" strokeweight="0.75pt">
                      <v:path textboxrect="0,0,0,0"/>
                      <v:imagedata r:id="rId58"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1400*700*750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1、结构：四脚桌</w:t>
            </w:r>
            <w:r/>
          </w:p>
          <w:p>
            <w:pPr>
              <w:jc w:val="left"/>
              <w:widowControl/>
              <w:rPr>
                <w:rFonts w:hint="default" w:ascii="Times New Roman" w:hAnsi="Times New Roman" w:cs="Times New Roman"/>
                <w:color w:val="000000"/>
                <w:sz w:val="18"/>
                <w:szCs w:val="18"/>
                <w:highlight w:val="yellow"/>
              </w:rPr>
            </w:pPr>
            <w:r>
              <w:rPr>
                <w:rFonts w:hint="default" w:ascii="Times New Roman" w:hAnsi="Times New Roman" w:cs="Times New Roman"/>
                <w:color w:val="000000"/>
                <w:sz w:val="18"/>
                <w:szCs w:val="18"/>
              </w:rPr>
              <w:t xml:space="preserve">2、基材：优质浸渍胶膜纸饰面刨花板。 甲醛释放量 ENF 级。板厚25mm，各项指标符合GB/T 15102-2017《浸渍胶膜纸饰面纤维板和刨花板》、GB 18580-2017《室内装饰装修材料 人造板及其制品中甲醛释放限量》、GB/T 39600-2021《人造板及其制品甲醛释放量分级》、GB/T 35601-2017《绿色产品评价 人造板和木质地板》、HJ 571-2010《环境标志产品技术要求 人造板及其制品》、GB 8624-2012《建筑材料及制品燃烧性能分级》要求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3、封边：激光封边条，各项指标符合QB/T 4463-2013《家具用封边条技术要求》要求；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4、桌腿及桌架：优质钢脚，圆柱形，直径50mm,壁厚1.5mm及以上，钢架为钢方管，壁厚1.5mm及以上，表面静电粉末喷涂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w:t>
            </w:r>
            <w:r>
              <w:rPr>
                <w:rFonts w:hint="default" w:ascii="Times New Roman" w:hAnsi="Times New Roman" w:cs="Times New Roman"/>
                <w:color w:val="000000"/>
                <w:sz w:val="18"/>
                <w:szCs w:val="18"/>
                <w:lang w:val="en-US" w:eastAsia="zh-CN"/>
              </w:rPr>
              <w:t xml:space="preserve">喷涂粉末</w:t>
            </w:r>
            <w:r>
              <w:rPr>
                <w:rFonts w:hint="default" w:ascii="Times New Roman" w:hAnsi="Times New Roman" w:cs="Times New Roman"/>
                <w:color w:val="000000"/>
                <w:sz w:val="18"/>
                <w:szCs w:val="18"/>
              </w:rPr>
              <w:t xml:space="preserve">：粉末符合HG/T 2006-2022《热固性和热塑性粉末涂料》、GB/T 35607-2017《绿色产品评价 家具》要求</w:t>
            </w:r>
            <w:r/>
          </w:p>
          <w:p>
            <w:pPr>
              <w:jc w:val="left"/>
              <w:widowControl/>
              <w:rPr>
                <w:rFonts w:hint="default" w:ascii="Times New Roman" w:hAnsi="Times New Roman" w:cs="Times New Roman"/>
                <w:sz w:val="18"/>
                <w:szCs w:val="18"/>
              </w:rPr>
            </w:pPr>
            <w:r>
              <w:rPr>
                <w:rFonts w:hint="default" w:ascii="Times New Roman" w:hAnsi="Times New Roman" w:cs="Times New Roman"/>
                <w:color w:val="000000"/>
                <w:sz w:val="18"/>
                <w:szCs w:val="18"/>
              </w:rPr>
              <w:t xml:space="preserve">6、成品：各项技术指标符合GB/T 35607-2017《绿色产品评价 家具》、GB/T 24821-2009《餐桌餐椅》标准的要求。</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32</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张</w:t>
            </w:r>
            <w:r/>
          </w:p>
        </w:tc>
      </w:tr>
      <w:tr>
        <w:trPr>
          <w:jc w:val="center"/>
          <w:trHeight w:val="770"/>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62</w:t>
            </w:r>
            <w:r/>
          </w:p>
        </w:tc>
        <w:tc>
          <w:tcPr>
            <w:shd w:val="clear" w:color="auto" w:fill="auto"/>
            <w:tcW w:w="771"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　</w:t>
            </w:r>
            <w:r/>
          </w:p>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餐椅</w:t>
            </w:r>
            <w:r/>
          </w:p>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　</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681990" cy="995680"/>
                      <wp:effectExtent l="0" t="0" r="3810" b="13970"/>
                      <wp:docPr id="61" name="图片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208"/>
                              <pic:cNvPicPr>
                                <a:picLocks noChangeAspect="1"/>
                              </pic:cNvPicPr>
                              <pic:nvPr/>
                            </pic:nvPicPr>
                            <pic:blipFill>
                              <a:blip r:embed="rId59"/>
                              <a:stretch/>
                            </pic:blipFill>
                            <pic:spPr bwMode="auto">
                              <a:xfrm>
                                <a:off x="0" y="0"/>
                                <a:ext cx="681990" cy="9956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53.7pt;height:78.4pt;mso-wrap-distance-left:0.0pt;mso-wrap-distance-top:0.0pt;mso-wrap-distance-right:0.0pt;mso-wrap-distance-bottom:0.0pt;" stroked="f" strokeweight="0.75pt">
                      <v:path textboxrect="0,0,0,0"/>
                      <v:imagedata r:id="rId59"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460*560*855</w:t>
            </w:r>
            <w:r/>
          </w:p>
        </w:tc>
        <w:tc>
          <w:tcPr>
            <w:shd w:val="clear" w:color="auto" w:fill="auto"/>
            <w:tcW w:w="5641" w:type="dxa"/>
            <w:vAlign w:val="center"/>
            <w:textDirection w:val="lrTb"/>
            <w:noWrap w:val="false"/>
          </w:tcPr>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1、椅面及靠背：采用加强型PP塑料，厚度大于等于8mm，各项指标符合GB 28481-2012《塑料家具中有害物质限量》要求，具有良好的柔性和刚性，坐垫及靠背造型为弧面，可提供舒适的包裹性。</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2、椅架：钢圆管，直径22mm，壁厚1.5mm，表面静电粉末喷涂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3、椅脚：设有PP防滑耐磨脚垫，增加摩擦力，保护地板和减少噪音；</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4、尺寸：坐高460mm</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5、</w:t>
            </w:r>
            <w:r>
              <w:rPr>
                <w:rFonts w:hint="default" w:ascii="Times New Roman" w:hAnsi="Times New Roman" w:cs="Times New Roman"/>
                <w:sz w:val="18"/>
                <w:szCs w:val="18"/>
                <w:lang w:val="en-US" w:eastAsia="zh-CN"/>
              </w:rPr>
              <w:t xml:space="preserve">喷涂粉末</w:t>
            </w:r>
            <w:r>
              <w:rPr>
                <w:rFonts w:hint="default" w:ascii="Times New Roman" w:hAnsi="Times New Roman" w:cs="Times New Roman"/>
                <w:sz w:val="18"/>
                <w:szCs w:val="18"/>
              </w:rPr>
              <w:t xml:space="preserve">：粉末符合HG/T 2006-2022《热固性和热塑性粉末涂料》、GB/T 35607-2017《绿色产品评价 家具》要求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6、成品：各项技术指标符合GB/T 35607-2017《绿色产品评价 家具》、GB/T 24821-2009《餐桌餐椅》标准的要求。</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128</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张</w:t>
            </w:r>
            <w:r/>
          </w:p>
        </w:tc>
      </w:tr>
      <w:tr>
        <w:trPr>
          <w:jc w:val="center"/>
          <w:trHeight w:val="1542"/>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63</w:t>
            </w:r>
            <w:r/>
          </w:p>
        </w:tc>
        <w:tc>
          <w:tcPr>
            <w:shd w:val="clear" w:color="auto" w:fill="auto"/>
            <w:tcW w:w="771"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适老椅</w:t>
            </w:r>
            <w:r/>
          </w:p>
        </w:tc>
        <w:tc>
          <w:tcPr>
            <w:shd w:val="clear" w:color="auto" w:fill="auto"/>
            <w:tcW w:w="1523"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737870" cy="935990"/>
                      <wp:effectExtent l="0" t="0" r="5080" b="16510"/>
                      <wp:docPr id="62" name="图片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4" name="图片 209"/>
                              <pic:cNvPicPr>
                                <a:picLocks noChangeAspect="1"/>
                              </pic:cNvPicPr>
                              <pic:nvPr/>
                            </pic:nvPicPr>
                            <pic:blipFill>
                              <a:blip r:embed="rId23"/>
                              <a:stretch/>
                            </pic:blipFill>
                            <pic:spPr bwMode="auto">
                              <a:xfrm>
                                <a:off x="0" y="0"/>
                                <a:ext cx="737870" cy="9359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58.1pt;height:73.7pt;mso-wrap-distance-left:0.0pt;mso-wrap-distance-top:0.0pt;mso-wrap-distance-right:0.0pt;mso-wrap-distance-bottom:0.0pt;" stroked="f" strokeweight="0.75pt">
                      <v:path textboxrect="0,0,0,0"/>
                      <v:imagedata r:id="rId23"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520*450*830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1、结构：四脚，双扶手，木框架</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2、基材：采用橡胶木实木，木榫结构，材质相关参数符合GB/T 3324-2017《木家具通用技术条件》，GB 18584-2001《室内装饰装修材料 木家具中有害物质限量》要求。木材含水率符合国家标准，木材无腐朽或较明显虫眼等瑕疵，符合国家环保标准</w:t>
            </w:r>
            <w:r>
              <w:rPr>
                <w:rFonts w:hint="default" w:ascii="Times New Roman" w:hAnsi="Times New Roman" w:cs="Times New Roman"/>
                <w:color w:val="000000"/>
                <w:sz w:val="18"/>
                <w:szCs w:val="18"/>
                <w:lang w:eastAsia="zh-CN"/>
              </w:rPr>
              <w:t xml:space="preserve">。</w:t>
            </w:r>
            <w:r>
              <w:rPr>
                <w:rFonts w:hint="default" w:ascii="Times New Roman" w:hAnsi="Times New Roman" w:cs="Times New Roman"/>
                <w:color w:val="000000"/>
                <w:sz w:val="18"/>
                <w:szCs w:val="18"/>
              </w:rPr>
              <w:t xml:space="preserve"> 木材均经过刨光、砂光，成品无毛刺、无裂纹，接缝自然，无明显缺口和缝隙</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3、油漆：UV底漆、UV面漆，整体喷涂漆面，喷漆均匀，表面漆膜平整光亮、无皱皮、发粘和漏漆现象，有害物含量符合GB 18581-2020 《木器涂料中有害物质限量》要求 </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4、尺寸：W520*D450*H830，坐垫离地高度430mm</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5、扶手：橡胶木实木，表面平整、无毛刺</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6、桌腿：橡胶木方，</w:t>
            </w:r>
            <w:r>
              <w:rPr>
                <w:rStyle w:val="909"/>
                <w:rFonts w:hint="default" w:ascii="Times New Roman" w:hAnsi="Times New Roman" w:cs="Times New Roman"/>
                <w:sz w:val="18"/>
                <w:szCs w:val="18"/>
                <w:lang w:val="en-US" w:eastAsia="zh-CN"/>
              </w:rPr>
              <w:t xml:space="preserve">断面尺寸≥45*30mm，</w:t>
            </w:r>
            <w:r>
              <w:rPr>
                <w:rFonts w:hint="default" w:ascii="Times New Roman" w:hAnsi="Times New Roman" w:cs="Times New Roman"/>
                <w:color w:val="000000"/>
                <w:sz w:val="18"/>
                <w:szCs w:val="18"/>
              </w:rPr>
              <w:t xml:space="preserve">表面平整、无毛刺</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7、海绵：阻燃海绵，用于靠背及坐垫，厚度不小于30mm，密度大于40kg/m3，回弹力大于50%，符合GB/T 10802-2023《</w:t>
            </w:r>
            <w:r>
              <w:rPr>
                <w:rFonts w:hint="default" w:ascii="Times New Roman" w:hAnsi="Times New Roman" w:cs="Times New Roman"/>
                <w:color w:val="333333"/>
                <w:sz w:val="18"/>
                <w:szCs w:val="18"/>
                <w:shd w:val="clear" w:color="auto" w:fill="ffffff"/>
              </w:rPr>
              <w:t xml:space="preserve">通用软质聚氨酯泡沫塑料》</w:t>
            </w:r>
            <w:r>
              <w:rPr>
                <w:rFonts w:hint="default" w:ascii="Times New Roman" w:hAnsi="Times New Roman" w:cs="Times New Roman"/>
                <w:color w:val="000000"/>
                <w:sz w:val="18"/>
                <w:szCs w:val="18"/>
              </w:rPr>
              <w:t xml:space="preserve">等标准要求；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8、饰面：</w:t>
            </w:r>
            <w:r>
              <w:rPr>
                <w:rFonts w:hint="default" w:ascii="Times New Roman" w:hAnsi="Times New Roman" w:cs="Times New Roman"/>
                <w:sz w:val="18"/>
                <w:szCs w:val="20"/>
              </w:rPr>
              <w:t xml:space="preserve">优质超纤皮，表面纹理清晰，具有良好的色牢度、耐光耐磨性、透气性等特性</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9、其他要求：边缘部位倒圆处理，无棱角，降低安全风险，整体结构、安全防护、质量、环保、舒适性、便利性等参数均须符合适老化要求</w:t>
            </w:r>
            <w:r/>
          </w:p>
          <w:p>
            <w:pPr>
              <w:jc w:val="left"/>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10、颜色：淡雅暖色系，与现场环境匹配</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128</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张</w:t>
            </w:r>
            <w:r/>
          </w:p>
        </w:tc>
      </w:tr>
      <w:tr>
        <w:trPr>
          <w:jc w:val="center"/>
          <w:trHeight w:val="1745"/>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64</w:t>
            </w:r>
            <w:r/>
          </w:p>
        </w:tc>
        <w:tc>
          <w:tcPr>
            <w:shd w:val="clear" w:color="auto" w:fill="auto"/>
            <w:tcW w:w="771"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休闲沙发（单人位）</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812800" cy="548640"/>
                      <wp:effectExtent l="0" t="0" r="6350" b="3810"/>
                      <wp:docPr id="63" name="ID_781248B74409497E8042E80886C08FEB" descr="Enscape_2024-04-08-10-5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D_781248B74409497E8042E80886C08FEB" descr="Enscape_2024-04-08-10-52-21"/>
                              <pic:cNvPicPr>
                                <a:picLocks noChangeAspect="1"/>
                              </pic:cNvPicPr>
                              <pic:nvPr/>
                            </pic:nvPicPr>
                            <pic:blipFill>
                              <a:blip r:embed="rId24"/>
                              <a:srcRect l="13638" t="15556" r="19462" b="17979"/>
                              <a:stretch/>
                            </pic:blipFill>
                            <pic:spPr bwMode="auto">
                              <a:xfrm>
                                <a:off x="0" y="0"/>
                                <a:ext cx="812800" cy="5486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64.0pt;height:43.2pt;mso-wrap-distance-left:0.0pt;mso-wrap-distance-top:0.0pt;mso-wrap-distance-right:0.0pt;mso-wrap-distance-bottom:0.0pt;" stroked="f" strokeweight="0.75pt">
                      <v:path textboxrect="0,0,0,0"/>
                      <v:imagedata r:id="rId24"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840*780*800</w:t>
            </w:r>
            <w:r/>
          </w:p>
        </w:tc>
        <w:tc>
          <w:tcPr>
            <w:shd w:val="clear" w:color="auto" w:fill="auto"/>
            <w:tcW w:w="5641" w:type="dxa"/>
            <w:vAlign w:val="center"/>
            <w:vMerge w:val="restart"/>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1、尺寸：坐高4</w:t>
            </w:r>
            <w:r>
              <w:rPr>
                <w:rFonts w:hint="default" w:ascii="Times New Roman" w:hAnsi="Times New Roman" w:cs="Times New Roman"/>
                <w:color w:val="000000"/>
                <w:sz w:val="18"/>
                <w:szCs w:val="18"/>
                <w:lang w:val="en-US" w:eastAsia="zh-CN"/>
              </w:rPr>
              <w:t xml:space="preserve">2</w:t>
            </w:r>
            <w:r>
              <w:rPr>
                <w:rFonts w:hint="default" w:ascii="Times New Roman" w:hAnsi="Times New Roman" w:cs="Times New Roman"/>
                <w:color w:val="000000"/>
                <w:sz w:val="18"/>
                <w:szCs w:val="18"/>
              </w:rPr>
              <w:t xml:space="preserve">0mm</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2、饰面：优质超纤皮，表面纹理清晰，具有良好的色牢度、耐光耐磨性、透气性等特性   </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3、海绵：阻燃海绵，厚度不小于100mm，密度大于40kg/m3，回弹力大于50%，符合GB/T 10802-2023《</w:t>
            </w:r>
            <w:r>
              <w:rPr>
                <w:rFonts w:hint="default" w:ascii="Times New Roman" w:hAnsi="Times New Roman" w:cs="Times New Roman"/>
                <w:color w:val="333333"/>
                <w:sz w:val="18"/>
                <w:szCs w:val="18"/>
                <w:shd w:val="clear" w:color="auto" w:fill="ffffff"/>
              </w:rPr>
              <w:t xml:space="preserve">通用软质聚氨酯泡沫塑料》</w:t>
            </w:r>
            <w:r>
              <w:rPr>
                <w:rFonts w:hint="default" w:ascii="Times New Roman" w:hAnsi="Times New Roman" w:cs="Times New Roman"/>
                <w:color w:val="000000"/>
                <w:sz w:val="18"/>
                <w:szCs w:val="18"/>
              </w:rPr>
              <w:t xml:space="preserve">、GB 8624-2012《建筑材料及制品燃烧性能分级》等标准要求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4、内部框架：橡胶木实木框架：采用榫卯结构，表面平整，无毛刺。材质相关参数符合GB/T 3324-2017《木家具通用技术条件》，GB 18584-2001《室内装饰装修材料 木家具中有害物质限量》要求。木材含水率符合国家标准，木材无腐朽或较明显虫眼等瑕疵，符合国家环保标准</w:t>
            </w:r>
            <w:r>
              <w:rPr>
                <w:rFonts w:hint="default" w:ascii="Times New Roman" w:hAnsi="Times New Roman" w:cs="Times New Roman"/>
                <w:color w:val="000000"/>
                <w:sz w:val="18"/>
                <w:szCs w:val="18"/>
                <w:lang w:eastAsia="zh-CN"/>
              </w:rPr>
              <w:t xml:space="preserve">。</w:t>
            </w:r>
            <w:r>
              <w:rPr>
                <w:rFonts w:hint="default" w:ascii="Times New Roman" w:hAnsi="Times New Roman" w:cs="Times New Roman"/>
                <w:color w:val="000000"/>
                <w:sz w:val="18"/>
                <w:szCs w:val="18"/>
              </w:rPr>
              <w:t xml:space="preserve"> 木材均经过刨光、砂光，成品无毛刺、无裂纹，接缝自然，无明显缺口和缝隙。</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5、胶粘剂：环保型喷胶，符合GB 18583-2008《室内装饰装修材料 胶粘剂中有害物质限量》：HJ 2541-2016《环境标志产品技术要求胶粘剂》；GB 33372-2020《胶粘剂挥发性有机化合物限量》要求。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6、沙发脚：橡胶木实木沙发脚。</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7、扶手：橡胶木实木</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8、颜色：淡雅暖色系，与现场环境匹配</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9、成品：各项技术指标符合QB/T 1952.1-2023《软体家具沙发》 标准的要求。</w:t>
            </w:r>
            <w:r/>
          </w:p>
          <w:p>
            <w:pPr>
              <w:jc w:val="left"/>
              <w:widowControl/>
              <w:rPr>
                <w:rFonts w:hint="default" w:ascii="Times New Roman" w:hAnsi="Times New Roman" w:cs="Times New Roman"/>
                <w:b/>
                <w:bCs/>
                <w:color w:val="ff0000"/>
                <w:spacing w:val="2"/>
                <w:sz w:val="18"/>
                <w:szCs w:val="18"/>
                <w:highlight w:val="yellow"/>
              </w:rPr>
            </w:pPr>
            <w:r>
              <w:rPr>
                <w:rFonts w:hint="default" w:ascii="Times New Roman" w:hAnsi="Times New Roman" w:cs="Times New Roman"/>
                <w:color w:val="000000"/>
                <w:sz w:val="18"/>
                <w:szCs w:val="18"/>
              </w:rPr>
              <w:t xml:space="preserve">10、其他：边缘部位倒圆处理，无棱角，降低安全风险，整体结构、安全防护、质量、环保、舒适性、便利性等参数均须符合适老化要求</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张</w:t>
            </w:r>
            <w:r/>
          </w:p>
        </w:tc>
      </w:tr>
      <w:tr>
        <w:trPr>
          <w:jc w:val="center"/>
          <w:trHeight w:val="2292"/>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65</w:t>
            </w:r>
            <w:r/>
          </w:p>
        </w:tc>
        <w:tc>
          <w:tcPr>
            <w:shd w:val="clear" w:color="auto" w:fill="auto"/>
            <w:tcW w:w="771"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休闲沙发（双人位）</w:t>
            </w:r>
            <w:r/>
          </w:p>
        </w:tc>
        <w:tc>
          <w:tcPr>
            <w:shd w:val="clear" w:color="auto" w:fill="auto"/>
            <w:tcW w:w="1523"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812800" cy="548640"/>
                      <wp:effectExtent l="0" t="0" r="6350" b="3810"/>
                      <wp:docPr id="64" name="ID_781248B74409497E8042E80886C08FEB" descr="Enscape_2024-04-08-10-5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D_781248B74409497E8042E80886C08FEB" descr="Enscape_2024-04-08-10-52-21"/>
                              <pic:cNvPicPr>
                                <a:picLocks noChangeAspect="1"/>
                              </pic:cNvPicPr>
                              <pic:nvPr/>
                            </pic:nvPicPr>
                            <pic:blipFill>
                              <a:blip r:embed="rId24"/>
                              <a:srcRect l="13638" t="15556" r="19462" b="17979"/>
                              <a:stretch/>
                            </pic:blipFill>
                            <pic:spPr bwMode="auto">
                              <a:xfrm>
                                <a:off x="0" y="0"/>
                                <a:ext cx="812800" cy="5486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64.0pt;height:43.2pt;mso-wrap-distance-left:0.0pt;mso-wrap-distance-top:0.0pt;mso-wrap-distance-right:0.0pt;mso-wrap-distance-bottom:0.0pt;" stroked="f" strokeweight="0.75pt">
                      <v:path textboxrect="0,0,0,0"/>
                      <v:imagedata r:id="rId24"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1480*780*800</w:t>
            </w:r>
            <w:r/>
          </w:p>
        </w:tc>
        <w:tc>
          <w:tcPr>
            <w:shd w:val="clear" w:color="auto" w:fill="auto"/>
            <w:tcW w:w="5641" w:type="dxa"/>
            <w:vAlign w:val="center"/>
            <w:vMerge w:val="continue"/>
            <w:textDirection w:val="lrTb"/>
            <w:noWrap w:val="false"/>
          </w:tcPr>
          <w:p>
            <w:pPr>
              <w:jc w:val="left"/>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5</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张</w:t>
            </w:r>
            <w:r/>
          </w:p>
        </w:tc>
      </w:tr>
      <w:tr>
        <w:trPr>
          <w:jc w:val="center"/>
          <w:trHeight w:val="510"/>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66</w:t>
            </w:r>
            <w:r/>
          </w:p>
        </w:tc>
        <w:tc>
          <w:tcPr>
            <w:shd w:val="clear" w:color="auto" w:fill="auto"/>
            <w:tcW w:w="771"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休闲沙发（三人位）</w:t>
            </w:r>
            <w:r/>
          </w:p>
        </w:tc>
        <w:tc>
          <w:tcPr>
            <w:shd w:val="clear" w:color="auto" w:fill="auto"/>
            <w:tcW w:w="1523"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812800" cy="548640"/>
                      <wp:effectExtent l="0" t="0" r="6350" b="3810"/>
                      <wp:docPr id="65" name="ID_781248B74409497E8042E80886C08FEB" descr="Enscape_2024-04-08-10-5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D_781248B74409497E8042E80886C08FEB" descr="Enscape_2024-04-08-10-52-21"/>
                              <pic:cNvPicPr>
                                <a:picLocks noChangeAspect="1"/>
                              </pic:cNvPicPr>
                              <pic:nvPr/>
                            </pic:nvPicPr>
                            <pic:blipFill>
                              <a:blip r:embed="rId24"/>
                              <a:srcRect l="13638" t="15556" r="19462" b="17979"/>
                              <a:stretch/>
                            </pic:blipFill>
                            <pic:spPr bwMode="auto">
                              <a:xfrm>
                                <a:off x="0" y="0"/>
                                <a:ext cx="812800" cy="5486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64.0pt;height:43.2pt;mso-wrap-distance-left:0.0pt;mso-wrap-distance-top:0.0pt;mso-wrap-distance-right:0.0pt;mso-wrap-distance-bottom:0.0pt;" stroked="f" strokeweight="0.75pt">
                      <v:path textboxrect="0,0,0,0"/>
                      <v:imagedata r:id="rId24"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2080*780*800</w:t>
            </w:r>
            <w:r/>
          </w:p>
        </w:tc>
        <w:tc>
          <w:tcPr>
            <w:shd w:val="clear" w:color="auto" w:fill="auto"/>
            <w:tcW w:w="5641" w:type="dxa"/>
            <w:vAlign w:val="center"/>
            <w:vMerge w:val="continue"/>
            <w:textDirection w:val="lrTb"/>
            <w:noWrap w:val="false"/>
          </w:tcPr>
          <w:p>
            <w:pPr>
              <w:jc w:val="left"/>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张</w:t>
            </w:r>
            <w:r/>
          </w:p>
        </w:tc>
      </w:tr>
      <w:tr>
        <w:trPr>
          <w:jc w:val="center"/>
          <w:trHeight w:val="90"/>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67</w:t>
            </w:r>
            <w:r/>
          </w:p>
        </w:tc>
        <w:tc>
          <w:tcPr>
            <w:shd w:val="clear" w:color="auto" w:fill="auto"/>
            <w:tcW w:w="771"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椭圆形长茶几</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810895" cy="506730"/>
                      <wp:effectExtent l="0" t="0" r="8255" b="7620"/>
                      <wp:docPr id="66" name="图片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212"/>
                              <pic:cNvPicPr>
                                <a:picLocks noChangeAspect="1"/>
                              </pic:cNvPicPr>
                              <pic:nvPr/>
                            </pic:nvPicPr>
                            <pic:blipFill>
                              <a:blip r:embed="rId26"/>
                              <a:stretch/>
                            </pic:blipFill>
                            <pic:spPr bwMode="auto">
                              <a:xfrm>
                                <a:off x="0" y="0"/>
                                <a:ext cx="810895" cy="50673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63.8pt;height:39.9pt;mso-wrap-distance-left:0.0pt;mso-wrap-distance-top:0.0pt;mso-wrap-distance-right:0.0pt;mso-wrap-distance-bottom:0.0pt;" stroked="f" strokeweight="0.75pt">
                      <v:path textboxrect="0,0,0,0"/>
                      <v:imagedata r:id="rId26"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1200*600*500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1、结构：上下双层托盘，上托盘有档边，四足结构。</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2、基材：采用橡胶木实木，木榫结构，材质相关参数符合GB/T 3324-2017《木家具通用技术条件》，GB 18584-2001《室内装饰装修材料 木家具中有害物质限量》。木材含水率符合国家标准，木材无腐朽或较明显虫眼等瑕疵，符合国家环保标准</w:t>
            </w:r>
            <w:r>
              <w:rPr>
                <w:rFonts w:hint="default" w:ascii="Times New Roman" w:hAnsi="Times New Roman" w:cs="Times New Roman"/>
                <w:color w:val="000000"/>
                <w:sz w:val="18"/>
                <w:szCs w:val="18"/>
                <w:lang w:eastAsia="zh-CN"/>
              </w:rPr>
              <w:t xml:space="preserve">。</w:t>
            </w:r>
            <w:r>
              <w:rPr>
                <w:rFonts w:hint="default" w:ascii="Times New Roman" w:hAnsi="Times New Roman" w:cs="Times New Roman"/>
                <w:color w:val="000000"/>
                <w:sz w:val="18"/>
                <w:szCs w:val="18"/>
              </w:rPr>
              <w:t xml:space="preserve"> 木材均经过刨光、砂光，成品无毛刺、无裂纹，接缝自然，无明显缺口和缝隙</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3、油漆：水性底漆、水性面漆，整体喷涂漆面，喷漆均匀，表面漆膜平整光亮、无皱皮、发粘和漏漆现象，有害物含量符合GB 18581-2020 《木器涂料中有害物质限量》要求 </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4、尺寸：上托盘厚度25mm,下托盘厚度18mm</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5、桌腿：异形橡胶木方</w:t>
            </w:r>
            <w:r>
              <w:rPr>
                <w:rFonts w:hint="default" w:ascii="Times New Roman" w:hAnsi="Times New Roman" w:cs="Times New Roman"/>
                <w:lang w:eastAsia="zh-CN"/>
              </w:rPr>
              <w:t xml:space="preserve">，</w:t>
            </w:r>
            <w:r>
              <w:rPr>
                <w:rStyle w:val="909"/>
                <w:rFonts w:hint="default" w:ascii="Times New Roman" w:hAnsi="Times New Roman" w:cs="Times New Roman"/>
                <w:sz w:val="18"/>
                <w:szCs w:val="18"/>
                <w:lang w:val="en-US" w:eastAsia="zh-CN"/>
              </w:rPr>
              <w:t xml:space="preserve">断面尺寸≥45*35mm；</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6、其他要求：边缘部位倒圆处理，无棱角，降低安全风险，整体结构、安全防护、质量、环保、舒适性、便利性等参数均须符合适老化要求</w:t>
            </w:r>
            <w:r/>
          </w:p>
          <w:p>
            <w:pPr>
              <w:jc w:val="left"/>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7、颜色：淡雅暖色系，与现场环境匹配</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3</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个</w:t>
            </w:r>
            <w:r/>
          </w:p>
        </w:tc>
      </w:tr>
      <w:tr>
        <w:trPr>
          <w:jc w:val="center"/>
          <w:trHeight w:val="3345"/>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68</w:t>
            </w:r>
            <w:r/>
          </w:p>
        </w:tc>
        <w:tc>
          <w:tcPr>
            <w:shd w:val="clear" w:color="auto" w:fill="auto"/>
            <w:tcW w:w="771"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圆形茶几</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626110" cy="810260"/>
                      <wp:effectExtent l="0" t="0" r="2540" b="8890"/>
                      <wp:docPr id="67"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21"/>
                              <pic:cNvPicPr>
                                <a:picLocks noChangeAspect="1"/>
                              </pic:cNvPicPr>
                              <pic:nvPr/>
                            </pic:nvPicPr>
                            <pic:blipFill>
                              <a:blip r:embed="rId19"/>
                              <a:stretch/>
                            </pic:blipFill>
                            <pic:spPr bwMode="auto">
                              <a:xfrm>
                                <a:off x="0" y="0"/>
                                <a:ext cx="626110" cy="8102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49.3pt;height:63.8pt;mso-wrap-distance-left:0.0pt;mso-wrap-distance-top:0.0pt;mso-wrap-distance-right:0.0pt;mso-wrap-distance-bottom:0.0pt;" stroked="f" strokeweight="0.75pt">
                      <v:path textboxrect="0,0,0,0"/>
                      <v:imagedata r:id="rId19"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φ</w:t>
            </w:r>
            <w:r>
              <w:rPr>
                <w:rFonts w:hint="default" w:ascii="Times New Roman" w:hAnsi="Times New Roman" w:eastAsia="等线" w:cs="Times New Roman"/>
                <w:color w:val="000000"/>
                <w:sz w:val="18"/>
                <w:szCs w:val="18"/>
              </w:rPr>
              <w:t xml:space="preserve">600*500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1、结构：上下双层托盘，上托盘有档边，三足鼎立结构。</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2、基材：采用橡胶木实木，木榫结构，材质相关参数符合GB/T 3324-2017《木家具通用技术条件》，GB 18584-2001《室内装饰装修材料 木家具中有害物质限量》要求。木材含水率符合国家标准，木材无腐朽或较明显虫眼等瑕疵，符合国家环保标准</w:t>
            </w:r>
            <w:r>
              <w:rPr>
                <w:rFonts w:hint="default" w:ascii="Times New Roman" w:hAnsi="Times New Roman" w:cs="Times New Roman"/>
                <w:color w:val="000000"/>
                <w:sz w:val="18"/>
                <w:szCs w:val="18"/>
                <w:lang w:eastAsia="zh-CN"/>
              </w:rPr>
              <w:t xml:space="preserve">。</w:t>
            </w:r>
            <w:r>
              <w:rPr>
                <w:rFonts w:hint="default" w:ascii="Times New Roman" w:hAnsi="Times New Roman" w:cs="Times New Roman"/>
                <w:color w:val="000000"/>
                <w:sz w:val="18"/>
                <w:szCs w:val="18"/>
              </w:rPr>
              <w:t xml:space="preserve"> 木材均经过刨光、砂光，成品无毛刺、无裂纹，接缝自然，无明显缺口和缝隙</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3、油漆：水性底漆、水性面漆，整体喷涂漆面，喷漆均匀，表面漆膜平整光亮、无皱皮、发粘和漏漆现象，有害物含量符合GB 18581-2020 《木器涂料中有害物质限量》要求 </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4、尺寸：上托盘厚度25mm,下托盘厚度18mm</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5、桌腿：异形橡胶木方</w:t>
            </w:r>
            <w:r>
              <w:rPr>
                <w:rStyle w:val="909"/>
                <w:rFonts w:hint="default" w:ascii="Times New Roman" w:hAnsi="Times New Roman" w:cs="Times New Roman"/>
                <w:sz w:val="18"/>
                <w:szCs w:val="18"/>
                <w:lang w:eastAsia="zh-CN"/>
              </w:rPr>
              <w:t xml:space="preserve">，</w:t>
            </w:r>
            <w:r>
              <w:rPr>
                <w:rStyle w:val="909"/>
                <w:rFonts w:hint="default" w:ascii="Times New Roman" w:hAnsi="Times New Roman" w:cs="Times New Roman"/>
                <w:sz w:val="18"/>
                <w:szCs w:val="18"/>
                <w:lang w:val="en-US" w:eastAsia="zh-CN"/>
              </w:rPr>
              <w:t xml:space="preserve">断面尺寸≥40*30mm；</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6、其他要求：边缘部位倒圆处理，无棱角，降低安全风险，整体结构、安全防护、质量、环保、舒适性、便利性等参数均须符合适老化要求</w:t>
            </w:r>
            <w:r/>
          </w:p>
          <w:p>
            <w:pPr>
              <w:jc w:val="left"/>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7、颜色：淡雅暖色系，与现场环境匹配</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2</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个</w:t>
            </w:r>
            <w:r/>
          </w:p>
        </w:tc>
      </w:tr>
      <w:tr>
        <w:trPr>
          <w:jc w:val="center"/>
          <w:trHeight w:val="1200"/>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69</w:t>
            </w:r>
            <w:r/>
          </w:p>
        </w:tc>
        <w:tc>
          <w:tcPr>
            <w:shd w:val="clear" w:color="auto" w:fill="auto"/>
            <w:tcW w:w="771"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户外休闲桌</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817245" cy="567055"/>
                      <wp:effectExtent l="0" t="0" r="1905" b="4445"/>
                      <wp:docPr id="68"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32"/>
                              <pic:cNvPicPr>
                                <a:picLocks noChangeAspect="1"/>
                              </pic:cNvPicPr>
                              <pic:nvPr/>
                            </pic:nvPicPr>
                            <pic:blipFill>
                              <a:blip r:embed="rId31"/>
                              <a:stretch/>
                            </pic:blipFill>
                            <pic:spPr bwMode="auto">
                              <a:xfrm>
                                <a:off x="0" y="0"/>
                                <a:ext cx="817245" cy="5670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64.3pt;height:44.6pt;mso-wrap-distance-left:0.0pt;mso-wrap-distance-top:0.0pt;mso-wrap-distance-right:0.0pt;mso-wrap-distance-bottom:0.0pt;" stroked="f" strokeweight="0.75pt">
                      <v:path textboxrect="0,0,0,0"/>
                      <v:imagedata r:id="rId31"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color w:val="000000"/>
                <w:sz w:val="18"/>
                <w:szCs w:val="18"/>
              </w:rPr>
              <w:t xml:space="preserve">φ600*580</w:t>
            </w:r>
            <w:r/>
          </w:p>
        </w:tc>
        <w:tc>
          <w:tcPr>
            <w:shd w:val="clear" w:color="auto" w:fill="auto"/>
            <w:tcW w:w="5641" w:type="dxa"/>
            <w:vAlign w:val="center"/>
            <w:textDirection w:val="lrTb"/>
            <w:noWrap w:val="false"/>
          </w:tcPr>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1、结构：圆盘脚，直径500mm,圆形桌面直径600mm，圆立柱直径60mm</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2、底盘：优质电解钢板，壁厚≥1.5mm，表面环氧树脂粉末涂料喷涂，符合HG/T 2006-2022《热固性和热塑性粉末涂料》要求；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3、桌面：户外用岩板，厚度12mm</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4、成品：各项技术指标符合GB/T 3325-2017《金属家具通用技术条件》标准的要求；</w:t>
            </w:r>
            <w:r/>
          </w:p>
          <w:p>
            <w:pPr>
              <w:jc w:val="left"/>
              <w:widowControl/>
              <w:rPr>
                <w:rFonts w:hint="default" w:ascii="Times New Roman" w:hAnsi="Times New Roman" w:eastAsia="等线" w:cs="Times New Roman"/>
                <w:sz w:val="18"/>
                <w:szCs w:val="18"/>
              </w:rPr>
            </w:pPr>
            <w:r>
              <w:rPr>
                <w:rFonts w:hint="default" w:ascii="Times New Roman" w:hAnsi="Times New Roman" w:cs="Times New Roman"/>
                <w:sz w:val="18"/>
                <w:szCs w:val="18"/>
              </w:rPr>
              <w:t xml:space="preserve">5、其他：边缘部位倒圆处理，无棱角，降低安全风险，整体结构、安全防护、质量、环保、舒适性、便利性等参数均须符合适老化要求</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10</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张</w:t>
            </w:r>
            <w:r/>
          </w:p>
        </w:tc>
      </w:tr>
      <w:tr>
        <w:trPr>
          <w:jc w:val="center"/>
          <w:trHeight w:val="90"/>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70</w:t>
            </w:r>
            <w:r/>
          </w:p>
        </w:tc>
        <w:tc>
          <w:tcPr>
            <w:shd w:val="clear" w:color="auto" w:fill="auto"/>
            <w:tcW w:w="77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铝合金休闲椅</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624840" cy="808355"/>
                      <wp:effectExtent l="0" t="0" r="3810" b="10795"/>
                      <wp:docPr id="69" name="ID_0B5AA6A9FEBC416AA75CEDBCAB6AD90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D_0B5AA6A9FEBC416AA75CEDBCAB6AD90E"/>
                              <pic:cNvPicPr>
                                <a:picLocks noChangeAspect="1"/>
                              </pic:cNvPicPr>
                              <pic:nvPr/>
                            </pic:nvPicPr>
                            <pic:blipFill>
                              <a:blip r:embed="rId17"/>
                              <a:stretch/>
                            </pic:blipFill>
                            <pic:spPr bwMode="auto">
                              <a:xfrm>
                                <a:off x="0" y="0"/>
                                <a:ext cx="624840" cy="8083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49.2pt;height:63.6pt;mso-wrap-distance-left:0.0pt;mso-wrap-distance-top:0.0pt;mso-wrap-distance-right:0.0pt;mso-wrap-distance-bottom:0.0pt;" stroked="f" strokeweight="0.75pt">
                      <v:path textboxrect="0,0,0,0"/>
                      <v:imagedata r:id="rId17"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565*630*770</w:t>
            </w:r>
            <w:r/>
          </w:p>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（坐高430）</w:t>
            </w:r>
            <w:r/>
          </w:p>
        </w:tc>
        <w:tc>
          <w:tcPr>
            <w:shd w:val="clear" w:color="auto" w:fill="auto"/>
            <w:tcW w:w="5641" w:type="dxa"/>
            <w:vAlign w:val="center"/>
            <w:textDirection w:val="lrTb"/>
            <w:noWrap w:val="false"/>
          </w:tcPr>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w:t>
            </w:r>
            <w:r>
              <w:rPr>
                <w:rFonts w:hint="default" w:ascii="Times New Roman" w:hAnsi="Times New Roman" w:cs="Times New Roman"/>
                <w:color w:val="000000"/>
                <w:sz w:val="18"/>
                <w:szCs w:val="18"/>
              </w:rPr>
              <w:t xml:space="preserve">坐垫及靠背</w:t>
            </w:r>
            <w:r>
              <w:rPr>
                <w:rFonts w:hint="default" w:ascii="Times New Roman" w:hAnsi="Times New Roman" w:cs="Times New Roman"/>
                <w:sz w:val="18"/>
                <w:szCs w:val="18"/>
              </w:rPr>
              <w:t xml:space="preserve">饰面：阻燃布料，透气性好，表面无刺触感，平滑舒适，防螨性能优，无明显色差，性能、环保性、质量、防螨等参数符合GB 18401-2010 《国家纺织产品基本安全技术规范》、GB/T 18885-2020《生态纺织品技术要求》</w:t>
            </w:r>
            <w:r>
              <w:rPr>
                <w:rFonts w:hint="default" w:ascii="Times New Roman" w:hAnsi="Times New Roman" w:cs="Times New Roman"/>
                <w:sz w:val="18"/>
                <w:szCs w:val="18"/>
                <w:lang w:eastAsia="zh-CN"/>
              </w:rPr>
              <w:t xml:space="preserve">、</w:t>
            </w:r>
            <w:r>
              <w:rPr>
                <w:rFonts w:hint="default" w:ascii="Times New Roman" w:hAnsi="Times New Roman" w:cs="Times New Roman"/>
                <w:sz w:val="18"/>
                <w:szCs w:val="18"/>
              </w:rPr>
              <w:t xml:space="preserve">GB/T 24253-2009《纺织品 防螨性能的评价》、GB 8624-2012《建筑材料及制品燃烧性能分级》、HJ 2546-2016《环境标志产品技术要求纺织产品》要求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2、海绵：成型海绵，密度大于40kg/m3，回弹力大于50%，</w:t>
            </w:r>
            <w:r>
              <w:rPr>
                <w:rFonts w:hint="default" w:ascii="Times New Roman" w:hAnsi="Times New Roman" w:cs="Times New Roman"/>
                <w:color w:val="000000"/>
                <w:sz w:val="18"/>
                <w:szCs w:val="18"/>
              </w:rPr>
              <w:t xml:space="preserve">厚度≥5cm，</w:t>
            </w:r>
            <w:r>
              <w:rPr>
                <w:rFonts w:hint="default" w:ascii="Times New Roman" w:hAnsi="Times New Roman" w:cs="Times New Roman"/>
                <w:sz w:val="18"/>
                <w:szCs w:val="18"/>
              </w:rPr>
              <w:t xml:space="preserve">符合GB/T 10802-2023</w:t>
            </w:r>
            <w:r>
              <w:rPr>
                <w:rFonts w:hint="default" w:ascii="Times New Roman" w:hAnsi="Times New Roman" w:cs="Times New Roman"/>
                <w:color w:val="000000"/>
                <w:sz w:val="18"/>
                <w:szCs w:val="18"/>
              </w:rPr>
              <w:t xml:space="preserve">《</w:t>
            </w:r>
            <w:r>
              <w:rPr>
                <w:rFonts w:hint="default" w:ascii="Times New Roman" w:hAnsi="Times New Roman" w:cs="Times New Roman"/>
                <w:color w:val="333333"/>
                <w:sz w:val="18"/>
                <w:szCs w:val="18"/>
                <w:shd w:val="clear" w:color="auto" w:fill="ffffff"/>
              </w:rPr>
              <w:t xml:space="preserve">通用软质聚氨酯泡沫塑料》</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3、框架：铝合金框架，表面喷涂砂纹粉末。指标符合GB/T 3325-2017《金属家具通用技术条件》；</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4、椅脚：铝合金圆管，直径25mm, 壁厚1.5mm，交叉管加固工艺，</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5、扶手：铝合金，侧边包裹高强度塑编带。</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6、成品：各项技术指标符合国家相关标准。</w:t>
            </w:r>
            <w:r/>
          </w:p>
          <w:p>
            <w:pPr>
              <w:jc w:val="left"/>
              <w:widowControl/>
              <w:rPr>
                <w:rFonts w:hint="default" w:ascii="Times New Roman" w:hAnsi="Times New Roman" w:eastAsia="等线" w:cs="Times New Roman"/>
                <w:sz w:val="18"/>
                <w:szCs w:val="18"/>
              </w:rPr>
            </w:pPr>
            <w:r>
              <w:rPr>
                <w:rFonts w:hint="default" w:ascii="Times New Roman" w:hAnsi="Times New Roman" w:cs="Times New Roman"/>
                <w:sz w:val="18"/>
                <w:szCs w:val="18"/>
              </w:rPr>
              <w:t xml:space="preserve">7、其他：边缘部位倒圆处理，无棱角，降低安全风险，整体结构、安全防护、质量、环保、舒适性、便利性等参数均须符合适老化要求</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20</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张</w:t>
            </w:r>
            <w:r/>
          </w:p>
        </w:tc>
      </w:tr>
      <w:tr>
        <w:trPr>
          <w:jc w:val="center"/>
          <w:trHeight w:val="315"/>
        </w:trPr>
        <w:tc>
          <w:tcPr>
            <w:gridSpan w:val="7"/>
            <w:shd w:val="clear" w:color="000000" w:fill="d9d9d9"/>
            <w:tcW w:w="10301" w:type="dxa"/>
            <w:textDirection w:val="lrTb"/>
            <w:noWrap w:val="false"/>
          </w:tcPr>
          <w:p>
            <w:pPr>
              <w:jc w:val="center"/>
              <w:widowControl/>
              <w:rPr>
                <w:rFonts w:hint="default" w:ascii="Times New Roman" w:hAnsi="Times New Roman" w:eastAsia="等线" w:cs="Times New Roman"/>
                <w:b/>
                <w:bCs/>
                <w:color w:val="2d7dce"/>
                <w:sz w:val="18"/>
                <w:szCs w:val="18"/>
              </w:rPr>
            </w:pPr>
            <w:r>
              <w:rPr>
                <w:rFonts w:hint="default" w:ascii="Times New Roman" w:hAnsi="Times New Roman" w:eastAsia="等线" w:cs="Times New Roman"/>
                <w:b/>
                <w:bCs/>
                <w:color w:val="2d7dce"/>
                <w:sz w:val="18"/>
                <w:szCs w:val="18"/>
              </w:rPr>
              <w:t xml:space="preserve">办公区</w:t>
            </w:r>
            <w:r/>
          </w:p>
        </w:tc>
      </w:tr>
      <w:tr>
        <w:trPr>
          <w:jc w:val="center"/>
          <w:trHeight w:val="90"/>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71</w:t>
            </w:r>
            <w:r/>
          </w:p>
        </w:tc>
        <w:tc>
          <w:tcPr>
            <w:shd w:val="clear" w:color="auto" w:fill="auto"/>
            <w:tcW w:w="77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班台</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823595" cy="377190"/>
                      <wp:effectExtent l="0" t="0" r="14604" b="3810"/>
                      <wp:docPr id="70" name="图片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222"/>
                              <pic:cNvPicPr>
                                <a:picLocks noChangeAspect="1"/>
                              </pic:cNvPicPr>
                              <pic:nvPr/>
                            </pic:nvPicPr>
                            <pic:blipFill>
                              <a:blip r:embed="rId32"/>
                              <a:stretch/>
                            </pic:blipFill>
                            <pic:spPr bwMode="auto">
                              <a:xfrm>
                                <a:off x="0" y="0"/>
                                <a:ext cx="823595" cy="37718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64.8pt;height:29.7pt;mso-wrap-distance-left:0.0pt;mso-wrap-distance-top:0.0pt;mso-wrap-distance-right:0.0pt;mso-wrap-distance-bottom:0.0pt;" stroked="f" strokeweight="0.75pt">
                      <v:path textboxrect="0,0,0,0"/>
                      <v:imagedata r:id="rId32"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2000*2020*760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1、基材：优质浸渍胶膜纸饰面刨花板。板厚60mm, 甲醛释放量 ENF 级。各项指标符合GB/T 15102-2017《浸渍胶膜纸饰面纤维板和刨花板》、GB 18580-2017《室内装饰装修材料 人造板及其制品中甲醛释放限量》、GB/T 39600-2021《人造板及其制品甲醛释放量分级》、GB/T 35601-2017《绿色产品评价 人造板和木质地板》、HJ 571-2010《环境标志产品技术要求 人造板及其制品》、GB 8624-2012《建筑材料及制品燃烧性能分级》要求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2、封边：PVC封边条，厚度2mm,，各项指标符合QB/T 4463-2013《家具用封边条技术要求》要求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3、连接件：金属三合一连接件，耐腐蚀性强。符合QB/T 3832-1999《轻工产品金属镀层腐蚀试验结果的评价》的要求，达到10级。</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4、胶水：PUR湿气固化反应型聚氨酯热熔胶，安全环保，符合GB 18583-2008《室内装饰装修材料 胶粘剂中有害物质限量》；HJ 2541-2016《环境标志产品技术要求胶粘剂》；GB 33372-2020《胶粘剂挥发性有机化合物限量》要求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5、结构：板材桌脚，侧边为侧柜，含三抽及开门柜，桌面、侧柜均配置线盒，内有多功能集成插座。</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6、锁具：抽屉带锁，优质锁具，符合QB/T 1621-2015《家具锁》要求</w:t>
            </w:r>
            <w:r/>
          </w:p>
          <w:p>
            <w:pPr>
              <w:jc w:val="left"/>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7、成品：各项技术指标符合GB/T 3324-2017《木家具通用技术条件》标准的要求。</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套</w:t>
            </w:r>
            <w:r/>
          </w:p>
        </w:tc>
      </w:tr>
      <w:tr>
        <w:trPr>
          <w:jc w:val="center"/>
          <w:trHeight w:val="553"/>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72</w:t>
            </w:r>
            <w:r/>
          </w:p>
        </w:tc>
        <w:tc>
          <w:tcPr>
            <w:shd w:val="clear" w:color="auto" w:fill="auto"/>
            <w:tcW w:w="77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背柜</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735965" cy="932180"/>
                      <wp:effectExtent l="0" t="0" r="6985" b="1270"/>
                      <wp:docPr id="71" name="ID_202555D3BE9F4BB7BD4A2A173AA60B4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D_202555D3BE9F4BB7BD4A2A173AA60B4B"/>
                              <pic:cNvPicPr>
                                <a:picLocks noChangeAspect="1"/>
                              </pic:cNvPicPr>
                              <pic:nvPr/>
                            </pic:nvPicPr>
                            <pic:blipFill>
                              <a:blip r:embed="rId33"/>
                              <a:stretch/>
                            </pic:blipFill>
                            <pic:spPr bwMode="auto">
                              <a:xfrm>
                                <a:off x="0" y="0"/>
                                <a:ext cx="735965" cy="9321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57.9pt;height:73.4pt;mso-wrap-distance-left:0.0pt;mso-wrap-distance-top:0.0pt;mso-wrap-distance-right:0.0pt;mso-wrap-distance-bottom:0.0pt;" stroked="f" strokeweight="0.75pt">
                      <v:path textboxrect="0,0,0,0"/>
                      <v:imagedata r:id="rId33"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1800*420*2000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1、基材：优质浸渍胶膜纸饰面刨花板。 甲醛释放量 ENF 级。板厚25mm，各项指标符合GB/T 15102-2017《浸渍胶膜纸饰面纤维板和刨花板》、GB 18580-2017《室内装饰装修材料 人造板及其制品中甲醛释放限量》、GB/T 39600-2021《人造板及其制品甲醛释放量分级》、GB/T 35601-2017《绿色产品评价 人造板和木质地板》、HJ 571-2010《环境标志产品技术要求 人造板及其制品》、GB 8624-2012《建筑材料及制品燃烧性能分级》要求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2、封边：PVC封边条，厚度2mm,，各项指标符合QB/T 4463-2013《家具用封边条技术要求》要求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3、连接件：金属三合一连接件，耐腐蚀性强。符合QB/T 3832-1999《轻工产品金属镀层腐蚀试验结果的评价》的要求，达到10级。</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4、胶水：PUR湿气固化反应型聚氨酯热熔胶，安全环保，符合GB 18583-2008《室内装饰装修材料 胶粘剂中有害物质限量》；HJ 2541-2016《环境标志产品技术要求胶粘剂》；GB 33372-2020《胶粘剂挥发性有机化合物限量》要求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5、结构：上-左右为单开木掩门，内置一块活动层板，中间为双开玻璃门，</w:t>
            </w:r>
            <w:r>
              <w:rPr>
                <w:rFonts w:hint="default" w:ascii="Times New Roman" w:hAnsi="Times New Roman" w:cs="Times New Roman"/>
                <w:sz w:val="18"/>
                <w:szCs w:val="18"/>
                <w:lang w:val="en-US" w:eastAsia="zh-CN"/>
              </w:rPr>
              <w:t xml:space="preserve">玻璃材质为钢化清玻，</w:t>
            </w:r>
            <w:r>
              <w:rPr>
                <w:rFonts w:hint="default" w:ascii="Times New Roman" w:hAnsi="Times New Roman" w:cs="Times New Roman"/>
                <w:sz w:val="18"/>
                <w:szCs w:val="18"/>
              </w:rPr>
              <w:t xml:space="preserve">厚度≥</w:t>
            </w:r>
            <w:r>
              <w:rPr>
                <w:rFonts w:hint="default" w:ascii="Times New Roman" w:hAnsi="Times New Roman" w:cs="Times New Roman"/>
                <w:sz w:val="18"/>
                <w:szCs w:val="18"/>
                <w:lang w:val="en-US" w:eastAsia="zh-CN"/>
              </w:rPr>
              <w:t xml:space="preserve">5mm，</w:t>
            </w:r>
            <w:r>
              <w:rPr>
                <w:rFonts w:hint="default" w:ascii="Times New Roman" w:hAnsi="Times New Roman" w:cs="Times New Roman"/>
                <w:color w:val="000000"/>
                <w:sz w:val="18"/>
                <w:szCs w:val="18"/>
              </w:rPr>
              <w:t xml:space="preserve">内置两块活动层板，下-左右单开木掩门，中间双开木掩门，所有下柜内置一块活动层板，柜门带锁；</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6、铰链：优质金属铰链，指标符合QB/T 2189-2013《家具五金 杯状暗铰链》要求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7、锁具：柜门带锁，优质锁具，符合QB/T 1621-2015《家具锁》要求；</w:t>
            </w:r>
            <w:r/>
          </w:p>
          <w:p>
            <w:pPr>
              <w:jc w:val="left"/>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8、成品：各项技术指标符合GB/T 3324-2017《木家具通用技术条件》标准的要求。</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个</w:t>
            </w:r>
            <w:r/>
          </w:p>
        </w:tc>
      </w:tr>
      <w:tr>
        <w:trPr>
          <w:jc w:val="center"/>
          <w:trHeight w:val="1557"/>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73</w:t>
            </w:r>
            <w:r/>
          </w:p>
        </w:tc>
        <w:tc>
          <w:tcPr>
            <w:shd w:val="clear" w:color="auto" w:fill="auto"/>
            <w:tcW w:w="77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班椅</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663575" cy="841375"/>
                      <wp:effectExtent l="0" t="0" r="3175" b="15875"/>
                      <wp:docPr id="72"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48"/>
                              <pic:cNvPicPr>
                                <a:picLocks noChangeAspect="1"/>
                              </pic:cNvPicPr>
                              <pic:nvPr/>
                            </pic:nvPicPr>
                            <pic:blipFill>
                              <a:blip r:embed="rId34"/>
                              <a:stretch/>
                            </pic:blipFill>
                            <pic:spPr bwMode="auto">
                              <a:xfrm>
                                <a:off x="0" y="0"/>
                                <a:ext cx="663575" cy="841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52.2pt;height:66.2pt;mso-wrap-distance-left:0.0pt;mso-wrap-distance-top:0.0pt;mso-wrap-distance-right:0.0pt;mso-wrap-distance-bottom:0.0pt;" stroked="f" strokeweight="0.75pt">
                      <v:path textboxrect="0,0,0,0"/>
                      <v:imagedata r:id="rId34"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650*640*（1180-1240）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1、椅背/椅座：优质超纤皮，表面纹理清晰，具有良好的色牢度、耐光耐磨性、透气性等特性；   </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2、海绵：成型海绵，厚度≥10cm，密度大于40kg/m3，回弹力大于50%，符合GB/T 10802-2023《</w:t>
            </w:r>
            <w:r>
              <w:rPr>
                <w:rFonts w:hint="default" w:ascii="Times New Roman" w:hAnsi="Times New Roman" w:cs="Times New Roman"/>
                <w:color w:val="333333"/>
                <w:sz w:val="18"/>
                <w:szCs w:val="18"/>
                <w:shd w:val="clear" w:color="auto" w:fill="ffffff"/>
              </w:rPr>
              <w:t xml:space="preserve">通用软质聚氨酯泡沫塑料》</w:t>
            </w:r>
            <w:r>
              <w:rPr>
                <w:rFonts w:hint="default" w:ascii="Times New Roman" w:hAnsi="Times New Roman" w:cs="Times New Roman"/>
                <w:color w:val="000000"/>
                <w:sz w:val="18"/>
                <w:szCs w:val="18"/>
              </w:rPr>
              <w:t xml:space="preserve">、QB/T 2280-2016《办公家具 办公椅》要求；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3、扶手：铝合金，表面超纤皮软包固定扶手；</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4、气压棒：金属气压棒，升降行程60mm，棒芯壁厚须符合GB/T 29525-2013《座椅升降气弹簧 技术条件》要求；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5、脚轮：铝合金抛光五星脚，五星脚直径670mm，尼龙轮，轮径60mm，滑动时无杂音、活动自如；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6、胶粘剂：环保型喷胶，符合GB 18583-2008《室内装饰装修材料 胶粘剂中有害物质限量》：HJ 2541-2016《环境标志产品技术要求胶粘剂》；GB 33372-2020《胶粘剂挥发性有机化合物限量》要求；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7、颜色：黑色；</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8、成品：需符合QB/T 2280-2016《办公家具 办公椅》；</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9、其他：前置式倾仰机构，原位锁定，靠背及坐垫支撑为多层曲木板，厚度≥15mm;</w:t>
            </w:r>
            <w:r/>
          </w:p>
          <w:p>
            <w:pPr>
              <w:jc w:val="left"/>
              <w:widowControl/>
              <w:rPr>
                <w:rFonts w:hint="default" w:ascii="Times New Roman" w:hAnsi="Times New Roman" w:cs="Times New Roman" w:eastAsiaTheme="majorEastAsia"/>
                <w:sz w:val="18"/>
                <w:szCs w:val="18"/>
                <w:highlight w:val="yellow"/>
              </w:rPr>
            </w:pPr>
            <w:r>
              <w:rPr>
                <w:rFonts w:hint="default" w:ascii="Times New Roman" w:hAnsi="Times New Roman" w:cs="Times New Roman"/>
                <w:color w:val="000000"/>
                <w:sz w:val="18"/>
                <w:szCs w:val="18"/>
              </w:rPr>
              <w:t xml:space="preserve">10、净尺寸：坐宽505mm，坐高450-510mm，座深460mm；</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张</w:t>
            </w:r>
            <w:r/>
          </w:p>
        </w:tc>
      </w:tr>
      <w:tr>
        <w:trPr>
          <w:jc w:val="center"/>
          <w:trHeight w:val="2595"/>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74</w:t>
            </w:r>
            <w:r/>
          </w:p>
        </w:tc>
        <w:tc>
          <w:tcPr>
            <w:shd w:val="clear" w:color="auto" w:fill="auto"/>
            <w:tcW w:w="77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班前椅</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803275" cy="943610"/>
                      <wp:effectExtent l="0" t="0" r="15875" b="8890"/>
                      <wp:docPr id="73" name="ID_7E29F11A92824F12A831BDB470712EB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D_7E29F11A92824F12A831BDB470712EB8"/>
                              <pic:cNvPicPr>
                                <a:picLocks noChangeAspect="1"/>
                              </pic:cNvPicPr>
                              <pic:nvPr/>
                            </pic:nvPicPr>
                            <pic:blipFill>
                              <a:blip r:embed="rId35"/>
                              <a:srcRect l="0" t="16978" r="0" b="0"/>
                              <a:stretch/>
                            </pic:blipFill>
                            <pic:spPr bwMode="auto">
                              <a:xfrm>
                                <a:off x="0" y="0"/>
                                <a:ext cx="803275" cy="9436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63.2pt;height:74.3pt;mso-wrap-distance-left:0.0pt;mso-wrap-distance-top:0.0pt;mso-wrap-distance-right:0.0pt;mso-wrap-distance-bottom:0.0pt;" stroked="f" strokeweight="0.75pt">
                      <v:path textboxrect="0,0,0,0"/>
                      <v:imagedata r:id="rId35"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650*640*960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1、椅背/椅座：优质超纤皮，表面纹理清晰，具有良好的色牢度、耐光耐磨性、透气性等特性；  </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2、海绵：成型海绵，厚度≥10cm，密度大于40kg/m3，回弹力大于50%，符合GB/T 10802-2023《</w:t>
            </w:r>
            <w:r>
              <w:rPr>
                <w:rFonts w:hint="default" w:ascii="Times New Roman" w:hAnsi="Times New Roman" w:cs="Times New Roman"/>
                <w:color w:val="333333"/>
                <w:sz w:val="18"/>
                <w:szCs w:val="18"/>
                <w:shd w:val="clear" w:color="auto" w:fill="ffffff"/>
              </w:rPr>
              <w:t xml:space="preserve">通用软质聚氨酯泡沫塑料》</w:t>
            </w:r>
            <w:r>
              <w:rPr>
                <w:rFonts w:hint="default" w:ascii="Times New Roman" w:hAnsi="Times New Roman" w:cs="Times New Roman"/>
                <w:color w:val="000000"/>
                <w:sz w:val="18"/>
                <w:szCs w:val="18"/>
              </w:rPr>
              <w:t xml:space="preserve">、QB/T 2280-2016《办公家具 办公椅》要求；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3、扶手：超纤皮软包，固定扶手；</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4、椅脚：钢制电镀弓形脚；</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5、胶粘剂：环保型喷胶，符合GB 18583-2008《室内装饰装修材料 胶粘剂中有害物质限量》：HJ 2541-2016《环境标志产品技术要求胶粘剂》；GB 33372-2020《胶粘剂挥发性有机化合物限量》要求；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6、颜色：黑色；</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7、成品：需符合QB/T 2280-2016《办公家具 办公椅》要求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8、其他:固定式靠背及坐垫支撑为多层曲木板，厚度≥15mm；</w:t>
            </w:r>
            <w:r/>
          </w:p>
          <w:p>
            <w:pPr>
              <w:jc w:val="left"/>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9、净尺寸：坐宽505mm，坐高450mm，坐深460mm；</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2</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张</w:t>
            </w:r>
            <w:r/>
          </w:p>
        </w:tc>
      </w:tr>
      <w:tr>
        <w:trPr>
          <w:jc w:val="center"/>
          <w:trHeight w:val="2363"/>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75</w:t>
            </w:r>
            <w:r/>
          </w:p>
        </w:tc>
        <w:tc>
          <w:tcPr>
            <w:shd w:val="clear" w:color="auto" w:fill="auto"/>
            <w:tcW w:w="77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沙发（单人位）</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828675" cy="448310"/>
                      <wp:effectExtent l="0" t="0" r="9525" b="8890"/>
                      <wp:docPr id="74" name="图片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224"/>
                              <pic:cNvPicPr>
                                <a:picLocks noChangeAspect="1"/>
                              </pic:cNvPicPr>
                              <pic:nvPr/>
                            </pic:nvPicPr>
                            <pic:blipFill>
                              <a:blip r:embed="rId36"/>
                              <a:stretch/>
                            </pic:blipFill>
                            <pic:spPr bwMode="auto">
                              <a:xfrm>
                                <a:off x="0" y="0"/>
                                <a:ext cx="828675" cy="4483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65.2pt;height:35.3pt;mso-wrap-distance-left:0.0pt;mso-wrap-distance-top:0.0pt;mso-wrap-distance-right:0.0pt;mso-wrap-distance-bottom:0.0pt;" stroked="f" strokeweight="0.75pt">
                      <v:path textboxrect="0,0,0,0"/>
                      <v:imagedata r:id="rId36"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1200*860*900</w:t>
            </w:r>
            <w:r/>
          </w:p>
        </w:tc>
        <w:tc>
          <w:tcPr>
            <w:shd w:val="clear" w:color="auto" w:fill="auto"/>
            <w:tcW w:w="5641" w:type="dxa"/>
            <w:vAlign w:val="center"/>
            <w:vMerge w:val="restart"/>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1、饰面：优质超纤皮，表面纹理清晰，具有良好的色牢度、耐光耐磨性、透气性等特性；</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2、海绵：阻燃海绵，密度大于40kg/m3，回弹力大于50%，符合</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GB/T 10802-2023《</w:t>
            </w:r>
            <w:r>
              <w:rPr>
                <w:rFonts w:hint="default" w:ascii="Times New Roman" w:hAnsi="Times New Roman" w:cs="Times New Roman"/>
                <w:color w:val="333333"/>
                <w:sz w:val="18"/>
                <w:szCs w:val="18"/>
                <w:shd w:val="clear" w:color="auto" w:fill="ffffff"/>
              </w:rPr>
              <w:t xml:space="preserve">通用软质聚氨酯泡沫塑料》</w:t>
            </w:r>
            <w:r>
              <w:rPr>
                <w:rFonts w:hint="default" w:ascii="Times New Roman" w:hAnsi="Times New Roman" w:cs="Times New Roman"/>
                <w:color w:val="000000"/>
                <w:sz w:val="18"/>
                <w:szCs w:val="18"/>
              </w:rPr>
              <w:t xml:space="preserve">、GB 8624-2012《建筑材料及制品燃烧性能分级》等标准要求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3、框架：采用优质天然松木，经专业干燥设备处理，保证长时间使用不开裂、不变形；</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4、胶粘剂：环保型喷胶，符合GB 18583-2008《室内装饰装修材料 胶粘剂中有害物质限量》：HJ 2541-2016《环境标志产品技术要求胶粘剂》；GB 33372-2020《胶粘剂挥发性有机化合物限量》要求；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5、沙发脚：钢制脚，表面静电粉末喷涂处理；</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6、扶手：超纤皮软包扶手；</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7、颜色：黑色；</w:t>
            </w:r>
            <w:r/>
          </w:p>
          <w:p>
            <w:pPr>
              <w:jc w:val="left"/>
              <w:widowControl/>
              <w:rPr>
                <w:rFonts w:hint="default" w:ascii="Times New Roman" w:hAnsi="Times New Roman" w:cs="Times New Roman"/>
                <w:b/>
                <w:bCs/>
                <w:color w:val="ff0000"/>
                <w:spacing w:val="2"/>
                <w:sz w:val="18"/>
                <w:szCs w:val="18"/>
                <w:highlight w:val="yellow"/>
              </w:rPr>
            </w:pPr>
            <w:r>
              <w:rPr>
                <w:rFonts w:hint="default" w:ascii="Times New Roman" w:hAnsi="Times New Roman" w:cs="Times New Roman"/>
                <w:color w:val="000000"/>
                <w:sz w:val="18"/>
                <w:szCs w:val="18"/>
              </w:rPr>
              <w:t xml:space="preserve">8、成品：各项技术指标符合QB/T 1952.1-2023《软体家具沙发》 标准的要求。</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2</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张</w:t>
            </w:r>
            <w:r/>
          </w:p>
        </w:tc>
      </w:tr>
      <w:tr>
        <w:trPr>
          <w:jc w:val="center"/>
          <w:trHeight w:val="90"/>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76</w:t>
            </w:r>
            <w:r/>
          </w:p>
        </w:tc>
        <w:tc>
          <w:tcPr>
            <w:shd w:val="clear" w:color="auto" w:fill="auto"/>
            <w:tcW w:w="77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沙发（三人位）</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tc>
        <w:tc>
          <w:tcPr>
            <w:shd w:val="clear" w:color="auto" w:fill="auto"/>
            <w:tcW w:w="1523"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828675" cy="448310"/>
                      <wp:effectExtent l="0" t="0" r="9525" b="8890"/>
                      <wp:docPr id="75" name="图片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224"/>
                              <pic:cNvPicPr>
                                <a:picLocks noChangeAspect="1"/>
                              </pic:cNvPicPr>
                              <pic:nvPr/>
                            </pic:nvPicPr>
                            <pic:blipFill>
                              <a:blip r:embed="rId36"/>
                              <a:stretch/>
                            </pic:blipFill>
                            <pic:spPr bwMode="auto">
                              <a:xfrm>
                                <a:off x="0" y="0"/>
                                <a:ext cx="828675" cy="4483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65.2pt;height:35.3pt;mso-wrap-distance-left:0.0pt;mso-wrap-distance-top:0.0pt;mso-wrap-distance-right:0.0pt;mso-wrap-distance-bottom:0.0pt;" stroked="f" strokeweight="0.75pt">
                      <v:path textboxrect="0,0,0,0"/>
                      <v:imagedata r:id="rId36"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2200*860*900</w:t>
            </w:r>
            <w:r/>
          </w:p>
        </w:tc>
        <w:tc>
          <w:tcPr>
            <w:shd w:val="clear" w:color="auto" w:fill="auto"/>
            <w:tcW w:w="5641" w:type="dxa"/>
            <w:vAlign w:val="center"/>
            <w:vMerge w:val="continue"/>
            <w:textDirection w:val="lrTb"/>
            <w:noWrap w:val="false"/>
          </w:tcPr>
          <w:p>
            <w:pPr>
              <w:jc w:val="left"/>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张</w:t>
            </w:r>
            <w:r/>
          </w:p>
        </w:tc>
      </w:tr>
      <w:tr>
        <w:trPr>
          <w:jc w:val="center"/>
          <w:trHeight w:val="2526"/>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77</w:t>
            </w:r>
            <w:r/>
          </w:p>
        </w:tc>
        <w:tc>
          <w:tcPr>
            <w:shd w:val="clear" w:color="auto" w:fill="auto"/>
            <w:tcW w:w="77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长茶几</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764540" cy="461010"/>
                      <wp:effectExtent l="0" t="0" r="16510" b="15240"/>
                      <wp:docPr id="76" name="图片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226"/>
                              <pic:cNvPicPr>
                                <a:picLocks noChangeAspect="1"/>
                              </pic:cNvPicPr>
                              <pic:nvPr/>
                            </pic:nvPicPr>
                            <pic:blipFill>
                              <a:blip r:embed="rId60"/>
                              <a:stretch/>
                            </pic:blipFill>
                            <pic:spPr bwMode="auto">
                              <a:xfrm>
                                <a:off x="0" y="0"/>
                                <a:ext cx="764540" cy="4610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60.2pt;height:36.3pt;mso-wrap-distance-left:0.0pt;mso-wrap-distance-top:0.0pt;mso-wrap-distance-right:0.0pt;mso-wrap-distance-bottom:0.0pt;" stroked="f" strokeweight="0.75pt">
                      <v:path textboxrect="0,0,0,0"/>
                      <v:imagedata r:id="rId60"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1200*600*420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1、结构：四脚桌；</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2、基材：优质浸渍胶膜纸饰面刨花板。 甲醛释放量 ENF 级。板厚25mm，各项指标符合GB/T 15102-2017《浸渍胶膜纸饰面纤维板和刨花板》、GB 18580-2017《室内装饰装修材料 人造板及其制品中甲醛释放限量》、GB/T 39600-2021《人造板及其制品甲醛释放量分级》、GB/T 35601-2017《绿色产品评价 人造板和木质地板》、HJ 571-2010《环境标志产品技术要求 人造板及其制品》、GB 8624-2012《建筑材料及制品燃烧性能分级》要求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3、封边：PVC封边条，厚度2mm，各项指标符合QB/T 4463-2013《家具用封边条技术要求》要求；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4、桌腿：优质钢腿及桌架，方管尺寸50*50mm，表面环氧树脂粉末涂料喷涂，符合HG/T 2006-2022《热固性和热塑性粉末涂料》要求；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5、成品：各项技术指标符合GB/T 3325-2017《金属家具通用技术条件》标准的要求；</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个</w:t>
            </w:r>
            <w:r/>
          </w:p>
        </w:tc>
      </w:tr>
      <w:tr>
        <w:trPr>
          <w:jc w:val="center"/>
          <w:trHeight w:val="933"/>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78</w:t>
            </w:r>
            <w:r/>
          </w:p>
        </w:tc>
        <w:tc>
          <w:tcPr>
            <w:shd w:val="clear" w:color="auto" w:fill="auto"/>
            <w:tcW w:w="77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方茶几</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748030" cy="516890"/>
                      <wp:effectExtent l="0" t="0" r="13970" b="16510"/>
                      <wp:docPr id="77" name="图片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225"/>
                              <pic:cNvPicPr>
                                <a:picLocks noChangeAspect="1"/>
                              </pic:cNvPicPr>
                              <pic:nvPr/>
                            </pic:nvPicPr>
                            <pic:blipFill>
                              <a:blip r:embed="rId37"/>
                              <a:stretch/>
                            </pic:blipFill>
                            <pic:spPr bwMode="auto">
                              <a:xfrm>
                                <a:off x="0" y="0"/>
                                <a:ext cx="748030" cy="5168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58.9pt;height:40.7pt;mso-wrap-distance-left:0.0pt;mso-wrap-distance-top:0.0pt;mso-wrap-distance-right:0.0pt;mso-wrap-distance-bottom:0.0pt;" stroked="f" strokeweight="0.75pt">
                      <v:path textboxrect="0,0,0,0"/>
                      <v:imagedata r:id="rId37"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600*600*420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1、结构：四脚桌；</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2、基材：优质浸渍胶膜纸饰面刨花板。 甲醛释放量 ENF 级。板厚25mm，各项指标符合GB/T 15102-2017《浸渍胶膜纸饰面纤维板和刨花板》、GB 18580-2017《室内装饰装修材料 人造板及其制品中甲醛释放限量》、GB/T 39600-2021《人造板及其制品甲醛释放量分级》、GB/T 35601-2017《绿色产品评价 人造板和木质地板》、HJ 571-2010《环境标志产品技术要求 人造板及其制品》、GB 8624-2012《建筑材料及制品燃烧性能分级》要求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3、封边：PVC封边条，厚度2mm，各项指标符合QB/T 4463-2013《家具用封边条技术要求》要求；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4、桌腿：优质钢腿及桌架，方管尺寸50*50mm，表面环氧树脂粉末涂料喷涂，符合HG/T 2006-2022《热固性和热塑性粉末涂料》要求；</w:t>
            </w:r>
            <w:r/>
          </w:p>
          <w:p>
            <w:pPr>
              <w:jc w:val="left"/>
              <w:widowControl/>
              <w:rPr>
                <w:rFonts w:hint="default" w:ascii="Times New Roman" w:hAnsi="Times New Roman" w:cs="Times New Roman"/>
                <w:sz w:val="18"/>
                <w:szCs w:val="18"/>
              </w:rPr>
            </w:pPr>
            <w:r>
              <w:rPr>
                <w:rFonts w:hint="default" w:ascii="Times New Roman" w:hAnsi="Times New Roman" w:cs="Times New Roman"/>
                <w:color w:val="000000"/>
                <w:sz w:val="18"/>
                <w:szCs w:val="18"/>
              </w:rPr>
              <w:t xml:space="preserve">5、成品：各项技术指标符合GB/T 3325-2017《金属家具通用技术条件》标准的要求；</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2</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个</w:t>
            </w:r>
            <w:r/>
          </w:p>
        </w:tc>
      </w:tr>
      <w:tr>
        <w:trPr>
          <w:jc w:val="center"/>
          <w:trHeight w:val="90"/>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79</w:t>
            </w:r>
            <w:r/>
          </w:p>
        </w:tc>
        <w:tc>
          <w:tcPr>
            <w:shd w:val="clear" w:color="auto" w:fill="auto"/>
            <w:tcW w:w="77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茶水柜</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758190" cy="603885"/>
                      <wp:effectExtent l="0" t="0" r="3810" b="5715"/>
                      <wp:docPr id="78" name="图片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227"/>
                              <pic:cNvPicPr>
                                <a:picLocks noChangeAspect="1"/>
                              </pic:cNvPicPr>
                              <pic:nvPr/>
                            </pic:nvPicPr>
                            <pic:blipFill>
                              <a:blip r:embed="rId61"/>
                              <a:stretch/>
                            </pic:blipFill>
                            <pic:spPr bwMode="auto">
                              <a:xfrm>
                                <a:off x="0" y="0"/>
                                <a:ext cx="758190" cy="6038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59.7pt;height:47.5pt;mso-wrap-distance-left:0.0pt;mso-wrap-distance-top:0.0pt;mso-wrap-distance-right:0.0pt;mso-wrap-distance-bottom:0.0pt;" stroked="f" strokeweight="0.75pt">
                      <v:path textboxrect="0,0,0,0"/>
                      <v:imagedata r:id="rId61"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1200*420*950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1、基材：优质浸渍胶膜纸饰面刨花板。 甲醛释放量 ENF 级。板厚25mm，各项指标符合GB/T 15102-2017《浸渍胶膜纸饰面纤维板和刨花板》、GB 18580-2017《室内装饰装修材料 人造板及其制品中甲醛释放限量》、GB/T 39600-2021《人造板及其制品甲醛释放量分级》、GB/T 35601-2017《绿色产品评价 人造板和木质地板》、HJ 571-2010《环境标志产品技术要求 人造板及其制品》、GB 8624-2012《建筑材料及制品燃烧性能分级》要求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2、封边：激光封边条，各项指标符合QB/T 4463-2013《家具用封边条技术要求》要求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3、连接件：金属三合一连接件，耐腐蚀性强。符合QB/T 3832-1999《轻工产品金属镀层腐蚀试验结果的评价》的要求，达到10级。</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4、铰链：优质金属铰链，指标符合QB/T 2189-2013《家具五金 杯状暗铰链》要求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5、结构：柜面顶部有挡边，下部双边双开木掩门；</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6、其他要求：边缘部位倒圆处理，无棱角，降低安全风险.</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个</w:t>
            </w:r>
            <w:r/>
          </w:p>
        </w:tc>
      </w:tr>
      <w:tr>
        <w:trPr>
          <w:jc w:val="center"/>
          <w:trHeight w:val="5805"/>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80</w:t>
            </w:r>
            <w:r/>
          </w:p>
        </w:tc>
        <w:tc>
          <w:tcPr>
            <w:shd w:val="clear" w:color="auto" w:fill="auto"/>
            <w:tcW w:w="77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屏风工位</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tc>
        <w:tc>
          <w:tcPr>
            <w:shd w:val="clear" w:color="auto" w:fill="auto"/>
            <w:tcW w:w="1523" w:type="dxa"/>
            <w:vAlign w:val="center"/>
            <w:vMerge w:val="restart"/>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r>
            <w:r/>
          </w:p>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744220" cy="581660"/>
                      <wp:effectExtent l="0" t="0" r="2540" b="12700"/>
                      <wp:docPr id="79" name="ID_4A5264C807D94F8DACEB35691C298ABA" descr="Enscape_2024-04-05-17-0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1" name="ID_4A5264C807D94F8DACEB35691C298ABA" descr="Enscape_2024-04-05-17-08-56"/>
                              <pic:cNvPicPr>
                                <a:picLocks noChangeAspect="1"/>
                              </pic:cNvPicPr>
                              <pic:nvPr/>
                            </pic:nvPicPr>
                            <pic:blipFill>
                              <a:blip r:embed="rId38"/>
                              <a:srcRect l="17812" t="8235" r="25417" b="11209"/>
                              <a:stretch/>
                            </pic:blipFill>
                            <pic:spPr bwMode="auto">
                              <a:xfrm>
                                <a:off x="0" y="0"/>
                                <a:ext cx="744220" cy="5816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58.6pt;height:45.8pt;mso-wrap-distance-left:0.0pt;mso-wrap-distance-top:0.0pt;mso-wrap-distance-right:0.0pt;mso-wrap-distance-bottom:0.0pt;" stroked="f" strokeweight="0.75pt">
                      <v:path textboxrect="0,0,0,0"/>
                      <v:imagedata r:id="rId38" o:title=""/>
                    </v:shape>
                  </w:pict>
                </mc:Fallback>
              </mc:AlternateContent>
            </w:r>
            <w:r/>
          </w:p>
          <w:p>
            <w:pPr>
              <w:widowControl/>
              <w:rPr>
                <w:rFonts w:hint="default" w:ascii="Times New Roman" w:hAnsi="Times New Roman" w:cs="Times New Roman"/>
                <w:sz w:val="18"/>
                <w:szCs w:val="18"/>
              </w:rPr>
            </w:pPr>
            <w:r>
              <w:rPr>
                <w:rFonts w:hint="default" w:ascii="Times New Roman" w:hAnsi="Times New Roman" w:cs="Times New Roman"/>
                <w:sz w:val="18"/>
                <w:szCs w:val="18"/>
              </w:rPr>
            </w:r>
            <w:r/>
          </w:p>
          <w:p>
            <w:pPr>
              <w:jc w:val="right"/>
              <w:widowControl/>
              <w:rPr>
                <w:rFonts w:hint="default" w:ascii="Times New Roman" w:hAnsi="Times New Roman" w:cs="Times New Roman"/>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494665" cy="615950"/>
                      <wp:effectExtent l="0" t="0" r="8255" b="8890"/>
                      <wp:docPr id="80" name="图片 35" descr="02莱克活动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35" descr="02莱克活动柜"/>
                              <pic:cNvPicPr>
                                <a:picLocks noChangeAspect="1"/>
                              </pic:cNvPicPr>
                              <pic:nvPr/>
                            </pic:nvPicPr>
                            <pic:blipFill>
                              <a:blip r:embed="rId39"/>
                              <a:stretch/>
                            </pic:blipFill>
                            <pic:spPr bwMode="auto">
                              <a:xfrm>
                                <a:off x="0" y="0"/>
                                <a:ext cx="494665" cy="615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38.9pt;height:48.5pt;mso-wrap-distance-left:0.0pt;mso-wrap-distance-top:0.0pt;mso-wrap-distance-right:0.0pt;mso-wrap-distance-bottom:0.0pt;" stroked="f" strokeweight="0.75pt">
                      <v:path textboxrect="0,0,0,0"/>
                      <v:imagedata r:id="rId39" o:title=""/>
                    </v:shape>
                  </w:pict>
                </mc:Fallback>
              </mc:AlternateConten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工作位：1600*1600*750/1200 </w:t>
            </w:r>
            <w:r>
              <w:rPr>
                <w:rFonts w:hint="default" w:ascii="Times New Roman" w:hAnsi="Times New Roman" w:eastAsia="等线" w:cs="Times New Roman"/>
                <w:color w:val="000000"/>
                <w:sz w:val="18"/>
                <w:szCs w:val="18"/>
              </w:rPr>
              <w:br/>
            </w:r>
            <w:r>
              <w:rPr>
                <w:rFonts w:hint="default" w:ascii="Times New Roman" w:hAnsi="Times New Roman" w:eastAsia="等线" w:cs="Times New Roman"/>
                <w:color w:val="000000"/>
                <w:sz w:val="18"/>
                <w:szCs w:val="18"/>
              </w:rPr>
              <w:t xml:space="preserve">活动柜：</w:t>
            </w:r>
            <w:r>
              <w:rPr>
                <w:rFonts w:hint="default" w:ascii="Times New Roman" w:hAnsi="Times New Roman" w:eastAsia="等线" w:cs="Times New Roman"/>
                <w:color w:val="000000"/>
                <w:sz w:val="18"/>
                <w:szCs w:val="18"/>
              </w:rPr>
              <w:br/>
            </w:r>
            <w:r>
              <w:rPr>
                <w:rFonts w:hint="default" w:ascii="Times New Roman" w:hAnsi="Times New Roman" w:eastAsia="等线" w:cs="Times New Roman"/>
                <w:color w:val="000000"/>
                <w:sz w:val="18"/>
                <w:szCs w:val="18"/>
              </w:rPr>
              <w:t xml:space="preserve">410*490*630</w:t>
            </w:r>
            <w:r/>
          </w:p>
        </w:tc>
        <w:tc>
          <w:tcPr>
            <w:shd w:val="clear" w:color="auto" w:fill="auto"/>
            <w:tcW w:w="5641" w:type="dxa"/>
            <w:vAlign w:val="center"/>
            <w:vMerge w:val="restart"/>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1、屏风框架：屏风工位主龙骨采用铝型材，走线屏风厚度45mm，非走线屏风厚度30mm,符合GB/T 22792.1-2009《办公家具屏风第1部分：尺寸》。主材壁厚不小于1.2mm。</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2、安全角设计：所有人体接触棱角、棱边均倒圆弧，避免铝材切口位置对人体接触时的伤害。裸露的接口和切口处加铝合金边盖。</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3、屏风面板：基材：刨花板；外饰：阻燃布料；甲醛释放量符合国家标准ENF级要求。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走线槽在45mm厚屏风上，可拆卸，便于打开检修。</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屏风结实牢靠，所有接头卡位牢固；顶部接头无螺丝位，能多次无损拆装。</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4、桌面面板：基材：优质浸渍胶膜纸饰面刨花板， 厚度25mm，甲醛释放量 ENF 级。各项指标符合GB/T 15102-2017《浸渍胶膜纸饰面纤维板和刨花板》、GB 18580-2017《室内装饰装修材料 人造板及其制品中甲醛释放限量》、GB/T 39600-2021《人造板及其制品甲醛释放量分级》、GB/T 35601-2017《绿色产品评价 人造板和木质地板》、HJ 571-2010《环境标志产品技术要求 人造板及其制品》、GB 8624-2012《建筑材料及制品燃烧性能分级》要求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5、封边：激光封边条，各项指标符合QB/T 4463-2013《家具用封边条技术要求》要求。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6、走线：走线符合安全使用要求，走暗线，暗线槽设置符合现场使用要求。桌面设备铝合金线盒，可放置4个86型插座。</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7、底脚：底脚带有高度调节功能。</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8、成品：桌面高度为750mm，屏风高度为1200mm，各项技术指标符合GB/T 22792.1-2009《办公家具 屏风 第1部分：尺寸》、GB 22792.2-2008《办公家具 屏风 第2部分：安全要求》、GB/T 22792.3-2008《办公家具 屏风 第3部分:试验方法》、GB/T 3325-2017《金属家具通用技术条件》、QB/T 4935-2016《办公家具屏风桌》标准的要求；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9、柜类配置：</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①每个工位含板式活动柜一个，外部及抽面材质：优质浸渍胶膜纸饰面刨花板，颜色同桌面</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三层抽屉，抽屉材质为电解钢板，厚度为0.8mm，符合GB/T 35607-2017《绿色产品评价 家具》</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GB/T 11253-2019《碳素结构钢冷轧钢板及钢带》要求，三节导轨符合QB/T 2454-2013《家具五金 抽屉导轨》要求，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首层抽屉配文具盒，底层抽屉可挂挂块牢档案袋，</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带锁具，锁具符合QB/T 1621-2015《家具锁》要求</w:t>
            </w:r>
            <w:r/>
          </w:p>
          <w:p>
            <w:pPr>
              <w:jc w:val="left"/>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底部5个活动轮，配有防倾倒轮，静音。</w:t>
            </w:r>
            <w:r>
              <w:rPr>
                <w:rFonts w:hint="default" w:ascii="Times New Roman" w:hAnsi="Times New Roman" w:eastAsia="等线" w:cs="Times New Roman"/>
                <w:color w:val="000000"/>
                <w:sz w:val="18"/>
                <w:szCs w:val="18"/>
              </w:rPr>
              <w:t xml:space="preserve">　 </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10</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套</w:t>
            </w:r>
            <w:r/>
          </w:p>
        </w:tc>
      </w:tr>
      <w:tr>
        <w:trPr>
          <w:jc w:val="center"/>
          <w:trHeight w:val="692"/>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81</w:t>
            </w:r>
            <w:r/>
          </w:p>
        </w:tc>
        <w:tc>
          <w:tcPr>
            <w:shd w:val="clear" w:color="auto" w:fill="auto"/>
            <w:tcW w:w="77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p>
            <w:pPr>
              <w:jc w:val="center"/>
              <w:widowControl/>
              <w:rPr>
                <w:rFonts w:hint="default" w:ascii="Times New Roman" w:hAnsi="Times New Roman" w:eastAsia="等线" w:cs="Times New Roman"/>
                <w:color w:val="000000"/>
                <w:sz w:val="18"/>
                <w:szCs w:val="18"/>
                <w:lang w:eastAsia="zh-CN"/>
              </w:rPr>
            </w:pPr>
            <w:r>
              <w:rPr>
                <w:rFonts w:hint="default" w:ascii="Times New Roman" w:hAnsi="Times New Roman" w:eastAsia="等线" w:cs="Times New Roman"/>
                <w:color w:val="000000"/>
                <w:sz w:val="18"/>
                <w:szCs w:val="18"/>
                <w:lang w:val="en-US" w:eastAsia="zh-CN"/>
              </w:rPr>
              <w:t xml:space="preserve">屏风工位</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tc>
        <w:tc>
          <w:tcPr>
            <w:shd w:val="clear" w:color="auto" w:fill="auto"/>
            <w:tcW w:w="1523" w:type="dxa"/>
            <w:vAlign w:val="center"/>
            <w:vMerge w:val="continue"/>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工作位：1500*1500*750/1200</w:t>
            </w:r>
            <w:r>
              <w:rPr>
                <w:rFonts w:hint="default" w:ascii="Times New Roman" w:hAnsi="Times New Roman" w:eastAsia="等线" w:cs="Times New Roman"/>
                <w:color w:val="000000"/>
                <w:sz w:val="18"/>
                <w:szCs w:val="18"/>
              </w:rPr>
              <w:br/>
            </w:r>
            <w:r>
              <w:rPr>
                <w:rFonts w:hint="default" w:ascii="Times New Roman" w:hAnsi="Times New Roman" w:eastAsia="等线" w:cs="Times New Roman"/>
                <w:color w:val="000000"/>
                <w:sz w:val="18"/>
                <w:szCs w:val="18"/>
              </w:rPr>
              <w:t xml:space="preserve">活动柜：</w:t>
            </w:r>
            <w:r>
              <w:rPr>
                <w:rFonts w:hint="default" w:ascii="Times New Roman" w:hAnsi="Times New Roman" w:eastAsia="等线" w:cs="Times New Roman"/>
                <w:color w:val="000000"/>
                <w:sz w:val="18"/>
                <w:szCs w:val="18"/>
              </w:rPr>
              <w:br/>
            </w:r>
            <w:r>
              <w:rPr>
                <w:rFonts w:hint="default" w:ascii="Times New Roman" w:hAnsi="Times New Roman" w:eastAsia="等线" w:cs="Times New Roman"/>
                <w:color w:val="000000"/>
                <w:sz w:val="18"/>
                <w:szCs w:val="18"/>
              </w:rPr>
              <w:t xml:space="preserve">410*490*630</w:t>
            </w:r>
            <w:r/>
          </w:p>
        </w:tc>
        <w:tc>
          <w:tcPr>
            <w:shd w:val="clear" w:color="auto" w:fill="auto"/>
            <w:tcW w:w="5641" w:type="dxa"/>
            <w:vAlign w:val="center"/>
            <w:vMerge w:val="continue"/>
            <w:textDirection w:val="lrTb"/>
            <w:noWrap w:val="false"/>
          </w:tcPr>
          <w:p>
            <w:pPr>
              <w:jc w:val="left"/>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20</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套</w:t>
            </w:r>
            <w:r/>
          </w:p>
        </w:tc>
      </w:tr>
      <w:tr>
        <w:trPr>
          <w:jc w:val="center"/>
          <w:trHeight w:val="435"/>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82</w:t>
            </w:r>
            <w:r/>
          </w:p>
        </w:tc>
        <w:tc>
          <w:tcPr>
            <w:shd w:val="clear" w:color="auto" w:fill="auto"/>
            <w:tcW w:w="77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办公椅</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591185" cy="800735"/>
                      <wp:effectExtent l="0" t="0" r="18415" b="18415"/>
                      <wp:docPr id="81"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45"/>
                              <pic:cNvPicPr>
                                <a:picLocks noChangeAspect="1"/>
                              </pic:cNvPicPr>
                              <pic:nvPr/>
                            </pic:nvPicPr>
                            <pic:blipFill>
                              <a:blip r:embed="rId40"/>
                              <a:stretch/>
                            </pic:blipFill>
                            <pic:spPr bwMode="auto">
                              <a:xfrm>
                                <a:off x="0" y="0"/>
                                <a:ext cx="591185" cy="8007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46.5pt;height:63.0pt;mso-wrap-distance-left:0.0pt;mso-wrap-distance-top:0.0pt;mso-wrap-distance-right:0.0pt;mso-wrap-distance-bottom:0.0pt;" stroked="f" strokeweight="0.75pt">
                      <v:path textboxrect="0,0,0,0"/>
                      <v:imagedata r:id="rId40"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645*560*（970-1060）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1、椅背：优质网布，具有透气性和防静电性能，耐磨性强，厚度1.0mm。甲醛含量低于300mg/kg，安全环保，符合GB 18401-2010《国家纺织产品基本安全技术规范》标准。具有透气性和防静电性能，耐磨性强，厚度≥1.0mm。</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2、背框：全新PP一次注塑成型背框，内外框结构，结构坚固。</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3、坐垫：纤维织物，具有耐磨性。</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4、海绵：软质聚醚型聚氨酯泡沫塑料成型海绵，厚度≥75mm，密度大于40kg/m3，回弹力大于50%，符合GB/T 10802-2023《</w:t>
            </w:r>
            <w:r>
              <w:rPr>
                <w:rFonts w:hint="default" w:ascii="Times New Roman" w:hAnsi="Times New Roman" w:cs="Times New Roman"/>
                <w:color w:val="333333"/>
                <w:sz w:val="18"/>
                <w:szCs w:val="18"/>
                <w:shd w:val="clear" w:color="auto" w:fill="ffffff"/>
              </w:rPr>
              <w:t xml:space="preserve">通用软质聚氨酯泡沫塑料》</w:t>
            </w:r>
            <w:r>
              <w:rPr>
                <w:rFonts w:hint="default" w:ascii="Times New Roman" w:hAnsi="Times New Roman" w:cs="Times New Roman"/>
                <w:color w:val="000000"/>
                <w:sz w:val="18"/>
                <w:szCs w:val="18"/>
              </w:rPr>
              <w:t xml:space="preserve">；QB/T 2280-2016《办公家具 办公椅》； </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5、座板：采用15mm多层曲木板热压成型，板材绿色环保，经防潮、防腐、防蛀等化学处理。</w:t>
            </w:r>
            <w:r>
              <w:rPr>
                <w:rFonts w:hint="default" w:ascii="Times New Roman" w:hAnsi="Times New Roman" w:cs="Times New Roman" w:eastAsiaTheme="majorEastAsia"/>
                <w:sz w:val="18"/>
                <w:szCs w:val="18"/>
              </w:rPr>
              <w:t xml:space="preserve">底部采用</w:t>
            </w:r>
            <w:r>
              <w:rPr>
                <w:rFonts w:hint="default" w:ascii="Times New Roman" w:hAnsi="Times New Roman" w:cs="Times New Roman"/>
                <w:color w:val="000000"/>
                <w:sz w:val="18"/>
                <w:szCs w:val="18"/>
              </w:rPr>
              <w:t xml:space="preserve">PP底壳包底。</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6、扶手：PP可升降T型扶手,扶手面PU材质</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7、底盘：采用安全可锁定同步倾仰底盘，由3.2mm钢板压制而成，经防腐处理。</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8、气压棒：金属气压棒，升降行程90mm，棒芯壁厚须符合GB/T 29525-2013《座椅升降气弹簧 技术条件》要求。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9、胶粘剂：环保型喷胶，符合GB 18583-2008《室内装饰装修材料 胶粘剂中有害物质限量》：HJ 2541-2016《环境标志产品技术要求胶粘剂》；GB 33372-2020《胶粘剂挥发性有机化合物限量》要求；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10、五星脚：塑料五星脚，直径650 mm。</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11、脚轮：PU万向轮，直径60 mm，滑动时无杂音、活动自如。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12、成品：需符合QB/T 2280-2016《办公家具 办公椅》的要求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13、腰托：PP腰托，可上下调节</w:t>
            </w:r>
            <w:r/>
          </w:p>
          <w:p>
            <w:pPr>
              <w:jc w:val="left"/>
              <w:widowControl/>
              <w:rPr>
                <w:rFonts w:hint="default" w:ascii="Times New Roman" w:hAnsi="Times New Roman" w:cs="Times New Roman"/>
                <w:b/>
                <w:bCs/>
                <w:color w:val="ff0000"/>
                <w:spacing w:val="2"/>
                <w:sz w:val="18"/>
                <w:szCs w:val="18"/>
                <w:highlight w:val="yellow"/>
              </w:rPr>
            </w:pPr>
            <w:r>
              <w:rPr>
                <w:rFonts w:hint="default" w:ascii="Times New Roman" w:hAnsi="Times New Roman" w:cs="Times New Roman"/>
                <w:color w:val="000000"/>
                <w:sz w:val="18"/>
                <w:szCs w:val="18"/>
              </w:rPr>
              <w:t xml:space="preserve">14、净尺寸：座宽455mm，坐高405-495mm，坐深：450mm；</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30</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张</w:t>
            </w:r>
            <w:r/>
          </w:p>
        </w:tc>
      </w:tr>
      <w:tr>
        <w:trPr>
          <w:jc w:val="center"/>
          <w:trHeight w:val="2115"/>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83</w:t>
            </w:r>
            <w:r/>
          </w:p>
        </w:tc>
        <w:tc>
          <w:tcPr>
            <w:shd w:val="clear" w:color="auto" w:fill="auto"/>
            <w:tcW w:w="77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矮柜</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692785" cy="720090"/>
                      <wp:effectExtent l="0" t="0" r="12065" b="3810"/>
                      <wp:docPr id="82" name="ID_FE7CAE82699642ABA5E50EA15B07D58D" descr="MS2B-0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D_FE7CAE82699642ABA5E50EA15B07D58D" descr="MS2B-0809"/>
                              <pic:cNvPicPr>
                                <a:picLocks noChangeAspect="1"/>
                              </pic:cNvPicPr>
                              <pic:nvPr/>
                            </pic:nvPicPr>
                            <pic:blipFill>
                              <a:blip r:embed="rId42"/>
                              <a:stretch/>
                            </pic:blipFill>
                            <pic:spPr bwMode="auto">
                              <a:xfrm>
                                <a:off x="0" y="0"/>
                                <a:ext cx="692785" cy="7200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54.5pt;height:56.7pt;mso-wrap-distance-left:0.0pt;mso-wrap-distance-top:0.0pt;mso-wrap-distance-right:0.0pt;mso-wrap-distance-bottom:0.0pt;" stroked="f" strokeweight="0.75pt">
                      <v:path textboxrect="0,0,0,0"/>
                      <v:imagedata r:id="rId42"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900*420*900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1、优质浸渍胶膜纸饰面刨花板。 甲醛释放量 ENF 级。板厚25mm，各项指标符合GB/T 15102-2017《浸渍胶膜纸饰面纤维板和刨花板》、GB 18580-2017《室内装饰装修材料 人造板及其制品中甲醛释放限量》、GB/T 39600-2021《人造板及其制品甲醛释放量分级》、GB/T 35601-2017《绿色产品评价 人造板和木质地板》、HJ 571-2010《环境标志产品技术要求 人造板及其制品》、GB 8624-2012《建筑材料及制品燃烧性能分级》要求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2、封边：激光封边条，各项指标符合QB/T 4463-2013《家具用封边条技术要求》要求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3、连接件：金属三合一连接件，耐腐蚀性强。符合QB/T 3832-1999《轻工产品金属镀层腐蚀试验结果的评价》的要求，达到10级。</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4、结构：双开木掩门，内置一块活动层板，柜门带锁；</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5、铰链：优质金属铰链，指标符合QB/T 2189-2013《家具五金 杯状暗铰链》要求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6、锁具：柜门带锁，优质锁具，符合QB/T 1621-2015《家具锁》要求；</w:t>
            </w:r>
            <w:r/>
          </w:p>
          <w:p>
            <w:pPr>
              <w:jc w:val="left"/>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7、成品：各项技术指标符合GB/T 3324-2017《木家具通用技术条件》标准的要求。</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14</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个</w:t>
            </w:r>
            <w:r/>
          </w:p>
        </w:tc>
      </w:tr>
      <w:tr>
        <w:trPr>
          <w:jc w:val="center"/>
          <w:trHeight w:val="180"/>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84</w:t>
            </w:r>
            <w:r/>
          </w:p>
        </w:tc>
        <w:tc>
          <w:tcPr>
            <w:shd w:val="clear" w:color="auto" w:fill="auto"/>
            <w:tcW w:w="771"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　</w:t>
            </w:r>
            <w:r/>
          </w:p>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高柜（上玻璃下木掩门柜）</w:t>
            </w:r>
            <w:r/>
          </w:p>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　</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538480" cy="859790"/>
                      <wp:effectExtent l="0" t="0" r="13970" b="16510"/>
                      <wp:docPr id="83" name="ID_0E9D5B77CEC04E16BAF7DA9BEB28D77A" descr="MS4B-0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D_0E9D5B77CEC04E16BAF7DA9BEB28D77A" descr="MS4B-0920"/>
                              <pic:cNvPicPr>
                                <a:picLocks noChangeAspect="1"/>
                              </pic:cNvPicPr>
                              <pic:nvPr/>
                            </pic:nvPicPr>
                            <pic:blipFill>
                              <a:blip r:embed="rId43"/>
                              <a:stretch/>
                            </pic:blipFill>
                            <pic:spPr bwMode="auto">
                              <a:xfrm>
                                <a:off x="0" y="0"/>
                                <a:ext cx="538480" cy="8597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42.4pt;height:67.7pt;mso-wrap-distance-left:0.0pt;mso-wrap-distance-top:0.0pt;mso-wrap-distance-right:0.0pt;mso-wrap-distance-bottom:0.0pt;" stroked="f" strokeweight="0.75pt">
                      <v:path textboxrect="0,0,0,0"/>
                      <v:imagedata r:id="rId43"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900*420*2000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1、基材：优质浸渍胶膜纸饰面刨花板。 甲醛释放量 ENF 级。板厚25mm，各项指标符合GB/T 15102-2017《浸渍胶膜纸饰面纤维板和刨花板》、GB 18580-2017《室内装饰装修材料 人造板及其制品中甲醛释放限量》、GB/T 39600-2021《人造板及其制品甲醛释放量分级》、GB/T 35601-2017《绿色产品评价 人造板和木质地板》、HJ 571-2010《环境标志产品技术要求 人造板及其制品》、GB 8624-2012《建筑材料及制品燃烧性能分级》要求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2、封边：激光封边条，各项指标符合QB/T 4463-2013《家具用封边条技术要求》要求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3、连接件：金属三合一连接件，耐腐蚀性强。符合QB/T 3832-1999《轻工产品金属镀层腐蚀试验结果的评价》的要求，达到10级。</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4、结构：上-二块活动层板，双开铝框玻璃门；</w:t>
            </w:r>
            <w:r>
              <w:rPr>
                <w:rFonts w:hint="default" w:ascii="Times New Roman" w:hAnsi="Times New Roman" w:cs="Times New Roman"/>
                <w:sz w:val="18"/>
                <w:szCs w:val="18"/>
                <w:lang w:val="en-US" w:eastAsia="zh-CN"/>
              </w:rPr>
              <w:t xml:space="preserve">玻璃材质为钢化清玻，</w:t>
            </w:r>
            <w:r>
              <w:rPr>
                <w:rFonts w:hint="default" w:ascii="Times New Roman" w:hAnsi="Times New Roman" w:cs="Times New Roman"/>
                <w:sz w:val="18"/>
                <w:szCs w:val="18"/>
              </w:rPr>
              <w:t xml:space="preserve">厚度≥</w:t>
            </w:r>
            <w:r>
              <w:rPr>
                <w:rFonts w:hint="default" w:ascii="Times New Roman" w:hAnsi="Times New Roman" w:cs="Times New Roman"/>
                <w:sz w:val="18"/>
                <w:szCs w:val="18"/>
                <w:lang w:val="en-US" w:eastAsia="zh-CN"/>
              </w:rPr>
              <w:t xml:space="preserve">5mm，</w:t>
            </w:r>
            <w:r>
              <w:rPr>
                <w:rFonts w:hint="default" w:ascii="Times New Roman" w:hAnsi="Times New Roman" w:cs="Times New Roman"/>
                <w:color w:val="000000"/>
                <w:sz w:val="18"/>
                <w:szCs w:val="18"/>
              </w:rPr>
              <w:t xml:space="preserve">下-一块活动层板，双开带锁木掩门；</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5、铰链：优质金属铰链，指标符合QB/T 2189-2013《家具五金 杯状暗铰链》要求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6、锁具：下柜门带锁，优质锁具，符合QB/T 1621-2015《家具锁》要求；</w:t>
            </w:r>
            <w:r/>
          </w:p>
          <w:p>
            <w:pPr>
              <w:jc w:val="left"/>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7、成品：各项技术指标符合GB/T 3324-2017《木家具通用技术条件》标准的要求。</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15</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个</w:t>
            </w:r>
            <w:r/>
          </w:p>
        </w:tc>
      </w:tr>
      <w:tr>
        <w:trPr>
          <w:jc w:val="center"/>
          <w:trHeight w:val="1055"/>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85</w:t>
            </w:r>
            <w:r/>
          </w:p>
        </w:tc>
        <w:tc>
          <w:tcPr>
            <w:shd w:val="clear" w:color="auto" w:fill="auto"/>
            <w:tcW w:w="771"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　</w:t>
            </w:r>
            <w:r/>
          </w:p>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医用办公桌</w:t>
            </w:r>
            <w:r/>
          </w:p>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　</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794385" cy="446405"/>
                      <wp:effectExtent l="0" t="0" r="5715" b="10795"/>
                      <wp:docPr id="84" name="图片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232"/>
                              <pic:cNvPicPr>
                                <a:picLocks noChangeAspect="1"/>
                              </pic:cNvPicPr>
                              <pic:nvPr/>
                            </pic:nvPicPr>
                            <pic:blipFill>
                              <a:blip r:embed="rId62"/>
                              <a:stretch/>
                            </pic:blipFill>
                            <pic:spPr bwMode="auto">
                              <a:xfrm>
                                <a:off x="0" y="0"/>
                                <a:ext cx="794385" cy="4464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62.5pt;height:35.1pt;mso-wrap-distance-left:0.0pt;mso-wrap-distance-top:0.0pt;mso-wrap-distance-right:0.0pt;mso-wrap-distance-bottom:0.0pt;" stroked="f" strokeweight="0.75pt">
                      <v:path textboxrect="0,0,0,0"/>
                      <v:imagedata r:id="rId62"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1580*600*750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1、结构：钢横梁及钢腿，一侧为单抽固定柜，另一侧为方型支撑脚，桌下带抽屉</w:t>
            </w:r>
            <w:r/>
          </w:p>
          <w:p>
            <w:pPr>
              <w:jc w:val="left"/>
              <w:widowControl/>
              <w:rPr>
                <w:rFonts w:hint="default" w:ascii="Times New Roman" w:hAnsi="Times New Roman" w:cs="Times New Roman"/>
                <w:color w:val="000000"/>
                <w:sz w:val="18"/>
                <w:szCs w:val="18"/>
                <w:highlight w:val="none"/>
              </w:rPr>
            </w:pPr>
            <w:r>
              <w:rPr>
                <w:rFonts w:hint="default" w:ascii="Times New Roman" w:hAnsi="Times New Roman" w:cs="Times New Roman"/>
                <w:color w:val="000000"/>
                <w:sz w:val="18"/>
                <w:szCs w:val="18"/>
              </w:rPr>
              <w:t xml:space="preserve">2、桌面：优质浸渍胶膜纸饰面刨花板。板厚25mm, 甲醛释放量 ENF 级。各项指标符合GB/T 15102-2017《浸渍胶膜纸饰面纤维板和刨花板》、GB 18580-2017《室内装饰装修材料 人造板及其制品中甲醛释放限量》、GB/T 39600-2021《人造板及其制品甲醛释放量分级》、GB/T 35601-2017《绿色产品评</w:t>
            </w:r>
            <w:r>
              <w:rPr>
                <w:rFonts w:hint="default" w:ascii="Times New Roman" w:hAnsi="Times New Roman" w:cs="Times New Roman"/>
                <w:color w:val="000000"/>
                <w:sz w:val="18"/>
                <w:szCs w:val="18"/>
                <w:highlight w:val="none"/>
              </w:rPr>
              <w:t xml:space="preserve">价 人造板和木质地板》、HJ 571-2010《环境标志产品技术要求 人造板及其制品》、GB 8624-2012《建筑材料及制品燃烧性能分级》要求</w:t>
            </w:r>
            <w:r/>
          </w:p>
          <w:p>
            <w:pPr>
              <w:jc w:val="left"/>
              <w:widowControl/>
              <w:rPr>
                <w:rFonts w:hint="default" w:ascii="Times New Roman" w:hAnsi="Times New Roman" w:cs="Times New Roman"/>
                <w:color w:val="000000"/>
                <w:sz w:val="18"/>
                <w:szCs w:val="18"/>
                <w:highlight w:val="none"/>
              </w:rPr>
            </w:pPr>
            <w:r>
              <w:rPr>
                <w:rFonts w:hint="default" w:ascii="Times New Roman" w:hAnsi="Times New Roman" w:cs="Times New Roman"/>
                <w:color w:val="000000"/>
                <w:sz w:val="18"/>
                <w:szCs w:val="18"/>
                <w:highlight w:val="none"/>
              </w:rPr>
              <w:t xml:space="preserve">3、桌面封边：激光封边条，各项指标符合QB/T 4463-2013《家具用封边条技术要求》要求</w:t>
            </w:r>
            <w:r/>
          </w:p>
          <w:p>
            <w:pPr>
              <w:jc w:val="left"/>
              <w:widowControl/>
              <w:rPr>
                <w:rFonts w:hint="default" w:ascii="Times New Roman" w:hAnsi="Times New Roman" w:cs="Times New Roman"/>
                <w:color w:val="000000"/>
                <w:sz w:val="18"/>
                <w:szCs w:val="18"/>
                <w:highlight w:val="none"/>
              </w:rPr>
            </w:pPr>
            <w:r>
              <w:rPr>
                <w:rFonts w:hint="default" w:ascii="Times New Roman" w:hAnsi="Times New Roman" w:cs="Times New Roman"/>
                <w:color w:val="000000"/>
                <w:sz w:val="18"/>
                <w:szCs w:val="18"/>
                <w:highlight w:val="none"/>
              </w:rPr>
              <w:t xml:space="preserve">4、桌架桌腿：50*50mm钢方管，表面静电粉末喷涂，粉末为防腐抗菌喷涂粉末。</w:t>
            </w:r>
            <w:r/>
          </w:p>
          <w:p>
            <w:pPr>
              <w:jc w:val="left"/>
              <w:widowControl/>
              <w:rPr>
                <w:rFonts w:hint="default" w:ascii="Times New Roman" w:hAnsi="Times New Roman" w:cs="Times New Roman"/>
                <w:color w:val="000000"/>
                <w:sz w:val="18"/>
                <w:szCs w:val="18"/>
                <w:highlight w:val="none"/>
              </w:rPr>
            </w:pPr>
            <w:r>
              <w:rPr>
                <w:rFonts w:hint="default" w:ascii="Times New Roman" w:hAnsi="Times New Roman" w:cs="Times New Roman"/>
                <w:color w:val="000000"/>
                <w:sz w:val="18"/>
                <w:szCs w:val="18"/>
                <w:highlight w:val="none"/>
              </w:rPr>
              <w:t xml:space="preserve">5、固定抽屉柜：单层抽屉，上层镂空，顶面配板材，板材材质同桌面。抽屉柜本体及抽屉材质为电解钢板，厚度0.8mm,表面粉末喷涂，粉末为防腐抗菌喷涂粉末，三节导轨，首层抽屉配文具盒，底层抽屉可挂挂块牢档案袋，带锁具；</w:t>
            </w:r>
            <w:r/>
          </w:p>
          <w:p>
            <w:pPr>
              <w:jc w:val="left"/>
              <w:widowControl/>
              <w:rPr>
                <w:rFonts w:hint="default" w:ascii="Times New Roman" w:hAnsi="Times New Roman" w:cs="Times New Roman"/>
                <w:color w:val="000000"/>
                <w:sz w:val="18"/>
                <w:szCs w:val="18"/>
                <w:highlight w:val="none"/>
              </w:rPr>
            </w:pPr>
            <w:r>
              <w:rPr>
                <w:rFonts w:hint="default" w:ascii="Times New Roman" w:hAnsi="Times New Roman" w:cs="Times New Roman"/>
                <w:color w:val="000000"/>
                <w:sz w:val="18"/>
                <w:szCs w:val="18"/>
                <w:highlight w:val="none"/>
              </w:rPr>
              <w:t xml:space="preserve">6、桌腿：方腿，截面50*50mm钢方管，壁厚1.5mm,表面静电粉末喷涂，防腐抗菌喷涂粉末</w:t>
            </w:r>
            <w:r/>
          </w:p>
          <w:p>
            <w:pPr>
              <w:jc w:val="left"/>
              <w:widowControl/>
              <w:rPr>
                <w:rFonts w:hint="default" w:ascii="Times New Roman" w:hAnsi="Times New Roman" w:cs="Times New Roman"/>
                <w:color w:val="000000"/>
                <w:sz w:val="18"/>
                <w:szCs w:val="18"/>
                <w:highlight w:val="none"/>
              </w:rPr>
            </w:pPr>
            <w:r>
              <w:rPr>
                <w:rFonts w:hint="default" w:ascii="Times New Roman" w:hAnsi="Times New Roman" w:cs="Times New Roman"/>
                <w:color w:val="000000"/>
                <w:sz w:val="18"/>
                <w:szCs w:val="18"/>
                <w:highlight w:val="none"/>
              </w:rPr>
              <w:t xml:space="preserve">7、桌面下抽屉：单层，电解钢板，厚度0.8mm，表面粉末喷涂，粉末为防腐抗菌喷涂粉末，配锁具</w:t>
            </w:r>
            <w:r/>
          </w:p>
          <w:p>
            <w:pPr>
              <w:jc w:val="left"/>
              <w:widowControl/>
              <w:rPr>
                <w:rFonts w:hint="default" w:ascii="Times New Roman" w:hAnsi="Times New Roman" w:cs="Times New Roman"/>
                <w:color w:val="000000"/>
                <w:sz w:val="18"/>
                <w:szCs w:val="18"/>
                <w:highlight w:val="none"/>
              </w:rPr>
            </w:pPr>
            <w:r>
              <w:rPr>
                <w:rFonts w:hint="default" w:ascii="Times New Roman" w:hAnsi="Times New Roman" w:cs="Times New Roman"/>
                <w:color w:val="000000"/>
                <w:sz w:val="18"/>
                <w:szCs w:val="18"/>
                <w:highlight w:val="none"/>
              </w:rPr>
              <w:t xml:space="preserve">8、电解钢板：符合GB/T 35607-2017《绿色产品评价 家具》、GB/T 11253-2019《碳素结构钢冷轧钢板及钢带》要求</w:t>
            </w:r>
            <w:r/>
          </w:p>
          <w:p>
            <w:pPr>
              <w:jc w:val="left"/>
              <w:widowControl/>
              <w:rPr>
                <w:rFonts w:hint="default" w:ascii="Times New Roman" w:hAnsi="Times New Roman" w:cs="Times New Roman"/>
                <w:color w:val="000000"/>
                <w:sz w:val="18"/>
                <w:szCs w:val="18"/>
                <w:highlight w:val="none"/>
              </w:rPr>
            </w:pPr>
            <w:r>
              <w:rPr>
                <w:rFonts w:hint="default" w:ascii="Times New Roman" w:hAnsi="Times New Roman" w:cs="Times New Roman"/>
                <w:color w:val="000000"/>
                <w:sz w:val="18"/>
                <w:szCs w:val="18"/>
                <w:highlight w:val="none"/>
              </w:rPr>
              <w:t xml:space="preserve">9、防腐抗菌喷涂粉末：符合HG/T 2006-2022《热固性和热塑性粉末涂料》、GB/T 35607-2017《绿色产品评价 家具》、QB/T 4371-2012《家具抗菌性能的评价》、GB/T 1741-2020《漆膜耐霉菌性测定法》要求，耐霉菌性等级达到0级</w:t>
            </w:r>
            <w:r/>
          </w:p>
          <w:p>
            <w:pPr>
              <w:jc w:val="left"/>
              <w:widowControl/>
              <w:rPr>
                <w:rFonts w:hint="default" w:ascii="Times New Roman" w:hAnsi="Times New Roman" w:cs="Times New Roman"/>
                <w:color w:val="000000"/>
                <w:sz w:val="18"/>
                <w:szCs w:val="18"/>
                <w:highlight w:val="none"/>
              </w:rPr>
            </w:pPr>
            <w:r>
              <w:rPr>
                <w:rFonts w:hint="default" w:ascii="Times New Roman" w:hAnsi="Times New Roman" w:cs="Times New Roman"/>
                <w:color w:val="000000"/>
                <w:sz w:val="18"/>
                <w:szCs w:val="18"/>
                <w:highlight w:val="none"/>
              </w:rPr>
              <w:t xml:space="preserve">10、锁具：符合QB/T 2454-2013《家具五金 抽屉导轨》要求</w:t>
            </w:r>
            <w:r/>
          </w:p>
          <w:p>
            <w:pPr>
              <w:jc w:val="left"/>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highlight w:val="none"/>
              </w:rPr>
              <w:t xml:space="preserve">11、成品：各项技术指标符合GB/T 3325-2017《金属家具通</w:t>
            </w:r>
            <w:r>
              <w:rPr>
                <w:rFonts w:hint="default" w:ascii="Times New Roman" w:hAnsi="Times New Roman" w:cs="Times New Roman"/>
                <w:color w:val="000000"/>
                <w:sz w:val="18"/>
                <w:szCs w:val="18"/>
              </w:rPr>
              <w:t xml:space="preserve">用技术条件》标准的要求；</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4</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套</w:t>
            </w:r>
            <w:r/>
          </w:p>
        </w:tc>
      </w:tr>
      <w:tr>
        <w:trPr>
          <w:jc w:val="center"/>
          <w:trHeight w:val="1070"/>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86</w:t>
            </w:r>
            <w:r/>
          </w:p>
        </w:tc>
        <w:tc>
          <w:tcPr>
            <w:shd w:val="clear" w:color="auto" w:fill="auto"/>
            <w:tcW w:w="77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医用办公桌</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770255" cy="492125"/>
                      <wp:effectExtent l="0" t="0" r="10795" b="3175"/>
                      <wp:docPr id="85" name="ID_11C844D108A94EC8BBB85194F915E2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D_11C844D108A94EC8BBB85194F915E2FA"/>
                              <pic:cNvPicPr>
                                <a:picLocks noChangeAspect="1"/>
                              </pic:cNvPicPr>
                              <pic:nvPr/>
                            </pic:nvPicPr>
                            <pic:blipFill>
                              <a:blip r:embed="rId41"/>
                              <a:stretch/>
                            </pic:blipFill>
                            <pic:spPr bwMode="auto">
                              <a:xfrm>
                                <a:off x="0" y="0"/>
                                <a:ext cx="770255" cy="492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60.6pt;height:38.8pt;mso-wrap-distance-left:0.0pt;mso-wrap-distance-top:0.0pt;mso-wrap-distance-right:0.0pt;mso-wrap-distance-bottom:0.0pt;" stroked="f" strokeweight="0.75pt">
                      <v:path textboxrect="0,0,0,0"/>
                      <v:imagedata r:id="rId41"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1500*700*750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1、结构：钢横梁及钢腿，侧边为三抽固定柜，桌面配备铝合金翻盖板，配插座安装盒，预留标准86面板孔；</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2、桌面：优质浸渍胶膜纸饰面刨花板。板厚25mm, 甲醛释放量 ENF 级。各项指标符合GB/T 15102-2017《浸渍胶膜纸饰面纤维板和刨花板》、GB 18580-2017《室内装饰装修材料 人造板及其制品中甲醛释放限量》、GB/T 39600-2021《人造板及其制品甲醛释放量分级》、GB/T 35601-2017《绿色产品评价 人造板和木质地板》、HJ 571-2010《环境标志产品技术要求 人造板及其制品》、GB 8624-2012《建筑材料及制品燃烧性能分级》要求</w:t>
            </w:r>
            <w:r/>
          </w:p>
          <w:p>
            <w:pPr>
              <w:jc w:val="left"/>
              <w:widowControl/>
              <w:rPr>
                <w:rFonts w:hint="default" w:ascii="Times New Roman" w:hAnsi="Times New Roman" w:cs="Times New Roman"/>
                <w:color w:val="000000"/>
                <w:sz w:val="18"/>
                <w:szCs w:val="18"/>
                <w:highlight w:val="none"/>
              </w:rPr>
            </w:pPr>
            <w:r>
              <w:rPr>
                <w:rFonts w:hint="default" w:ascii="Times New Roman" w:hAnsi="Times New Roman" w:cs="Times New Roman"/>
                <w:color w:val="000000"/>
                <w:sz w:val="18"/>
                <w:szCs w:val="18"/>
              </w:rPr>
              <w:t xml:space="preserve">3、封边：激光封边条</w:t>
            </w:r>
            <w:r>
              <w:rPr>
                <w:rFonts w:hint="default" w:ascii="Times New Roman" w:hAnsi="Times New Roman" w:cs="Times New Roman"/>
                <w:color w:val="000000"/>
                <w:sz w:val="18"/>
                <w:szCs w:val="18"/>
                <w:highlight w:val="none"/>
              </w:rPr>
              <w:t xml:space="preserve">，各项指标符合QB/T 4463-2013《家具用封边条技术要求》要求</w:t>
            </w:r>
            <w:r/>
          </w:p>
          <w:p>
            <w:pPr>
              <w:jc w:val="left"/>
              <w:widowControl/>
              <w:rPr>
                <w:rFonts w:hint="default" w:ascii="Times New Roman" w:hAnsi="Times New Roman" w:cs="Times New Roman"/>
                <w:color w:val="000000"/>
                <w:sz w:val="18"/>
                <w:szCs w:val="18"/>
                <w:highlight w:val="none"/>
              </w:rPr>
            </w:pPr>
            <w:r>
              <w:rPr>
                <w:rFonts w:hint="default" w:ascii="Times New Roman" w:hAnsi="Times New Roman" w:cs="Times New Roman"/>
                <w:color w:val="000000"/>
                <w:sz w:val="18"/>
                <w:szCs w:val="18"/>
                <w:highlight w:val="none"/>
              </w:rPr>
              <w:t xml:space="preserve">4、金属喷涂粉末：防腐抗菌喷涂粉末，符合HG/T 2006-2022《热固性和热塑性粉末涂料》、GB/T 35607-2017《绿色产品评价 家具》、QB/T 4371-2012《家具抗菌性能的评价》、GB/T 1741-2020《漆膜耐霉菌性测定法》要求，耐霉菌性等级达到0级</w:t>
            </w:r>
            <w:r/>
          </w:p>
          <w:p>
            <w:pPr>
              <w:jc w:val="left"/>
              <w:widowControl/>
              <w:rPr>
                <w:rFonts w:hint="default" w:ascii="Times New Roman" w:hAnsi="Times New Roman" w:cs="Times New Roman"/>
                <w:color w:val="000000"/>
                <w:sz w:val="18"/>
                <w:szCs w:val="18"/>
                <w:highlight w:val="none"/>
              </w:rPr>
            </w:pPr>
            <w:r>
              <w:rPr>
                <w:rFonts w:hint="default" w:ascii="Times New Roman" w:hAnsi="Times New Roman" w:cs="Times New Roman"/>
                <w:color w:val="000000"/>
                <w:sz w:val="18"/>
                <w:szCs w:val="18"/>
                <w:highlight w:val="none"/>
              </w:rPr>
              <w:t xml:space="preserve">5、固定抽屉柜：本体及抽屉材质为电解钢板，厚度0.8mm,表面粉末喷涂，粉末为防腐抗菌喷涂粉表面粉末喷涂，粉末为防腐抗菌喷涂粉末</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三节导轨符合QB/T 2454-2013《家具五金 抽屉导轨》要求，首层抽屉配文具盒，底层抽屉可挂挂块牢档案袋，带锁具，锁具符合QB/T 1621-2015《家具锁》要求；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6、电解钢板：厚度0.8mm,符合GB/T 35607-2017《绿色产品评价 家具》、GB/T 11253-2019《碳素结构钢冷轧钢板及钢带》要求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7、桌腿：方腿，截面50*50mm钢方管，壁厚1.5mm,表面静电粉末喷涂，防腐抗菌喷涂粉末</w:t>
            </w:r>
            <w:r/>
          </w:p>
          <w:p>
            <w:pPr>
              <w:jc w:val="left"/>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8、成品：各项技术指标符合GB/T 3325-2017《金属家具通用技术条件》标准的要求；</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3</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套</w:t>
            </w:r>
            <w:r/>
          </w:p>
        </w:tc>
      </w:tr>
      <w:tr>
        <w:trPr>
          <w:jc w:val="center"/>
          <w:trHeight w:val="141"/>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87</w:t>
            </w:r>
            <w:r/>
          </w:p>
        </w:tc>
        <w:tc>
          <w:tcPr>
            <w:shd w:val="clear" w:color="auto" w:fill="auto"/>
            <w:tcW w:w="77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床（含床垫）</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801370" cy="720090"/>
                      <wp:effectExtent l="0" t="0" r="17780" b="3810"/>
                      <wp:docPr id="86" name="ID_DEF729695F744F16A6CC3A0739890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D_DEF729695F744F16A6CC3A0739890586"/>
                              <pic:cNvPicPr>
                                <a:picLocks noChangeAspect="1"/>
                              </pic:cNvPicPr>
                              <pic:nvPr/>
                            </pic:nvPicPr>
                            <pic:blipFill>
                              <a:blip r:embed="rId63"/>
                              <a:stretch/>
                            </pic:blipFill>
                            <pic:spPr bwMode="auto">
                              <a:xfrm>
                                <a:off x="0" y="0"/>
                                <a:ext cx="801370" cy="7200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63.1pt;height:56.7pt;mso-wrap-distance-left:0.0pt;mso-wrap-distance-top:0.0pt;mso-wrap-distance-right:0.0pt;mso-wrap-distance-bottom:0.0pt;" stroked="f" strokeweight="0.75pt">
                      <v:path textboxrect="0,0,0,0"/>
                      <v:imagedata r:id="rId63"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lang w:val="en-US" w:eastAsia="zh-CN"/>
              </w:rPr>
              <w:t xml:space="preserve">2155</w:t>
            </w:r>
            <w:r>
              <w:rPr>
                <w:rFonts w:hint="default" w:ascii="Times New Roman" w:hAnsi="Times New Roman" w:eastAsia="等线" w:cs="Times New Roman"/>
                <w:color w:val="000000"/>
                <w:sz w:val="18"/>
                <w:szCs w:val="18"/>
              </w:rPr>
              <w:t xml:space="preserve">*100</w:t>
            </w:r>
            <w:r>
              <w:rPr>
                <w:rFonts w:hint="default" w:ascii="Times New Roman" w:hAnsi="Times New Roman" w:eastAsia="等线" w:cs="Times New Roman"/>
                <w:color w:val="000000"/>
                <w:sz w:val="18"/>
                <w:szCs w:val="18"/>
                <w:lang w:val="en-US" w:eastAsia="zh-CN"/>
              </w:rPr>
              <w:t xml:space="preserve">4</w:t>
            </w:r>
            <w:r>
              <w:rPr>
                <w:rFonts w:hint="default" w:ascii="Times New Roman" w:hAnsi="Times New Roman" w:eastAsia="等线" w:cs="Times New Roman"/>
                <w:color w:val="000000"/>
                <w:sz w:val="18"/>
                <w:szCs w:val="18"/>
              </w:rPr>
              <w:t xml:space="preserve">*</w:t>
            </w:r>
            <w:r>
              <w:rPr>
                <w:rFonts w:hint="default" w:ascii="Times New Roman" w:hAnsi="Times New Roman" w:eastAsia="等线" w:cs="Times New Roman"/>
                <w:color w:val="000000"/>
                <w:sz w:val="18"/>
                <w:szCs w:val="18"/>
                <w:lang w:val="en-US" w:eastAsia="zh-CN"/>
              </w:rPr>
              <w:t xml:space="preserve">1100</w:t>
            </w:r>
            <w:r/>
          </w:p>
          <w:p>
            <w:pPr>
              <w:jc w:val="center"/>
              <w:widowControl/>
              <w:rPr>
                <w:rFonts w:hint="default" w:ascii="Times New Roman" w:hAnsi="Times New Roman" w:eastAsia="等线" w:cs="Times New Roman"/>
                <w:color w:val="000000"/>
                <w:sz w:val="18"/>
                <w:szCs w:val="18"/>
              </w:rPr>
            </w:pPr>
            <w:r>
              <w:rPr>
                <w:rStyle w:val="909"/>
                <w:rFonts w:hint="default" w:ascii="Times New Roman" w:hAnsi="Times New Roman" w:cs="Times New Roman"/>
                <w:sz w:val="18"/>
                <w:szCs w:val="18"/>
                <w:lang w:val="en-US" w:eastAsia="zh-CN"/>
              </w:rPr>
              <w:t xml:space="preserve">床板高度440（含床垫）</w:t>
            </w:r>
            <w:r/>
          </w:p>
        </w:tc>
        <w:tc>
          <w:tcPr>
            <w:shd w:val="clear" w:color="auto" w:fill="auto"/>
            <w:tcW w:w="5641" w:type="dxa"/>
            <w:vAlign w:val="center"/>
            <w:textDirection w:val="lrTb"/>
            <w:noWrap w:val="false"/>
          </w:tcPr>
          <w:p>
            <w:pPr>
              <w:jc w:val="left"/>
              <w:widowControl/>
              <w:rPr>
                <w:rFonts w:hint="default" w:ascii="Times New Roman" w:hAnsi="Times New Roman" w:cs="Times New Roman"/>
                <w:b/>
                <w:bCs/>
                <w:color w:val="000000"/>
                <w:sz w:val="18"/>
                <w:szCs w:val="18"/>
              </w:rPr>
            </w:pPr>
            <w:r>
              <w:rPr>
                <w:rFonts w:hint="default" w:ascii="Times New Roman" w:hAnsi="Times New Roman" w:cs="Times New Roman"/>
                <w:b/>
                <w:bCs/>
                <w:color w:val="000000"/>
                <w:sz w:val="18"/>
                <w:szCs w:val="18"/>
              </w:rPr>
              <w:t xml:space="preserve">床体：</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1、结构：床体由床板、床靠、床垫等部分组成</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2、基材：优质浸渍胶膜纸饰面刨花板。 甲醛释放量 ENF 级。板厚25mm，各项指标符合GB/T 15102-2017《浸渍胶膜纸饰面纤维板和刨花板》、GB 18580-2017《室内装饰装修材料 人造板及其制品中甲醛释放限量》、GB/T 39600-2021《人造板及其制品甲醛释放量分级》、GB/T 35601-2017《绿色产品评价 人造板和木质地板》、HJ 571-2010《环境标志产品技术要求 人造板及其制品》、GB 8624-2012《建筑材料及制品燃烧性能分级》要求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3、封边：激光封边条，各项指标符合QB/T 4463-2013《家具用封边条技术要求》要求</w:t>
            </w:r>
            <w:r/>
          </w:p>
          <w:p>
            <w:pPr>
              <w:jc w:val="left"/>
              <w:widowControl/>
              <w:rPr>
                <w:rFonts w:hint="default" w:ascii="Times New Roman" w:hAnsi="Times New Roman" w:cs="Times New Roman"/>
                <w:b/>
                <w:bCs/>
                <w:color w:val="000000"/>
                <w:sz w:val="18"/>
                <w:szCs w:val="18"/>
              </w:rPr>
            </w:pPr>
            <w:r>
              <w:rPr>
                <w:rFonts w:hint="default" w:ascii="Times New Roman" w:hAnsi="Times New Roman" w:cs="Times New Roman"/>
                <w:b/>
                <w:bCs/>
                <w:color w:val="000000"/>
                <w:sz w:val="18"/>
                <w:szCs w:val="18"/>
              </w:rPr>
              <w:t xml:space="preserve">床垫：棕纤维弹性床垫</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1、尺寸：长度为</w:t>
            </w:r>
            <w:r>
              <w:rPr>
                <w:rFonts w:hint="default" w:ascii="Times New Roman" w:hAnsi="Times New Roman" w:cs="Times New Roman"/>
                <w:color w:val="000000"/>
                <w:sz w:val="18"/>
                <w:szCs w:val="18"/>
                <w:lang w:val="en-US" w:eastAsia="zh-CN"/>
              </w:rPr>
              <w:t xml:space="preserve">2000</w:t>
            </w:r>
            <w:r>
              <w:rPr>
                <w:rFonts w:hint="default" w:ascii="Times New Roman" w:hAnsi="Times New Roman" w:cs="Times New Roman"/>
                <w:color w:val="000000"/>
                <w:sz w:val="18"/>
                <w:szCs w:val="18"/>
              </w:rPr>
              <w:t xml:space="preserve">mm</w:t>
            </w:r>
            <w:r>
              <w:rPr>
                <w:rFonts w:hint="default" w:ascii="Times New Roman" w:hAnsi="Times New Roman" w:cs="Times New Roman"/>
                <w:color w:val="000000"/>
                <w:sz w:val="18"/>
                <w:szCs w:val="18"/>
                <w:lang w:eastAsia="zh-CN"/>
              </w:rPr>
              <w:t xml:space="preserve">，</w:t>
            </w:r>
            <w:r>
              <w:rPr>
                <w:rFonts w:hint="default" w:ascii="Times New Roman" w:hAnsi="Times New Roman" w:cs="Times New Roman"/>
                <w:color w:val="000000"/>
                <w:sz w:val="18"/>
                <w:szCs w:val="18"/>
              </w:rPr>
              <w:t xml:space="preserve">宽度</w:t>
            </w:r>
            <w:r>
              <w:rPr>
                <w:rFonts w:hint="default" w:ascii="Times New Roman" w:hAnsi="Times New Roman" w:cs="Times New Roman"/>
                <w:color w:val="000000"/>
                <w:sz w:val="18"/>
                <w:szCs w:val="18"/>
                <w:lang w:val="en-US" w:eastAsia="zh-CN"/>
              </w:rPr>
              <w:t xml:space="preserve">1000mm</w:t>
            </w:r>
            <w:r>
              <w:rPr>
                <w:rFonts w:hint="default" w:ascii="Times New Roman" w:hAnsi="Times New Roman" w:cs="Times New Roman"/>
                <w:color w:val="000000"/>
                <w:sz w:val="18"/>
                <w:szCs w:val="18"/>
              </w:rPr>
              <w:t xml:space="preserve">，厚度为</w:t>
            </w:r>
            <w:r>
              <w:rPr>
                <w:rFonts w:hint="default" w:ascii="Times New Roman" w:hAnsi="Times New Roman" w:cs="Times New Roman"/>
                <w:color w:val="000000"/>
                <w:sz w:val="18"/>
                <w:szCs w:val="18"/>
                <w:lang w:val="en-US" w:eastAsia="zh-CN"/>
              </w:rPr>
              <w:t xml:space="preserve">20</w:t>
            </w:r>
            <w:r>
              <w:rPr>
                <w:rFonts w:hint="default" w:ascii="Times New Roman" w:hAnsi="Times New Roman" w:cs="Times New Roman"/>
                <w:color w:val="000000"/>
                <w:sz w:val="18"/>
                <w:szCs w:val="18"/>
              </w:rPr>
              <w:t xml:space="preserve">0m</w:t>
            </w:r>
            <w:r>
              <w:rPr>
                <w:rFonts w:hint="default" w:ascii="Times New Roman" w:hAnsi="Times New Roman" w:cs="Times New Roman"/>
                <w:color w:val="000000"/>
                <w:sz w:val="18"/>
                <w:szCs w:val="18"/>
                <w:lang w:val="en-US" w:eastAsia="zh-CN"/>
              </w:rPr>
              <w:t xml:space="preserve">m；</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2、面料：阻燃布料，高针织数，透气性好，正面绗缝面料层须至少有 4 层，边缘滚边处理，表面无刺触感，平滑舒适，防螨性能好，无明显色差。</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3、填充物：内芯填充天然椰棕</w:t>
            </w:r>
            <w:r>
              <w:rPr>
                <w:rFonts w:hint="default" w:ascii="Times New Roman" w:hAnsi="Times New Roman" w:cs="Times New Roman"/>
                <w:color w:val="000000"/>
                <w:sz w:val="18"/>
                <w:szCs w:val="18"/>
                <w:lang w:eastAsia="zh-CN"/>
              </w:rPr>
              <w:t xml:space="preserve">，</w:t>
            </w:r>
            <w:r>
              <w:rPr>
                <w:rFonts w:hint="default" w:ascii="Times New Roman" w:hAnsi="Times New Roman" w:cs="Times New Roman"/>
                <w:color w:val="000000"/>
                <w:sz w:val="18"/>
                <w:szCs w:val="18"/>
              </w:rPr>
              <w:t xml:space="preserve">弹性好，软硬均匀,密度不小于60kg/m³</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4、绿色环保，产品各项指标符合：GB/T 35607-2017《绿色产品评价 家具》;GB/T 26706-2011《软体家具 棕纤维弹性床垫》</w:t>
            </w:r>
            <w:r/>
          </w:p>
          <w:p>
            <w:pPr>
              <w:jc w:val="left"/>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5、成品：床体边缘部位倒圆处理，无棱角，降低安全风险</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10</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套</w:t>
            </w:r>
            <w:r/>
          </w:p>
        </w:tc>
      </w:tr>
      <w:tr>
        <w:trPr>
          <w:jc w:val="center"/>
          <w:trHeight w:val="1115"/>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88</w:t>
            </w:r>
            <w:r/>
          </w:p>
        </w:tc>
        <w:tc>
          <w:tcPr>
            <w:shd w:val="clear" w:color="auto" w:fill="auto"/>
            <w:tcW w:w="77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床头柜</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648335" cy="720090"/>
                      <wp:effectExtent l="0" t="0" r="18415" b="3810"/>
                      <wp:docPr id="87" name="图片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236"/>
                              <pic:cNvPicPr>
                                <a:picLocks noChangeAspect="1"/>
                              </pic:cNvPicPr>
                              <pic:nvPr/>
                            </pic:nvPicPr>
                            <pic:blipFill>
                              <a:blip r:embed="rId64"/>
                              <a:stretch/>
                            </pic:blipFill>
                            <pic:spPr bwMode="auto">
                              <a:xfrm>
                                <a:off x="0" y="0"/>
                                <a:ext cx="648335" cy="7200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51.0pt;height:56.7pt;mso-wrap-distance-left:0.0pt;mso-wrap-distance-top:0.0pt;mso-wrap-distance-right:0.0pt;mso-wrap-distance-bottom:0.0pt;" stroked="f" strokeweight="0.75pt">
                      <v:path textboxrect="0,0,0,0"/>
                      <v:imagedata r:id="rId64"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500*450*500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1、结构：上部单层抽屉，下空层，亦可置物；</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2、柜体基材：优质浸渍胶膜纸饰面刨花板。 甲醛释放量 ENF 级。板厚25mm，各项指标符合GB/T 15102-2017《浸渍胶膜纸饰面纤维板和刨花板》、GB 18580-2017《室内装饰装修材料 人造板及其制品中甲醛释放限量》、GB/T 39600-2021《人造板及其制品甲醛释放量分级》、GB/T 35601-2017《绿色产品评价 人造板和木质地板》、HJ 571-2010《环境标志产品技术要求 人造板及其制品》、GB 8624-2012《建筑材料及制品燃烧性能分级》要求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3、封边：激光封边条，各项指标符合QB/T 4463-2013《家具用封边条技术要求》要求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4、导轨：优质三节导轨，符合QB/T 2454-2013《家具五金 抽屉导轨》要求</w:t>
            </w:r>
            <w:r/>
          </w:p>
          <w:p>
            <w:pPr>
              <w:jc w:val="left"/>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5、其他要求：边缘部位倒圆处理，无棱角，降低安全风险</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10</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个</w:t>
            </w:r>
            <w:r/>
          </w:p>
        </w:tc>
      </w:tr>
      <w:tr>
        <w:trPr>
          <w:jc w:val="center"/>
          <w:trHeight w:val="481"/>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89</w:t>
            </w:r>
            <w:r/>
          </w:p>
        </w:tc>
        <w:tc>
          <w:tcPr>
            <w:shd w:val="clear" w:color="auto" w:fill="auto"/>
            <w:tcW w:w="77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衣柜</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461010" cy="1153795"/>
                      <wp:effectExtent l="0" t="0" r="15240" b="8255"/>
                      <wp:docPr id="88" name="ID_345F876ECB9A44D993B86EC73A9E3F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D_345F876ECB9A44D993B86EC73A9E3F84"/>
                              <pic:cNvPicPr>
                                <a:picLocks noChangeAspect="1"/>
                              </pic:cNvPicPr>
                              <pic:nvPr/>
                            </pic:nvPicPr>
                            <pic:blipFill>
                              <a:blip r:embed="rId65"/>
                              <a:stretch/>
                            </pic:blipFill>
                            <pic:spPr bwMode="auto">
                              <a:xfrm>
                                <a:off x="0" y="0"/>
                                <a:ext cx="461010" cy="11537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36.3pt;height:90.8pt;mso-wrap-distance-left:0.0pt;mso-wrap-distance-top:0.0pt;mso-wrap-distance-right:0.0pt;mso-wrap-distance-bottom:0.0pt;" stroked="f" strokeweight="0.75pt">
                      <v:path textboxrect="0,0,0,0"/>
                      <v:imagedata r:id="rId65"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900*600*2400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1、基材：优质浸渍胶膜纸饰面刨花板。 甲醛释放量 ENF 级。板厚25mm，各项指标符合GB/T 15102-2017《浸渍胶膜纸饰面纤维板和刨花板》、GB 18580-2017《室内装饰装修材料 人造板及其制品中甲醛释放限量》、GB/T 39600-2021《人造板及其制品甲醛释放量分级》、GB/T 35601-2017《绿色产品评价 人造板和木质地板》、HJ 571-2010《环境标志产品技术要求 人造板及其制品》、GB 8624-2012《建筑材料及制品燃烧性能分级》要求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2、封边：激光封边条，各项指标符合QB/T 4463-2013《家具用封边条技术要求》要求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3、连接件：金属三合一连接件，耐腐蚀性强。符合QB/T 3832-1999《轻工产品金属镀层腐蚀试验结果的评价》的要求，达到10级。</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4、结构：双开木掩门，</w:t>
            </w:r>
            <w:r>
              <w:rPr>
                <w:rFonts w:hint="default" w:ascii="Times New Roman" w:hAnsi="Times New Roman" w:cs="Times New Roman"/>
                <w:color w:val="000000"/>
                <w:sz w:val="18"/>
                <w:szCs w:val="18"/>
                <w:lang w:val="en-US" w:eastAsia="zh-CN"/>
              </w:rPr>
              <w:t xml:space="preserve">含一片固定层板，一片活动层板，含一根挂衣杆</w:t>
            </w:r>
            <w:r>
              <w:rPr>
                <w:rFonts w:hint="default" w:ascii="Times New Roman" w:hAnsi="Times New Roman" w:cs="Times New Roman"/>
                <w:color w:val="000000"/>
                <w:sz w:val="18"/>
                <w:szCs w:val="18"/>
              </w:rPr>
              <w:t xml:space="preserve">；</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5、铰链：优质金属铰链，指标符合QB/T 2189-2013《家具五金 杯状暗铰链》要求</w:t>
            </w:r>
            <w:r/>
          </w:p>
          <w:p>
            <w:pPr>
              <w:jc w:val="left"/>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6、成品：各项技术指标符合GB/T 3324-2017《木家具通用技术条件》标准的要求。</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5</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个</w:t>
            </w:r>
            <w:r/>
          </w:p>
        </w:tc>
      </w:tr>
      <w:tr>
        <w:trPr>
          <w:jc w:val="center"/>
          <w:trHeight w:val="2175"/>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90</w:t>
            </w:r>
            <w:r/>
          </w:p>
        </w:tc>
        <w:tc>
          <w:tcPr>
            <w:shd w:val="clear" w:color="auto" w:fill="auto"/>
            <w:tcW w:w="77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写字桌</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753110" cy="596265"/>
                      <wp:effectExtent l="0" t="0" r="8890" b="13335"/>
                      <wp:docPr id="89" name="ID_6D994EF79133451996A561AA436D56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D_6D994EF79133451996A561AA436D56B0"/>
                              <pic:cNvPicPr>
                                <a:picLocks noChangeAspect="1"/>
                              </pic:cNvPicPr>
                              <pic:nvPr/>
                            </pic:nvPicPr>
                            <pic:blipFill>
                              <a:blip r:embed="rId66"/>
                              <a:srcRect l="0" t="0" r="13789" b="0"/>
                              <a:stretch/>
                            </pic:blipFill>
                            <pic:spPr bwMode="auto">
                              <a:xfrm>
                                <a:off x="0" y="0"/>
                                <a:ext cx="753110" cy="5962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59.3pt;height:46.9pt;mso-wrap-distance-left:0.0pt;mso-wrap-distance-top:0.0pt;mso-wrap-distance-right:0.0pt;mso-wrap-distance-bottom:0.0pt;" stroked="f" strokeweight="0.75pt">
                      <v:path textboxrect="0,0,0,0"/>
                      <v:imagedata r:id="rId66"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1200*600*750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1、基材：优质浸渍胶膜纸饰面刨花板。板厚25mm, 甲醛释放量 ENF 级。各项指标符合GB/T 15102-2017《浸渍胶膜纸饰面纤维板和刨花板》、GB 18580-2017《室内装饰装修材料 人造板及其制品中甲醛释放限量》、GB/T 39600-2021《人造板及其制品甲醛释放量分级》、GB/T 35601-2017《绿色产品评价 人造板和木质地板》、HJ 571-2010《环境标志产品技术要求 人造板及其制品》、GB 8624-2012《建筑材料及制品燃烧性能分级》要求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2、封边：激光封边条，各项指标符合QB/T 4463-2013《家具用封边条技术要求》要求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3、连接件：金属三合一连接件，耐腐蚀性强。符合QB/T 3832-1999《轻工产品金属镀层腐蚀试验结果的评价》的要求，达到10级。</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4、胶水：PUR湿气固化反应型聚氨酯热熔胶，安全环保，符合GB 18583-2008《室内装饰装修材料 胶粘剂中有害物质限量》；HJ 2541-2016《环境标志产品技术要求胶粘剂》；GB 33372-2020《胶粘剂挥发性有机化合物限量》要求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5、结构：桌面下方配置双边单层抽屉；</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6、导轨：三节导轨符合QB/T 2454-2013《家具五金 抽屉导轨》要求；</w:t>
            </w:r>
            <w:r/>
          </w:p>
          <w:p>
            <w:pPr>
              <w:jc w:val="left"/>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7、成品：各项技术指标符合GB/T 3324-2017《木家具通用技术条件》标准的要求；</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5</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张</w:t>
            </w:r>
            <w:r/>
          </w:p>
        </w:tc>
      </w:tr>
      <w:tr>
        <w:trPr>
          <w:jc w:val="center"/>
          <w:trHeight w:val="425"/>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91</w:t>
            </w:r>
            <w:r/>
          </w:p>
        </w:tc>
        <w:tc>
          <w:tcPr>
            <w:shd w:val="clear" w:color="auto" w:fill="auto"/>
            <w:tcW w:w="77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写字椅</w:t>
            </w:r>
            <w:r/>
          </w:p>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　</w:t>
            </w:r>
            <w:r/>
          </w:p>
        </w:tc>
        <w:tc>
          <w:tcPr>
            <w:shd w:val="clear" w:color="auto" w:fill="auto"/>
            <w:tcW w:w="1523"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577215" cy="720090"/>
                      <wp:effectExtent l="0" t="0" r="13335" b="3810"/>
                      <wp:docPr id="90" name="ID_29B639A60C864B8F9368582C269355C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D_29B639A60C864B8F9368582C269355C3"/>
                              <pic:cNvPicPr>
                                <a:picLocks noChangeAspect="1"/>
                              </pic:cNvPicPr>
                              <pic:nvPr/>
                            </pic:nvPicPr>
                            <pic:blipFill>
                              <a:blip r:embed="rId67"/>
                              <a:stretch/>
                            </pic:blipFill>
                            <pic:spPr bwMode="auto">
                              <a:xfrm>
                                <a:off x="0" y="0"/>
                                <a:ext cx="577215" cy="7200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45.4pt;height:56.7pt;mso-wrap-distance-left:0.0pt;mso-wrap-distance-top:0.0pt;mso-wrap-distance-right:0.0pt;mso-wrap-distance-bottom:0.0pt;" stroked="f" strokeweight="0.75pt">
                      <v:path textboxrect="0,0,0,0"/>
                      <v:imagedata r:id="rId67"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sz w:val="18"/>
                <w:szCs w:val="18"/>
              </w:rPr>
            </w:pPr>
            <w:r>
              <w:rPr>
                <w:rFonts w:hint="default" w:ascii="Times New Roman" w:hAnsi="Times New Roman" w:cs="Times New Roman"/>
                <w:sz w:val="18"/>
                <w:szCs w:val="18"/>
              </w:rPr>
              <w:t xml:space="preserve">570*500*815</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1、椅座：底部为PP塑料，上部软包坐垫，面料为阻燃布料，透气性好，表面无刺触感，平滑舒适，防螨性能优，无明显色差，性能、环保性、质量、防螨等参数符合GB 18401-2010 《国家纺织产品基本安全技术规范》、GB/T 18885-2020《生态纺织品技术要求》</w:t>
            </w:r>
            <w:r>
              <w:rPr>
                <w:rFonts w:hint="default" w:ascii="Times New Roman" w:hAnsi="Times New Roman" w:cs="Times New Roman"/>
                <w:color w:val="000000"/>
                <w:sz w:val="18"/>
                <w:szCs w:val="18"/>
                <w:lang w:eastAsia="zh-CN"/>
              </w:rPr>
              <w:t xml:space="preserve">、</w:t>
            </w:r>
            <w:r>
              <w:rPr>
                <w:rFonts w:hint="default" w:ascii="Times New Roman" w:hAnsi="Times New Roman" w:cs="Times New Roman"/>
                <w:color w:val="000000"/>
                <w:sz w:val="18"/>
                <w:szCs w:val="18"/>
              </w:rPr>
              <w:t xml:space="preserve">GB/T 24253-2009《纺织品 防螨性能的评价》、GB 8624-2012《建筑材料及制品燃烧性能分级》、HJ 2546-2016《环境标志产品技术要求纺织产品》要求。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2、靠背：采用一次成型 PP 塑料，各项指标符合GB 28481-2012《塑料家具中有害物质限量》要求，弧度贴合后背腰部，坐感舒适,椅面人性化圆角设计，防止磕碰。</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3、椅架：实芯冷轧钢管，直径16mm, 表面表面静电粉末喷涂</w:t>
            </w:r>
            <w:r/>
          </w:p>
          <w:p>
            <w:pPr>
              <w:jc w:val="left"/>
              <w:widowControl/>
              <w:rPr>
                <w:rFonts w:hint="default" w:ascii="Times New Roman" w:hAnsi="Times New Roman" w:cs="Times New Roman"/>
                <w:color w:val="000000"/>
                <w:sz w:val="18"/>
                <w:szCs w:val="18"/>
                <w:highlight w:val="yellow"/>
              </w:rPr>
            </w:pPr>
            <w:r>
              <w:rPr>
                <w:rFonts w:hint="default" w:ascii="Times New Roman" w:hAnsi="Times New Roman" w:cs="Times New Roman"/>
                <w:color w:val="000000"/>
                <w:sz w:val="18"/>
                <w:szCs w:val="18"/>
              </w:rPr>
              <w:t xml:space="preserve">4、</w:t>
            </w:r>
            <w:r>
              <w:rPr>
                <w:rFonts w:hint="default" w:ascii="Times New Roman" w:hAnsi="Times New Roman" w:cs="Times New Roman"/>
                <w:color w:val="000000"/>
                <w:sz w:val="18"/>
                <w:szCs w:val="18"/>
                <w:lang w:val="en-US" w:eastAsia="zh-CN"/>
              </w:rPr>
              <w:t xml:space="preserve">喷涂粉末</w:t>
            </w:r>
            <w:r>
              <w:rPr>
                <w:rFonts w:hint="default" w:ascii="Times New Roman" w:hAnsi="Times New Roman" w:cs="Times New Roman"/>
                <w:color w:val="000000"/>
                <w:sz w:val="18"/>
                <w:szCs w:val="18"/>
              </w:rPr>
              <w:t xml:space="preserve">：粉末符合HG/T 2006-2022《热固性和热塑性粉末涂料》</w:t>
            </w:r>
            <w:r>
              <w:rPr>
                <w:rFonts w:hint="default" w:ascii="Times New Roman" w:hAnsi="Times New Roman" w:cs="Times New Roman"/>
                <w:color w:val="000000"/>
                <w:sz w:val="18"/>
                <w:szCs w:val="18"/>
                <w:lang w:eastAsia="zh-CN"/>
              </w:rPr>
              <w:t xml:space="preserve">；</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5、椅脚：设有防滑耐磨脚垫，增加摩擦力，保护地板和减少噪音；边缘光滑；</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5</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张</w:t>
            </w:r>
            <w:r/>
          </w:p>
        </w:tc>
      </w:tr>
      <w:tr>
        <w:trPr>
          <w:jc w:val="center"/>
          <w:trHeight w:val="3620"/>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92</w:t>
            </w:r>
            <w:r/>
          </w:p>
        </w:tc>
        <w:tc>
          <w:tcPr>
            <w:shd w:val="clear" w:color="auto" w:fill="auto"/>
            <w:tcW w:w="77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会议桌</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788035" cy="469900"/>
                      <wp:effectExtent l="0" t="0" r="12065" b="6350"/>
                      <wp:docPr id="91" name="图片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240"/>
                              <pic:cNvPicPr>
                                <a:picLocks noChangeAspect="1"/>
                              </pic:cNvPicPr>
                              <pic:nvPr/>
                            </pic:nvPicPr>
                            <pic:blipFill>
                              <a:blip r:embed="rId68"/>
                              <a:stretch/>
                            </pic:blipFill>
                            <pic:spPr bwMode="auto">
                              <a:xfrm>
                                <a:off x="0" y="0"/>
                                <a:ext cx="788034" cy="469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62.0pt;height:37.0pt;mso-wrap-distance-left:0.0pt;mso-wrap-distance-top:0.0pt;mso-wrap-distance-right:0.0pt;mso-wrap-distance-bottom:0.0pt;" stroked="f" strokeweight="0.75pt">
                      <v:path textboxrect="0,0,0,0"/>
                      <v:imagedata r:id="rId68"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9600*2400*760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1、基材：桌面及桌脚采用优质中密度纤维板。 甲醛释放量 ENF 级。桌面厚度50mm,各项指标符合GB/T 39600-2021 《人造板及其制品甲醛释放量分级》、HJ 571-2010《环境标志产品技术要求 人造板及其制品》、GB/T 11718-2021 《中密度纤维板》、GB 18584-2001《室内装饰装修材料术家具中有害物质限量》、GB/T 35601-2017 《绿色产品评价 人造板和木质地板》、GB/T 18958-2022《难燃中密度纤维板》要求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2、油漆：油漆：水性底漆、水性面漆，整体喷涂漆面，喷漆均匀，表面漆膜平整光亮、无皱皮、发粘和漏漆现象，有害物含量符合GB 18581-2020 《木器涂料中有害物质限量》要求 </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3、连接件：金属三合一连接件，耐腐蚀性强。符合QB/T 3832-1999《轻工产品金属镀层腐蚀试验结果的评价》的要求，达到10级。</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4、结构：</w:t>
            </w:r>
            <w:r>
              <w:rPr>
                <w:rFonts w:hint="eastAsia" w:cs="Times New Roman"/>
                <w:color w:val="000000"/>
                <w:sz w:val="18"/>
                <w:szCs w:val="18"/>
                <w:lang w:val="en-US" w:eastAsia="zh-CN"/>
              </w:rPr>
              <w:t xml:space="preserve">分六段；7个木制支撑脚，中间支撑脚</w:t>
            </w:r>
            <w:r>
              <w:rPr>
                <w:rStyle w:val="909"/>
                <w:rFonts w:hint="default" w:ascii="Times New Roman" w:hAnsi="Times New Roman" w:cs="Times New Roman"/>
                <w:sz w:val="18"/>
                <w:szCs w:val="18"/>
                <w:lang w:val="en-US" w:eastAsia="zh-CN"/>
              </w:rPr>
              <w:t xml:space="preserve">断面</w:t>
            </w:r>
            <w:r>
              <w:rPr>
                <w:rStyle w:val="909"/>
                <w:rFonts w:hint="eastAsia" w:cs="Times New Roman"/>
                <w:sz w:val="18"/>
                <w:szCs w:val="18"/>
                <w:lang w:val="en-US" w:eastAsia="zh-CN"/>
              </w:rPr>
              <w:t xml:space="preserve">最小</w:t>
            </w:r>
            <w:r>
              <w:rPr>
                <w:rStyle w:val="909"/>
                <w:rFonts w:hint="default" w:ascii="Times New Roman" w:hAnsi="Times New Roman" w:cs="Times New Roman"/>
                <w:sz w:val="18"/>
                <w:szCs w:val="18"/>
                <w:lang w:val="en-US" w:eastAsia="zh-CN"/>
              </w:rPr>
              <w:t xml:space="preserve">尺寸≥1300*</w:t>
            </w:r>
            <w:r>
              <w:rPr>
                <w:rStyle w:val="909"/>
                <w:rFonts w:hint="eastAsia" w:cs="Times New Roman"/>
                <w:sz w:val="18"/>
                <w:szCs w:val="18"/>
                <w:lang w:val="en-US" w:eastAsia="zh-CN"/>
              </w:rPr>
              <w:t xml:space="preserve">60</w:t>
            </w:r>
            <w:r>
              <w:rPr>
                <w:rStyle w:val="909"/>
                <w:rFonts w:hint="default" w:ascii="Times New Roman" w:hAnsi="Times New Roman" w:cs="Times New Roman"/>
                <w:sz w:val="18"/>
                <w:szCs w:val="18"/>
                <w:lang w:val="en-US" w:eastAsia="zh-CN"/>
              </w:rPr>
              <w:t xml:space="preserve">mm</w:t>
            </w:r>
            <w:r>
              <w:rPr>
                <w:rStyle w:val="909"/>
                <w:rFonts w:hint="eastAsia" w:cs="Times New Roman"/>
                <w:sz w:val="18"/>
                <w:szCs w:val="18"/>
                <w:lang w:val="en-US" w:eastAsia="zh-CN"/>
              </w:rPr>
              <w:t xml:space="preserve">，内部可过线</w:t>
            </w:r>
            <w:r>
              <w:rPr>
                <w:rStyle w:val="909"/>
                <w:rFonts w:hint="default" w:ascii="Times New Roman" w:hAnsi="Times New Roman" w:cs="Times New Roman"/>
                <w:sz w:val="18"/>
                <w:szCs w:val="18"/>
                <w:lang w:val="en-US" w:eastAsia="zh-CN"/>
              </w:rPr>
              <w:t xml:space="preserve">；</w:t>
            </w:r>
            <w:r>
              <w:rPr>
                <w:rFonts w:hint="default" w:ascii="Times New Roman" w:hAnsi="Times New Roman" w:cs="Times New Roman"/>
                <w:color w:val="000000"/>
                <w:sz w:val="18"/>
                <w:szCs w:val="18"/>
              </w:rPr>
              <w:t xml:space="preserve">桌面配置</w:t>
            </w:r>
            <w:r>
              <w:rPr>
                <w:rFonts w:hint="eastAsia" w:cs="Times New Roman"/>
                <w:color w:val="000000"/>
                <w:sz w:val="18"/>
                <w:szCs w:val="18"/>
                <w:lang w:val="en-US" w:eastAsia="zh-CN"/>
              </w:rPr>
              <w:t xml:space="preserve">6个</w:t>
            </w:r>
            <w:r>
              <w:rPr>
                <w:rFonts w:hint="default" w:ascii="Times New Roman" w:hAnsi="Times New Roman" w:cs="Times New Roman"/>
                <w:color w:val="000000"/>
                <w:sz w:val="18"/>
                <w:szCs w:val="18"/>
              </w:rPr>
              <w:t xml:space="preserve">铝合金线盒，内有插座盒，每盒可安装4个86型插座面板，预留面板孔</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5、面材：采用天然木皮，厚度≥0.6mm；</w:t>
            </w:r>
            <w:r/>
          </w:p>
          <w:p>
            <w:pPr>
              <w:jc w:val="left"/>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6、成品：各项技术指标符合GB/T 3324-2017《木家具通用技术条件》标准的要求。</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张</w:t>
            </w:r>
            <w:r/>
          </w:p>
        </w:tc>
      </w:tr>
      <w:tr>
        <w:trPr>
          <w:jc w:val="center"/>
          <w:trHeight w:val="1170"/>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93</w:t>
            </w:r>
            <w:r/>
          </w:p>
        </w:tc>
        <w:tc>
          <w:tcPr>
            <w:shd w:val="clear" w:color="auto" w:fill="auto"/>
            <w:tcW w:w="77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会议椅</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613410" cy="720090"/>
                      <wp:effectExtent l="0" t="0" r="15240" b="3810"/>
                      <wp:docPr id="92" name="ID_7E29F11A92824F12A831BDB470712EB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D_7E29F11A92824F12A831BDB470712EB8"/>
                              <pic:cNvPicPr>
                                <a:picLocks noChangeAspect="1"/>
                              </pic:cNvPicPr>
                              <pic:nvPr/>
                            </pic:nvPicPr>
                            <pic:blipFill>
                              <a:blip r:embed="rId35"/>
                              <a:srcRect l="0" t="16978" r="0" b="0"/>
                              <a:stretch/>
                            </pic:blipFill>
                            <pic:spPr bwMode="auto">
                              <a:xfrm>
                                <a:off x="0" y="0"/>
                                <a:ext cx="613410" cy="7200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48.3pt;height:56.7pt;mso-wrap-distance-left:0.0pt;mso-wrap-distance-top:0.0pt;mso-wrap-distance-right:0.0pt;mso-wrap-distance-bottom:0.0pt;" stroked="f" strokeweight="0.75pt">
                      <v:path textboxrect="0,0,0,0"/>
                      <v:imagedata r:id="rId35"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650*640*960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1、椅背/椅座：优质超纤皮，表面纹理清晰，具有良好的色牢度、耐光耐磨性、透气性等特性；  </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2、海绵：成型海绵，厚度≥10cm，密度大于40kg/m3，回弹力大于50%，符合GB/T 10802-2023《</w:t>
            </w:r>
            <w:r>
              <w:rPr>
                <w:rFonts w:hint="default" w:ascii="Times New Roman" w:hAnsi="Times New Roman" w:cs="Times New Roman"/>
                <w:color w:val="333333"/>
                <w:sz w:val="18"/>
                <w:szCs w:val="18"/>
                <w:shd w:val="clear" w:color="auto" w:fill="ffffff"/>
              </w:rPr>
              <w:t xml:space="preserve">通用软质聚氨酯泡沫塑料》</w:t>
            </w:r>
            <w:r>
              <w:rPr>
                <w:rFonts w:hint="default" w:ascii="Times New Roman" w:hAnsi="Times New Roman" w:cs="Times New Roman"/>
                <w:color w:val="000000"/>
                <w:sz w:val="18"/>
                <w:szCs w:val="18"/>
              </w:rPr>
              <w:t xml:space="preserve">、QB/T 2280-2016《办公家具 办公椅》要求；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3、扶手：超纤皮软包，固定扶手；</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4、椅脚：钢制电镀弓形脚；</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5、胶粘剂：环保型喷胶，符合GB 18583-2008《室内装饰装修材料 胶粘剂中有害物质限量》：HJ 2541-2016《环境标志产品技术要求胶粘剂》；GB 33372-2020《胶粘剂挥发性有机化合物限量》要求；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6、颜色：黑色；</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7、成品：需符合QB/T 2280-2016《办公家具 办公椅》要求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8、其他：固定式靠背及坐垫支撑为多层曲木板，厚度≥15mm；</w:t>
            </w:r>
            <w:r/>
          </w:p>
          <w:p>
            <w:pPr>
              <w:jc w:val="left"/>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9、尺寸：坐宽505mm，坐高450mm，坐深460mm；</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34</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张</w:t>
            </w:r>
            <w:r/>
          </w:p>
        </w:tc>
      </w:tr>
      <w:tr>
        <w:trPr>
          <w:jc w:val="center"/>
          <w:trHeight w:val="103"/>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94</w:t>
            </w:r>
            <w:r/>
          </w:p>
        </w:tc>
        <w:tc>
          <w:tcPr>
            <w:shd w:val="clear" w:color="auto" w:fill="auto"/>
            <w:tcW w:w="77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条桌</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808355" cy="638810"/>
                      <wp:effectExtent l="0" t="0" r="10795" b="8890"/>
                      <wp:docPr id="93" name="ID_847F49406497460F8F12603C865C9E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D_847F49406497460F8F12603C865C9E96"/>
                              <pic:cNvPicPr>
                                <a:picLocks noChangeAspect="1"/>
                              </pic:cNvPicPr>
                              <pic:nvPr/>
                            </pic:nvPicPr>
                            <pic:blipFill>
                              <a:blip r:embed="rId69"/>
                              <a:stretch/>
                            </pic:blipFill>
                            <pic:spPr bwMode="auto">
                              <a:xfrm>
                                <a:off x="0" y="0"/>
                                <a:ext cx="808355" cy="6388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63.6pt;height:50.3pt;mso-wrap-distance-left:0.0pt;mso-wrap-distance-top:0.0pt;mso-wrap-distance-right:0.0pt;mso-wrap-distance-bottom:0.0pt;" stroked="f" strokeweight="0.75pt">
                      <v:path textboxrect="0,0,0,0"/>
                      <v:imagedata r:id="rId69"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1400*600*750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1、结构：四脚桌，电解钢板前档板</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2、基材：优质浸渍胶膜纸饰面刨花板。 甲醛释放量 ENF 级。板厚25mm，各项指标符合GB/T 15102-2017《浸渍胶膜纸饰面纤维板和刨花板》、GB 18580-2017《室内装饰装修材料 人造板及其制品中甲醛释放限量》、GB/T 39600-2021《人造板及其制品甲醛释放量分级》、GB/T 35601-2017《绿色产品评价 人造板和木质地板》、HJ 571-2010《环境标志产品技术要求 人造板及其制品》、GB 8624-2012《建筑材料及制品燃烧性能分级》要求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3、桌面封边：激光封边条，各项指标符合QB/T 4463-2013《家具用封边条技术要求》要求；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4、桌架：优质方钢脚及钢架，50*50mm,壁厚1.5mm及以上，前档板为电解钢板，厚度0.8mm,表面静电粉末喷涂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w:t>
            </w:r>
            <w:r>
              <w:rPr>
                <w:rFonts w:hint="default" w:ascii="Times New Roman" w:hAnsi="Times New Roman" w:cs="Times New Roman"/>
                <w:color w:val="000000"/>
                <w:sz w:val="18"/>
                <w:szCs w:val="18"/>
                <w:lang w:val="en-US" w:eastAsia="zh-CN"/>
              </w:rPr>
              <w:t xml:space="preserve">喷涂粉末</w:t>
            </w:r>
            <w:r>
              <w:rPr>
                <w:rFonts w:hint="default" w:ascii="Times New Roman" w:hAnsi="Times New Roman" w:cs="Times New Roman"/>
                <w:color w:val="000000"/>
                <w:sz w:val="18"/>
                <w:szCs w:val="18"/>
              </w:rPr>
              <w:t xml:space="preserve">：粉末符合HG/T 2006-2022《热固性和热塑性粉末涂料》</w:t>
            </w:r>
            <w:r>
              <w:rPr>
                <w:rFonts w:hint="default" w:ascii="Times New Roman" w:hAnsi="Times New Roman" w:cs="Times New Roman"/>
                <w:color w:val="000000"/>
                <w:sz w:val="18"/>
                <w:szCs w:val="18"/>
                <w:lang w:eastAsia="zh-CN"/>
              </w:rPr>
              <w:t xml:space="preserve">；</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6、电解钢板：符合GB/T 35607-2017《绿色产品评价 家具》要求</w:t>
            </w:r>
            <w:r/>
          </w:p>
          <w:p>
            <w:pPr>
              <w:jc w:val="left"/>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7、成品：各项技术指标符合GB/T 3325-2017《金属家具通用技术条件》标准的要求；</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10</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张</w:t>
            </w:r>
            <w:r/>
          </w:p>
        </w:tc>
      </w:tr>
      <w:tr>
        <w:trPr>
          <w:jc w:val="center"/>
          <w:trHeight w:val="283"/>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95</w:t>
            </w:r>
            <w:r/>
          </w:p>
        </w:tc>
        <w:tc>
          <w:tcPr>
            <w:shd w:val="clear" w:color="auto" w:fill="auto"/>
            <w:tcW w:w="77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会议椅</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630555" cy="720090"/>
                      <wp:effectExtent l="0" t="0" r="17145" b="3810"/>
                      <wp:docPr id="94" name="ID_460E6A511CA74ACCA973F61CE68523AE" descr="海昕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D_460E6A511CA74ACCA973F61CE68523AE" descr="海昕1"/>
                              <pic:cNvPicPr>
                                <a:picLocks noChangeAspect="1"/>
                              </pic:cNvPicPr>
                              <pic:nvPr/>
                            </pic:nvPicPr>
                            <pic:blipFill>
                              <a:blip r:embed="rId70"/>
                              <a:stretch/>
                            </pic:blipFill>
                            <pic:spPr bwMode="auto">
                              <a:xfrm>
                                <a:off x="0" y="0"/>
                                <a:ext cx="630555" cy="7200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49.6pt;height:56.7pt;mso-wrap-distance-left:0.0pt;mso-wrap-distance-top:0.0pt;mso-wrap-distance-right:0.0pt;mso-wrap-distance-bottom:0.0pt;" stroked="f" strokeweight="0.75pt">
                      <v:path textboxrect="0,0,0,0"/>
                      <v:imagedata r:id="rId70"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600*550*800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1、椅背：优质网布，具有透气性和防静电性能，耐磨性强，厚度1.0mm。甲醛含量低于300mg/kg，安全环保，符合GB 18401-2010《国家纺织产品基本安全技术规范》标准。</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2、背框：全新PP一次注塑成型背框，结构坚固。</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3、坐垫：软质聚醚型聚氨酯泡沫塑料成型海绵，符合GB/T 10802-2023《</w:t>
            </w:r>
            <w:r>
              <w:rPr>
                <w:rFonts w:hint="default" w:ascii="Times New Roman" w:hAnsi="Times New Roman" w:cs="Times New Roman"/>
                <w:color w:val="333333"/>
                <w:sz w:val="18"/>
                <w:szCs w:val="18"/>
                <w:shd w:val="clear" w:color="auto" w:fill="ffffff"/>
              </w:rPr>
              <w:t xml:space="preserve">通用软质聚氨酯泡沫塑料》</w:t>
            </w:r>
            <w:r>
              <w:rPr>
                <w:rFonts w:hint="default" w:ascii="Times New Roman" w:hAnsi="Times New Roman" w:cs="Times New Roman"/>
                <w:color w:val="000000"/>
                <w:sz w:val="18"/>
                <w:szCs w:val="18"/>
              </w:rPr>
              <w:t xml:space="preserve">；QB/T 2280-2016《办公家具 办公椅》要求。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4、扶手：PP固定T型扶手；</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5、椅脚：优质冷轧钢管，壁厚≥1.5mm，表面静电粉末喷涂</w:t>
            </w:r>
            <w:r>
              <w:rPr>
                <w:rFonts w:hint="default" w:ascii="Times New Roman" w:hAnsi="Times New Roman" w:cs="Times New Roman"/>
                <w:color w:val="000000"/>
                <w:sz w:val="18"/>
                <w:szCs w:val="18"/>
                <w:lang w:eastAsia="zh-CN"/>
              </w:rPr>
              <w:t xml:space="preserve">。</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lang w:val="en-US" w:eastAsia="zh-CN"/>
              </w:rPr>
              <w:t xml:space="preserve">6</w:t>
            </w:r>
            <w:r>
              <w:rPr>
                <w:rFonts w:hint="default" w:ascii="Times New Roman" w:hAnsi="Times New Roman" w:cs="Times New Roman"/>
                <w:color w:val="000000"/>
                <w:sz w:val="18"/>
                <w:szCs w:val="18"/>
              </w:rPr>
              <w:t xml:space="preserve">、成品：需符合QB/T 2280-2016《办公家具 办公椅》的要求</w:t>
            </w:r>
            <w:r/>
          </w:p>
          <w:p>
            <w:pPr>
              <w:jc w:val="left"/>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lang w:val="en-US" w:eastAsia="zh-CN"/>
              </w:rPr>
              <w:t xml:space="preserve">7</w:t>
            </w:r>
            <w:r>
              <w:rPr>
                <w:rFonts w:hint="default" w:ascii="Times New Roman" w:hAnsi="Times New Roman" w:cs="Times New Roman"/>
                <w:color w:val="000000"/>
                <w:sz w:val="18"/>
                <w:szCs w:val="18"/>
              </w:rPr>
              <w:t xml:space="preserve">、结构：坐高450mm，固定脚，无轮。</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20</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张</w:t>
            </w:r>
            <w:r/>
          </w:p>
        </w:tc>
      </w:tr>
      <w:tr>
        <w:trPr>
          <w:jc w:val="center"/>
          <w:trHeight w:val="310"/>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96</w:t>
            </w:r>
            <w:r/>
          </w:p>
        </w:tc>
        <w:tc>
          <w:tcPr>
            <w:shd w:val="clear" w:color="auto" w:fill="auto"/>
            <w:tcW w:w="77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演讲台</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489585" cy="720090"/>
                      <wp:effectExtent l="0" t="0" r="5715" b="3810"/>
                      <wp:docPr id="95" name="ID_65CAF1880218446F88E4E12B7ACC6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D_65CAF1880218446F88E4E12B7ACC6797"/>
                              <pic:cNvPicPr>
                                <a:picLocks noChangeAspect="1"/>
                              </pic:cNvPicPr>
                              <pic:nvPr/>
                            </pic:nvPicPr>
                            <pic:blipFill>
                              <a:blip r:embed="rId71"/>
                              <a:stretch/>
                            </pic:blipFill>
                            <pic:spPr bwMode="auto">
                              <a:xfrm>
                                <a:off x="0" y="0"/>
                                <a:ext cx="489585" cy="7200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38.5pt;height:56.7pt;mso-wrap-distance-left:0.0pt;mso-wrap-distance-top:0.0pt;mso-wrap-distance-right:0.0pt;mso-wrap-distance-bottom:0.0pt;" stroked="f" strokeweight="0.75pt">
                      <v:path textboxrect="0,0,0,0"/>
                      <v:imagedata r:id="rId71"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480*450*1100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highlight w:val="yellow"/>
              </w:rPr>
            </w:pPr>
            <w:r>
              <w:rPr>
                <w:rFonts w:hint="default" w:ascii="Times New Roman" w:hAnsi="Times New Roman" w:cs="Times New Roman"/>
                <w:color w:val="000000"/>
                <w:sz w:val="18"/>
                <w:szCs w:val="18"/>
              </w:rPr>
              <w:t xml:space="preserve">1、基材：优质浸渍胶膜纸饰面刨花板。 甲醛释放量 ENF 级。板厚25mm，各项指标符合GB/T 15102-2017《浸渍胶膜纸饰面纤维板和刨花板》、GB 18580-2017《室内装饰装修材料 人造板及其制品中甲醛释放限量》、GB/T 39600-2021《人造板及其制品甲醛释放量分级》、GB/T 35601-2017《绿色产品评价 人造板和木质地板》、HJ 571-2010《环境标志产品技术要求 人造板及其制品》、GB 8624-2012《建筑材料及制品燃烧性能分级》要求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2、封边：激光封边条，各项指标符合QB/T 4463-2013《家具用封边条技术要求》要求；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3、连接件：金属三合一连接件，耐腐蚀性强。符合QB/T 3832-1999《轻工产品金属镀层腐蚀试验结果的评价》的要求，达到10级。</w:t>
            </w:r>
            <w:r/>
          </w:p>
          <w:p>
            <w:pPr>
              <w:jc w:val="left"/>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4、结构：倾斜式讲台面，带上下挡边，直立式支撑柱，内部可走线，矩形底座。</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个</w:t>
            </w:r>
            <w:r/>
          </w:p>
        </w:tc>
      </w:tr>
      <w:tr>
        <w:trPr>
          <w:jc w:val="center"/>
          <w:trHeight w:val="554"/>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97</w:t>
            </w:r>
            <w:r/>
          </w:p>
        </w:tc>
        <w:tc>
          <w:tcPr>
            <w:shd w:val="clear" w:color="auto" w:fill="auto"/>
            <w:tcW w:w="77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会议桌</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rPr>
              <mc:AlternateContent>
                <mc:Choice Requires="wpg">
                  <w:drawing>
                    <wp:inline xmlns:wp="http://schemas.openxmlformats.org/drawingml/2006/wordprocessingDrawing" distT="0" distB="0" distL="0" distR="0">
                      <wp:extent cx="824865" cy="569595"/>
                      <wp:effectExtent l="0" t="0" r="13335" b="9525"/>
                      <wp:docPr id="9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1"/>
                              <pic:cNvPicPr>
                                <a:picLocks noChangeAspect="1"/>
                              </pic:cNvPicPr>
                              <pic:nvPr/>
                            </pic:nvPicPr>
                            <pic:blipFill>
                              <a:blip r:embed="rId72"/>
                              <a:stretch/>
                            </pic:blipFill>
                            <pic:spPr bwMode="auto">
                              <a:xfrm>
                                <a:off x="0" y="0"/>
                                <a:ext cx="824865" cy="5695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65.0pt;height:44.8pt;mso-wrap-distance-left:0.0pt;mso-wrap-distance-top:0.0pt;mso-wrap-distance-right:0.0pt;mso-wrap-distance-bottom:0.0pt;" stroked="f">
                      <v:path textboxrect="0,0,0,0"/>
                      <v:imagedata r:id="rId72"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4800*1400*750</w:t>
            </w:r>
            <w:r/>
          </w:p>
        </w:tc>
        <w:tc>
          <w:tcPr>
            <w:shd w:val="clear" w:color="auto" w:fill="auto"/>
            <w:tcW w:w="5641" w:type="dxa"/>
            <w:vAlign w:val="center"/>
            <w:textDirection w:val="lrTb"/>
            <w:noWrap w:val="false"/>
          </w:tcPr>
          <w:p>
            <w:pPr>
              <w:jc w:val="left"/>
              <w:widowControl/>
              <w:rPr>
                <w:rFonts w:hint="default" w:ascii="Times New Roman" w:hAnsi="Times New Roman" w:eastAsia="宋体" w:cs="Times New Roman"/>
                <w:color w:val="000000"/>
                <w:sz w:val="18"/>
                <w:szCs w:val="18"/>
                <w:lang w:eastAsia="zh-CN"/>
              </w:rPr>
            </w:pPr>
            <w:r>
              <w:rPr>
                <w:rFonts w:hint="default" w:ascii="Times New Roman" w:hAnsi="Times New Roman" w:cs="Times New Roman"/>
                <w:color w:val="000000"/>
                <w:sz w:val="18"/>
                <w:szCs w:val="18"/>
              </w:rPr>
              <w:t xml:space="preserve">1、结构：</w:t>
            </w:r>
            <w:r>
              <w:rPr>
                <w:rFonts w:hint="default" w:ascii="Times New Roman" w:hAnsi="Times New Roman" w:cs="Times New Roman"/>
                <w:color w:val="000000"/>
                <w:sz w:val="18"/>
                <w:szCs w:val="18"/>
                <w:lang w:val="en-US" w:eastAsia="zh-CN"/>
              </w:rPr>
              <w:t xml:space="preserve">3</w:t>
            </w:r>
            <w:r>
              <w:rPr>
                <w:rFonts w:hint="default" w:ascii="Times New Roman" w:hAnsi="Times New Roman" w:cs="Times New Roman"/>
                <w:color w:val="000000"/>
                <w:sz w:val="18"/>
                <w:szCs w:val="18"/>
              </w:rPr>
              <w:t xml:space="preserve">块桌板拼接，2个边脚及2个中间</w:t>
            </w:r>
            <w:r>
              <w:rPr>
                <w:rFonts w:hint="default" w:ascii="Times New Roman" w:hAnsi="Times New Roman" w:cs="Times New Roman"/>
                <w:color w:val="000000"/>
                <w:sz w:val="18"/>
                <w:szCs w:val="18"/>
                <w:lang w:val="en-US" w:eastAsia="zh-CN"/>
              </w:rPr>
              <w:t xml:space="preserve">上线</w:t>
            </w:r>
            <w:r>
              <w:rPr>
                <w:rFonts w:hint="default" w:ascii="Times New Roman" w:hAnsi="Times New Roman" w:cs="Times New Roman"/>
                <w:color w:val="000000"/>
                <w:sz w:val="18"/>
                <w:szCs w:val="18"/>
              </w:rPr>
              <w:t xml:space="preserve">脚</w:t>
            </w:r>
            <w:r>
              <w:rPr>
                <w:rFonts w:hint="default" w:ascii="Times New Roman" w:hAnsi="Times New Roman" w:cs="Times New Roman"/>
                <w:color w:val="000000"/>
                <w:sz w:val="18"/>
                <w:szCs w:val="18"/>
                <w:lang w:eastAsia="zh-CN"/>
              </w:rPr>
              <w:t xml:space="preserve">（</w:t>
            </w:r>
            <w:r>
              <w:rPr>
                <w:rFonts w:hint="default" w:ascii="Times New Roman" w:hAnsi="Times New Roman" w:cs="Times New Roman"/>
                <w:color w:val="000000"/>
                <w:sz w:val="18"/>
                <w:szCs w:val="18"/>
                <w:lang w:val="en-US" w:eastAsia="zh-CN"/>
              </w:rPr>
              <w:t xml:space="preserve">两侧钢板封闭），</w:t>
            </w:r>
            <w:r>
              <w:rPr>
                <w:rFonts w:hint="default" w:ascii="Times New Roman" w:hAnsi="Times New Roman" w:cs="Times New Roman"/>
                <w:color w:val="000000"/>
                <w:sz w:val="18"/>
                <w:szCs w:val="18"/>
              </w:rPr>
              <w:t xml:space="preserve">桌面带</w:t>
            </w:r>
            <w:r>
              <w:rPr>
                <w:rFonts w:hint="default" w:ascii="Times New Roman" w:hAnsi="Times New Roman" w:cs="Times New Roman"/>
                <w:color w:val="000000"/>
                <w:sz w:val="18"/>
                <w:szCs w:val="18"/>
                <w:lang w:val="en-US" w:eastAsia="zh-CN"/>
              </w:rPr>
              <w:t xml:space="preserve">3个</w:t>
            </w:r>
            <w:r>
              <w:rPr>
                <w:rFonts w:hint="default" w:ascii="Times New Roman" w:hAnsi="Times New Roman" w:cs="Times New Roman"/>
                <w:color w:val="000000"/>
                <w:sz w:val="18"/>
                <w:szCs w:val="18"/>
              </w:rPr>
              <w:t xml:space="preserve">铝合金线盒</w:t>
            </w:r>
            <w:r>
              <w:rPr>
                <w:rFonts w:hint="default" w:ascii="Times New Roman" w:hAnsi="Times New Roman" w:cs="Times New Roman"/>
                <w:color w:val="000000"/>
                <w:sz w:val="18"/>
                <w:szCs w:val="18"/>
                <w:lang w:val="en-US" w:eastAsia="zh-CN"/>
              </w:rPr>
              <w:t xml:space="preserve">（含钢制底盒，内有4个86面板安装孔）</w:t>
            </w:r>
            <w:r>
              <w:rPr>
                <w:rFonts w:hint="default" w:ascii="Times New Roman" w:hAnsi="Times New Roman" w:cs="Times New Roman"/>
                <w:color w:val="000000"/>
                <w:sz w:val="18"/>
                <w:szCs w:val="18"/>
                <w:lang w:eastAsia="zh-CN"/>
              </w:rPr>
              <w:t xml:space="preserve">；</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2、桌面：基材优质浸渍胶膜纸饰面刨花板。 甲醛释放量 ENF 级。板厚25mm，各项指标符合GB/T 15102-2017《浸渍胶膜纸饰面纤维板和刨花板》、GB 18580-2017《室内装饰装修材料 人造板及其制品中甲醛释放限量》、GB/T 39600-2021《人造板及其制品甲醛释放量分级》、GB/T 35601-2017《绿色产品评价 人造板和木质地板》、HJ 571-2010《环境标志产品技术要求 人造板及其制品》、GB 8624-2012《建筑材料及制品燃烧性能分级》要求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3、封边：激光封边条，各项指标符合QB/T 4463-2013《家具用封边条技术要求》要求；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4、线盒：桌面配备铝合金双面翻盖板，内部可安装4个86型插座便于使用电源；</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5、桌架及腿：方形桌腿及横梁，截面50*50钢方管，壁厚1.5mm,表面静电粉末喷涂，粉末符合HG/T 2006-2022《热固性和热塑性粉末涂料》</w:t>
            </w:r>
            <w:r>
              <w:rPr>
                <w:rFonts w:hint="default" w:ascii="Times New Roman" w:hAnsi="Times New Roman" w:cs="Times New Roman"/>
                <w:color w:val="000000"/>
                <w:sz w:val="18"/>
                <w:szCs w:val="18"/>
                <w:lang w:eastAsia="zh-CN"/>
              </w:rPr>
              <w:t xml:space="preserve">；</w:t>
            </w:r>
            <w:r/>
          </w:p>
          <w:p>
            <w:pPr>
              <w:jc w:val="left"/>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6、成品：各项技术指标符合GB/T 3325-2017《金属家具通用技术条件》标准的要求；</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张</w:t>
            </w:r>
            <w:r/>
          </w:p>
        </w:tc>
      </w:tr>
      <w:tr>
        <w:trPr>
          <w:jc w:val="center"/>
          <w:trHeight w:val="352"/>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98</w:t>
            </w:r>
            <w:r/>
          </w:p>
        </w:tc>
        <w:tc>
          <w:tcPr>
            <w:shd w:val="clear" w:color="auto" w:fill="auto"/>
            <w:tcW w:w="77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椅子</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577850" cy="720090"/>
                      <wp:effectExtent l="0" t="0" r="12700" b="3810"/>
                      <wp:docPr id="97"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46"/>
                              <pic:cNvPicPr>
                                <a:picLocks noChangeAspect="1"/>
                              </pic:cNvPicPr>
                              <pic:nvPr/>
                            </pic:nvPicPr>
                            <pic:blipFill>
                              <a:blip r:embed="rId40"/>
                              <a:stretch/>
                            </pic:blipFill>
                            <pic:spPr bwMode="auto">
                              <a:xfrm>
                                <a:off x="0" y="0"/>
                                <a:ext cx="577849" cy="7200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45.5pt;height:56.7pt;mso-wrap-distance-left:0.0pt;mso-wrap-distance-top:0.0pt;mso-wrap-distance-right:0.0pt;mso-wrap-distance-bottom:0.0pt;" stroked="f" strokeweight="0.75pt">
                      <v:path textboxrect="0,0,0,0"/>
                      <v:imagedata r:id="rId40"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645*560*（970-1060）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1、椅背：优质网布，具有透气性和防静电性能，耐磨性强，厚度1.0mm。甲醛含量低于300mg/kg，安全环保，符合GB 18401-2010《国家纺织产品基本安全技术规范》标准。具有透气性和防静电性能，耐磨性强，厚度≥1.0mm。</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2、背框：全新PP一次注塑成型背框，内外框结构，结构坚固。</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3、坐垫：纤维织物，具有耐磨性。</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4、海绵：软质聚醚型聚氨酯泡沫塑料成型海绵，厚度≥75mm，密度大于40kg/m3，回弹力大于50%，符合GB/T 10802-2023《通用软质聚氨酯泡沫塑料》QB/T 2280-2016《办公家具 办公椅》要求。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5、座板：采用15mm多层曲木板热压成型，板材绿色环保，经防潮、防腐、防蛀等化学处理。底部采用PP底壳包底。</w:t>
            </w:r>
            <w:r/>
          </w:p>
          <w:p>
            <w:pPr>
              <w:jc w:val="left"/>
              <w:widowControl/>
              <w:rPr>
                <w:rFonts w:hint="default" w:ascii="Times New Roman" w:hAnsi="Times New Roman" w:eastAsia="宋体" w:cs="Times New Roman"/>
                <w:color w:val="000000"/>
                <w:sz w:val="18"/>
                <w:szCs w:val="18"/>
                <w:lang w:eastAsia="zh-CN"/>
              </w:rPr>
            </w:pPr>
            <w:r>
              <w:rPr>
                <w:rFonts w:hint="default" w:ascii="Times New Roman" w:hAnsi="Times New Roman" w:cs="Times New Roman"/>
                <w:color w:val="000000"/>
                <w:sz w:val="18"/>
                <w:szCs w:val="18"/>
              </w:rPr>
              <w:t xml:space="preserve">6、扶手：PP可升降T型扶手,扶手面PU材质</w:t>
            </w:r>
            <w:r>
              <w:rPr>
                <w:rFonts w:hint="default" w:ascii="Times New Roman" w:hAnsi="Times New Roman" w:cs="Times New Roman"/>
                <w:color w:val="000000"/>
                <w:sz w:val="18"/>
                <w:szCs w:val="18"/>
                <w:lang w:eastAsia="zh-CN"/>
              </w:rPr>
              <w:t xml:space="preserve">。</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7、底盘：采用安全可锁定同步倾仰底盘，由3.2mm钢板压制而成，经防腐处理。</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8、气压棒：金属气压棒，升降行程90mm，棒芯壁厚须符合GB/T 29525-2013《座椅升降气弹簧 技术条件》要求。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9、胶粘剂：环保型喷胶，符合GB 18583-2008《室内装饰装修材料 胶粘剂中有害物质限量》：HJ 2541-2016《环境标志产品技术要求胶粘剂》；GB 33372-2020《胶粘剂挥发性有机化合物限量》要求；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10、五星脚：塑料五星脚，直径650 mm。</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11、脚轮：PU万向轮，直径60 mm，滑动时无杂音、活动自如。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12、成品：需符合QB/T 2280-2016《办公家具 办公椅》的要求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13、腰托：PP腰托，可上下调节</w:t>
            </w:r>
            <w:r/>
          </w:p>
          <w:p>
            <w:pPr>
              <w:jc w:val="left"/>
              <w:widowControl/>
              <w:rPr>
                <w:rFonts w:hint="default" w:ascii="Times New Roman" w:hAnsi="Times New Roman" w:cs="Times New Roman" w:eastAsiaTheme="majorEastAsia"/>
                <w:sz w:val="18"/>
                <w:szCs w:val="18"/>
                <w:highlight w:val="yellow"/>
              </w:rPr>
            </w:pPr>
            <w:r>
              <w:rPr>
                <w:rFonts w:hint="default" w:ascii="Times New Roman" w:hAnsi="Times New Roman" w:cs="Times New Roman"/>
                <w:color w:val="000000"/>
                <w:sz w:val="18"/>
                <w:szCs w:val="18"/>
              </w:rPr>
              <w:t xml:space="preserve">14、净尺寸：座宽455mm，坐高405-495mm，坐深：450mm；</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26</w:t>
            </w:r>
            <w:r/>
          </w:p>
        </w:tc>
        <w:tc>
          <w:tcPr>
            <w:shd w:val="clear" w:color="auto" w:fill="auto"/>
            <w:tcW w:w="37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张</w:t>
            </w:r>
            <w:r/>
          </w:p>
        </w:tc>
      </w:tr>
      <w:tr>
        <w:trPr>
          <w:jc w:val="center"/>
          <w:trHeight w:val="90"/>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99</w:t>
            </w:r>
            <w:r/>
          </w:p>
        </w:tc>
        <w:tc>
          <w:tcPr>
            <w:shd w:val="clear" w:color="auto" w:fill="auto"/>
            <w:tcW w:w="77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接待椅</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tc>
        <w:tc>
          <w:tcPr>
            <w:shd w:val="clear" w:color="auto" w:fill="auto"/>
            <w:tcW w:w="1523"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643890" cy="670560"/>
                      <wp:effectExtent l="0" t="0" r="3810" b="15240"/>
                      <wp:docPr id="98"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9" name="图片 25"/>
                              <pic:cNvPicPr>
                                <a:picLocks noChangeAspect="1"/>
                              </pic:cNvPicPr>
                              <pic:nvPr/>
                            </pic:nvPicPr>
                            <pic:blipFill>
                              <a:blip r:embed="rId25"/>
                              <a:stretch/>
                            </pic:blipFill>
                            <pic:spPr bwMode="auto">
                              <a:xfrm>
                                <a:off x="0" y="0"/>
                                <a:ext cx="643890" cy="6705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50.7pt;height:52.8pt;mso-wrap-distance-left:0.0pt;mso-wrap-distance-top:0.0pt;mso-wrap-distance-right:0.0pt;mso-wrap-distance-bottom:0.0pt;" stroked="f" strokeweight="0.75pt">
                      <v:path textboxrect="0,0,0,0"/>
                      <v:imagedata r:id="rId25"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600*610*825</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1、尺寸：坐高430mm</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2、饰面：阻燃布料，透气性好，表面无刺触感，平滑舒适，防螨性能优，无明显色差，性能、环保性、质量、防螨等参数符合GB 18401-2010 《国家纺织产品基本安全技术规范》、GB/T 18885-2020《生态纺织品技术要求》</w:t>
            </w:r>
            <w:r>
              <w:rPr>
                <w:rFonts w:hint="default" w:ascii="Times New Roman" w:hAnsi="Times New Roman" w:cs="Times New Roman"/>
                <w:color w:val="000000"/>
                <w:sz w:val="18"/>
                <w:szCs w:val="18"/>
                <w:lang w:eastAsia="zh-CN"/>
              </w:rPr>
              <w:t xml:space="preserve">、</w:t>
            </w:r>
            <w:r>
              <w:rPr>
                <w:rFonts w:hint="default" w:ascii="Times New Roman" w:hAnsi="Times New Roman" w:cs="Times New Roman"/>
                <w:color w:val="000000"/>
                <w:sz w:val="18"/>
                <w:szCs w:val="18"/>
              </w:rPr>
              <w:t xml:space="preserve">GB/T 24253-2009《纺织品 防螨性能的评价》、GB 8624-2012《建筑材料及制品燃烧性能分级》</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HJ 2546-2016《环境标志产品技术要求纺织产品》要求。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3、海绵：阻燃海绵，厚度不小于100mm，密度大于40kg/m3，回弹力大于50%，符合GB/T 10802-2023《《</w:t>
            </w:r>
            <w:r>
              <w:rPr>
                <w:rFonts w:hint="default" w:ascii="Times New Roman" w:hAnsi="Times New Roman" w:cs="Times New Roman"/>
                <w:color w:val="333333"/>
                <w:sz w:val="18"/>
                <w:szCs w:val="18"/>
                <w:shd w:val="clear" w:color="auto" w:fill="ffffff"/>
              </w:rPr>
              <w:t xml:space="preserve">通用软质聚氨酯泡沫塑料》</w:t>
            </w:r>
            <w:r>
              <w:rPr>
                <w:rFonts w:hint="default" w:ascii="Times New Roman" w:hAnsi="Times New Roman" w:cs="Times New Roman"/>
                <w:color w:val="000000"/>
                <w:sz w:val="18"/>
                <w:szCs w:val="18"/>
              </w:rPr>
              <w:t xml:space="preserve">GB 8624-2012《建筑材料及制品燃烧性能分级》等标准要求；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4、内部框架：橡胶木实木框架，表面平整，无毛刺。</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5、胶粘剂：环保型喷胶，符合GB 18583-2008《室内装饰装修材料 胶粘剂中有害物质限量》：HJ 2541-2016《环境标志产品技术要求胶粘剂》；GB 33372-2020《胶粘剂挥发性有机化合物限量》要求。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6、沙发脚：水曲柳实木沙发脚。</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7、扶手：弧线形软包扶手</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8、颜色：采购人自选</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9、成品：各项技术指标符合QB/T 1952.1-2023《软体家具沙发》标准的要求。</w:t>
            </w:r>
            <w:r/>
          </w:p>
          <w:p>
            <w:pPr>
              <w:jc w:val="left"/>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10、其他：边缘部位倒圆处理，无棱角，降低安全风险，整体结构、安全防护、质量、环保、舒适性、便利性等参数均须符合适老化要求</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11</w:t>
            </w:r>
            <w:r/>
          </w:p>
        </w:tc>
        <w:tc>
          <w:tcPr>
            <w:shd w:val="clear" w:color="auto" w:fill="auto"/>
            <w:tcW w:w="37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张</w:t>
            </w:r>
            <w:r/>
          </w:p>
        </w:tc>
      </w:tr>
      <w:tr>
        <w:trPr>
          <w:jc w:val="center"/>
          <w:trHeight w:val="315"/>
        </w:trPr>
        <w:tc>
          <w:tcPr>
            <w:gridSpan w:val="7"/>
            <w:shd w:val="clear" w:color="000000" w:fill="d9d9d9"/>
            <w:tcW w:w="10301" w:type="dxa"/>
            <w:textDirection w:val="lrTb"/>
            <w:noWrap w:val="false"/>
          </w:tcPr>
          <w:p>
            <w:pPr>
              <w:jc w:val="center"/>
              <w:widowControl/>
              <w:rPr>
                <w:rFonts w:hint="default" w:ascii="Times New Roman" w:hAnsi="Times New Roman" w:eastAsia="等线" w:cs="Times New Roman"/>
                <w:b/>
                <w:bCs/>
                <w:color w:val="2d7dce"/>
                <w:sz w:val="18"/>
                <w:szCs w:val="18"/>
              </w:rPr>
            </w:pPr>
            <w:r>
              <w:rPr>
                <w:rFonts w:hint="default" w:ascii="Times New Roman" w:hAnsi="Times New Roman" w:eastAsia="等线" w:cs="Times New Roman"/>
                <w:b/>
                <w:bCs/>
                <w:color w:val="2d7dce"/>
                <w:sz w:val="18"/>
                <w:szCs w:val="18"/>
              </w:rPr>
              <w:t xml:space="preserve">诊室</w:t>
            </w:r>
            <w:r/>
          </w:p>
        </w:tc>
      </w:tr>
      <w:tr>
        <w:trPr>
          <w:jc w:val="center"/>
          <w:trHeight w:val="1295"/>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100</w:t>
            </w:r>
            <w:r/>
          </w:p>
        </w:tc>
        <w:tc>
          <w:tcPr>
            <w:shd w:val="clear" w:color="auto" w:fill="auto"/>
            <w:tcW w:w="77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医用办公桌</w:t>
            </w:r>
            <w:r/>
          </w:p>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　</w:t>
            </w:r>
            <w:r/>
          </w:p>
        </w:tc>
        <w:tc>
          <w:tcPr>
            <w:shd w:val="clear" w:color="auto" w:fill="auto"/>
            <w:tcW w:w="1523"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825500" cy="431800"/>
                      <wp:effectExtent l="0" t="0" r="12700" b="6350"/>
                      <wp:docPr id="99" name="ID_807AE487077F4EDABC1F339B686C7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D_807AE487077F4EDABC1F339B686C7637"/>
                              <pic:cNvPicPr>
                                <a:picLocks noChangeAspect="1"/>
                              </pic:cNvPicPr>
                              <pic:nvPr/>
                            </pic:nvPicPr>
                            <pic:blipFill>
                              <a:blip r:embed="rId49"/>
                              <a:stretch/>
                            </pic:blipFill>
                            <pic:spPr bwMode="auto">
                              <a:xfrm>
                                <a:off x="0" y="0"/>
                                <a:ext cx="825500" cy="43179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65.0pt;height:34.0pt;mso-wrap-distance-left:0.0pt;mso-wrap-distance-top:0.0pt;mso-wrap-distance-right:0.0pt;mso-wrap-distance-bottom:0.0pt;" stroked="f" strokeweight="0.75pt">
                      <v:path textboxrect="0,0,0,0"/>
                      <v:imagedata r:id="rId49"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1500*1600*750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1、结构：钢横梁及钢腿，一侧为三抽固定柜，另一侧为圆盘支撑脚</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2、桌面：优质浸渍胶膜纸饰面刨花板。板厚25mm, 甲醛释放量 ENF 级。一侧弧形，各项指标符合GB/T 15102-2017《浸渍胶膜纸饰面纤维板和刨花板》、GB 18580-2017《室内装饰装修材料 人造板及其制品中甲醛释放限量》、GB/T 39600-2021《人造板及其制品甲醛释放量分级》、GB/T 35601-2017《绿色产品评价 人造板和木质地板》、HJ 571-2010《环境标志产品技术要求 人造板及其制品》、GB 8624-2012《建筑材料及制品燃烧性能分级》要求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3、封边：激光封边条，各项指标符合QB/T 4463-2013《家具用封边条技术要求》要求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4、固定抽屉柜：本体及抽屉材质为电解钢板，厚度0.8mm,表面粉末喷涂，粉末为防腐抗菌喷涂粉末</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三节导轨符合QB/T 2454-2013《家具五金 抽屉导轨》要求，首层抽屉配文具盒，底层抽屉可挂挂块牢档案袋，带锁具，锁具符合QB/T 1621-2015《家具锁》要求；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5、桌腿：圆盘脚，直径300mm，表面静电粉末喷涂，防腐抗菌喷涂粉末</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6、防腐抗菌喷涂粉末：符合HG/T 2006-2022《热固性和热塑性粉末涂料》、GB/T 35607-2017《绿色产品评价 家具》、QB/T 4371-2012《家具抗菌性能的评价》、GB/T 1741-2020《漆膜耐霉菌性测定法》要求，耐霉菌性等级达到0级</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7、电解钢板：抽屉及前档板为电解钢板，符合GB/T 35607-2017《绿色产品评价 家具》、GB/T 11253-2019《碳素结构钢冷轧钢板及钢带》要求</w:t>
            </w:r>
            <w:r/>
          </w:p>
          <w:p>
            <w:pPr>
              <w:jc w:val="left"/>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8、成品：各项技术指标符合GB/T 3325-2017《金属家具通用技术条件》标准的要求；</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w:t>
            </w:r>
            <w:r/>
          </w:p>
        </w:tc>
        <w:tc>
          <w:tcPr>
            <w:shd w:val="clear" w:color="auto" w:fill="auto"/>
            <w:tcW w:w="37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套</w:t>
            </w:r>
            <w:r/>
          </w:p>
        </w:tc>
      </w:tr>
      <w:tr>
        <w:trPr>
          <w:jc w:val="center"/>
          <w:trHeight w:val="1384"/>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101</w:t>
            </w:r>
            <w:r/>
          </w:p>
        </w:tc>
        <w:tc>
          <w:tcPr>
            <w:shd w:val="clear" w:color="auto" w:fill="auto"/>
            <w:tcW w:w="77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板式文件柜</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636905" cy="758825"/>
                      <wp:effectExtent l="0" t="0" r="10795" b="3175"/>
                      <wp:docPr id="100" name="图片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201"/>
                              <pic:cNvPicPr>
                                <a:picLocks noChangeAspect="1"/>
                              </pic:cNvPicPr>
                              <pic:nvPr/>
                            </pic:nvPicPr>
                            <pic:blipFill>
                              <a:blip r:embed="rId50"/>
                              <a:stretch/>
                            </pic:blipFill>
                            <pic:spPr bwMode="auto">
                              <a:xfrm>
                                <a:off x="0" y="0"/>
                                <a:ext cx="636905" cy="758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50.1pt;height:59.8pt;mso-wrap-distance-left:0.0pt;mso-wrap-distance-top:0.0pt;mso-wrap-distance-right:0.0pt;mso-wrap-distance-bottom:0.0pt;" stroked="f" strokeweight="0.75pt">
                      <v:path textboxrect="0,0,0,0"/>
                      <v:imagedata r:id="rId50"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1200*420*1800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1、基材：优质浸渍胶膜纸饰面刨花板。 甲醛释放量 ENF 级。板厚25mm，各项指标符合GB/T 15102-2017《浸渍胶膜纸饰面纤维板和刨花板》 、GB 18580-2017《室内装饰装修材料 人造板及其制品中甲醛释放限量》、GB/T 39600-2021《人造板及其制品甲醛释放量分级》、GB/T 35601-2017《绿色产品评价 人造板和木质地板》、HJ 571-2010《环境标志产品技术要求 人造板及其制品》、GB 8624-2012《建筑材料及制品燃烧性能分级》要求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2、封边：激光封边条，各项指标符合QB/T 4463-2013《家具用封边条技术要求》要求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3、连接件：金属三合一连接件，耐腐蚀性强。符合QB/T 3832-1999《轻工产品金属镀层腐蚀试验结果的评价》的要求，达到10级。</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4、结构：左上-单开木掩门，内置一块活动层板，右上-双开铝框玻璃</w:t>
            </w:r>
            <w:r>
              <w:rPr>
                <w:rFonts w:hint="default" w:ascii="Times New Roman" w:hAnsi="Times New Roman" w:cs="Times New Roman"/>
                <w:sz w:val="18"/>
                <w:szCs w:val="18"/>
                <w:lang w:val="en-US" w:eastAsia="zh-CN"/>
              </w:rPr>
              <w:t xml:space="preserve">玻璃材质为钢化清玻，</w:t>
            </w:r>
            <w:r>
              <w:rPr>
                <w:rFonts w:hint="default" w:ascii="Times New Roman" w:hAnsi="Times New Roman" w:cs="Times New Roman"/>
                <w:sz w:val="18"/>
                <w:szCs w:val="18"/>
              </w:rPr>
              <w:t xml:space="preserve">厚度≥</w:t>
            </w:r>
            <w:r>
              <w:rPr>
                <w:rFonts w:hint="default" w:ascii="Times New Roman" w:hAnsi="Times New Roman" w:cs="Times New Roman"/>
                <w:sz w:val="18"/>
                <w:szCs w:val="18"/>
                <w:lang w:val="en-US" w:eastAsia="zh-CN"/>
              </w:rPr>
              <w:t xml:space="preserve">5mm，</w:t>
            </w:r>
            <w:r>
              <w:rPr>
                <w:rFonts w:hint="default" w:ascii="Times New Roman" w:hAnsi="Times New Roman" w:cs="Times New Roman"/>
                <w:color w:val="000000"/>
                <w:sz w:val="18"/>
                <w:szCs w:val="18"/>
              </w:rPr>
              <w:t xml:space="preserve">门内置一块活动层板；左下-单开木掩门，内置一块活动层板，右下-双开木掩门，内置一块活动层板，柜门均带锁具；</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5、铰链：优质金属铰链，指标符合QB/T 2189-2013《家具五金 杯状暗铰链》要求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6、锁具：下柜门带锁，优质锁具，符合QB/T 1621-2015《家具锁》要求；</w:t>
            </w:r>
            <w:r/>
          </w:p>
          <w:p>
            <w:pPr>
              <w:jc w:val="left"/>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7、成品：各项技术指标符合GB/T 3324-2017《木家具通用技术条件》标准的要求。</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w:t>
            </w:r>
            <w:r/>
          </w:p>
        </w:tc>
        <w:tc>
          <w:tcPr>
            <w:shd w:val="clear" w:color="auto" w:fill="auto"/>
            <w:tcW w:w="37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个</w:t>
            </w:r>
            <w:r/>
          </w:p>
        </w:tc>
      </w:tr>
      <w:tr>
        <w:trPr>
          <w:jc w:val="center"/>
          <w:trHeight w:val="690"/>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102</w:t>
            </w:r>
            <w:r/>
          </w:p>
        </w:tc>
        <w:tc>
          <w:tcPr>
            <w:shd w:val="clear" w:color="auto" w:fill="auto"/>
            <w:tcW w:w="77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椅子</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534670" cy="720090"/>
                      <wp:effectExtent l="0" t="0" r="17780" b="3810"/>
                      <wp:docPr id="101"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47"/>
                              <pic:cNvPicPr>
                                <a:picLocks noChangeAspect="1"/>
                              </pic:cNvPicPr>
                              <pic:nvPr/>
                            </pic:nvPicPr>
                            <pic:blipFill>
                              <a:blip r:embed="rId40"/>
                              <a:stretch/>
                            </pic:blipFill>
                            <pic:spPr bwMode="auto">
                              <a:xfrm>
                                <a:off x="0" y="0"/>
                                <a:ext cx="534670" cy="7200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42.1pt;height:56.7pt;mso-wrap-distance-left:0.0pt;mso-wrap-distance-top:0.0pt;mso-wrap-distance-right:0.0pt;mso-wrap-distance-bottom:0.0pt;" stroked="f" strokeweight="0.75pt">
                      <v:path textboxrect="0,0,0,0"/>
                      <v:imagedata r:id="rId40"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645*560*（970-1060）</w:t>
            </w:r>
            <w:r/>
          </w:p>
        </w:tc>
        <w:tc>
          <w:tcPr>
            <w:shd w:val="clear" w:color="auto" w:fill="auto"/>
            <w:tcW w:w="5641" w:type="dxa"/>
            <w:vAlign w:val="center"/>
            <w:textDirection w:val="lrTb"/>
            <w:noWrap w:val="false"/>
          </w:tcPr>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1、椅背：优质网布，具有透气性和防静电性能，耐磨性强，厚度1.0mm。甲醛含量低于300mg/kg，安全环保，符合GB 18401-2010《国家纺织产品基本安全技术规范》标准。具有透气性和防静电性能，耐磨性强，厚度≥1.0mm。</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2、背框：全新PP一次注塑成型背框，内外框结构，结构坚固。</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3、坐垫：纤维织物，具有耐磨性。</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4、海绵：软质聚醚型聚氨酯泡沫塑料成型海绵，厚度≥75mm，密度大于40kg/m3，回弹力大于50%，符合GB/T 10802-2023</w:t>
            </w:r>
            <w:r>
              <w:rPr>
                <w:rFonts w:hint="default" w:ascii="Times New Roman" w:hAnsi="Times New Roman" w:cs="Times New Roman"/>
                <w:color w:val="000000"/>
                <w:sz w:val="18"/>
                <w:szCs w:val="18"/>
              </w:rPr>
              <w:t xml:space="preserve">《</w:t>
            </w:r>
            <w:r>
              <w:rPr>
                <w:rFonts w:hint="default" w:ascii="Times New Roman" w:hAnsi="Times New Roman" w:cs="Times New Roman"/>
                <w:color w:val="333333"/>
                <w:sz w:val="18"/>
                <w:szCs w:val="18"/>
                <w:shd w:val="clear" w:color="auto" w:fill="ffffff"/>
              </w:rPr>
              <w:t xml:space="preserve">通用软质聚氨酯泡沫塑料》</w:t>
            </w:r>
            <w:r>
              <w:rPr>
                <w:rFonts w:hint="default" w:ascii="Times New Roman" w:hAnsi="Times New Roman" w:cs="Times New Roman"/>
                <w:sz w:val="18"/>
                <w:szCs w:val="18"/>
              </w:rPr>
              <w:t xml:space="preserve">QB/T 2280-2016《办公家具 办公椅》要求。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5、座板：采用15mm多层曲木板热压成型，板材绿色环保，经防潮、防腐、防蛀等化学处理。底部采用PP底壳包底。</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6、扶手：PP可升降T型扶手,扶手面PU材质</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7、底盘：采用安全可锁定同步倾仰底盘，由3.2mm钢板压制而成，经防腐处理。</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8、气压棒：金属气压棒，升降行程90mm，棒芯壁厚须符合GB/T 29525-2013《座椅升降气弹簧 技术条件》要求。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9、胶粘剂：环保型喷胶，符合GB 18583-2008《室内装饰装修材料 胶粘剂中有害物质限量》：HJ 2541-2016《环境标志产品技术要求胶粘剂》；GB 33372-2020《胶粘剂挥发性有机化合物限量》要求；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10、五星脚：塑料五星脚，直径650 mm。</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11、脚轮：PU万向轮，直径60 mm，滑动时无杂音、活动自如。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12、成品：需符合QB/T 2280-2016《办公家具 办公椅》的要求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13、腰托：PP腰托，可上下调节</w:t>
            </w:r>
            <w:r/>
          </w:p>
          <w:p>
            <w:pPr>
              <w:jc w:val="left"/>
              <w:widowControl/>
              <w:rPr>
                <w:rFonts w:hint="default" w:ascii="Times New Roman" w:hAnsi="Times New Roman" w:cs="Times New Roman"/>
                <w:b/>
                <w:bCs/>
                <w:color w:val="ff0000"/>
                <w:spacing w:val="2"/>
                <w:sz w:val="18"/>
                <w:szCs w:val="18"/>
                <w:highlight w:val="yellow"/>
              </w:rPr>
            </w:pPr>
            <w:r>
              <w:rPr>
                <w:rFonts w:hint="default" w:ascii="Times New Roman" w:hAnsi="Times New Roman" w:cs="Times New Roman"/>
                <w:sz w:val="18"/>
                <w:szCs w:val="18"/>
              </w:rPr>
              <w:t xml:space="preserve">14、净尺寸：座宽455mm，坐高405-495mm，坐深：450mm；</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张</w:t>
            </w:r>
            <w:r/>
          </w:p>
        </w:tc>
      </w:tr>
      <w:tr>
        <w:trPr>
          <w:jc w:val="center"/>
          <w:trHeight w:val="510"/>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103</w:t>
            </w:r>
            <w:r/>
          </w:p>
        </w:tc>
        <w:tc>
          <w:tcPr>
            <w:shd w:val="clear" w:color="auto" w:fill="auto"/>
            <w:tcW w:w="77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患者问诊椅</w:t>
            </w:r>
            <w:r/>
          </w:p>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　</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728980" cy="720090"/>
                      <wp:effectExtent l="0" t="0" r="13970" b="3810"/>
                      <wp:docPr id="102"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26"/>
                              <pic:cNvPicPr>
                                <a:picLocks noChangeAspect="1"/>
                              </pic:cNvPicPr>
                              <pic:nvPr/>
                            </pic:nvPicPr>
                            <pic:blipFill>
                              <a:blip r:embed="rId25"/>
                              <a:stretch/>
                            </pic:blipFill>
                            <pic:spPr bwMode="auto">
                              <a:xfrm>
                                <a:off x="0" y="0"/>
                                <a:ext cx="728980" cy="7200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57.4pt;height:56.7pt;mso-wrap-distance-left:0.0pt;mso-wrap-distance-top:0.0pt;mso-wrap-distance-right:0.0pt;mso-wrap-distance-bottom:0.0pt;" stroked="f" strokeweight="0.75pt">
                      <v:path textboxrect="0,0,0,0"/>
                      <v:imagedata r:id="rId25"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600*610*825</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1、尺寸：600*610*825mm（坐高430mm）</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2、饰面：阻燃布料，透气性好，表面无刺触感，平滑舒适，防螨性能优，无明显色差，性能、环保性、质量、防螨等参数符合GB 18401-2010 《国家纺织产品基本安全技术规范》、GB/T 18885-2020《生态纺织品技术要求》</w:t>
            </w:r>
            <w:r>
              <w:rPr>
                <w:rFonts w:hint="default" w:ascii="Times New Roman" w:hAnsi="Times New Roman" w:cs="Times New Roman"/>
                <w:color w:val="000000"/>
                <w:sz w:val="18"/>
                <w:szCs w:val="18"/>
                <w:lang w:eastAsia="zh-CN"/>
              </w:rPr>
              <w:t xml:space="preserve">、</w:t>
            </w:r>
            <w:r>
              <w:rPr>
                <w:rFonts w:hint="default" w:ascii="Times New Roman" w:hAnsi="Times New Roman" w:cs="Times New Roman"/>
                <w:color w:val="000000"/>
                <w:sz w:val="18"/>
                <w:szCs w:val="18"/>
              </w:rPr>
              <w:t xml:space="preserve">GB/T 24253-2009《纺织品 防螨性能的评价》、GB 8624-2012《建筑材料及制品燃烧性能分级》、HJ 2546-2016《环境标志产品技术要求纺织产品》要求。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3、海绵：阻燃海绵，厚度不小于100mm，密度大于40kg/m3，回弹力大于50%，符合GB/T 10802-2023《</w:t>
            </w:r>
            <w:r>
              <w:rPr>
                <w:rFonts w:hint="default" w:ascii="Times New Roman" w:hAnsi="Times New Roman" w:cs="Times New Roman"/>
                <w:color w:val="333333"/>
                <w:sz w:val="18"/>
                <w:szCs w:val="18"/>
                <w:shd w:val="clear" w:color="auto" w:fill="ffffff"/>
              </w:rPr>
              <w:t xml:space="preserve">通用软质聚氨酯泡沫塑料》</w:t>
            </w:r>
            <w:r>
              <w:rPr>
                <w:rFonts w:hint="default" w:ascii="Times New Roman" w:hAnsi="Times New Roman" w:cs="Times New Roman"/>
                <w:color w:val="000000"/>
                <w:sz w:val="18"/>
                <w:szCs w:val="18"/>
              </w:rPr>
              <w:t xml:space="preserve">GB 8624-2012《建筑材料及制品燃烧性能分级》等标准要求；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4、内部框架：橡胶木实木框架，表面平整，无毛刺。</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5、胶粘剂：环保型喷胶，符合GB 18583-2008《室内装饰装修材料 胶粘剂中有害物质限量》：HJ 2541-2016《环境标志产品技术要求胶粘剂》；GB 33372-2020《胶粘剂挥发性有机化合物限量》要求。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6、沙发脚：水曲柳实木沙发脚。</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7、扶手：弧线形软包扶手</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8、颜色：采购人自选</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9、成品：各项技术指标符合QB/T 1952.1-2023《软体家具沙发》 标准的要求。</w:t>
            </w:r>
            <w:r/>
          </w:p>
          <w:p>
            <w:pPr>
              <w:jc w:val="left"/>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10、其他：边缘部位倒圆处理，无棱角，降低安全风险，整体结构、安全防护、质量、环保、舒适性、便利性等参数均须符合适老化要求</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张</w:t>
            </w:r>
            <w:r/>
          </w:p>
        </w:tc>
      </w:tr>
      <w:tr>
        <w:trPr>
          <w:jc w:val="center"/>
          <w:trHeight w:val="355"/>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highlight w:val="none"/>
              </w:rPr>
            </w:pPr>
            <w:r>
              <w:rPr>
                <w:rFonts w:hint="default" w:ascii="Times New Roman" w:hAnsi="Times New Roman" w:cs="Times New Roman"/>
                <w:color w:val="000000"/>
                <w:sz w:val="18"/>
                <w:szCs w:val="18"/>
                <w:highlight w:val="none"/>
              </w:rPr>
              <w:t xml:space="preserve">104</w:t>
            </w:r>
            <w:r/>
          </w:p>
        </w:tc>
        <w:tc>
          <w:tcPr>
            <w:shd w:val="clear" w:color="auto" w:fill="auto"/>
            <w:tcW w:w="771" w:type="dxa"/>
            <w:vAlign w:val="center"/>
            <w:textDirection w:val="lrTb"/>
            <w:noWrap w:val="false"/>
          </w:tcPr>
          <w:p>
            <w:pPr>
              <w:jc w:val="center"/>
              <w:widowControl/>
              <w:rPr>
                <w:rFonts w:hint="default" w:ascii="Times New Roman" w:hAnsi="Times New Roman" w:eastAsia="等线" w:cs="Times New Roman"/>
                <w:color w:val="000000"/>
                <w:sz w:val="18"/>
                <w:szCs w:val="18"/>
                <w:highlight w:val="none"/>
              </w:rPr>
            </w:pPr>
            <w:r>
              <w:rPr>
                <w:rFonts w:hint="default" w:ascii="Times New Roman" w:hAnsi="Times New Roman" w:eastAsia="等线" w:cs="Times New Roman"/>
                <w:color w:val="000000"/>
                <w:sz w:val="18"/>
                <w:szCs w:val="18"/>
                <w:highlight w:val="none"/>
              </w:rPr>
              <w:t xml:space="preserve">　</w:t>
            </w:r>
            <w:r/>
          </w:p>
          <w:p>
            <w:pPr>
              <w:jc w:val="center"/>
              <w:widowControl/>
              <w:rPr>
                <w:rFonts w:hint="default" w:ascii="Times New Roman" w:hAnsi="Times New Roman" w:eastAsia="等线" w:cs="Times New Roman"/>
                <w:sz w:val="18"/>
                <w:szCs w:val="18"/>
                <w:highlight w:val="none"/>
              </w:rPr>
            </w:pPr>
            <w:r>
              <w:rPr>
                <w:rFonts w:hint="default" w:ascii="Times New Roman" w:hAnsi="Times New Roman" w:eastAsia="等线" w:cs="Times New Roman"/>
                <w:sz w:val="18"/>
                <w:szCs w:val="18"/>
                <w:highlight w:val="none"/>
              </w:rPr>
              <w:t xml:space="preserve">医用诊断床</w:t>
            </w:r>
            <w:r/>
          </w:p>
          <w:p>
            <w:pPr>
              <w:jc w:val="center"/>
              <w:widowControl/>
              <w:rPr>
                <w:rFonts w:hint="default" w:ascii="Times New Roman" w:hAnsi="Times New Roman" w:eastAsia="等线" w:cs="Times New Roman"/>
                <w:sz w:val="18"/>
                <w:szCs w:val="18"/>
                <w:highlight w:val="none"/>
              </w:rPr>
            </w:pPr>
            <w:r>
              <w:rPr>
                <w:rFonts w:hint="default" w:ascii="Times New Roman" w:hAnsi="Times New Roman" w:eastAsia="等线" w:cs="Times New Roman"/>
                <w:sz w:val="18"/>
                <w:szCs w:val="18"/>
                <w:highlight w:val="none"/>
              </w:rPr>
              <w:t xml:space="preserve">　</w:t>
            </w:r>
            <w:r/>
          </w:p>
        </w:tc>
        <w:tc>
          <w:tcPr>
            <w:shd w:val="clear" w:color="auto" w:fill="auto"/>
            <w:tcW w:w="1523" w:type="dxa"/>
            <w:vAlign w:val="center"/>
            <w:textDirection w:val="lrTb"/>
            <w:noWrap w:val="false"/>
          </w:tcPr>
          <w:p>
            <w:pPr>
              <w:jc w:val="center"/>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mc:AlternateContent>
                <mc:Choice Requires="wpg">
                  <w:drawing>
                    <wp:inline xmlns:wp="http://schemas.openxmlformats.org/drawingml/2006/wordprocessingDrawing" distT="0" distB="0" distL="0" distR="0">
                      <wp:extent cx="735330" cy="577215"/>
                      <wp:effectExtent l="0" t="0" r="7620" b="13335"/>
                      <wp:docPr id="103" name="图片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249"/>
                              <pic:cNvPicPr>
                                <a:picLocks noChangeAspect="1"/>
                              </pic:cNvPicPr>
                              <pic:nvPr/>
                            </pic:nvPicPr>
                            <pic:blipFill>
                              <a:blip r:embed="rId73"/>
                              <a:stretch/>
                            </pic:blipFill>
                            <pic:spPr bwMode="auto">
                              <a:xfrm>
                                <a:off x="0" y="0"/>
                                <a:ext cx="735330" cy="5772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57.9pt;height:45.4pt;mso-wrap-distance-left:0.0pt;mso-wrap-distance-top:0.0pt;mso-wrap-distance-right:0.0pt;mso-wrap-distance-bottom:0.0pt;" stroked="f" strokeweight="0.75pt">
                      <v:path textboxrect="0,0,0,0"/>
                      <v:imagedata r:id="rId73"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sz w:val="18"/>
                <w:szCs w:val="18"/>
                <w:highlight w:val="none"/>
              </w:rPr>
            </w:pPr>
            <w:r>
              <w:rPr>
                <w:rFonts w:hint="default" w:ascii="Times New Roman" w:hAnsi="Times New Roman" w:eastAsia="等线" w:cs="Times New Roman"/>
                <w:sz w:val="18"/>
                <w:szCs w:val="18"/>
                <w:highlight w:val="none"/>
              </w:rPr>
              <w:t xml:space="preserve">1900*650*730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highlight w:val="none"/>
              </w:rPr>
            </w:pPr>
            <w:r>
              <w:rPr>
                <w:rFonts w:hint="default" w:ascii="Times New Roman" w:hAnsi="Times New Roman" w:cs="Times New Roman"/>
                <w:color w:val="000000"/>
                <w:sz w:val="18"/>
                <w:szCs w:val="18"/>
                <w:highlight w:val="none"/>
              </w:rPr>
              <w:t xml:space="preserve">1、面料：优质超纤皮，表面纹理清晰，具有良好的色牢度、耐光耐磨性、透气性等特性                                         </w:t>
            </w:r>
            <w:r/>
          </w:p>
          <w:p>
            <w:pPr>
              <w:jc w:val="left"/>
              <w:widowControl/>
              <w:rPr>
                <w:rFonts w:hint="default" w:ascii="Times New Roman" w:hAnsi="Times New Roman" w:cs="Times New Roman"/>
                <w:color w:val="000000"/>
                <w:sz w:val="18"/>
                <w:szCs w:val="18"/>
                <w:highlight w:val="none"/>
              </w:rPr>
            </w:pPr>
            <w:r>
              <w:rPr>
                <w:rFonts w:hint="default" w:ascii="Times New Roman" w:hAnsi="Times New Roman" w:cs="Times New Roman"/>
                <w:color w:val="000000"/>
                <w:sz w:val="18"/>
                <w:szCs w:val="18"/>
                <w:highlight w:val="none"/>
              </w:rPr>
              <w:t xml:space="preserve">2、海绵：成型绵，厚度不小于40mm，密度不小于45kg/m³。                                                                </w:t>
            </w:r>
            <w:r/>
          </w:p>
          <w:p>
            <w:pPr>
              <w:jc w:val="left"/>
              <w:widowControl/>
              <w:rPr>
                <w:rFonts w:hint="default" w:ascii="Times New Roman" w:hAnsi="Times New Roman" w:cs="Times New Roman"/>
                <w:color w:val="000000"/>
                <w:sz w:val="18"/>
                <w:szCs w:val="18"/>
                <w:highlight w:val="none"/>
              </w:rPr>
            </w:pPr>
            <w:r>
              <w:rPr>
                <w:rFonts w:hint="default" w:ascii="Times New Roman" w:hAnsi="Times New Roman" w:cs="Times New Roman"/>
                <w:color w:val="000000"/>
                <w:sz w:val="18"/>
                <w:szCs w:val="18"/>
                <w:highlight w:val="none"/>
              </w:rPr>
              <w:t xml:space="preserve">3、床架：采用方形钢管，60*60mm，壁厚不小于1.5mm，表面静电粉末喷涂处理，光滑美观，坚固耐用</w:t>
            </w:r>
            <w:r/>
          </w:p>
          <w:p>
            <w:pPr>
              <w:jc w:val="left"/>
              <w:widowControl/>
              <w:rPr>
                <w:rFonts w:hint="default" w:ascii="Times New Roman" w:hAnsi="Times New Roman" w:cs="Times New Roman"/>
                <w:color w:val="000000"/>
                <w:sz w:val="18"/>
                <w:szCs w:val="18"/>
                <w:highlight w:val="none"/>
              </w:rPr>
            </w:pPr>
            <w:r>
              <w:rPr>
                <w:rFonts w:hint="default" w:ascii="Times New Roman" w:hAnsi="Times New Roman" w:cs="Times New Roman"/>
                <w:color w:val="000000"/>
                <w:sz w:val="18"/>
                <w:szCs w:val="18"/>
                <w:highlight w:val="none"/>
              </w:rPr>
              <w:t xml:space="preserve">4、表面喷涂粉末：防腐抗菌喷涂粉末，符合HG/T 2006-2022《热固性和热塑性粉末涂料》、GB/T 35607-2017《绿色产品评价 家具》、QB/T 4371-2012《家具抗菌性能的评价》、GB/T 1741-2020《漆膜耐霉菌性测定法》要求，耐霉菌性等级达到0级</w:t>
            </w:r>
            <w:r/>
          </w:p>
          <w:p>
            <w:pPr>
              <w:jc w:val="left"/>
              <w:widowControl/>
              <w:rPr>
                <w:rFonts w:hint="default" w:ascii="Times New Roman" w:hAnsi="Times New Roman" w:cs="Times New Roman"/>
                <w:color w:val="000000"/>
                <w:sz w:val="18"/>
                <w:szCs w:val="18"/>
                <w:highlight w:val="none"/>
              </w:rPr>
            </w:pPr>
            <w:r>
              <w:rPr>
                <w:rFonts w:hint="default" w:ascii="Times New Roman" w:hAnsi="Times New Roman" w:cs="Times New Roman"/>
                <w:color w:val="000000"/>
                <w:sz w:val="18"/>
                <w:szCs w:val="18"/>
                <w:highlight w:val="none"/>
              </w:rPr>
              <w:t xml:space="preserve">5、床脚：移动万向静音轮，带刹车</w:t>
            </w:r>
            <w:r/>
          </w:p>
          <w:p>
            <w:pPr>
              <w:jc w:val="left"/>
              <w:widowControl/>
              <w:rPr>
                <w:rFonts w:hint="default" w:ascii="Times New Roman" w:hAnsi="Times New Roman" w:eastAsia="等线" w:cs="Times New Roman"/>
                <w:color w:val="000000"/>
                <w:sz w:val="18"/>
                <w:szCs w:val="18"/>
                <w:highlight w:val="none"/>
              </w:rPr>
            </w:pPr>
            <w:r>
              <w:rPr>
                <w:rFonts w:hint="default" w:ascii="Times New Roman" w:hAnsi="Times New Roman" w:cs="Times New Roman"/>
                <w:color w:val="000000"/>
                <w:sz w:val="18"/>
                <w:szCs w:val="18"/>
                <w:highlight w:val="none"/>
              </w:rPr>
              <w:t xml:space="preserve">6、其他：床头配置定型绵头枕，超纤皮面料；床尾配钢制转轴滚筒（用于放置一次性医用床单）。</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highlight w:val="none"/>
              </w:rPr>
            </w:pPr>
            <w:r>
              <w:rPr>
                <w:rFonts w:hint="default" w:ascii="Times New Roman" w:hAnsi="Times New Roman" w:eastAsia="等线" w:cs="Times New Roman"/>
                <w:color w:val="000000"/>
                <w:sz w:val="18"/>
                <w:szCs w:val="18"/>
                <w:highlight w:val="none"/>
              </w:rPr>
              <w:t xml:space="preserve">1</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highlight w:val="none"/>
              </w:rPr>
            </w:pPr>
            <w:r>
              <w:rPr>
                <w:rFonts w:hint="default" w:ascii="Times New Roman" w:hAnsi="Times New Roman" w:cs="Times New Roman"/>
                <w:color w:val="000000"/>
                <w:sz w:val="18"/>
                <w:szCs w:val="18"/>
                <w:highlight w:val="none"/>
              </w:rPr>
              <w:t xml:space="preserve">张</w:t>
            </w:r>
            <w:r/>
          </w:p>
        </w:tc>
      </w:tr>
      <w:tr>
        <w:trPr>
          <w:jc w:val="center"/>
          <w:trHeight w:val="315"/>
        </w:trPr>
        <w:tc>
          <w:tcPr>
            <w:gridSpan w:val="7"/>
            <w:shd w:val="clear" w:color="000000" w:fill="d9d9d9"/>
            <w:tcW w:w="10301" w:type="dxa"/>
            <w:textDirection w:val="lrTb"/>
            <w:noWrap w:val="false"/>
          </w:tcPr>
          <w:p>
            <w:pPr>
              <w:jc w:val="center"/>
              <w:widowControl/>
              <w:rPr>
                <w:rFonts w:hint="default" w:ascii="Times New Roman" w:hAnsi="Times New Roman" w:eastAsia="等线" w:cs="Times New Roman"/>
                <w:b/>
                <w:bCs/>
                <w:color w:val="2d7dce"/>
                <w:sz w:val="18"/>
                <w:szCs w:val="18"/>
              </w:rPr>
            </w:pPr>
            <w:r>
              <w:rPr>
                <w:rFonts w:hint="default" w:ascii="Times New Roman" w:hAnsi="Times New Roman" w:eastAsia="等线" w:cs="Times New Roman"/>
                <w:b/>
                <w:bCs/>
                <w:color w:val="2d7dce"/>
                <w:sz w:val="18"/>
                <w:szCs w:val="18"/>
              </w:rPr>
              <w:t xml:space="preserve">存储区</w:t>
            </w:r>
            <w:r/>
          </w:p>
        </w:tc>
      </w:tr>
      <w:tr>
        <w:trPr>
          <w:jc w:val="center"/>
          <w:trHeight w:val="1460"/>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105</w:t>
            </w:r>
            <w:r/>
          </w:p>
        </w:tc>
        <w:tc>
          <w:tcPr>
            <w:shd w:val="clear" w:color="auto" w:fill="auto"/>
            <w:tcW w:w="77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西药架</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642620" cy="824230"/>
                      <wp:effectExtent l="0" t="0" r="5080" b="13970"/>
                      <wp:docPr id="104" name="图片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243"/>
                              <pic:cNvPicPr>
                                <a:picLocks noChangeAspect="1"/>
                              </pic:cNvPicPr>
                              <pic:nvPr/>
                            </pic:nvPicPr>
                            <pic:blipFill>
                              <a:blip r:embed="rId74"/>
                              <a:stretch/>
                            </pic:blipFill>
                            <pic:spPr bwMode="auto">
                              <a:xfrm>
                                <a:off x="0" y="0"/>
                                <a:ext cx="642620" cy="82423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50.6pt;height:64.9pt;mso-wrap-distance-left:0.0pt;mso-wrap-distance-top:0.0pt;mso-wrap-distance-right:0.0pt;mso-wrap-distance-bottom:0.0pt;" stroked="f" strokeweight="0.75pt">
                      <v:path textboxrect="0,0,0,0"/>
                      <v:imagedata r:id="rId74"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1000*950*2000</w:t>
            </w:r>
            <w:r/>
          </w:p>
        </w:tc>
        <w:tc>
          <w:tcPr>
            <w:shd w:val="clear" w:color="auto" w:fill="auto"/>
            <w:tcW w:w="5641" w:type="dxa"/>
            <w:vAlign w:val="center"/>
            <w:textDirection w:val="lrTb"/>
            <w:noWrap w:val="false"/>
          </w:tcPr>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1、全钢制，立柱为1.5mm厚50*50mm型钢，加强筋、层板为电解钢板，厚度大于等于1.0mm，表面静电粉末喷涂，粉末为防腐抗菌粉末，为各项指标符合GB/T 3325-2017《金属家具通用技术条件》要求；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2、整体或拆装电阻焊接工艺，焊点平整，无外露，结构稳固，承重、承压性好；所有部件均经打磨，砂光处理。</w:t>
            </w:r>
            <w:r/>
          </w:p>
          <w:p>
            <w:pPr>
              <w:jc w:val="left"/>
              <w:widowControl/>
              <w:rPr>
                <w:rFonts w:hint="default" w:ascii="Times New Roman" w:hAnsi="Times New Roman" w:cs="Times New Roman"/>
                <w:sz w:val="18"/>
                <w:szCs w:val="18"/>
                <w:highlight w:val="none"/>
              </w:rPr>
            </w:pPr>
            <w:r>
              <w:rPr>
                <w:rFonts w:hint="default" w:ascii="Times New Roman" w:hAnsi="Times New Roman" w:cs="Times New Roman"/>
                <w:sz w:val="18"/>
                <w:szCs w:val="18"/>
              </w:rPr>
              <w:t xml:space="preserve">3、表面经过</w:t>
            </w:r>
            <w:r>
              <w:rPr>
                <w:rFonts w:hint="default" w:ascii="Times New Roman" w:hAnsi="Times New Roman" w:cs="Times New Roman"/>
                <w:sz w:val="18"/>
                <w:szCs w:val="18"/>
                <w:highlight w:val="none"/>
              </w:rPr>
              <w:t xml:space="preserve">除油、除锈、陶化等防锈清洗前处理，再进行静电粉末喷涂，粉末涂料180℃高温固化，外观平整，无波纹、流痕、起泡、针孔折痕、污点、露底、剥落、伤痕等可见性缺陷，耐腐蚀、耐冲击性能高。</w:t>
            </w:r>
            <w:r/>
          </w:p>
          <w:p>
            <w:pPr>
              <w:jc w:val="lef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4、电解钢板：符合GB/T 35607-2017《绿色产品评价 家具》、GB/T 11253-2019《碳素结构钢冷轧钢板及钢带》要求。</w:t>
            </w:r>
            <w:r/>
          </w:p>
          <w:p>
            <w:pPr>
              <w:jc w:val="lef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5、防腐抗菌粉末：粉末符合HG/T 2006-2022《热固性和热塑性粉末涂料》、GB/T 35607-2017《绿色产品评价 家具》、QB/T 4371-2012《家具抗菌性能的评价》、GB/T 1741-2020《漆膜耐霉菌性测定法》要求</w:t>
            </w:r>
            <w:r>
              <w:rPr>
                <w:rFonts w:hint="default" w:ascii="Times New Roman" w:hAnsi="Times New Roman" w:cs="Times New Roman"/>
                <w:color w:val="000000"/>
                <w:sz w:val="18"/>
                <w:szCs w:val="18"/>
                <w:highlight w:val="none"/>
              </w:rPr>
              <w:t xml:space="preserve">，耐霉菌性等级达到0级</w:t>
            </w:r>
            <w:r>
              <w:rPr>
                <w:rFonts w:hint="default" w:ascii="Times New Roman" w:hAnsi="Times New Roman" w:cs="Times New Roman"/>
                <w:sz w:val="18"/>
                <w:szCs w:val="18"/>
                <w:highlight w:val="none"/>
              </w:rPr>
              <w:t xml:space="preserve">。</w:t>
            </w:r>
            <w:r/>
          </w:p>
          <w:p>
            <w:pPr>
              <w:jc w:val="lef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6、结构：配4 层层板，含顶、底为6层。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highlight w:val="none"/>
              </w:rPr>
              <w:t xml:space="preserve">7、采用侧挡式设计，药品从上往下滑动，符合医院用药要求，先进先出的规范。</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9</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个</w:t>
            </w:r>
            <w:r/>
          </w:p>
        </w:tc>
      </w:tr>
      <w:tr>
        <w:trPr>
          <w:jc w:val="center"/>
          <w:trHeight w:val="1307"/>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highlight w:val="none"/>
              </w:rPr>
            </w:pPr>
            <w:r>
              <w:rPr>
                <w:rFonts w:hint="default" w:ascii="Times New Roman" w:hAnsi="Times New Roman" w:cs="Times New Roman"/>
                <w:color w:val="000000"/>
                <w:sz w:val="18"/>
                <w:szCs w:val="18"/>
                <w:highlight w:val="none"/>
              </w:rPr>
              <w:t xml:space="preserve">106</w:t>
            </w:r>
            <w:r/>
          </w:p>
        </w:tc>
        <w:tc>
          <w:tcPr>
            <w:shd w:val="clear" w:color="auto" w:fill="auto"/>
            <w:tcW w:w="771" w:type="dxa"/>
            <w:vAlign w:val="center"/>
            <w:textDirection w:val="lrTb"/>
            <w:noWrap w:val="false"/>
          </w:tcPr>
          <w:p>
            <w:pPr>
              <w:jc w:val="center"/>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西药柜</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highlight w:val="none"/>
              </w:rPr>
            </w:pPr>
            <w:r>
              <w:rPr>
                <w:rFonts w:hint="default" w:ascii="Times New Roman" w:hAnsi="Times New Roman" w:cs="Times New Roman"/>
                <w:sz w:val="18"/>
                <w:szCs w:val="18"/>
                <w:highlight w:val="none"/>
              </w:rPr>
              <mc:AlternateContent>
                <mc:Choice Requires="wpg">
                  <w:drawing>
                    <wp:inline xmlns:wp="http://schemas.openxmlformats.org/drawingml/2006/wordprocessingDrawing" distT="0" distB="0" distL="0" distR="0">
                      <wp:extent cx="619125" cy="917575"/>
                      <wp:effectExtent l="0" t="0" r="9525" b="15875"/>
                      <wp:docPr id="105" name="图片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244"/>
                              <pic:cNvPicPr>
                                <a:picLocks noChangeAspect="1"/>
                              </pic:cNvPicPr>
                              <pic:nvPr/>
                            </pic:nvPicPr>
                            <pic:blipFill>
                              <a:blip r:embed="rId75"/>
                              <a:stretch/>
                            </pic:blipFill>
                            <pic:spPr bwMode="auto">
                              <a:xfrm>
                                <a:off x="0" y="0"/>
                                <a:ext cx="619125" cy="9175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48.8pt;height:72.2pt;mso-wrap-distance-left:0.0pt;mso-wrap-distance-top:0.0pt;mso-wrap-distance-right:0.0pt;mso-wrap-distance-bottom:0.0pt;" stroked="f" strokeweight="0.75pt">
                      <v:path textboxrect="0,0,0,0"/>
                      <v:imagedata r:id="rId75"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highlight w:val="none"/>
              </w:rPr>
            </w:pPr>
            <w:r>
              <w:rPr>
                <w:rFonts w:hint="default" w:ascii="Times New Roman" w:hAnsi="Times New Roman" w:eastAsia="等线" w:cs="Times New Roman"/>
                <w:color w:val="000000"/>
                <w:sz w:val="18"/>
                <w:szCs w:val="18"/>
                <w:highlight w:val="none"/>
              </w:rPr>
              <w:t xml:space="preserve">900*500*2000</w:t>
            </w:r>
            <w:r/>
          </w:p>
        </w:tc>
        <w:tc>
          <w:tcPr>
            <w:shd w:val="clear" w:color="auto" w:fill="auto"/>
            <w:tcW w:w="5641" w:type="dxa"/>
            <w:vAlign w:val="center"/>
            <w:textDirection w:val="lrTb"/>
            <w:noWrap w:val="false"/>
          </w:tcPr>
          <w:p>
            <w:pPr>
              <w:jc w:val="lef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1、基材：优质电解钢板，板厚</w:t>
            </w:r>
            <w:r>
              <w:rPr>
                <w:rFonts w:hint="default" w:ascii="Times New Roman" w:hAnsi="Times New Roman" w:cs="Times New Roman"/>
                <w:sz w:val="18"/>
                <w:szCs w:val="18"/>
                <w:highlight w:val="none"/>
                <w:lang w:val="en-US" w:eastAsia="zh-CN"/>
              </w:rPr>
              <w:t xml:space="preserve">≥</w:t>
            </w:r>
            <w:r>
              <w:rPr>
                <w:rFonts w:hint="default" w:ascii="Times New Roman" w:hAnsi="Times New Roman" w:cs="Times New Roman"/>
                <w:sz w:val="18"/>
                <w:szCs w:val="18"/>
                <w:highlight w:val="none"/>
              </w:rPr>
              <w:t xml:space="preserve">1.0mm，表面静电粉末喷涂，粉末为防腐抗菌喷涂粉末</w:t>
            </w:r>
            <w:r/>
          </w:p>
          <w:p>
            <w:pPr>
              <w:jc w:val="lef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2、防腐抗菌粉末：粉末符合HG/T 2006-2022《热固性和热塑性粉末涂料》、GB/T 35607-2017《绿色产品评价 家具》、QB/T 4371-2012《家具抗菌性能的评价》、GB/T 1741-2020《漆膜耐霉菌性测定法》要求</w:t>
            </w:r>
            <w:r>
              <w:rPr>
                <w:rFonts w:hint="default" w:ascii="Times New Roman" w:hAnsi="Times New Roman" w:cs="Times New Roman"/>
                <w:color w:val="000000"/>
                <w:sz w:val="18"/>
                <w:szCs w:val="18"/>
                <w:highlight w:val="none"/>
              </w:rPr>
              <w:t xml:space="preserve">，耐霉菌性等级达到0级</w:t>
            </w:r>
            <w:r/>
          </w:p>
          <w:p>
            <w:pPr>
              <w:jc w:val="lef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3、电解钢板：符合GB/T 35607-2017《绿色产品评价 家具》、GB/T 11253-2019《碳素结构钢冷轧钢板及钢带》要求</w:t>
            </w:r>
            <w:r/>
          </w:p>
          <w:p>
            <w:pPr>
              <w:jc w:val="lef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4、结构：上钢化玻璃内带三块活动层板，</w:t>
            </w:r>
            <w:r>
              <w:rPr>
                <w:rFonts w:hint="default" w:ascii="Times New Roman" w:hAnsi="Times New Roman" w:cs="Times New Roman"/>
                <w:sz w:val="18"/>
                <w:szCs w:val="18"/>
                <w:highlight w:val="none"/>
                <w:lang w:val="en-US" w:eastAsia="zh-CN"/>
              </w:rPr>
              <w:t xml:space="preserve">玻璃材质为钢化清玻，</w:t>
            </w:r>
            <w:r>
              <w:rPr>
                <w:rFonts w:hint="default" w:ascii="Times New Roman" w:hAnsi="Times New Roman" w:cs="Times New Roman"/>
                <w:sz w:val="18"/>
                <w:szCs w:val="18"/>
                <w:highlight w:val="none"/>
              </w:rPr>
              <w:t xml:space="preserve">厚度≥</w:t>
            </w:r>
            <w:r>
              <w:rPr>
                <w:rFonts w:hint="default" w:ascii="Times New Roman" w:hAnsi="Times New Roman" w:cs="Times New Roman"/>
                <w:sz w:val="18"/>
                <w:szCs w:val="18"/>
                <w:highlight w:val="none"/>
                <w:lang w:val="en-US" w:eastAsia="zh-CN"/>
              </w:rPr>
              <w:t xml:space="preserve">5mm，</w:t>
            </w:r>
            <w:r>
              <w:rPr>
                <w:rFonts w:hint="default" w:ascii="Times New Roman" w:hAnsi="Times New Roman" w:cs="Times New Roman"/>
                <w:sz w:val="18"/>
                <w:szCs w:val="18"/>
                <w:highlight w:val="none"/>
              </w:rPr>
              <w:t xml:space="preserve">下掩门内带一件活动层板，下为抽屉，4个抽屉，每层2个。</w:t>
            </w:r>
            <w:r/>
          </w:p>
          <w:p>
            <w:pPr>
              <w:jc w:val="lef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5、铰链：优质金属铰链（非插销），指标符合QB/T 2189-2013《家具五金 杯状暗铰链》要求</w:t>
            </w:r>
            <w:r/>
          </w:p>
          <w:p>
            <w:pPr>
              <w:jc w:val="lef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6、导轨：优质三节导轨，符合QB/T 2454-2013《家具五金 抽屉导轨》要求</w:t>
            </w:r>
            <w:r/>
          </w:p>
          <w:p>
            <w:pPr>
              <w:jc w:val="left"/>
              <w:widowControl/>
              <w:rPr>
                <w:rFonts w:hint="default" w:ascii="Times New Roman" w:hAnsi="Times New Roman" w:eastAsia="等线" w:cs="Times New Roman"/>
                <w:sz w:val="18"/>
                <w:szCs w:val="18"/>
                <w:highlight w:val="none"/>
              </w:rPr>
            </w:pPr>
            <w:r>
              <w:rPr>
                <w:rFonts w:hint="default" w:ascii="Times New Roman" w:hAnsi="Times New Roman" w:cs="Times New Roman"/>
                <w:sz w:val="18"/>
                <w:szCs w:val="18"/>
                <w:highlight w:val="none"/>
              </w:rPr>
              <w:t xml:space="preserve">7、成品：各项技术指标符合GB/T 3325-2017《金属家具通用技术条件》标准的要求。</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highlight w:val="none"/>
              </w:rPr>
            </w:pPr>
            <w:r>
              <w:rPr>
                <w:rFonts w:hint="default" w:ascii="Times New Roman" w:hAnsi="Times New Roman" w:eastAsia="等线" w:cs="Times New Roman"/>
                <w:color w:val="000000"/>
                <w:sz w:val="18"/>
                <w:szCs w:val="18"/>
                <w:highlight w:val="none"/>
              </w:rPr>
              <w:t xml:space="preserve">3</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highlight w:val="none"/>
              </w:rPr>
            </w:pPr>
            <w:r>
              <w:rPr>
                <w:rFonts w:hint="default" w:ascii="Times New Roman" w:hAnsi="Times New Roman" w:cs="Times New Roman"/>
                <w:color w:val="000000"/>
                <w:sz w:val="18"/>
                <w:szCs w:val="18"/>
                <w:highlight w:val="none"/>
              </w:rPr>
              <w:t xml:space="preserve">个</w:t>
            </w:r>
            <w:r/>
          </w:p>
        </w:tc>
      </w:tr>
      <w:tr>
        <w:trPr>
          <w:jc w:val="center"/>
          <w:trHeight w:val="355"/>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highlight w:val="none"/>
              </w:rPr>
            </w:pPr>
            <w:r>
              <w:rPr>
                <w:rFonts w:hint="default" w:ascii="Times New Roman" w:hAnsi="Times New Roman" w:cs="Times New Roman"/>
                <w:color w:val="000000"/>
                <w:sz w:val="18"/>
                <w:szCs w:val="18"/>
                <w:highlight w:val="none"/>
              </w:rPr>
              <w:t xml:space="preserve">107</w:t>
            </w:r>
            <w:r/>
          </w:p>
        </w:tc>
        <w:tc>
          <w:tcPr>
            <w:shd w:val="clear" w:color="auto" w:fill="auto"/>
            <w:tcW w:w="771" w:type="dxa"/>
            <w:vAlign w:val="center"/>
            <w:textDirection w:val="lrTb"/>
            <w:noWrap w:val="false"/>
          </w:tcPr>
          <w:p>
            <w:pPr>
              <w:jc w:val="center"/>
              <w:widowControl/>
              <w:rPr>
                <w:rFonts w:hint="default" w:ascii="Times New Roman" w:hAnsi="Times New Roman" w:eastAsia="等线" w:cs="Times New Roman"/>
                <w:color w:val="000000"/>
                <w:sz w:val="18"/>
                <w:szCs w:val="18"/>
                <w:highlight w:val="none"/>
              </w:rPr>
            </w:pPr>
            <w:r>
              <w:rPr>
                <w:rFonts w:hint="default" w:ascii="Times New Roman" w:hAnsi="Times New Roman" w:eastAsia="等线" w:cs="Times New Roman"/>
                <w:color w:val="000000"/>
                <w:sz w:val="18"/>
                <w:szCs w:val="18"/>
                <w:highlight w:val="none"/>
              </w:rPr>
              <w:t xml:space="preserve">中药柜</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highlight w:val="none"/>
              </w:rPr>
            </w:pPr>
            <w:r>
              <w:rPr>
                <w:rFonts w:hint="default" w:ascii="Times New Roman" w:hAnsi="Times New Roman" w:cs="Times New Roman"/>
                <w:sz w:val="18"/>
                <w:szCs w:val="18"/>
                <w:highlight w:val="none"/>
              </w:rPr>
              <mc:AlternateContent>
                <mc:Choice Requires="wpg">
                  <w:drawing>
                    <wp:inline xmlns:wp="http://schemas.openxmlformats.org/drawingml/2006/wordprocessingDrawing" distT="0" distB="0" distL="0" distR="0">
                      <wp:extent cx="628650" cy="1162050"/>
                      <wp:effectExtent l="0" t="0" r="0" b="0"/>
                      <wp:docPr id="106" name="ID_1A93781646DF403C99EDCA6D4FCF5E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D_1A93781646DF403C99EDCA6D4FCF5E55"/>
                              <pic:cNvPicPr>
                                <a:picLocks noChangeAspect="1"/>
                              </pic:cNvPicPr>
                              <pic:nvPr/>
                            </pic:nvPicPr>
                            <pic:blipFill>
                              <a:blip r:embed="rId76"/>
                              <a:stretch/>
                            </pic:blipFill>
                            <pic:spPr bwMode="auto">
                              <a:xfrm>
                                <a:off x="0" y="0"/>
                                <a:ext cx="628650" cy="1162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49.5pt;height:91.5pt;mso-wrap-distance-left:0.0pt;mso-wrap-distance-top:0.0pt;mso-wrap-distance-right:0.0pt;mso-wrap-distance-bottom:0.0pt;" stroked="f" strokeweight="0.75pt">
                      <v:path textboxrect="0,0,0,0"/>
                      <v:imagedata r:id="rId76"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highlight w:val="none"/>
              </w:rPr>
            </w:pPr>
            <w:r>
              <w:rPr>
                <w:rFonts w:hint="default" w:ascii="Times New Roman" w:hAnsi="Times New Roman" w:eastAsia="等线" w:cs="Times New Roman"/>
                <w:color w:val="000000"/>
                <w:sz w:val="18"/>
                <w:szCs w:val="18"/>
                <w:highlight w:val="none"/>
              </w:rPr>
              <w:t xml:space="preserve">900*500*2000</w:t>
            </w:r>
            <w:r/>
          </w:p>
        </w:tc>
        <w:tc>
          <w:tcPr>
            <w:shd w:val="clear" w:color="auto" w:fill="auto"/>
            <w:tcW w:w="5641" w:type="dxa"/>
            <w:vAlign w:val="center"/>
            <w:textDirection w:val="lrTb"/>
            <w:noWrap w:val="false"/>
          </w:tcPr>
          <w:p>
            <w:pPr>
              <w:jc w:val="lef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1、基材：优质电解钢板，板厚</w:t>
            </w:r>
            <w:r>
              <w:rPr>
                <w:rFonts w:hint="default" w:ascii="Times New Roman" w:hAnsi="Times New Roman" w:cs="Times New Roman"/>
                <w:sz w:val="18"/>
                <w:szCs w:val="18"/>
                <w:highlight w:val="none"/>
                <w:lang w:val="en-US" w:eastAsia="zh-CN"/>
              </w:rPr>
              <w:t xml:space="preserve">≥</w:t>
            </w:r>
            <w:r>
              <w:rPr>
                <w:rFonts w:hint="default" w:ascii="Times New Roman" w:hAnsi="Times New Roman" w:cs="Times New Roman"/>
                <w:sz w:val="18"/>
                <w:szCs w:val="18"/>
                <w:highlight w:val="none"/>
              </w:rPr>
              <w:t xml:space="preserve">1.0mm，表面静电粉末喷涂，粉末为防腐抗菌喷涂粉末</w:t>
            </w:r>
            <w:r/>
          </w:p>
          <w:p>
            <w:pPr>
              <w:jc w:val="lef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2、防腐抗菌粉末：粉末符合HG/T 2006-2022《热固性和热塑性粉末涂料》、GB/T 35607-2017《绿色产品评价 家具》、QB/T 4371-2012《家具抗菌性能的评价》、GB/T 1741-2020《漆膜耐霉菌性测定法》要求</w:t>
            </w:r>
            <w:r>
              <w:rPr>
                <w:rFonts w:hint="default" w:ascii="Times New Roman" w:hAnsi="Times New Roman" w:cs="Times New Roman"/>
                <w:color w:val="000000"/>
                <w:sz w:val="18"/>
                <w:szCs w:val="18"/>
                <w:highlight w:val="none"/>
              </w:rPr>
              <w:t xml:space="preserve">，耐霉菌性等级达到0级</w:t>
            </w:r>
            <w:r/>
          </w:p>
          <w:p>
            <w:pPr>
              <w:jc w:val="lef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3、电解钢板：符合GB/T 35607-2017《绿色产品评价 家具》、GB/T 11253-2019《碳素结构钢冷轧钢板及钢带》要求</w:t>
            </w:r>
            <w:r/>
          </w:p>
          <w:p>
            <w:pPr>
              <w:jc w:val="lef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4、结构：全抽屉结构，抽屉内部为304不锈钢，抗菌性好。</w:t>
            </w:r>
            <w:r/>
          </w:p>
          <w:p>
            <w:pPr>
              <w:jc w:val="lef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5、成品：各项技术指标符合GB/T 3325-2017《金属家具通用技术条件》标准的要求。</w:t>
            </w:r>
            <w:r/>
          </w:p>
          <w:p>
            <w:pPr>
              <w:jc w:val="lef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6、结构：顶部为移</w:t>
            </w:r>
            <w:r>
              <w:rPr>
                <w:rFonts w:hint="default" w:ascii="Times New Roman" w:hAnsi="Times New Roman" w:cs="Times New Roman"/>
                <w:sz w:val="18"/>
                <w:szCs w:val="20"/>
                <w:highlight w:val="none"/>
              </w:rPr>
              <w:t xml:space="preserve">门柜；下部为10行4列抽屉柜</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highlight w:val="none"/>
              </w:rPr>
            </w:pPr>
            <w:r>
              <w:rPr>
                <w:rFonts w:hint="default" w:ascii="Times New Roman" w:hAnsi="Times New Roman" w:eastAsia="等线" w:cs="Times New Roman"/>
                <w:color w:val="000000"/>
                <w:sz w:val="18"/>
                <w:szCs w:val="18"/>
                <w:highlight w:val="none"/>
              </w:rPr>
              <w:t xml:space="preserve">1</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highlight w:val="none"/>
              </w:rPr>
            </w:pPr>
            <w:r>
              <w:rPr>
                <w:rFonts w:hint="default" w:ascii="Times New Roman" w:hAnsi="Times New Roman" w:cs="Times New Roman"/>
                <w:color w:val="000000"/>
                <w:sz w:val="18"/>
                <w:szCs w:val="18"/>
                <w:highlight w:val="none"/>
              </w:rPr>
              <w:t xml:space="preserve">个</w:t>
            </w:r>
            <w:r/>
          </w:p>
        </w:tc>
      </w:tr>
      <w:tr>
        <w:trPr>
          <w:jc w:val="center"/>
          <w:trHeight w:val="899"/>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108</w:t>
            </w:r>
            <w:r/>
          </w:p>
        </w:tc>
        <w:tc>
          <w:tcPr>
            <w:shd w:val="clear" w:color="auto" w:fill="auto"/>
            <w:tcW w:w="77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钢制文件柜　</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574040" cy="1179195"/>
                      <wp:effectExtent l="0" t="0" r="16510" b="1905"/>
                      <wp:docPr id="107" name="ID_02541B49FEE64801A4ED1E8A3036A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D_02541B49FEE64801A4ED1E8A3036A984"/>
                              <pic:cNvPicPr>
                                <a:picLocks noChangeAspect="1"/>
                              </pic:cNvPicPr>
                              <pic:nvPr/>
                            </pic:nvPicPr>
                            <pic:blipFill>
                              <a:blip r:embed="rId51"/>
                              <a:stretch/>
                            </pic:blipFill>
                            <pic:spPr bwMode="auto">
                              <a:xfrm>
                                <a:off x="0" y="0"/>
                                <a:ext cx="574040" cy="11791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45.2pt;height:92.8pt;mso-wrap-distance-left:0.0pt;mso-wrap-distance-top:0.0pt;mso-wrap-distance-right:0.0pt;mso-wrap-distance-bottom:0.0pt;" stroked="f" strokeweight="0.75pt">
                      <v:path textboxrect="0,0,0,0"/>
                      <v:imagedata r:id="rId51"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900*420*2000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1、基材：优质电解钢板，板厚</w:t>
            </w:r>
            <w:r>
              <w:rPr>
                <w:rFonts w:hint="default" w:ascii="Times New Roman" w:hAnsi="Times New Roman" w:cs="Times New Roman"/>
                <w:color w:val="000000"/>
                <w:sz w:val="18"/>
                <w:szCs w:val="18"/>
                <w:lang w:val="en-US" w:eastAsia="zh-CN"/>
              </w:rPr>
              <w:t xml:space="preserve">≥1.0</w:t>
            </w:r>
            <w:r>
              <w:rPr>
                <w:rFonts w:hint="default" w:ascii="Times New Roman" w:hAnsi="Times New Roman" w:cs="Times New Roman"/>
                <w:color w:val="000000"/>
                <w:sz w:val="18"/>
                <w:szCs w:val="18"/>
              </w:rPr>
              <w:t xml:space="preserve">mm，表面静电粉末喷涂，粉末为防腐抗菌喷涂粉末</w:t>
            </w:r>
            <w:r/>
          </w:p>
          <w:p>
            <w:pPr>
              <w:jc w:val="left"/>
              <w:widowControl/>
              <w:rPr>
                <w:rFonts w:hint="default" w:ascii="Times New Roman" w:hAnsi="Times New Roman" w:cs="Times New Roman"/>
                <w:color w:val="000000"/>
                <w:sz w:val="18"/>
                <w:szCs w:val="18"/>
                <w:highlight w:val="none"/>
              </w:rPr>
            </w:pPr>
            <w:r>
              <w:rPr>
                <w:rFonts w:hint="default" w:ascii="Times New Roman" w:hAnsi="Times New Roman" w:cs="Times New Roman"/>
                <w:color w:val="000000"/>
                <w:sz w:val="18"/>
                <w:szCs w:val="18"/>
              </w:rPr>
              <w:t xml:space="preserve">2、防腐</w:t>
            </w:r>
            <w:r>
              <w:rPr>
                <w:rFonts w:hint="default" w:ascii="Times New Roman" w:hAnsi="Times New Roman" w:cs="Times New Roman"/>
                <w:color w:val="000000"/>
                <w:sz w:val="18"/>
                <w:szCs w:val="18"/>
                <w:highlight w:val="none"/>
              </w:rPr>
              <w:t xml:space="preserve">抗菌粉末：粉末符合HG/T 2006-2022《热固性和热塑性粉末涂料》、GB/T 35607-2017《绿色产品评价 家具》要求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highlight w:val="none"/>
              </w:rPr>
              <w:t xml:space="preserve">3、电解钢板：符合GB/T 35607-2017《绿色产品评价 家具</w:t>
            </w:r>
            <w:r>
              <w:rPr>
                <w:rFonts w:hint="default" w:ascii="Times New Roman" w:hAnsi="Times New Roman" w:cs="Times New Roman"/>
                <w:color w:val="000000"/>
                <w:sz w:val="18"/>
                <w:szCs w:val="18"/>
              </w:rPr>
              <w:t xml:space="preserve">》、GB/T 11253-2019《碳素结构钢冷轧钢板及钢带》要求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4、结构：上钢化玻璃内带二件活动层板，</w:t>
            </w:r>
            <w:r>
              <w:rPr>
                <w:rFonts w:hint="default" w:ascii="Times New Roman" w:hAnsi="Times New Roman" w:cs="Times New Roman"/>
                <w:sz w:val="18"/>
                <w:szCs w:val="18"/>
                <w:lang w:val="en-US" w:eastAsia="zh-CN"/>
              </w:rPr>
              <w:t xml:space="preserve">玻璃材质为钢化清玻，</w:t>
            </w:r>
            <w:r>
              <w:rPr>
                <w:rFonts w:hint="default" w:ascii="Times New Roman" w:hAnsi="Times New Roman" w:cs="Times New Roman"/>
                <w:sz w:val="18"/>
                <w:szCs w:val="18"/>
              </w:rPr>
              <w:t xml:space="preserve">厚度≥</w:t>
            </w:r>
            <w:r>
              <w:rPr>
                <w:rFonts w:hint="default" w:ascii="Times New Roman" w:hAnsi="Times New Roman" w:cs="Times New Roman"/>
                <w:sz w:val="18"/>
                <w:szCs w:val="18"/>
                <w:lang w:val="en-US" w:eastAsia="zh-CN"/>
              </w:rPr>
              <w:t xml:space="preserve">5mm，</w:t>
            </w:r>
            <w:r>
              <w:rPr>
                <w:rFonts w:hint="default" w:ascii="Times New Roman" w:hAnsi="Times New Roman" w:cs="Times New Roman"/>
                <w:color w:val="000000"/>
                <w:sz w:val="18"/>
                <w:szCs w:val="18"/>
              </w:rPr>
              <w:t xml:space="preserve">下掩门内带一件活动层板，右门带拉手，上下柜门带锁；</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5、锁具：柜门带锁，优质锁具，符合QB/T 1621-2015《家具锁》要求；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6、铰链：优质金属铰链（非插销），指标符合QB/T 2189-2013《家具五金 杯状暗铰链》要求</w:t>
            </w:r>
            <w:r/>
          </w:p>
          <w:p>
            <w:pPr>
              <w:jc w:val="left"/>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7、成品：各项技术指标符合GB/T 3325-2017《金属家具通用技术条件》标准的要求。</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17</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个</w:t>
            </w:r>
            <w:r/>
          </w:p>
        </w:tc>
      </w:tr>
      <w:tr>
        <w:trPr>
          <w:jc w:val="center"/>
          <w:trHeight w:val="1987"/>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109</w:t>
            </w:r>
            <w:r/>
          </w:p>
        </w:tc>
        <w:tc>
          <w:tcPr>
            <w:shd w:val="clear" w:color="auto" w:fill="auto"/>
            <w:tcW w:w="77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更衣柜</w:t>
            </w:r>
            <w:r/>
          </w:p>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　</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777875" cy="720090"/>
                      <wp:effectExtent l="0" t="0" r="3175" b="3810"/>
                      <wp:docPr id="108" name="ID_25A113D1EC2F41CD98A751E5BB248E6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D_25A113D1EC2F41CD98A751E5BB248E6B"/>
                              <pic:cNvPicPr>
                                <a:picLocks noChangeAspect="1"/>
                              </pic:cNvPicPr>
                              <pic:nvPr/>
                            </pic:nvPicPr>
                            <pic:blipFill>
                              <a:blip r:embed="rId52"/>
                              <a:stretch/>
                            </pic:blipFill>
                            <pic:spPr bwMode="auto">
                              <a:xfrm>
                                <a:off x="0" y="0"/>
                                <a:ext cx="777875" cy="7200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61.2pt;height:56.7pt;mso-wrap-distance-left:0.0pt;mso-wrap-distance-top:0.0pt;mso-wrap-distance-right:0.0pt;mso-wrap-distance-bottom:0.0pt;" stroked="f" strokeweight="0.75pt">
                      <v:path textboxrect="0,0,0,0"/>
                      <v:imagedata r:id="rId52"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900*500*1800*</w:t>
            </w:r>
            <w:r>
              <w:rPr>
                <w:rFonts w:hint="default" w:ascii="Times New Roman" w:hAnsi="Times New Roman" w:eastAsia="等线" w:cs="Times New Roman"/>
                <w:color w:val="000000"/>
                <w:sz w:val="18"/>
                <w:szCs w:val="18"/>
                <w:lang w:val="en-US" w:eastAsia="zh-CN"/>
              </w:rPr>
              <w:t xml:space="preserve">不锈钢底座支架</w:t>
            </w:r>
            <w:r>
              <w:rPr>
                <w:rFonts w:hint="default" w:ascii="Times New Roman" w:hAnsi="Times New Roman" w:eastAsia="等线" w:cs="Times New Roman"/>
                <w:color w:val="000000"/>
                <w:sz w:val="18"/>
                <w:szCs w:val="18"/>
              </w:rPr>
              <w:t xml:space="preserve">150</w:t>
            </w:r>
            <w:r/>
          </w:p>
        </w:tc>
        <w:tc>
          <w:tcPr>
            <w:shd w:val="clear" w:color="auto" w:fill="auto"/>
            <w:tcW w:w="5641" w:type="dxa"/>
            <w:vAlign w:val="center"/>
            <w:textDirection w:val="lrTb"/>
            <w:noWrap w:val="false"/>
          </w:tcPr>
          <w:p>
            <w:pPr>
              <w:numPr>
                <w:ilvl w:val="0"/>
                <w:numId w:val="7"/>
              </w:num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基材：优质电解钢板，板厚</w:t>
            </w:r>
            <w:r>
              <w:rPr>
                <w:rFonts w:hint="default" w:ascii="Times New Roman" w:hAnsi="Times New Roman" w:cs="Times New Roman"/>
                <w:color w:val="000000"/>
                <w:sz w:val="18"/>
                <w:szCs w:val="18"/>
                <w:lang w:val="en-US" w:eastAsia="zh-CN"/>
              </w:rPr>
              <w:t xml:space="preserve">≥1.0</w:t>
            </w:r>
            <w:r>
              <w:rPr>
                <w:rFonts w:hint="default" w:ascii="Times New Roman" w:hAnsi="Times New Roman" w:cs="Times New Roman"/>
                <w:color w:val="000000"/>
                <w:sz w:val="18"/>
                <w:szCs w:val="18"/>
              </w:rPr>
              <w:t xml:space="preserve">mm，表面静电粉末喷涂</w:t>
            </w:r>
            <w:r/>
          </w:p>
          <w:p>
            <w:pPr>
              <w:jc w:val="left"/>
              <w:widowControl/>
              <w:rPr>
                <w:rFonts w:hint="default" w:ascii="Times New Roman" w:hAnsi="Times New Roman" w:cs="Times New Roman"/>
                <w:color w:val="000000"/>
                <w:sz w:val="18"/>
                <w:szCs w:val="18"/>
                <w:highlight w:val="yellow"/>
              </w:rPr>
            </w:pPr>
            <w:r>
              <w:rPr>
                <w:rFonts w:hint="default" w:ascii="Times New Roman" w:hAnsi="Times New Roman" w:cs="Times New Roman"/>
                <w:color w:val="000000"/>
                <w:sz w:val="18"/>
                <w:szCs w:val="18"/>
              </w:rPr>
              <w:t xml:space="preserve">2、</w:t>
            </w:r>
            <w:r>
              <w:rPr>
                <w:rFonts w:hint="default" w:ascii="Times New Roman" w:hAnsi="Times New Roman" w:cs="Times New Roman"/>
                <w:color w:val="000000"/>
                <w:sz w:val="18"/>
                <w:szCs w:val="18"/>
                <w:lang w:val="en-US" w:eastAsia="zh-CN"/>
              </w:rPr>
              <w:t xml:space="preserve">喷涂粉末</w:t>
            </w:r>
            <w:r>
              <w:rPr>
                <w:rFonts w:hint="default" w:ascii="Times New Roman" w:hAnsi="Times New Roman" w:cs="Times New Roman"/>
                <w:color w:val="000000"/>
                <w:sz w:val="18"/>
                <w:szCs w:val="18"/>
              </w:rPr>
              <w:t xml:space="preserve">：粉末符合HG/T 2006-2022《热固性和热塑性粉末涂料》、</w:t>
            </w:r>
            <w:r>
              <w:rPr>
                <w:rFonts w:hint="default" w:ascii="Times New Roman" w:hAnsi="Times New Roman" w:cs="Times New Roman"/>
                <w:color w:val="000000"/>
                <w:sz w:val="18"/>
                <w:szCs w:val="18"/>
                <w:highlight w:val="none"/>
              </w:rPr>
              <w:t xml:space="preserve">GB/T 35607-2017《绿色产品评价 家具》</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3、电解钢板：符合GB/T 35607-2017《绿色产品评价 家具》、GB/T 11253-2019《碳素结构钢冷轧钢板及钢带》要求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4、结构：6门，上3门下3门，均匀分布，每门内含衣杆，一片活动层板，镜子，每门板上外置毛巾架。</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5、锁具：机构密码锁，符合QB/T 1621-2015《家具锁》要求；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6、铰链：优质金属铰链，指标符合QB/T 2189-2013《家具五金 杯状暗铰链》要求</w:t>
            </w:r>
            <w:r/>
          </w:p>
          <w:p>
            <w:pPr>
              <w:jc w:val="left"/>
              <w:widowControl/>
              <w:rPr>
                <w:rFonts w:hint="default" w:ascii="Times New Roman" w:hAnsi="Times New Roman" w:eastAsia="等线" w:cs="Times New Roman"/>
                <w:color w:val="000000"/>
                <w:sz w:val="18"/>
                <w:szCs w:val="18"/>
              </w:rPr>
            </w:pPr>
            <w:r>
              <w:rPr>
                <w:rFonts w:hint="default" w:ascii="Times New Roman" w:hAnsi="Times New Roman" w:cs="Times New Roman"/>
                <w:color w:val="000000"/>
                <w:sz w:val="18"/>
                <w:szCs w:val="18"/>
              </w:rPr>
              <w:t xml:space="preserve">7、成品：各项技术指标符合GB/T 3325-2017《金属家具通用技术条件》标准的要求。</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rPr>
              <w:t xml:space="preserve">17</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个</w:t>
            </w:r>
            <w:r/>
          </w:p>
        </w:tc>
      </w:tr>
      <w:tr>
        <w:trPr>
          <w:jc w:val="center"/>
          <w:trHeight w:val="221"/>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highlight w:val="none"/>
              </w:rPr>
            </w:pPr>
            <w:r>
              <w:rPr>
                <w:rFonts w:hint="default" w:ascii="Times New Roman" w:hAnsi="Times New Roman" w:cs="Times New Roman"/>
                <w:color w:val="000000"/>
                <w:sz w:val="18"/>
                <w:szCs w:val="18"/>
                <w:highlight w:val="none"/>
              </w:rPr>
              <w:t xml:space="preserve">110</w:t>
            </w:r>
            <w:r/>
          </w:p>
        </w:tc>
        <w:tc>
          <w:tcPr>
            <w:shd w:val="clear" w:color="auto" w:fill="auto"/>
            <w:tcW w:w="771" w:type="dxa"/>
            <w:vAlign w:val="center"/>
            <w:textDirection w:val="lrTb"/>
            <w:noWrap w:val="false"/>
          </w:tcPr>
          <w:p>
            <w:pPr>
              <w:jc w:val="center"/>
              <w:widowControl/>
              <w:rPr>
                <w:rFonts w:hint="default" w:ascii="Times New Roman" w:hAnsi="Times New Roman" w:eastAsia="等线" w:cs="Times New Roman"/>
                <w:color w:val="000000"/>
                <w:sz w:val="18"/>
                <w:szCs w:val="18"/>
                <w:highlight w:val="none"/>
              </w:rPr>
            </w:pPr>
            <w:r>
              <w:rPr>
                <w:rFonts w:hint="default" w:ascii="Times New Roman" w:hAnsi="Times New Roman" w:eastAsia="等线" w:cs="Times New Roman"/>
                <w:color w:val="000000"/>
                <w:sz w:val="18"/>
                <w:szCs w:val="18"/>
                <w:highlight w:val="none"/>
              </w:rPr>
              <w:t xml:space="preserve">　</w:t>
            </w:r>
            <w:r/>
          </w:p>
          <w:p>
            <w:pPr>
              <w:jc w:val="center"/>
              <w:widowControl/>
              <w:rPr>
                <w:rFonts w:hint="default" w:ascii="Times New Roman" w:hAnsi="Times New Roman" w:eastAsia="等线" w:cs="Times New Roman"/>
                <w:color w:val="000000"/>
                <w:sz w:val="18"/>
                <w:szCs w:val="18"/>
                <w:highlight w:val="none"/>
              </w:rPr>
            </w:pPr>
            <w:r>
              <w:rPr>
                <w:rFonts w:hint="default" w:ascii="Times New Roman" w:hAnsi="Times New Roman" w:eastAsia="等线" w:cs="Times New Roman"/>
                <w:color w:val="000000"/>
                <w:sz w:val="18"/>
                <w:szCs w:val="18"/>
                <w:highlight w:val="none"/>
              </w:rPr>
              <w:t xml:space="preserve">更衣凳（员工）</w:t>
            </w:r>
            <w:r/>
          </w:p>
          <w:p>
            <w:pPr>
              <w:jc w:val="center"/>
              <w:widowControl/>
              <w:rPr>
                <w:rFonts w:hint="default" w:ascii="Times New Roman" w:hAnsi="Times New Roman" w:eastAsia="等线" w:cs="Times New Roman"/>
                <w:color w:val="000000"/>
                <w:sz w:val="18"/>
                <w:szCs w:val="18"/>
                <w:highlight w:val="none"/>
              </w:rPr>
            </w:pPr>
            <w:r>
              <w:rPr>
                <w:rFonts w:hint="default" w:ascii="Times New Roman" w:hAnsi="Times New Roman" w:eastAsia="等线" w:cs="Times New Roman"/>
                <w:color w:val="000000"/>
                <w:sz w:val="18"/>
                <w:szCs w:val="18"/>
                <w:highlight w:val="none"/>
              </w:rPr>
              <w:t xml:space="preserve">　</w:t>
            </w:r>
            <w:r/>
          </w:p>
        </w:tc>
        <w:tc>
          <w:tcPr>
            <w:shd w:val="clear" w:color="auto" w:fill="auto"/>
            <w:tcW w:w="1523" w:type="dxa"/>
            <w:vAlign w:val="center"/>
            <w:textDirection w:val="lrTb"/>
            <w:noWrap w:val="false"/>
          </w:tcPr>
          <w:p>
            <w:pPr>
              <w:jc w:val="center"/>
              <w:widowControl/>
              <w:rPr>
                <w:rFonts w:hint="default" w:ascii="Times New Roman" w:hAnsi="Times New Roman" w:cs="Times New Roman"/>
                <w:color w:val="000000"/>
                <w:sz w:val="18"/>
                <w:szCs w:val="18"/>
                <w:highlight w:val="none"/>
              </w:rPr>
            </w:pPr>
            <w:r>
              <w:rPr>
                <w:rFonts w:hint="default" w:ascii="Times New Roman" w:hAnsi="Times New Roman" w:cs="Times New Roman"/>
                <w:sz w:val="18"/>
                <w:szCs w:val="18"/>
                <w:highlight w:val="none"/>
              </w:rPr>
              <mc:AlternateContent>
                <mc:Choice Requires="wpg">
                  <w:drawing>
                    <wp:inline xmlns:wp="http://schemas.openxmlformats.org/drawingml/2006/wordprocessingDrawing" distT="0" distB="0" distL="0" distR="0">
                      <wp:extent cx="817245" cy="720090"/>
                      <wp:effectExtent l="0" t="0" r="1905" b="3810"/>
                      <wp:docPr id="109" name="ID_A6BBF51C9F1246A18BA59FD8BC2D828A" descr="更衣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D_A6BBF51C9F1246A18BA59FD8BC2D828A" descr="更衣凳"/>
                              <pic:cNvPicPr>
                                <a:picLocks noChangeAspect="1"/>
                              </pic:cNvPicPr>
                              <pic:nvPr/>
                            </pic:nvPicPr>
                            <pic:blipFill>
                              <a:blip r:embed="rId77"/>
                              <a:srcRect l="1813" t="15491" r="34946" b="35120"/>
                              <a:stretch/>
                            </pic:blipFill>
                            <pic:spPr bwMode="auto">
                              <a:xfrm>
                                <a:off x="0" y="0"/>
                                <a:ext cx="817245" cy="7200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64.3pt;height:56.7pt;mso-wrap-distance-left:0.0pt;mso-wrap-distance-top:0.0pt;mso-wrap-distance-right:0.0pt;mso-wrap-distance-bottom:0.0pt;" stroked="f" strokeweight="0.75pt">
                      <v:path textboxrect="0,0,0,0"/>
                      <v:imagedata r:id="rId77"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color w:val="000000"/>
                <w:sz w:val="18"/>
                <w:szCs w:val="18"/>
                <w:highlight w:val="none"/>
              </w:rPr>
            </w:pPr>
            <w:r>
              <w:rPr>
                <w:rFonts w:hint="default" w:ascii="Times New Roman" w:hAnsi="Times New Roman" w:eastAsia="等线" w:cs="Times New Roman"/>
                <w:color w:val="000000"/>
                <w:sz w:val="18"/>
                <w:szCs w:val="18"/>
                <w:highlight w:val="none"/>
              </w:rPr>
              <w:t xml:space="preserve">1000*350*450</w:t>
            </w:r>
            <w:r/>
          </w:p>
        </w:tc>
        <w:tc>
          <w:tcPr>
            <w:shd w:val="clear" w:color="auto" w:fill="auto"/>
            <w:tcW w:w="5641" w:type="dxa"/>
            <w:vAlign w:val="center"/>
            <w:textDirection w:val="lrTb"/>
            <w:noWrap w:val="false"/>
          </w:tcPr>
          <w:p>
            <w:pPr>
              <w:jc w:val="left"/>
              <w:widowControl/>
              <w:rPr>
                <w:rFonts w:hint="default" w:ascii="Times New Roman" w:hAnsi="Times New Roman" w:cs="Times New Roman"/>
                <w:color w:val="000000"/>
                <w:sz w:val="18"/>
                <w:szCs w:val="18"/>
                <w:highlight w:val="none"/>
              </w:rPr>
            </w:pPr>
            <w:r>
              <w:rPr>
                <w:rFonts w:hint="default" w:ascii="Times New Roman" w:hAnsi="Times New Roman" w:cs="Times New Roman"/>
                <w:color w:val="000000"/>
                <w:sz w:val="18"/>
                <w:szCs w:val="18"/>
                <w:highlight w:val="none"/>
              </w:rPr>
              <w:t xml:space="preserve">1、结构：四脚凳；</w:t>
            </w:r>
            <w:r/>
          </w:p>
          <w:p>
            <w:pPr>
              <w:jc w:val="left"/>
              <w:widowControl/>
              <w:rPr>
                <w:rFonts w:hint="default" w:ascii="Times New Roman" w:hAnsi="Times New Roman" w:cs="Times New Roman"/>
                <w:color w:val="000000"/>
                <w:sz w:val="18"/>
                <w:szCs w:val="18"/>
                <w:highlight w:val="none"/>
              </w:rPr>
            </w:pPr>
            <w:r>
              <w:rPr>
                <w:rFonts w:hint="default" w:ascii="Times New Roman" w:hAnsi="Times New Roman" w:cs="Times New Roman"/>
                <w:color w:val="000000"/>
                <w:sz w:val="18"/>
                <w:szCs w:val="18"/>
                <w:highlight w:val="none"/>
              </w:rPr>
              <w:t xml:space="preserve">2、基材：优质浸渍胶膜纸饰面刨花板。 甲醛释放量 ENF 级。板厚25mm，各项指标符合GB/T 15102-2017《浸渍胶膜纸饰面纤维板和刨花板》、GB 18580-2017《室内装饰装修材料 人造板及其制品中甲醛释放限量》、GB/T 39600-2021《人造板及其制品甲醛释放量分级》、GB/T 35601-2017《绿色产品评价 人造板和木质地板》、HJ 571-2010《环境标志产品技术要求 人造板及其制品》、GB 8624-2012《建筑材料及制品燃烧性能分级》要求</w:t>
            </w:r>
            <w:r/>
          </w:p>
          <w:p>
            <w:pPr>
              <w:jc w:val="left"/>
              <w:widowControl/>
              <w:rPr>
                <w:rFonts w:hint="default" w:ascii="Times New Roman" w:hAnsi="Times New Roman" w:cs="Times New Roman"/>
                <w:color w:val="000000"/>
                <w:sz w:val="18"/>
                <w:szCs w:val="18"/>
                <w:highlight w:val="none"/>
              </w:rPr>
            </w:pPr>
            <w:r>
              <w:rPr>
                <w:rFonts w:hint="default" w:ascii="Times New Roman" w:hAnsi="Times New Roman" w:cs="Times New Roman"/>
                <w:color w:val="000000"/>
                <w:sz w:val="18"/>
                <w:szCs w:val="18"/>
                <w:highlight w:val="none"/>
              </w:rPr>
              <w:t xml:space="preserve">3、封边：激光封边条，各项指标符合QB/T 4463-2013《家具用封边条技术要求》要求</w:t>
            </w:r>
            <w:r/>
          </w:p>
          <w:p>
            <w:pPr>
              <w:jc w:val="left"/>
              <w:widowControl/>
              <w:rPr>
                <w:rFonts w:hint="default" w:ascii="Times New Roman" w:hAnsi="Times New Roman" w:cs="Times New Roman"/>
                <w:color w:val="000000"/>
                <w:sz w:val="18"/>
                <w:szCs w:val="18"/>
                <w:highlight w:val="none"/>
              </w:rPr>
            </w:pPr>
            <w:r>
              <w:rPr>
                <w:rFonts w:hint="default" w:ascii="Times New Roman" w:hAnsi="Times New Roman" w:cs="Times New Roman"/>
                <w:color w:val="000000"/>
                <w:sz w:val="18"/>
                <w:szCs w:val="18"/>
                <w:highlight w:val="none"/>
              </w:rPr>
              <w:t xml:space="preserve">4、桌架及桌腿：50*50型钢，壁厚1.5mm。表面静电粉末喷涂</w:t>
            </w:r>
            <w:r/>
          </w:p>
          <w:p>
            <w:pPr>
              <w:jc w:val="left"/>
              <w:widowControl/>
              <w:rPr>
                <w:rFonts w:hint="default" w:ascii="Times New Roman" w:hAnsi="Times New Roman" w:cs="Times New Roman"/>
                <w:color w:val="000000"/>
                <w:sz w:val="18"/>
                <w:szCs w:val="18"/>
                <w:highlight w:val="none"/>
              </w:rPr>
            </w:pPr>
            <w:r>
              <w:rPr>
                <w:rFonts w:hint="default" w:ascii="Times New Roman" w:hAnsi="Times New Roman" w:cs="Times New Roman"/>
                <w:color w:val="000000"/>
                <w:sz w:val="18"/>
                <w:szCs w:val="18"/>
                <w:highlight w:val="none"/>
              </w:rPr>
              <w:t xml:space="preserve">5、</w:t>
            </w:r>
            <w:r>
              <w:rPr>
                <w:rFonts w:hint="default" w:ascii="Times New Roman" w:hAnsi="Times New Roman" w:cs="Times New Roman"/>
                <w:color w:val="000000"/>
                <w:sz w:val="18"/>
                <w:szCs w:val="18"/>
                <w:highlight w:val="none"/>
                <w:lang w:val="en-US" w:eastAsia="zh-CN"/>
              </w:rPr>
              <w:t xml:space="preserve">喷涂粉末</w:t>
            </w:r>
            <w:r>
              <w:rPr>
                <w:rFonts w:hint="default" w:ascii="Times New Roman" w:hAnsi="Times New Roman" w:cs="Times New Roman"/>
                <w:color w:val="000000"/>
                <w:sz w:val="18"/>
                <w:szCs w:val="18"/>
                <w:highlight w:val="none"/>
              </w:rPr>
              <w:t xml:space="preserve">：粉末符合HG/T 2006-2022《热固性和热塑性粉末涂料》、GB/T 35607-2017《绿色产品评价 家具》</w:t>
            </w:r>
            <w:r/>
          </w:p>
          <w:p>
            <w:pPr>
              <w:jc w:val="left"/>
              <w:widowControl/>
              <w:rPr>
                <w:rFonts w:hint="default" w:ascii="Times New Roman" w:hAnsi="Times New Roman" w:eastAsia="等线" w:cs="Times New Roman"/>
                <w:color w:val="000000"/>
                <w:sz w:val="18"/>
                <w:szCs w:val="18"/>
                <w:highlight w:val="none"/>
              </w:rPr>
            </w:pPr>
            <w:r>
              <w:rPr>
                <w:rFonts w:hint="default" w:ascii="Times New Roman" w:hAnsi="Times New Roman" w:cs="Times New Roman"/>
                <w:color w:val="000000"/>
                <w:sz w:val="18"/>
                <w:szCs w:val="18"/>
                <w:highlight w:val="none"/>
              </w:rPr>
              <w:t xml:space="preserve">6、成品：各项技术指标符合GB/T 3325-2017《金属家具通用技术条件》标准的要求。</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highlight w:val="none"/>
              </w:rPr>
            </w:pPr>
            <w:r>
              <w:rPr>
                <w:rFonts w:hint="default" w:ascii="Times New Roman" w:hAnsi="Times New Roman" w:eastAsia="等线" w:cs="Times New Roman"/>
                <w:color w:val="000000"/>
                <w:sz w:val="18"/>
                <w:szCs w:val="18"/>
                <w:highlight w:val="none"/>
              </w:rPr>
              <w:t xml:space="preserve">2</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highlight w:val="none"/>
              </w:rPr>
            </w:pPr>
            <w:r>
              <w:rPr>
                <w:rFonts w:hint="default" w:ascii="Times New Roman" w:hAnsi="Times New Roman" w:cs="Times New Roman"/>
                <w:color w:val="000000"/>
                <w:sz w:val="18"/>
                <w:szCs w:val="18"/>
                <w:highlight w:val="none"/>
              </w:rPr>
              <w:t xml:space="preserve">张</w:t>
            </w:r>
            <w:r/>
          </w:p>
        </w:tc>
      </w:tr>
      <w:tr>
        <w:trPr>
          <w:jc w:val="center"/>
          <w:trHeight w:val="90"/>
        </w:trPr>
        <w:tc>
          <w:tcPr>
            <w:shd w:val="clear" w:color="auto" w:fill="auto"/>
            <w:tcW w:w="505" w:type="dxa"/>
            <w:vAlign w:val="center"/>
            <w:textDirection w:val="lrTb"/>
            <w:noWrap w:val="false"/>
          </w:tcPr>
          <w:p>
            <w:pPr>
              <w:jc w:val="center"/>
              <w:widowControl/>
              <w:rPr>
                <w:rFonts w:hint="default" w:ascii="Times New Roman" w:hAnsi="Times New Roman" w:eastAsia="等线" w:cs="Times New Roman"/>
                <w:color w:val="000000"/>
                <w:sz w:val="18"/>
                <w:szCs w:val="18"/>
                <w:highlight w:val="none"/>
              </w:rPr>
            </w:pPr>
            <w:r>
              <w:rPr>
                <w:rFonts w:hint="default" w:ascii="Times New Roman" w:hAnsi="Times New Roman" w:cs="Times New Roman"/>
                <w:color w:val="000000"/>
                <w:sz w:val="18"/>
                <w:szCs w:val="18"/>
                <w:highlight w:val="none"/>
              </w:rPr>
              <w:t xml:space="preserve">111</w:t>
            </w:r>
            <w:r/>
          </w:p>
        </w:tc>
        <w:tc>
          <w:tcPr>
            <w:shd w:val="clear" w:color="auto" w:fill="auto"/>
            <w:tcW w:w="771" w:type="dxa"/>
            <w:vAlign w:val="center"/>
            <w:textDirection w:val="lrTb"/>
            <w:noWrap w:val="false"/>
          </w:tcPr>
          <w:p>
            <w:pPr>
              <w:jc w:val="center"/>
              <w:widowControl/>
              <w:rPr>
                <w:rFonts w:hint="default" w:ascii="Times New Roman" w:hAnsi="Times New Roman" w:eastAsia="等线" w:cs="Times New Roman"/>
                <w:color w:val="000000"/>
                <w:sz w:val="18"/>
                <w:szCs w:val="18"/>
                <w:highlight w:val="none"/>
              </w:rPr>
            </w:pPr>
            <w:r>
              <w:rPr>
                <w:rFonts w:hint="default" w:ascii="Times New Roman" w:hAnsi="Times New Roman" w:eastAsia="等线" w:cs="Times New Roman"/>
                <w:color w:val="000000"/>
                <w:sz w:val="18"/>
                <w:szCs w:val="18"/>
                <w:highlight w:val="none"/>
              </w:rPr>
              <w:t xml:space="preserve">　</w:t>
            </w:r>
            <w:r/>
          </w:p>
          <w:p>
            <w:pPr>
              <w:jc w:val="center"/>
              <w:widowControl/>
              <w:rPr>
                <w:rFonts w:hint="default" w:ascii="Times New Roman" w:hAnsi="Times New Roman" w:eastAsia="等线" w:cs="Times New Roman"/>
                <w:color w:val="000000"/>
                <w:sz w:val="18"/>
                <w:szCs w:val="18"/>
                <w:highlight w:val="none"/>
              </w:rPr>
            </w:pPr>
            <w:r>
              <w:rPr>
                <w:rFonts w:hint="default" w:ascii="Times New Roman" w:hAnsi="Times New Roman" w:eastAsia="等线" w:cs="Times New Roman"/>
                <w:color w:val="000000"/>
                <w:sz w:val="18"/>
                <w:szCs w:val="18"/>
                <w:highlight w:val="none"/>
              </w:rPr>
              <w:t xml:space="preserve">货架</w:t>
            </w:r>
            <w:r/>
          </w:p>
          <w:p>
            <w:pPr>
              <w:jc w:val="center"/>
              <w:widowControl/>
              <w:rPr>
                <w:rFonts w:hint="default" w:ascii="Times New Roman" w:hAnsi="Times New Roman" w:eastAsia="等线" w:cs="Times New Roman"/>
                <w:color w:val="000000"/>
                <w:sz w:val="18"/>
                <w:szCs w:val="18"/>
                <w:highlight w:val="none"/>
              </w:rPr>
            </w:pPr>
            <w:r>
              <w:rPr>
                <w:rFonts w:hint="default" w:ascii="Times New Roman" w:hAnsi="Times New Roman" w:eastAsia="等线" w:cs="Times New Roman"/>
                <w:color w:val="000000"/>
                <w:sz w:val="18"/>
                <w:szCs w:val="18"/>
                <w:highlight w:val="none"/>
              </w:rPr>
              <w:t xml:space="preserve">　</w:t>
            </w:r>
            <w:r/>
          </w:p>
        </w:tc>
        <w:tc>
          <w:tcPr>
            <w:shd w:val="clear" w:color="auto" w:fill="auto"/>
            <w:tcW w:w="1523" w:type="dxa"/>
            <w:vAlign w:val="center"/>
            <w:textDirection w:val="lrTb"/>
            <w:noWrap w:val="false"/>
          </w:tcPr>
          <w:p>
            <w:pPr>
              <w:jc w:val="center"/>
              <w:widowControl/>
              <w:rPr>
                <w:rFonts w:hint="default" w:ascii="Times New Roman" w:hAnsi="Times New Roman" w:eastAsia="等线" w:cs="Times New Roman"/>
                <w:sz w:val="18"/>
                <w:szCs w:val="18"/>
                <w:highlight w:val="none"/>
              </w:rPr>
            </w:pPr>
            <w:r>
              <w:rPr>
                <w:rFonts w:hint="default" w:ascii="Times New Roman" w:hAnsi="Times New Roman" w:cs="Times New Roman"/>
                <w:sz w:val="18"/>
                <w:szCs w:val="18"/>
                <w:highlight w:val="none"/>
              </w:rPr>
              <mc:AlternateContent>
                <mc:Choice Requires="wpg">
                  <w:drawing>
                    <wp:inline xmlns:wp="http://schemas.openxmlformats.org/drawingml/2006/wordprocessingDrawing" distT="0" distB="0" distL="0" distR="0">
                      <wp:extent cx="648970" cy="720090"/>
                      <wp:effectExtent l="0" t="0" r="17780" b="3810"/>
                      <wp:docPr id="110" name="图片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1" name="图片 254"/>
                              <pic:cNvPicPr>
                                <a:picLocks noChangeAspect="1"/>
                              </pic:cNvPicPr>
                              <pic:nvPr/>
                            </pic:nvPicPr>
                            <pic:blipFill>
                              <a:blip r:embed="rId53"/>
                              <a:stretch/>
                            </pic:blipFill>
                            <pic:spPr bwMode="auto">
                              <a:xfrm>
                                <a:off x="0" y="0"/>
                                <a:ext cx="648970" cy="7200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51.1pt;height:56.7pt;mso-wrap-distance-left:0.0pt;mso-wrap-distance-top:0.0pt;mso-wrap-distance-right:0.0pt;mso-wrap-distance-bottom:0.0pt;" stroked="f" strokeweight="0.75pt">
                      <v:path textboxrect="0,0,0,0"/>
                      <v:imagedata r:id="rId53" o:title=""/>
                    </v:shape>
                  </w:pict>
                </mc:Fallback>
              </mc:AlternateContent>
            </w:r>
            <w:r/>
          </w:p>
        </w:tc>
        <w:tc>
          <w:tcPr>
            <w:shd w:val="clear" w:color="auto" w:fill="auto"/>
            <w:tcW w:w="961" w:type="dxa"/>
            <w:vAlign w:val="center"/>
            <w:textDirection w:val="lrTb"/>
            <w:noWrap w:val="false"/>
          </w:tcPr>
          <w:p>
            <w:pPr>
              <w:jc w:val="center"/>
              <w:widowControl/>
              <w:rPr>
                <w:rFonts w:hint="default" w:ascii="Times New Roman" w:hAnsi="Times New Roman" w:eastAsia="等线" w:cs="Times New Roman"/>
                <w:sz w:val="18"/>
                <w:szCs w:val="18"/>
                <w:highlight w:val="none"/>
              </w:rPr>
            </w:pPr>
            <w:r>
              <w:rPr>
                <w:rFonts w:hint="default" w:ascii="Times New Roman" w:hAnsi="Times New Roman" w:eastAsia="等线" w:cs="Times New Roman"/>
                <w:sz w:val="18"/>
                <w:szCs w:val="18"/>
                <w:highlight w:val="none"/>
              </w:rPr>
              <w:t xml:space="preserve">1500*500*1800</w:t>
            </w:r>
            <w:r/>
          </w:p>
        </w:tc>
        <w:tc>
          <w:tcPr>
            <w:shd w:val="clear" w:color="auto" w:fill="auto"/>
            <w:tcW w:w="5641" w:type="dxa"/>
            <w:vAlign w:val="center"/>
            <w:textDirection w:val="lrTb"/>
            <w:noWrap w:val="false"/>
          </w:tcPr>
          <w:p>
            <w:pPr>
              <w:jc w:val="lef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1、材料：钢板采用电解钢板，经剪切，冲压，折弯，焊接，装配 而成。无甲醛释放量，各零部件、组合件表面应光滑、平整，色泽应一致，漆面均匀光亮、无任何流挂。</w:t>
            </w:r>
            <w:r/>
          </w:p>
          <w:p>
            <w:pPr>
              <w:jc w:val="lef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2、立柱材料壁厚大于等于1.2mm，横梁厚度大于等于1.5mm.</w:t>
            </w:r>
            <w:r/>
          </w:p>
          <w:p>
            <w:pPr>
              <w:jc w:val="lef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3、层板厚度大于等于0.8mm。背部焊有加强筋，增加承重，每层承重大于250kg</w:t>
            </w:r>
            <w:r/>
          </w:p>
          <w:p>
            <w:pPr>
              <w:jc w:val="lef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4、成品：各项指标符合GB/T 3325-2017《金属家具通用技术》要求</w:t>
            </w:r>
            <w:r/>
          </w:p>
          <w:p>
            <w:pPr>
              <w:jc w:val="lef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5、工艺要求：立柱上开蝴蝶孔，方便拆卸组装，可根据需要调整层高。焊接部分采用高标准熔接焊，表面平整光滑 ，表面经静电粉末喷涂处理</w:t>
            </w:r>
            <w:r/>
          </w:p>
          <w:p>
            <w:pPr>
              <w:jc w:val="lef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6、</w:t>
            </w:r>
            <w:r>
              <w:rPr>
                <w:rFonts w:hint="default" w:ascii="Times New Roman" w:hAnsi="Times New Roman" w:cs="Times New Roman"/>
                <w:sz w:val="18"/>
                <w:szCs w:val="18"/>
                <w:highlight w:val="none"/>
                <w:lang w:val="en-US" w:eastAsia="zh-CN"/>
              </w:rPr>
              <w:t xml:space="preserve">喷涂粉末</w:t>
            </w:r>
            <w:r>
              <w:rPr>
                <w:rFonts w:hint="default" w:ascii="Times New Roman" w:hAnsi="Times New Roman" w:cs="Times New Roman"/>
                <w:sz w:val="18"/>
                <w:szCs w:val="18"/>
                <w:highlight w:val="none"/>
              </w:rPr>
              <w:t xml:space="preserve">：粉末符合HG/T 2006-2022《热固性和热塑性粉末涂料》、GB/T 35607-2017《绿色产品评价 家具》</w:t>
            </w:r>
            <w:r/>
          </w:p>
          <w:p>
            <w:pPr>
              <w:jc w:val="left"/>
              <w:widowControl/>
              <w:rPr>
                <w:rFonts w:hint="default" w:ascii="Times New Roman" w:hAnsi="Times New Roman" w:eastAsia="等线" w:cs="Times New Roman"/>
                <w:sz w:val="18"/>
                <w:szCs w:val="18"/>
                <w:highlight w:val="none"/>
              </w:rPr>
            </w:pPr>
            <w:r>
              <w:rPr>
                <w:rFonts w:hint="default" w:ascii="Times New Roman" w:hAnsi="Times New Roman" w:cs="Times New Roman"/>
                <w:sz w:val="18"/>
                <w:szCs w:val="18"/>
                <w:highlight w:val="none"/>
              </w:rPr>
              <w:t xml:space="preserve">7、电解钢板：符合GB/T 35607-2017《绿色产品评价 家具》、GB/T 11253-2019《碳素结构钢冷轧钢板及钢带》要求</w:t>
            </w:r>
            <w:r/>
          </w:p>
        </w:tc>
        <w:tc>
          <w:tcPr>
            <w:shd w:val="clear" w:color="auto" w:fill="auto"/>
            <w:tcW w:w="525" w:type="dxa"/>
            <w:vAlign w:val="center"/>
            <w:textDirection w:val="lrTb"/>
            <w:noWrap w:val="false"/>
          </w:tcPr>
          <w:p>
            <w:pPr>
              <w:jc w:val="center"/>
              <w:widowControl/>
              <w:rPr>
                <w:rFonts w:hint="default" w:ascii="Times New Roman" w:hAnsi="Times New Roman" w:eastAsia="等线" w:cs="Times New Roman"/>
                <w:color w:val="000000"/>
                <w:sz w:val="18"/>
                <w:szCs w:val="18"/>
                <w:highlight w:val="none"/>
              </w:rPr>
            </w:pPr>
            <w:r>
              <w:rPr>
                <w:rFonts w:hint="default" w:ascii="Times New Roman" w:hAnsi="Times New Roman" w:eastAsia="等线" w:cs="Times New Roman"/>
                <w:color w:val="000000"/>
                <w:sz w:val="18"/>
                <w:szCs w:val="18"/>
                <w:highlight w:val="none"/>
              </w:rPr>
              <w:t xml:space="preserve">122</w:t>
            </w:r>
            <w:r/>
          </w:p>
        </w:tc>
        <w:tc>
          <w:tcPr>
            <w:shd w:val="clear" w:color="auto" w:fill="auto"/>
            <w:tcW w:w="375" w:type="dxa"/>
            <w:vAlign w:val="center"/>
            <w:textDirection w:val="lrTb"/>
            <w:noWrap w:val="false"/>
          </w:tcPr>
          <w:p>
            <w:pPr>
              <w:jc w:val="center"/>
              <w:widowControl/>
              <w:rPr>
                <w:rFonts w:hint="default" w:ascii="Times New Roman" w:hAnsi="Times New Roman" w:cs="Times New Roman"/>
                <w:color w:val="000000"/>
                <w:sz w:val="18"/>
                <w:szCs w:val="18"/>
                <w:highlight w:val="none"/>
              </w:rPr>
            </w:pPr>
            <w:r>
              <w:rPr>
                <w:rFonts w:hint="default" w:ascii="Times New Roman" w:hAnsi="Times New Roman" w:cs="Times New Roman"/>
                <w:color w:val="000000"/>
                <w:sz w:val="18"/>
                <w:szCs w:val="18"/>
                <w:highlight w:val="none"/>
              </w:rPr>
              <w:t xml:space="preserve">个</w:t>
            </w:r>
            <w:r/>
          </w:p>
        </w:tc>
      </w:tr>
      <w:tr>
        <w:trPr>
          <w:jc w:val="center"/>
          <w:trHeight w:val="600"/>
        </w:trPr>
        <w:tc>
          <w:tcPr>
            <w:gridSpan w:val="7"/>
            <w:shd w:val="clear" w:color="auto" w:fill="auto"/>
            <w:tcBorders>
              <w:top w:val="single" w:color="000000" w:sz="4" w:space="0"/>
              <w:left w:val="single" w:color="000000" w:sz="8" w:space="0"/>
              <w:bottom w:val="single" w:color="000000" w:sz="4" w:space="0"/>
              <w:right w:val="single" w:color="000000" w:sz="4" w:space="0"/>
            </w:tcBorders>
            <w:tcW w:w="10301" w:type="dxa"/>
            <w:vAlign w:val="center"/>
            <w:textDirection w:val="lrTb"/>
            <w:noWrap w:val="false"/>
          </w:tcPr>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b/>
                <w:bCs/>
                <w:color w:val="ff0000"/>
                <w:sz w:val="44"/>
                <w:szCs w:val="44"/>
              </w:rPr>
              <w:t xml:space="preserve">胜浦街道医养项目家具采购清单</w:t>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505"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等线" w:cs="Times New Roman"/>
                <w:b/>
                <w:bCs/>
                <w:szCs w:val="21"/>
              </w:rPr>
            </w:pPr>
            <w:r>
              <w:rPr>
                <w:rFonts w:hint="default" w:ascii="Times New Roman" w:hAnsi="Times New Roman" w:eastAsia="等线" w:cs="Times New Roman"/>
                <w:b/>
                <w:bCs/>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等线" w:cs="Times New Roman"/>
                <w:b/>
                <w:bCs/>
                <w:szCs w:val="21"/>
              </w:rPr>
            </w:pPr>
            <w:r>
              <w:rPr>
                <w:rFonts w:hint="default" w:ascii="Times New Roman" w:hAnsi="Times New Roman" w:eastAsia="等线" w:cs="Times New Roman"/>
                <w:b/>
                <w:bCs/>
                <w:szCs w:val="21"/>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等线" w:cs="Times New Roman"/>
                <w:b/>
                <w:bCs/>
                <w:szCs w:val="21"/>
              </w:rPr>
            </w:pPr>
            <w:r>
              <w:rPr>
                <w:rFonts w:hint="default" w:ascii="Times New Roman" w:hAnsi="Times New Roman" w:eastAsia="等线" w:cs="Times New Roman"/>
                <w:b/>
                <w:bCs/>
                <w:szCs w:val="21"/>
              </w:rPr>
              <w:t xml:space="preserve">参考图片</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等线" w:cs="Times New Roman"/>
                <w:b/>
                <w:bCs/>
                <w:szCs w:val="21"/>
              </w:rPr>
            </w:pPr>
            <w:r>
              <w:rPr>
                <w:rFonts w:hint="default" w:ascii="Times New Roman" w:hAnsi="Times New Roman" w:eastAsia="等线" w:cs="Times New Roman"/>
                <w:b/>
                <w:bCs/>
                <w:szCs w:val="21"/>
              </w:rPr>
              <w:t xml:space="preserve">规格mm</w:t>
            </w:r>
            <w:r/>
          </w:p>
          <w:p>
            <w:pPr>
              <w:jc w:val="center"/>
              <w:keepLines w:val="0"/>
              <w:keepNext w:val="0"/>
              <w:pageBreakBefore w:val="0"/>
              <w:spacing w:line="260" w:lineRule="exact"/>
              <w:widowControl/>
              <w:rPr>
                <w:rFonts w:hint="default" w:ascii="Times New Roman" w:hAnsi="Times New Roman" w:eastAsia="等线" w:cs="Times New Roman"/>
                <w:b/>
                <w:bCs/>
                <w:szCs w:val="21"/>
              </w:rPr>
            </w:pPr>
            <w:r>
              <w:rPr>
                <w:rFonts w:hint="default" w:ascii="Times New Roman" w:hAnsi="Times New Roman" w:eastAsia="等线" w:cs="Times New Roman"/>
                <w:b/>
                <w:bCs/>
                <w:szCs w:val="21"/>
              </w:rPr>
              <w:t xml:space="preserve">W*D*H</w:t>
            </w:r>
            <w:r/>
          </w:p>
        </w:tc>
        <w:tc>
          <w:tcPr>
            <w:shd w:val="clear" w:color="auto" w:fill="auto"/>
            <w:tcBorders>
              <w:top w:val="single" w:color="000000" w:sz="4" w:space="0"/>
              <w:left w:val="single" w:color="000000" w:sz="4" w:space="0"/>
              <w:bottom w:val="single" w:color="000000" w:sz="4" w:space="0"/>
              <w:right w:val="single" w:color="000000" w:sz="4" w:space="0"/>
            </w:tcBorders>
            <w:tcW w:w="564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等线" w:cs="Times New Roman"/>
                <w:b/>
                <w:bCs/>
                <w:szCs w:val="21"/>
              </w:rPr>
            </w:pPr>
            <w:r>
              <w:rPr>
                <w:rFonts w:hint="default" w:ascii="Times New Roman" w:hAnsi="Times New Roman" w:eastAsia="等线" w:cs="Times New Roman"/>
                <w:b/>
                <w:bCs/>
                <w:szCs w:val="21"/>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等线" w:cs="Times New Roman"/>
                <w:b/>
                <w:bCs/>
                <w:szCs w:val="21"/>
              </w:rPr>
            </w:pPr>
            <w:r>
              <w:rPr>
                <w:rFonts w:hint="default" w:ascii="Times New Roman" w:hAnsi="Times New Roman" w:eastAsia="等线" w:cs="Times New Roman"/>
                <w:b/>
                <w:bCs/>
                <w:szCs w:val="21"/>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等线" w:cs="Times New Roman"/>
                <w:b/>
                <w:bCs/>
                <w:szCs w:val="21"/>
              </w:rPr>
            </w:pPr>
            <w:r>
              <w:rPr>
                <w:rFonts w:hint="default" w:ascii="Times New Roman" w:hAnsi="Times New Roman" w:eastAsia="等线" w:cs="Times New Roman"/>
                <w:b/>
                <w:bCs/>
                <w:szCs w:val="21"/>
              </w:rPr>
              <w:t xml:space="preserve">单位</w:t>
            </w:r>
            <w:r/>
          </w:p>
        </w:tc>
      </w:tr>
      <w:tr>
        <w:trPr>
          <w:jc w:val="center"/>
          <w:trHeight w:val="357"/>
        </w:trPr>
        <w:tc>
          <w:tcPr>
            <w:gridSpan w:val="7"/>
            <w:shd w:val="clear" w:color="auto" w:fill="d9d9d9"/>
            <w:tcBorders>
              <w:top w:val="single" w:color="000000" w:sz="4" w:space="0"/>
              <w:left w:val="single" w:color="000000" w:sz="8" w:space="0"/>
              <w:bottom w:val="single" w:color="000000" w:sz="4" w:space="0"/>
              <w:right w:val="none" w:color="000000" w:sz="4" w:space="0"/>
            </w:tcBorders>
            <w:tcW w:w="10301" w:type="dxa"/>
            <w:vAlign w:val="center"/>
            <w:textDirection w:val="lrTb"/>
            <w:noWrap w:val="false"/>
          </w:tcPr>
          <w:p>
            <w:pPr>
              <w:jc w:val="center"/>
              <w:rPr>
                <w:rFonts w:hint="default" w:ascii="Times New Roman" w:hAnsi="Times New Roman" w:cs="Times New Roman"/>
                <w:b/>
                <w:bCs/>
                <w:sz w:val="18"/>
                <w:szCs w:val="18"/>
              </w:rPr>
            </w:pPr>
            <w:r>
              <w:rPr>
                <w:rFonts w:hint="default" w:ascii="Times New Roman" w:hAnsi="Times New Roman" w:cs="Times New Roman"/>
                <w:b/>
                <w:bCs/>
                <w:sz w:val="18"/>
                <w:szCs w:val="18"/>
              </w:rPr>
              <w:t xml:space="preserve">住房区</w:t>
            </w:r>
            <w:r/>
          </w:p>
        </w:tc>
      </w:tr>
      <w:tr>
        <w:trPr>
          <w:jc w:val="center"/>
          <w:trHeight w:val="1371"/>
        </w:trPr>
        <w:tc>
          <w:tcPr>
            <w:shd w:val="clear" w:color="auto" w:fill="auto"/>
            <w:tcBorders>
              <w:top w:val="single" w:color="000000" w:sz="4" w:space="0"/>
              <w:left w:val="single" w:color="000000" w:sz="8" w:space="0"/>
              <w:bottom w:val="single" w:color="000000" w:sz="4" w:space="0"/>
              <w:right w:val="single" w:color="000000" w:sz="4" w:space="0"/>
            </w:tcBorders>
            <w:tcW w:w="50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适老床（电动护理）</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widowControl/>
              <w:rPr>
                <w:rFonts w:hint="default" w:ascii="Times New Roman" w:hAnsi="Times New Roman" w:cs="Times New Roman"/>
                <w:sz w:val="18"/>
                <w:szCs w:val="18"/>
              </w:rPr>
            </w:pPr>
            <w:r>
              <w:rPr>
                <w:rFonts w:hint="default" w:ascii="Times New Roman" w:hAnsi="Times New Roman" w:cs="Times New Roman"/>
                <w:sz w:val="18"/>
                <w:szCs w:val="18"/>
              </w:rPr>
            </w:r>
            <w:r/>
          </w:p>
          <w:p>
            <w:pPr>
              <w:widowControl/>
              <w:rPr>
                <w:rFonts w:hint="default" w:ascii="Times New Roman" w:hAnsi="Times New Roman" w:cs="Times New Roman"/>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825500" cy="518795"/>
                      <wp:effectExtent l="19050" t="0" r="0" b="0"/>
                      <wp:docPr id="111" name="ID_CF137005A1A640F485176EAF587A9B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0" name="ID_CF137005A1A640F485176EAF587A9B39"/>
                              <pic:cNvPicPr>
                                <a:picLocks noChangeAspect="1"/>
                              </pic:cNvPicPr>
                              <pic:nvPr/>
                            </pic:nvPicPr>
                            <pic:blipFill>
                              <a:blip r:embed="rId78"/>
                              <a:stretch/>
                            </pic:blipFill>
                            <pic:spPr bwMode="auto">
                              <a:xfrm>
                                <a:off x="0" y="0"/>
                                <a:ext cx="825500" cy="519292"/>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65.0pt;height:40.9pt;mso-wrap-distance-left:0.0pt;mso-wrap-distance-top:0.0pt;mso-wrap-distance-right:0.0pt;mso-wrap-distance-bottom:0.0pt;" stroked="f" strokeweight="0.75pt">
                      <v:path textboxrect="0,0,0,0"/>
                      <v:imagedata r:id="rId7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default" w:ascii="Times New Roman" w:hAnsi="Times New Roman" w:eastAsia="等线" w:cs="Times New Roman"/>
                <w:sz w:val="18"/>
                <w:szCs w:val="18"/>
                <w:lang w:val="en-US" w:eastAsia="zh-CN"/>
              </w:rPr>
            </w:pPr>
            <w:r>
              <w:rPr>
                <w:rFonts w:hint="default" w:ascii="Times New Roman" w:hAnsi="Times New Roman" w:eastAsia="等线" w:cs="Times New Roman"/>
                <w:sz w:val="18"/>
                <w:szCs w:val="18"/>
              </w:rPr>
              <w:t xml:space="preserve">2030*1100*1100</w:t>
            </w:r>
            <w:r>
              <w:rPr>
                <w:rFonts w:hint="default" w:ascii="Times New Roman" w:hAnsi="Times New Roman" w:eastAsia="等线" w:cs="Times New Roman"/>
                <w:sz w:val="18"/>
                <w:szCs w:val="18"/>
                <w:lang w:val="en-US" w:eastAsia="zh-CN"/>
              </w:rPr>
              <w:t xml:space="preserve">坐高420（含床垫）</w:t>
            </w:r>
            <w:r/>
          </w:p>
        </w:tc>
        <w:tc>
          <w:tcPr>
            <w:shd w:val="clear" w:color="auto" w:fill="auto"/>
            <w:tcBorders>
              <w:top w:val="single" w:color="000000" w:sz="4" w:space="0"/>
              <w:left w:val="single" w:color="000000" w:sz="4" w:space="0"/>
              <w:bottom w:val="single" w:color="000000" w:sz="4" w:space="0"/>
              <w:right w:val="single" w:color="000000" w:sz="4" w:space="0"/>
            </w:tcBorders>
            <w:tcW w:w="5641" w:type="dxa"/>
            <w:vAlign w:val="center"/>
            <w:textDirection w:val="lrTb"/>
            <w:noWrap w:val="false"/>
          </w:tcPr>
          <w:p>
            <w:pPr>
              <w:jc w:val="left"/>
              <w:widowControl/>
              <w:rPr>
                <w:rFonts w:hint="default" w:ascii="Times New Roman" w:hAnsi="Times New Roman" w:cs="Times New Roman"/>
                <w:sz w:val="18"/>
                <w:szCs w:val="18"/>
              </w:rPr>
            </w:pPr>
            <w:r>
              <w:rPr>
                <w:rFonts w:hint="default" w:ascii="Times New Roman" w:hAnsi="Times New Roman" w:cs="Times New Roman"/>
                <w:b/>
                <w:bCs/>
                <w:sz w:val="18"/>
                <w:szCs w:val="18"/>
              </w:rPr>
              <w:t xml:space="preserve">床体：</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sz w:val="18"/>
                <w:szCs w:val="18"/>
              </w:rPr>
              <w:t xml:space="preserve">1</w:t>
            </w:r>
            <w:r>
              <w:rPr>
                <w:rFonts w:hint="default" w:ascii="Times New Roman" w:hAnsi="Times New Roman" w:cs="Times New Roman"/>
                <w:color w:val="000000"/>
                <w:sz w:val="18"/>
                <w:szCs w:val="18"/>
              </w:rPr>
              <w:t xml:space="preserve">、结构：床体由前档、侧边围档、床板、调节脚、床靠、护栏、电机、钢框架等部分组成</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2、床体基材：采用橡胶木实木，木榫结构，材质相关参数符合GB/T 3324-2017《木家具通用技术条件》，GB 18584-2001《室内装饰装修材料 木家具中有害物质限量》要求。木材含水率符合国家标准，木材无腐朽或较明显虫眼等瑕疵，符合国家环保标准</w:t>
            </w:r>
            <w:r>
              <w:rPr>
                <w:rFonts w:hint="default" w:ascii="Times New Roman" w:hAnsi="Times New Roman" w:cs="Times New Roman"/>
                <w:color w:val="000000"/>
                <w:sz w:val="18"/>
                <w:szCs w:val="18"/>
                <w:lang w:eastAsia="zh-CN"/>
              </w:rPr>
              <w:t xml:space="preserve">。</w:t>
            </w:r>
            <w:r>
              <w:rPr>
                <w:rFonts w:hint="default" w:ascii="Times New Roman" w:hAnsi="Times New Roman" w:cs="Times New Roman"/>
                <w:color w:val="000000"/>
                <w:sz w:val="18"/>
                <w:szCs w:val="18"/>
              </w:rPr>
              <w:t xml:space="preserve"> 木材均经过刨光、砂光，成品无毛刺、无裂纹，接缝自然，无明显缺口和缝隙</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3、床架：采用钢制床架，三段式，横梁采用40*30mm方管，纵梁采用60*40mm方管，壁厚不小于1.5mm，表面静电粉末喷涂处理，环保、光滑美观，坚固耐用，粉末符合HG/T 2006-2022《热固性和热塑性粉末涂料》、GB/T 35607-2017《绿色产品评价 家具》要求。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4、油漆：水性底漆、水性面漆，整体喷涂漆面，喷漆均匀，表面漆膜平整光亮、无皱皮、发粘和漏漆现象，有害物含量符合GB 18581-2020 《木器涂料中有害物质限量》要求 </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5、床靠海绵：阻燃海绵，厚度大于等于60mm，密度大于40kg/m3，符合GB/T 10802-2023《通用软质聚氨酯泡沫塑料》、GB 8624-2012《建筑材料及制品燃烧性能分级》等标准要求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6、床靠面料：阻燃布料，透气性好，表面无刺触感，平滑舒适，防螨性能优，无明显色差，性能、环保性、质量、防螨等参数符合GB 18401-2010 《国家纺织产品基本安全技术规范》、GB/T 18885-2020《生态纺织品技术要求》</w:t>
            </w:r>
            <w:r>
              <w:rPr>
                <w:rFonts w:hint="default" w:ascii="Times New Roman" w:hAnsi="Times New Roman" w:cs="Times New Roman"/>
                <w:color w:val="000000"/>
                <w:sz w:val="18"/>
                <w:szCs w:val="18"/>
                <w:lang w:eastAsia="zh-CN"/>
              </w:rPr>
              <w:t xml:space="preserve">、</w:t>
            </w:r>
            <w:r>
              <w:rPr>
                <w:rFonts w:hint="default" w:ascii="Times New Roman" w:hAnsi="Times New Roman" w:cs="Times New Roman"/>
                <w:color w:val="000000"/>
                <w:sz w:val="18"/>
                <w:szCs w:val="18"/>
              </w:rPr>
              <w:t xml:space="preserve">GB/T 24253-2009《纺织品 防螨性能的评价》、GB 8624-2012《建筑材料及制品燃烧性能分级》、HJ 2546-2016《环境标志产品技术要求纺织产品》要求。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7、胶黏剂：床靠海绵与木板间采用环保喷胶，符合GB 18583-2008《室内装饰装修材料 胶粘剂中有害物质限量》：HJ 2541-2016《环境标志产品技术要求胶粘剂》；GB 33372-2020《胶粘剂挥发性有机化合物限量》要求。</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8、护栏：</w:t>
            </w:r>
            <w:r>
              <w:rPr>
                <w:rFonts w:hint="default" w:ascii="Times New Roman" w:hAnsi="Times New Roman" w:cs="Times New Roman"/>
                <w:color w:val="000000"/>
                <w:sz w:val="18"/>
                <w:szCs w:val="18"/>
                <w:lang w:val="en-US" w:eastAsia="zh-CN"/>
              </w:rPr>
              <w:t xml:space="preserve">尺寸：W1690*H350mm，</w:t>
            </w:r>
            <w:r>
              <w:rPr>
                <w:rFonts w:hint="default" w:ascii="Times New Roman" w:hAnsi="Times New Roman" w:cs="Times New Roman"/>
                <w:color w:val="000000"/>
                <w:sz w:val="18"/>
                <w:szCs w:val="18"/>
              </w:rPr>
              <w:t xml:space="preserve">阻尼折叠护栏，铝合金材质，具有表面光滑，易擦拭，易清洁特点，侧面配有气动弹簧，上下锁紧定位，具有良好的安全性；色彩与床体协调一致；人体工程学把手开关，位置合理，方便使用。</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9、电机：采用24V直流电机采用优质电机系统，性能稳定，平缓静音，耐用寿命长，安全可靠，满足临床急救需求。带有手动操作遥控器，方便医护人员或家属进行操作。</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10、床脚：采用5寸移动万向静音轮，单轮承重300kg以上，带刹车。</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11、配床用餐桌</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12、颜色：淡雅暖色系，与现场环境匹配</w:t>
            </w:r>
            <w:r/>
          </w:p>
          <w:p>
            <w:pPr>
              <w:jc w:val="left"/>
              <w:widowControl/>
              <w:rPr>
                <w:rFonts w:hint="default" w:ascii="Times New Roman" w:hAnsi="Times New Roman" w:cs="Times New Roman"/>
                <w:b/>
                <w:bCs/>
                <w:sz w:val="18"/>
                <w:szCs w:val="18"/>
              </w:rPr>
            </w:pPr>
            <w:r>
              <w:rPr>
                <w:rFonts w:hint="default" w:ascii="Times New Roman" w:hAnsi="Times New Roman" w:cs="Times New Roman"/>
                <w:b/>
                <w:bCs/>
                <w:sz w:val="18"/>
                <w:szCs w:val="18"/>
              </w:rPr>
              <w:t xml:space="preserve">床垫：棕纤维弹性床垫</w:t>
            </w:r>
            <w:r/>
          </w:p>
          <w:p>
            <w:pPr>
              <w:numPr>
                <w:ilvl w:val="0"/>
                <w:numId w:val="0"/>
              </w:numPr>
              <w:jc w:val="left"/>
              <w:widowControl/>
              <w:rPr>
                <w:rStyle w:val="909"/>
                <w:rFonts w:hint="default" w:ascii="Times New Roman" w:hAnsi="Times New Roman" w:cs="Times New Roman"/>
                <w:color w:val="000000"/>
                <w:sz w:val="18"/>
                <w:szCs w:val="18"/>
                <w:lang w:eastAsia="zh-CN"/>
              </w:rPr>
            </w:pPr>
            <w:r>
              <w:rPr>
                <w:rFonts w:hint="default" w:ascii="Times New Roman" w:hAnsi="Times New Roman" w:cs="Times New Roman"/>
                <w:sz w:val="18"/>
                <w:szCs w:val="18"/>
              </w:rPr>
              <w:t xml:space="preserve">1</w:t>
            </w:r>
            <w:r>
              <w:rPr>
                <w:rFonts w:hint="default" w:ascii="Times New Roman" w:hAnsi="Times New Roman" w:cs="Times New Roman"/>
                <w:color w:val="000000"/>
                <w:sz w:val="18"/>
                <w:szCs w:val="18"/>
              </w:rPr>
              <w:t xml:space="preserve">、尺寸：长度为1900mm</w:t>
            </w:r>
            <w:r>
              <w:rPr>
                <w:rFonts w:hint="default" w:ascii="Times New Roman" w:hAnsi="Times New Roman" w:cs="Times New Roman"/>
                <w:color w:val="000000"/>
                <w:sz w:val="18"/>
                <w:szCs w:val="18"/>
                <w:lang w:eastAsia="zh-CN"/>
              </w:rPr>
              <w:t xml:space="preserve">，</w:t>
            </w:r>
            <w:r>
              <w:rPr>
                <w:rFonts w:hint="default" w:ascii="Times New Roman" w:hAnsi="Times New Roman" w:cs="Times New Roman"/>
                <w:color w:val="000000"/>
                <w:sz w:val="18"/>
                <w:szCs w:val="18"/>
              </w:rPr>
              <w:t xml:space="preserve">宽度与床宽匹配，厚度为</w:t>
            </w:r>
            <w:r>
              <w:rPr>
                <w:rFonts w:hint="default" w:ascii="Times New Roman" w:hAnsi="Times New Roman" w:cs="Times New Roman"/>
                <w:color w:val="000000"/>
                <w:sz w:val="18"/>
                <w:szCs w:val="18"/>
                <w:lang w:val="en-US" w:eastAsia="zh-CN"/>
              </w:rPr>
              <w:t xml:space="preserve">6</w:t>
            </w:r>
            <w:r>
              <w:rPr>
                <w:rFonts w:hint="default" w:ascii="Times New Roman" w:hAnsi="Times New Roman" w:cs="Times New Roman"/>
                <w:color w:val="000000"/>
                <w:sz w:val="18"/>
                <w:szCs w:val="18"/>
              </w:rPr>
              <w:t xml:space="preserve">0mm</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2、面料：阻燃布料，高针织数，透气性好，正面绗缝面料层须至少有 4 层，边缘滚边处理，表面无刺触感，平滑舒适，防螨性能好，无明显色差。</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3、填充物：内芯填充天然椰棕</w:t>
            </w:r>
            <w:r>
              <w:rPr>
                <w:rFonts w:hint="default" w:ascii="Times New Roman" w:hAnsi="Times New Roman" w:cs="Times New Roman"/>
                <w:color w:val="000000"/>
                <w:sz w:val="18"/>
                <w:szCs w:val="18"/>
                <w:lang w:eastAsia="zh-CN"/>
              </w:rPr>
              <w:t xml:space="preserve">，</w:t>
            </w:r>
            <w:r>
              <w:rPr>
                <w:rFonts w:hint="default" w:ascii="Times New Roman" w:hAnsi="Times New Roman" w:cs="Times New Roman"/>
                <w:color w:val="000000"/>
                <w:sz w:val="18"/>
                <w:szCs w:val="18"/>
              </w:rPr>
              <w:t xml:space="preserve">弹性好，软硬均匀,密度不小于60kg/m3</w:t>
            </w:r>
            <w:r/>
          </w:p>
          <w:p>
            <w:pPr>
              <w:jc w:val="left"/>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t xml:space="preserve">4、绿色环保，产品各项指标符合：GB/T 35607-2017《绿色产品评价 家具》;GB/T 26706-2011《软体家具 棕纤维弹性床垫》</w:t>
            </w:r>
            <w:r/>
          </w:p>
          <w:p>
            <w:pPr>
              <w:jc w:val="left"/>
              <w:widowControl/>
              <w:rPr>
                <w:rFonts w:hint="default" w:ascii="Times New Roman" w:hAnsi="Times New Roman" w:cs="Times New Roman"/>
                <w:sz w:val="18"/>
                <w:szCs w:val="18"/>
              </w:rPr>
            </w:pPr>
            <w:r>
              <w:rPr>
                <w:rFonts w:hint="default" w:ascii="Times New Roman" w:hAnsi="Times New Roman" w:cs="Times New Roman"/>
                <w:color w:val="000000"/>
                <w:sz w:val="18"/>
                <w:szCs w:val="18"/>
              </w:rPr>
              <w:t xml:space="preserve">5、成品：床体边缘部位倒圆处理，无棱角，降低安全风险，整体结构、安全防护、质量、环保、舒适性、便利性等参数均符合适老化要求，满足医疗护理及急救的功能，同时也体现居家风格。</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套</w:t>
            </w:r>
            <w:r/>
          </w:p>
        </w:tc>
      </w:tr>
      <w:tr>
        <w:trPr>
          <w:jc w:val="center"/>
          <w:trHeight w:val="141"/>
        </w:trPr>
        <w:tc>
          <w:tcPr>
            <w:shd w:val="clear" w:color="auto" w:fill="auto"/>
            <w:tcBorders>
              <w:top w:val="single" w:color="000000" w:sz="4" w:space="0"/>
              <w:left w:val="single" w:color="000000" w:sz="8" w:space="0"/>
              <w:bottom w:val="single" w:color="000000" w:sz="4" w:space="0"/>
              <w:right w:val="single" w:color="000000" w:sz="4" w:space="0"/>
            </w:tcBorders>
            <w:tcW w:w="50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适老床头柜</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833120" cy="946150"/>
                      <wp:effectExtent l="19050" t="0" r="4464" b="0"/>
                      <wp:docPr id="112" name="ID_0DC8067FBDA24EC79613AF9EA9779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2" name="ID_0DC8067FBDA24EC79613AF9EA9779499"/>
                              <pic:cNvPicPr>
                                <a:picLocks noChangeAspect="1"/>
                              </pic:cNvPicPr>
                              <pic:nvPr/>
                            </pic:nvPicPr>
                            <pic:blipFill>
                              <a:blip r:embed="rId15"/>
                              <a:stretch/>
                            </pic:blipFill>
                            <pic:spPr bwMode="auto">
                              <a:xfrm>
                                <a:off x="0" y="0"/>
                                <a:ext cx="833736" cy="9461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65.6pt;height:74.5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420*400*600</w:t>
            </w:r>
            <w:r/>
          </w:p>
        </w:tc>
        <w:tc>
          <w:tcPr>
            <w:shd w:val="clear" w:color="auto" w:fill="auto"/>
            <w:tcBorders>
              <w:top w:val="single" w:color="000000" w:sz="4" w:space="0"/>
              <w:left w:val="single" w:color="000000" w:sz="4" w:space="0"/>
              <w:bottom w:val="single" w:color="000000" w:sz="4" w:space="0"/>
              <w:right w:val="single" w:color="000000" w:sz="4" w:space="0"/>
            </w:tcBorders>
            <w:tcW w:w="5641" w:type="dxa"/>
            <w:vAlign w:val="center"/>
            <w:textDirection w:val="lrTb"/>
            <w:noWrap w:val="false"/>
          </w:tcPr>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1、结构：顶板（有挡边），中空层，双层抽屉</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2、柜体基材：采用橡胶木实木，厚度18mm,材质相关参数符合GB/T 3324-2017《木家具通用技术条件》，GB 18584-2001《室内装饰装修材料 木家具中有害物质限量》要求。木材含水率符合国家标准，木材无腐朽或较明显虫眼等瑕疵，符合国家环保标准</w:t>
            </w:r>
            <w:r>
              <w:rPr>
                <w:rFonts w:hint="default" w:ascii="Times New Roman" w:hAnsi="Times New Roman" w:cs="Times New Roman"/>
                <w:sz w:val="18"/>
                <w:szCs w:val="18"/>
                <w:lang w:eastAsia="zh-CN"/>
              </w:rPr>
              <w:t xml:space="preserve">。</w:t>
            </w:r>
            <w:r>
              <w:rPr>
                <w:rFonts w:hint="default" w:ascii="Times New Roman" w:hAnsi="Times New Roman" w:cs="Times New Roman"/>
                <w:sz w:val="18"/>
                <w:szCs w:val="18"/>
              </w:rPr>
              <w:t xml:space="preserve"> 木材均经过刨光、砂光，成品无毛刺、无裂纹，接缝自然，无明显缺口和缝隙</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3、油漆：水性底漆、水性面漆，整体喷涂漆面，喷漆均匀，表面漆膜平整光亮、无皱皮、发粘和漏漆现象，有害物含量符合GB 18581-2020 《木器涂料中有害物质限量》要求 </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4、导轨：优质三节导轨，符合QB/T 2454-2013《家具五金 抽屉导轨》要求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5、锁具：抽屉带锁，优质锁具，符合QB/T 1621-2015《家具锁》要求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6、调节脚：金属调节脚，调节脚底部为PP塑料，螺杆为钢制螺杆。</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7、连接件：金属三合一连接件，耐腐蚀性强。符合QB/T 3832-1999《轻工产品金属镀层腐蚀试验结果的评价》的要求，达到10级。</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8、其他要求：边缘部位倒圆处理，无棱角，降低安全风险，整体结构、安全防护、质量、环保、舒适性、便利性等参数均须符合适老化要求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9、颜色：淡雅暖色系，与现场环境匹配</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个</w:t>
            </w:r>
            <w:r/>
          </w:p>
        </w:tc>
      </w:tr>
      <w:tr>
        <w:trPr>
          <w:jc w:val="center"/>
          <w:trHeight w:val="2357"/>
        </w:trPr>
        <w:tc>
          <w:tcPr>
            <w:shd w:val="clear" w:color="auto" w:fill="auto"/>
            <w:tcBorders>
              <w:top w:val="single" w:color="000000" w:sz="4" w:space="0"/>
              <w:left w:val="single" w:color="000000" w:sz="8" w:space="0"/>
              <w:bottom w:val="single" w:color="000000" w:sz="4" w:space="0"/>
              <w:right w:val="single" w:color="000000" w:sz="4" w:space="0"/>
            </w:tcBorders>
            <w:tcW w:w="50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适老桌（方形）</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vMerge w:val="restart"/>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833755" cy="590550"/>
                      <wp:effectExtent l="19050" t="0" r="4445" b="0"/>
                      <wp:docPr id="113" name="ID_1F23A864245949F5AD15752B6171BB85" descr="Enscape_2024-04-07-19-3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7" name="ID_1F23A864245949F5AD15752B6171BB85" descr="Enscape_2024-04-07-19-39-16"/>
                              <pic:cNvPicPr>
                                <a:picLocks noChangeAspect="1"/>
                              </pic:cNvPicPr>
                              <pic:nvPr/>
                            </pic:nvPicPr>
                            <pic:blipFill>
                              <a:blip r:embed="rId20"/>
                              <a:srcRect l="18712" t="14848" r="36629" b="15659"/>
                              <a:stretch/>
                            </pic:blipFill>
                            <pic:spPr bwMode="auto">
                              <a:xfrm>
                                <a:off x="0" y="0"/>
                                <a:ext cx="835855" cy="592087"/>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65.6pt;height:46.5pt;mso-wrap-distance-left:0.0pt;mso-wrap-distance-top:0.0pt;mso-wrap-distance-right:0.0pt;mso-wrap-distance-bottom:0.0pt;" stroked="f" strokeweight="0.75pt">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900*900*750</w:t>
            </w:r>
            <w:r/>
          </w:p>
        </w:tc>
        <w:tc>
          <w:tcPr>
            <w:shd w:val="clear" w:color="auto" w:fill="auto"/>
            <w:tcBorders>
              <w:top w:val="single" w:color="000000" w:sz="4" w:space="0"/>
              <w:left w:val="single" w:color="000000" w:sz="4" w:space="0"/>
              <w:bottom w:val="single" w:color="000000" w:sz="4" w:space="0"/>
              <w:right w:val="single" w:color="000000" w:sz="4" w:space="0"/>
            </w:tcBorders>
            <w:tcW w:w="5641" w:type="dxa"/>
            <w:vAlign w:val="center"/>
            <w:vMerge w:val="restart"/>
            <w:textDirection w:val="lrTb"/>
            <w:noWrap w:val="false"/>
          </w:tcPr>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1、结构：四脚桌，无存储格</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2、基材：采用橡胶木实木，木榫结构，材质相关参数符合GB/T 3324-2017《木家具通用技术条件》，GB 18584-2001《室内装饰装修材料 木家具中有害物质限量》要求。木材含水率符合国家标准，木材无腐朽或较明显虫眼等瑕疵，符合国家环保标准</w:t>
            </w:r>
            <w:r>
              <w:rPr>
                <w:rFonts w:hint="default" w:ascii="Times New Roman" w:hAnsi="Times New Roman" w:cs="Times New Roman"/>
                <w:sz w:val="18"/>
                <w:szCs w:val="18"/>
                <w:lang w:eastAsia="zh-CN"/>
              </w:rPr>
              <w:t xml:space="preserve">。</w:t>
            </w:r>
            <w:r>
              <w:rPr>
                <w:rFonts w:hint="default" w:ascii="Times New Roman" w:hAnsi="Times New Roman" w:cs="Times New Roman"/>
                <w:sz w:val="18"/>
                <w:szCs w:val="18"/>
              </w:rPr>
              <w:t xml:space="preserve"> 木材均经过刨光、砂光，成品无毛刺、无裂纹，接缝自然，无明显缺口和缝隙</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3、油漆：UV漆,耐磨性强，整体喷涂漆面，喷漆均匀，表面漆膜平整光亮、无皱皮、发粘和漏漆现象，有害物含量符合GB 18581-2020 《木器涂料中有害物质限量》要求 </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4、桌面：桌面厚度25mm，四角倒圆，桌面具备阻滞汁液溢流功能。</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5、桌腿：方形橡胶木方，</w:t>
            </w:r>
            <w:r>
              <w:rPr>
                <w:rStyle w:val="909"/>
                <w:rFonts w:hint="default" w:ascii="Times New Roman" w:hAnsi="Times New Roman" w:cs="Times New Roman"/>
                <w:sz w:val="18"/>
                <w:szCs w:val="18"/>
                <w:lang w:val="en-US" w:eastAsia="zh-CN"/>
              </w:rPr>
              <w:t xml:space="preserve">断面尺寸≥55*55mm，</w:t>
            </w:r>
            <w:r>
              <w:rPr>
                <w:rFonts w:hint="default" w:ascii="Times New Roman" w:hAnsi="Times New Roman" w:cs="Times New Roman"/>
                <w:sz w:val="18"/>
                <w:szCs w:val="18"/>
              </w:rPr>
              <w:t xml:space="preserve">上宽下窄，上部与桌面连接处弧形结构</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6、其他要求：边缘部位倒圆处理，无棱角，降低安全风险，整体结构、安全防护、质量、环保、舒适性、便利性等参数均须符合适老化要求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7、颜色：淡雅暖色系，与现场环境匹配</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张</w:t>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50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适老桌（方形）</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vMerge w:val="continue"/>
            <w:textDirection w:val="lrTb"/>
            <w:noWrap w:val="false"/>
          </w:tcPr>
          <w:p>
            <w:pPr>
              <w:jc w:val="center"/>
              <w:rPr>
                <w:rFonts w:hint="default" w:ascii="Times New Roman" w:hAnsi="Times New Roman" w:cs="Times New Roman"/>
                <w:sz w:val="18"/>
                <w:szCs w:val="18"/>
              </w:rPr>
            </w:pPr>
            <w:r>
              <w:rPr>
                <w:rFonts w:hint="default" w:ascii="Times New Roman" w:hAnsi="Times New Roman" w:cs="Times New Roman"/>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800*800*750</w:t>
            </w:r>
            <w:r/>
          </w:p>
        </w:tc>
        <w:tc>
          <w:tcPr>
            <w:shd w:val="clear" w:color="auto" w:fill="auto"/>
            <w:tcBorders>
              <w:top w:val="single" w:color="000000" w:sz="4" w:space="0"/>
              <w:left w:val="single" w:color="000000" w:sz="4" w:space="0"/>
              <w:bottom w:val="single" w:color="000000" w:sz="4" w:space="0"/>
              <w:right w:val="single" w:color="000000" w:sz="4" w:space="0"/>
            </w:tcBorders>
            <w:tcW w:w="5641" w:type="dxa"/>
            <w:vAlign w:val="center"/>
            <w:vMerge w:val="continue"/>
            <w:textDirection w:val="lrTb"/>
            <w:noWrap w:val="false"/>
          </w:tcPr>
          <w:p>
            <w:pPr>
              <w:jc w:val="left"/>
              <w:rPr>
                <w:rFonts w:hint="default" w:ascii="Times New Roman" w:hAnsi="Times New Roman" w:cs="Times New Roman"/>
                <w:sz w:val="18"/>
                <w:szCs w:val="18"/>
              </w:rPr>
            </w:pPr>
            <w:r>
              <w:rPr>
                <w:rFonts w:hint="default" w:ascii="Times New Roman" w:hAnsi="Times New Roman" w:cs="Times New Roman"/>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张</w:t>
            </w:r>
            <w:r/>
          </w:p>
        </w:tc>
      </w:tr>
      <w:tr>
        <w:trPr>
          <w:jc w:val="center"/>
          <w:trHeight w:val="168"/>
        </w:trPr>
        <w:tc>
          <w:tcPr>
            <w:shd w:val="clear" w:color="auto" w:fill="auto"/>
            <w:tcBorders>
              <w:top w:val="single" w:color="000000" w:sz="4" w:space="0"/>
              <w:left w:val="single" w:color="000000" w:sz="8" w:space="0"/>
              <w:bottom w:val="single" w:color="000000" w:sz="4" w:space="0"/>
              <w:right w:val="single" w:color="000000" w:sz="4" w:space="0"/>
            </w:tcBorders>
            <w:tcW w:w="50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适老桌（长方形）</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833755" cy="629920"/>
                      <wp:effectExtent l="19050" t="0" r="4445" b="0"/>
                      <wp:docPr id="114" name="ID_CF44D14904DA4956B0E00F8CDDDF9C4D" descr="Enscape_2024-04-07-19-4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8" name="ID_CF44D14904DA4956B0E00F8CDDDF9C4D" descr="Enscape_2024-04-07-19-42-18"/>
                              <pic:cNvPicPr>
                                <a:picLocks noChangeAspect="1"/>
                              </pic:cNvPicPr>
                              <pic:nvPr/>
                            </pic:nvPicPr>
                            <pic:blipFill>
                              <a:blip r:embed="rId21"/>
                              <a:srcRect l="20812" t="15111" r="31917" b="13331"/>
                              <a:stretch/>
                            </pic:blipFill>
                            <pic:spPr bwMode="auto">
                              <a:xfrm>
                                <a:off x="0" y="0"/>
                                <a:ext cx="833755" cy="630387"/>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65.6pt;height:49.6pt;mso-wrap-distance-left:0.0pt;mso-wrap-distance-top:0.0pt;mso-wrap-distance-right:0.0pt;mso-wrap-distance-bottom:0.0pt;" stroked="f" strokeweight="0.75pt">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1400*800*750</w:t>
            </w:r>
            <w:r/>
          </w:p>
        </w:tc>
        <w:tc>
          <w:tcPr>
            <w:shd w:val="clear" w:color="auto" w:fill="auto"/>
            <w:tcBorders>
              <w:top w:val="single" w:color="000000" w:sz="4" w:space="0"/>
              <w:left w:val="single" w:color="000000" w:sz="4" w:space="0"/>
              <w:bottom w:val="single" w:color="000000" w:sz="4" w:space="0"/>
              <w:right w:val="single" w:color="000000" w:sz="4" w:space="0"/>
            </w:tcBorders>
            <w:tcW w:w="5641" w:type="dxa"/>
            <w:vAlign w:val="center"/>
            <w:textDirection w:val="lrTb"/>
            <w:noWrap w:val="false"/>
          </w:tcPr>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1、结构：四脚桌，无存储格</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2、基材：采用橡胶木实木，木榫结构，材质相关参数符合GB/T 3324-2017《木家具通用技术条件》，GB 18584-2001《室内装饰装修材料 木家具中有害物质限量》要求。木材含水率符合国家标准，木材无腐朽或较明显虫眼等瑕疵，符合国家环保标准</w:t>
            </w:r>
            <w:r>
              <w:rPr>
                <w:rFonts w:hint="default" w:ascii="Times New Roman" w:hAnsi="Times New Roman" w:cs="Times New Roman"/>
                <w:sz w:val="18"/>
                <w:szCs w:val="18"/>
                <w:lang w:eastAsia="zh-CN"/>
              </w:rPr>
              <w:t xml:space="preserve">。</w:t>
            </w:r>
            <w:r>
              <w:rPr>
                <w:rFonts w:hint="default" w:ascii="Times New Roman" w:hAnsi="Times New Roman" w:cs="Times New Roman"/>
                <w:sz w:val="18"/>
                <w:szCs w:val="18"/>
              </w:rPr>
              <w:t xml:space="preserve"> 木材均经过刨光、砂光，成品无毛刺、无裂纹，接缝自然，无明显缺口和缝隙</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3、油漆：UV漆，耐磨性强，整体喷涂漆面，喷漆均匀，表面漆膜平整光亮、无皱皮、发粘和漏漆现象，有害物含量符合GB 18581-2020 《木器涂料中有害物质限量》要求 </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4、桌面：桌面厚度25mm，四角倒圆，桌面具备阻滞汁液溢流功能。</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5、桌腿：方形橡胶木方，</w:t>
            </w:r>
            <w:r>
              <w:rPr>
                <w:rStyle w:val="909"/>
                <w:rFonts w:hint="default" w:ascii="Times New Roman" w:hAnsi="Times New Roman" w:cs="Times New Roman"/>
                <w:sz w:val="18"/>
                <w:szCs w:val="18"/>
                <w:lang w:val="en-US" w:eastAsia="zh-CN"/>
              </w:rPr>
              <w:t xml:space="preserve">断面尺寸≥55*55mm，</w:t>
            </w:r>
            <w:r>
              <w:rPr>
                <w:rFonts w:hint="default" w:ascii="Times New Roman" w:hAnsi="Times New Roman" w:cs="Times New Roman"/>
                <w:sz w:val="18"/>
                <w:szCs w:val="18"/>
              </w:rPr>
              <w:t xml:space="preserve">上宽下窄，上部与桌面连接处弧形结构</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6、其他要求：边缘部位倒圆处理，无棱角，降低安全风险，整体结构、安全防护、质量、环保、舒适性、便利性等参数均须符合适老化要求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7、颜色：淡雅暖色系，与现场环境匹配</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张</w:t>
            </w:r>
            <w:r/>
          </w:p>
        </w:tc>
      </w:tr>
      <w:tr>
        <w:trPr>
          <w:jc w:val="center"/>
          <w:trHeight w:val="1276"/>
        </w:trPr>
        <w:tc>
          <w:tcPr>
            <w:shd w:val="clear" w:color="auto" w:fill="auto"/>
            <w:tcBorders>
              <w:top w:val="single" w:color="000000" w:sz="4" w:space="0"/>
              <w:left w:val="single" w:color="000000" w:sz="8" w:space="0"/>
              <w:bottom w:val="single" w:color="000000" w:sz="4" w:space="0"/>
              <w:right w:val="single" w:color="000000" w:sz="4" w:space="0"/>
            </w:tcBorders>
            <w:tcW w:w="50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适老椅</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899795" cy="1111250"/>
                      <wp:effectExtent l="0" t="0" r="14604" b="12700"/>
                      <wp:docPr id="115"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9" name="图片 12"/>
                              <pic:cNvPicPr>
                                <a:picLocks noChangeAspect="1"/>
                              </pic:cNvPicPr>
                              <pic:nvPr/>
                            </pic:nvPicPr>
                            <pic:blipFill>
                              <a:blip r:embed="rId23"/>
                              <a:stretch/>
                            </pic:blipFill>
                            <pic:spPr bwMode="auto">
                              <a:xfrm>
                                <a:off x="0" y="0"/>
                                <a:ext cx="899795" cy="1111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70.8pt;height:87.5pt;mso-wrap-distance-left:0.0pt;mso-wrap-distance-top:0.0pt;mso-wrap-distance-right:0.0pt;mso-wrap-distance-bottom:0.0pt;" stroked="f" strokeweight="0.75pt">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520*450*830</w:t>
            </w:r>
            <w:r/>
          </w:p>
        </w:tc>
        <w:tc>
          <w:tcPr>
            <w:shd w:val="clear" w:color="auto" w:fill="auto"/>
            <w:tcBorders>
              <w:top w:val="single" w:color="000000" w:sz="4" w:space="0"/>
              <w:left w:val="single" w:color="000000" w:sz="4" w:space="0"/>
              <w:bottom w:val="single" w:color="000000" w:sz="4" w:space="0"/>
              <w:right w:val="single" w:color="000000" w:sz="4" w:space="0"/>
            </w:tcBorders>
            <w:tcW w:w="5641" w:type="dxa"/>
            <w:vAlign w:val="center"/>
            <w:textDirection w:val="lrTb"/>
            <w:noWrap w:val="false"/>
          </w:tcPr>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1、结构：四脚，双扶手，木框架</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2、基材：采用橡胶木实木，木榫结构，材质相关参数符合GB/T 3324-2017《木家具通用技术条件》，GB 18584-2001《室内装饰装修材料 木家具中有害物质限量》要求。木材含水率符合国家标准，木材无腐朽或较明显虫眼等瑕疵，符合国家环保标准</w:t>
            </w:r>
            <w:r>
              <w:rPr>
                <w:rFonts w:hint="default" w:ascii="Times New Roman" w:hAnsi="Times New Roman" w:cs="Times New Roman"/>
                <w:sz w:val="18"/>
                <w:szCs w:val="18"/>
                <w:lang w:eastAsia="zh-CN"/>
              </w:rPr>
              <w:t xml:space="preserve">。</w:t>
            </w:r>
            <w:r>
              <w:rPr>
                <w:rFonts w:hint="default" w:ascii="Times New Roman" w:hAnsi="Times New Roman" w:cs="Times New Roman"/>
                <w:sz w:val="18"/>
                <w:szCs w:val="18"/>
              </w:rPr>
              <w:t xml:space="preserve"> 木材均经过刨光、砂光，成品无毛刺、无裂纹，接缝自然，无明显缺口和缝隙</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3、油漆：UV底漆、UV面漆，整体喷涂漆面，喷漆均匀，表面漆膜平整光亮、无皱皮、发粘和漏漆现象，有害物含量符合GB 18581-2020 《木器涂料中有害物质限量》要求 </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4、尺寸：W520*D450*H830，坐垫离地高度430mm</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5、扶手：橡胶木实木，表面平整、无毛刺</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6、桌腿：橡胶木方，</w:t>
            </w:r>
            <w:r>
              <w:rPr>
                <w:rStyle w:val="909"/>
                <w:rFonts w:hint="default" w:ascii="Times New Roman" w:hAnsi="Times New Roman" w:cs="Times New Roman"/>
                <w:sz w:val="18"/>
                <w:szCs w:val="18"/>
                <w:lang w:val="en-US" w:eastAsia="zh-CN"/>
              </w:rPr>
              <w:t xml:space="preserve">断面尺寸≥45*30mm，</w:t>
            </w:r>
            <w:r>
              <w:rPr>
                <w:rFonts w:hint="default" w:ascii="Times New Roman" w:hAnsi="Times New Roman" w:cs="Times New Roman"/>
                <w:sz w:val="18"/>
                <w:szCs w:val="18"/>
              </w:rPr>
              <w:t xml:space="preserve">表面平整、无毛刺</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7、海绵：阻燃海绵，用于靠背及坐垫，厚度不小于30mm，密度大于40kg/m3，回弹力大于50%，符合GB/T 10802-2023《通用软质聚氨酯泡沫塑料》、GB 8624-2012《建筑材料及制品燃烧性能分级》等标准要求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8、饰面：优质超纤皮，表面纹理清晰，具有良好的色牢度、耐光耐磨性、透气性等特性</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9、其他要求：边缘部位倒圆处理，无棱角，降低安全风险，整体结构、安全防护、质量、环保、舒适性、便利性等参数均须符合适老化要求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10、颜色：淡雅暖色系，与现场环境匹配</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张</w:t>
            </w:r>
            <w:r/>
          </w:p>
        </w:tc>
      </w:tr>
      <w:tr>
        <w:trPr>
          <w:jc w:val="center"/>
          <w:trHeight w:val="1133"/>
        </w:trPr>
        <w:tc>
          <w:tcPr>
            <w:shd w:val="clear" w:color="auto" w:fill="auto"/>
            <w:tcBorders>
              <w:top w:val="single" w:color="000000" w:sz="4" w:space="0"/>
              <w:left w:val="single" w:color="000000" w:sz="8" w:space="0"/>
              <w:bottom w:val="single" w:color="000000" w:sz="4" w:space="0"/>
              <w:right w:val="single" w:color="000000" w:sz="4" w:space="0"/>
            </w:tcBorders>
            <w:tcW w:w="50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休闲沙发（单人位）</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vMerge w:val="restart"/>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992505" cy="560070"/>
                      <wp:effectExtent l="0" t="0" r="17145" b="11430"/>
                      <wp:docPr id="116" name="ID_781248B74409497E8042E80886C08FEB" descr="Enscape_2024-04-08-10-5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1" name="ID_781248B74409497E8042E80886C08FEB" descr="Enscape_2024-04-08-10-52-21"/>
                              <pic:cNvPicPr>
                                <a:picLocks noChangeAspect="1"/>
                              </pic:cNvPicPr>
                              <pic:nvPr/>
                            </pic:nvPicPr>
                            <pic:blipFill>
                              <a:blip r:embed="rId24"/>
                              <a:srcRect l="13638" t="15556" r="19462" b="17979"/>
                              <a:stretch/>
                            </pic:blipFill>
                            <pic:spPr bwMode="auto">
                              <a:xfrm>
                                <a:off x="0" y="0"/>
                                <a:ext cx="992505" cy="5600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78.1pt;height:44.1pt;mso-wrap-distance-left:0.0pt;mso-wrap-distance-top:0.0pt;mso-wrap-distance-right:0.0pt;mso-wrap-distance-bottom:0.0pt;" stroked="f" strokeweight="0.75pt">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840*780*800</w:t>
            </w:r>
            <w:r/>
          </w:p>
        </w:tc>
        <w:tc>
          <w:tcPr>
            <w:shd w:val="clear" w:color="auto" w:fill="auto"/>
            <w:tcBorders>
              <w:top w:val="single" w:color="000000" w:sz="4" w:space="0"/>
              <w:left w:val="single" w:color="000000" w:sz="4" w:space="0"/>
              <w:bottom w:val="single" w:color="000000" w:sz="4" w:space="0"/>
              <w:right w:val="single" w:color="000000" w:sz="4" w:space="0"/>
            </w:tcBorders>
            <w:tcW w:w="5641" w:type="dxa"/>
            <w:vAlign w:val="center"/>
            <w:vMerge w:val="restart"/>
            <w:textDirection w:val="lrTb"/>
            <w:noWrap w:val="false"/>
          </w:tcPr>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1、尺寸：（坐高4</w:t>
            </w:r>
            <w:r>
              <w:rPr>
                <w:rFonts w:hint="default" w:ascii="Times New Roman" w:hAnsi="Times New Roman" w:cs="Times New Roman"/>
                <w:sz w:val="18"/>
                <w:szCs w:val="18"/>
                <w:lang w:val="en-US" w:eastAsia="zh-CN"/>
              </w:rPr>
              <w:t xml:space="preserve">2</w:t>
            </w:r>
            <w:r>
              <w:rPr>
                <w:rFonts w:hint="default" w:ascii="Times New Roman" w:hAnsi="Times New Roman" w:cs="Times New Roman"/>
                <w:sz w:val="18"/>
                <w:szCs w:val="18"/>
              </w:rPr>
              <w:t xml:space="preserve">0mm）</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2、饰面：优质超纤皮，表面纹理清晰，具有良好的色牢度、耐光耐磨性、透气性等特性  </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3、海绵：阻燃海绵，厚度不小于100mm，密度大于40kg/m3，回弹力大于50%，符合GB/T 10802-2023《通用软质聚氨酯泡沫塑料》、GB 8624-2012《建筑材料及制品燃烧性能分级》等标准要求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4、内部框架：橡胶木实木框架：采用榫卯结构，表面平整，无毛刺。</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5、胶粘剂：环保型喷胶，符合GB 18583-2008《室内装饰装修材料 胶粘剂中有害物质限量》、HJ 2541-2016《环境标志产品技术要求胶粘剂》、GB 33372-2020《胶粘剂挥发性有机化合物限量》要求。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6、沙发脚：橡胶木实木沙发脚。</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7、扶手：橡胶木实木</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8、颜色：淡雅暖色系，与现场环境匹配</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9、成品：各项技术指标符合QB/T 1952.1-2023《软体家具沙发》 标准的要求。</w:t>
            </w:r>
            <w:r/>
          </w:p>
          <w:p>
            <w:pPr>
              <w:jc w:val="left"/>
              <w:widowControl/>
              <w:rPr>
                <w:rFonts w:hint="default" w:ascii="Times New Roman" w:hAnsi="Times New Roman" w:cs="Times New Roman"/>
                <w:b/>
                <w:bCs/>
                <w:spacing w:val="2"/>
                <w:sz w:val="18"/>
                <w:szCs w:val="18"/>
                <w:highlight w:val="yellow"/>
              </w:rPr>
            </w:pPr>
            <w:r>
              <w:rPr>
                <w:rFonts w:hint="default" w:ascii="Times New Roman" w:hAnsi="Times New Roman" w:cs="Times New Roman"/>
                <w:sz w:val="18"/>
                <w:szCs w:val="18"/>
              </w:rPr>
              <w:t xml:space="preserve">10、其他：边缘部位倒圆处理，无棱角，降低安全风险，整体结构、安全防护、质量、环保、舒适性、便利性等参数均须符合适老化要求</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张</w:t>
            </w:r>
            <w:r/>
          </w:p>
        </w:tc>
      </w:tr>
      <w:tr>
        <w:trPr>
          <w:jc w:val="center"/>
          <w:trHeight w:val="1558"/>
        </w:trPr>
        <w:tc>
          <w:tcPr>
            <w:shd w:val="clear" w:color="auto" w:fill="auto"/>
            <w:tcBorders>
              <w:top w:val="single" w:color="000000" w:sz="4" w:space="0"/>
              <w:left w:val="single" w:color="000000" w:sz="8" w:space="0"/>
              <w:bottom w:val="single" w:color="000000" w:sz="4" w:space="0"/>
              <w:right w:val="single" w:color="000000" w:sz="4" w:space="0"/>
            </w:tcBorders>
            <w:tcW w:w="50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休闲沙发（双人位）</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vMerge w:val="continue"/>
            <w:textDirection w:val="lrTb"/>
            <w:noWrap w:val="false"/>
          </w:tcPr>
          <w:p>
            <w:pPr>
              <w:jc w:val="center"/>
              <w:rPr>
                <w:rFonts w:hint="default" w:ascii="Times New Roman" w:hAnsi="Times New Roman" w:cs="Times New Roman"/>
                <w:sz w:val="18"/>
                <w:szCs w:val="18"/>
              </w:rPr>
            </w:pPr>
            <w:r>
              <w:rPr>
                <w:rFonts w:hint="default" w:ascii="Times New Roman" w:hAnsi="Times New Roman" w:cs="Times New Roman"/>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1480*780*800</w:t>
            </w:r>
            <w:r/>
          </w:p>
        </w:tc>
        <w:tc>
          <w:tcPr>
            <w:shd w:val="clear" w:color="auto" w:fill="auto"/>
            <w:tcBorders>
              <w:top w:val="single" w:color="000000" w:sz="4" w:space="0"/>
              <w:left w:val="single" w:color="000000" w:sz="4" w:space="0"/>
              <w:bottom w:val="single" w:color="000000" w:sz="4" w:space="0"/>
              <w:right w:val="single" w:color="000000" w:sz="4" w:space="0"/>
            </w:tcBorders>
            <w:tcW w:w="5641" w:type="dxa"/>
            <w:vAlign w:val="center"/>
            <w:vMerge w:val="continue"/>
            <w:textDirection w:val="lrTb"/>
            <w:noWrap w:val="false"/>
          </w:tcPr>
          <w:p>
            <w:pPr>
              <w:jc w:val="left"/>
              <w:rPr>
                <w:rFonts w:hint="default" w:ascii="Times New Roman" w:hAnsi="Times New Roman" w:cs="Times New Roman"/>
                <w:sz w:val="18"/>
                <w:szCs w:val="18"/>
              </w:rPr>
            </w:pPr>
            <w:r>
              <w:rPr>
                <w:rFonts w:hint="default" w:ascii="Times New Roman" w:hAnsi="Times New Roman" w:cs="Times New Roman"/>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张</w:t>
            </w:r>
            <w:r/>
          </w:p>
        </w:tc>
      </w:tr>
      <w:tr>
        <w:trPr>
          <w:jc w:val="center"/>
          <w:trHeight w:val="1308"/>
        </w:trPr>
        <w:tc>
          <w:tcPr>
            <w:shd w:val="clear" w:color="auto" w:fill="auto"/>
            <w:tcBorders>
              <w:top w:val="single" w:color="000000" w:sz="4" w:space="0"/>
              <w:left w:val="single" w:color="000000" w:sz="8" w:space="0"/>
              <w:bottom w:val="single" w:color="000000" w:sz="4" w:space="0"/>
              <w:right w:val="single" w:color="000000" w:sz="4" w:space="0"/>
            </w:tcBorders>
            <w:tcW w:w="50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休闲沙发（三人位）</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vMerge w:val="continue"/>
            <w:textDirection w:val="lrTb"/>
            <w:noWrap w:val="false"/>
          </w:tcPr>
          <w:p>
            <w:pPr>
              <w:jc w:val="center"/>
              <w:rPr>
                <w:rFonts w:hint="default" w:ascii="Times New Roman" w:hAnsi="Times New Roman" w:cs="Times New Roman"/>
                <w:sz w:val="18"/>
                <w:szCs w:val="18"/>
              </w:rPr>
            </w:pPr>
            <w:r>
              <w:rPr>
                <w:rFonts w:hint="default" w:ascii="Times New Roman" w:hAnsi="Times New Roman" w:cs="Times New Roman"/>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2080*780*800</w:t>
            </w:r>
            <w:r/>
          </w:p>
        </w:tc>
        <w:tc>
          <w:tcPr>
            <w:shd w:val="clear" w:color="auto" w:fill="auto"/>
            <w:tcBorders>
              <w:top w:val="single" w:color="000000" w:sz="4" w:space="0"/>
              <w:left w:val="single" w:color="000000" w:sz="4" w:space="0"/>
              <w:bottom w:val="single" w:color="000000" w:sz="4" w:space="0"/>
              <w:right w:val="single" w:color="000000" w:sz="4" w:space="0"/>
            </w:tcBorders>
            <w:tcW w:w="5641" w:type="dxa"/>
            <w:vAlign w:val="center"/>
            <w:vMerge w:val="continue"/>
            <w:textDirection w:val="lrTb"/>
            <w:noWrap w:val="false"/>
          </w:tcPr>
          <w:p>
            <w:pPr>
              <w:jc w:val="left"/>
              <w:rPr>
                <w:rFonts w:hint="default" w:ascii="Times New Roman" w:hAnsi="Times New Roman" w:cs="Times New Roman"/>
                <w:sz w:val="18"/>
                <w:szCs w:val="18"/>
              </w:rPr>
            </w:pPr>
            <w:r>
              <w:rPr>
                <w:rFonts w:hint="default" w:ascii="Times New Roman" w:hAnsi="Times New Roman" w:cs="Times New Roman"/>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张</w:t>
            </w:r>
            <w:r/>
          </w:p>
        </w:tc>
      </w:tr>
      <w:tr>
        <w:trPr>
          <w:jc w:val="center"/>
          <w:trHeight w:val="156"/>
        </w:trPr>
        <w:tc>
          <w:tcPr>
            <w:shd w:val="clear" w:color="auto" w:fill="auto"/>
            <w:tcBorders>
              <w:top w:val="single" w:color="000000" w:sz="4" w:space="0"/>
              <w:left w:val="single" w:color="000000" w:sz="8" w:space="0"/>
              <w:bottom w:val="single" w:color="000000" w:sz="4" w:space="0"/>
              <w:right w:val="single" w:color="000000" w:sz="4" w:space="0"/>
            </w:tcBorders>
            <w:tcW w:w="50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椭圆形长茶几</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968375" cy="610870"/>
                      <wp:effectExtent l="0" t="0" r="3175" b="17780"/>
                      <wp:docPr id="117"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3" name="图片 18"/>
                              <pic:cNvPicPr>
                                <a:picLocks noChangeAspect="1"/>
                              </pic:cNvPicPr>
                              <pic:nvPr/>
                            </pic:nvPicPr>
                            <pic:blipFill>
                              <a:blip r:embed="rId26"/>
                              <a:stretch/>
                            </pic:blipFill>
                            <pic:spPr bwMode="auto">
                              <a:xfrm>
                                <a:off x="0" y="0"/>
                                <a:ext cx="968375" cy="6108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76.2pt;height:48.1pt;mso-wrap-distance-left:0.0pt;mso-wrap-distance-top:0.0pt;mso-wrap-distance-right:0.0pt;mso-wrap-distance-bottom:0.0pt;" stroked="f" strokeweight="0.75pt">
                      <v:path textboxrect="0,0,0,0"/>
                      <v:imagedata r:id="rId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1200*600*500</w:t>
            </w:r>
            <w:r/>
          </w:p>
        </w:tc>
        <w:tc>
          <w:tcPr>
            <w:shd w:val="clear" w:color="auto" w:fill="auto"/>
            <w:tcBorders>
              <w:top w:val="single" w:color="000000" w:sz="4" w:space="0"/>
              <w:left w:val="single" w:color="000000" w:sz="4" w:space="0"/>
              <w:bottom w:val="single" w:color="000000" w:sz="4" w:space="0"/>
              <w:right w:val="single" w:color="000000" w:sz="4" w:space="0"/>
            </w:tcBorders>
            <w:tcW w:w="5641" w:type="dxa"/>
            <w:vAlign w:val="center"/>
            <w:textDirection w:val="lrTb"/>
            <w:noWrap w:val="false"/>
          </w:tcPr>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1、结构：上下双层托盘，上托盘有档边，四足结构。</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2、基材：采用橡胶木实木，木榫结构，材质相关参数符合GB/T 3324-2017《木家具通用技术条件》，GB 18584-2001《室内装饰装修材料 木家具中有害物质限量》要求。木材含水率符合国家标准，木材无腐朽或较明显虫眼等瑕疵，符合国家环保标准</w:t>
            </w:r>
            <w:r>
              <w:rPr>
                <w:rFonts w:hint="default" w:ascii="Times New Roman" w:hAnsi="Times New Roman" w:cs="Times New Roman"/>
                <w:sz w:val="18"/>
                <w:szCs w:val="18"/>
                <w:lang w:eastAsia="zh-CN"/>
              </w:rPr>
              <w:t xml:space="preserve">。</w:t>
            </w:r>
            <w:r>
              <w:rPr>
                <w:rFonts w:hint="default" w:ascii="Times New Roman" w:hAnsi="Times New Roman" w:cs="Times New Roman"/>
                <w:sz w:val="18"/>
                <w:szCs w:val="18"/>
              </w:rPr>
              <w:t xml:space="preserve"> 木材均经过刨光、砂光，成品无毛刺、无裂纹，接缝自然，无明显缺口和缝隙</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3、油漆：水性底漆、水性面漆，整体喷涂漆面，喷漆均匀，表面漆膜平整光亮、无皱皮、发粘和漏漆现象，有害物含量符合GB 18581-2020 《木器涂料中有害物质限量》要求 </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4、尺寸：上托盘厚度25mm,下托盘厚度18mm</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5、桌腿：异形橡胶木方</w:t>
            </w:r>
            <w:r>
              <w:rPr>
                <w:rFonts w:hint="default" w:ascii="Times New Roman" w:hAnsi="Times New Roman" w:cs="Times New Roman"/>
                <w:lang w:eastAsia="zh-CN"/>
              </w:rPr>
              <w:t xml:space="preserve">，</w:t>
            </w:r>
            <w:r>
              <w:rPr>
                <w:rStyle w:val="909"/>
                <w:rFonts w:hint="default" w:ascii="Times New Roman" w:hAnsi="Times New Roman" w:cs="Times New Roman"/>
                <w:sz w:val="18"/>
                <w:szCs w:val="18"/>
                <w:lang w:val="en-US" w:eastAsia="zh-CN"/>
              </w:rPr>
              <w:t xml:space="preserve">断面尺寸≥45*35mm；</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6、其他要求：边缘部位倒圆处理，无棱角，降低安全风险，整体结构、安全防护、质量、环保、舒适性、便利性等参数均须符合适老化要求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7、颜色：淡雅暖色系，与现场环境匹配</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个</w:t>
            </w:r>
            <w:r/>
          </w:p>
        </w:tc>
      </w:tr>
      <w:tr>
        <w:trPr>
          <w:jc w:val="center"/>
          <w:trHeight w:val="50"/>
        </w:trPr>
        <w:tc>
          <w:tcPr>
            <w:shd w:val="clear" w:color="auto" w:fill="auto"/>
            <w:tcBorders>
              <w:top w:val="single" w:color="000000" w:sz="4" w:space="0"/>
              <w:left w:val="single" w:color="000000" w:sz="8" w:space="0"/>
              <w:bottom w:val="single" w:color="000000" w:sz="4" w:space="0"/>
              <w:right w:val="single" w:color="000000" w:sz="4" w:space="0"/>
            </w:tcBorders>
            <w:tcW w:w="50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圆形茶几</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857250" cy="1109345"/>
                      <wp:effectExtent l="0" t="0" r="0" b="14604"/>
                      <wp:docPr id="118"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6" name="图片 21"/>
                              <pic:cNvPicPr>
                                <a:picLocks noChangeAspect="1"/>
                              </pic:cNvPicPr>
                              <pic:nvPr/>
                            </pic:nvPicPr>
                            <pic:blipFill>
                              <a:blip r:embed="rId19"/>
                              <a:stretch/>
                            </pic:blipFill>
                            <pic:spPr bwMode="auto">
                              <a:xfrm>
                                <a:off x="0" y="0"/>
                                <a:ext cx="857250" cy="11093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67.5pt;height:87.3pt;mso-wrap-distance-left:0.0pt;mso-wrap-distance-top:0.0pt;mso-wrap-distance-right:0.0pt;mso-wrap-distance-bottom:0.0pt;" stroked="f" strokeweight="0.75pt">
                      <v:path textboxrect="0,0,0,0"/>
                      <v:imagedata r:id="rId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default" w:ascii="Times New Roman" w:hAnsi="Times New Roman" w:eastAsia="等线" w:cs="Times New Roman"/>
                <w:sz w:val="18"/>
                <w:szCs w:val="18"/>
              </w:rPr>
            </w:pPr>
            <w:r>
              <w:rPr>
                <w:rFonts w:hint="default" w:ascii="Times New Roman" w:hAnsi="Times New Roman" w:cs="Times New Roman"/>
                <w:color w:val="000000"/>
                <w:sz w:val="18"/>
                <w:szCs w:val="18"/>
              </w:rPr>
              <w:t xml:space="preserve">φ</w:t>
            </w:r>
            <w:r>
              <w:rPr>
                <w:rFonts w:hint="default" w:ascii="Times New Roman" w:hAnsi="Times New Roman" w:eastAsia="等线" w:cs="Times New Roman"/>
                <w:sz w:val="18"/>
                <w:szCs w:val="18"/>
              </w:rPr>
              <w:t xml:space="preserve">600*500</w:t>
            </w:r>
            <w:r/>
          </w:p>
        </w:tc>
        <w:tc>
          <w:tcPr>
            <w:shd w:val="clear" w:color="auto" w:fill="auto"/>
            <w:tcBorders>
              <w:top w:val="single" w:color="000000" w:sz="4" w:space="0"/>
              <w:left w:val="single" w:color="000000" w:sz="4" w:space="0"/>
              <w:bottom w:val="single" w:color="000000" w:sz="4" w:space="0"/>
              <w:right w:val="single" w:color="000000" w:sz="4" w:space="0"/>
            </w:tcBorders>
            <w:tcW w:w="5641" w:type="dxa"/>
            <w:vAlign w:val="center"/>
            <w:textDirection w:val="lrTb"/>
            <w:noWrap w:val="false"/>
          </w:tcPr>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1、结构：上下双层托盘，上托盘有档边，三足鼎立结构。</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2、基材：采用橡胶木实木，木榫结构，材质相关参数符合GB/T 3324-2017《木家具通用技术条件》，GB 18584-2001《室内装饰装修材料 木家具中有害物质限量》要求。木材含水率符合国家标准，木材无腐朽或较明显虫眼等瑕疵，符合国家环保标准</w:t>
            </w:r>
            <w:r>
              <w:rPr>
                <w:rFonts w:hint="default" w:ascii="Times New Roman" w:hAnsi="Times New Roman" w:cs="Times New Roman"/>
                <w:sz w:val="18"/>
                <w:szCs w:val="18"/>
                <w:lang w:eastAsia="zh-CN"/>
              </w:rPr>
              <w:t xml:space="preserve">。</w:t>
            </w:r>
            <w:r>
              <w:rPr>
                <w:rFonts w:hint="default" w:ascii="Times New Roman" w:hAnsi="Times New Roman" w:cs="Times New Roman"/>
                <w:sz w:val="18"/>
                <w:szCs w:val="18"/>
              </w:rPr>
              <w:t xml:space="preserve"> 木材均经过刨光、砂光，成品无毛刺、无裂纹，接缝自然，无明显缺口和缝隙</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3、油漆：水性底漆、水性面漆，整体喷涂漆面，喷漆均匀，表面漆膜平整光亮、无皱皮、发粘和漏漆现象，有害物含量符合GB 18581-2020 《木器涂料中有害物质限量》要求 </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4、尺寸：上托盘厚度25mm,下托盘厚度18mm</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5、桌腿：异形橡胶木方</w:t>
            </w:r>
            <w:r>
              <w:rPr>
                <w:rStyle w:val="909"/>
                <w:rFonts w:hint="default" w:ascii="Times New Roman" w:hAnsi="Times New Roman" w:cs="Times New Roman"/>
                <w:sz w:val="18"/>
                <w:szCs w:val="18"/>
                <w:lang w:eastAsia="zh-CN"/>
              </w:rPr>
              <w:t xml:space="preserve">，</w:t>
            </w:r>
            <w:r>
              <w:rPr>
                <w:rStyle w:val="909"/>
                <w:rFonts w:hint="default" w:ascii="Times New Roman" w:hAnsi="Times New Roman" w:cs="Times New Roman"/>
                <w:sz w:val="18"/>
                <w:szCs w:val="18"/>
                <w:lang w:val="en-US" w:eastAsia="zh-CN"/>
              </w:rPr>
              <w:t xml:space="preserve">断面尺寸≥40*30mm；</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6、其他要求：边缘部位倒圆处理，无棱角，降低安全风险，整体结构、安全防护、质量、环保、舒适性、便利性等参数均须符合适老化要求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7、颜色：淡雅暖色系，与现场环境匹配</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个</w:t>
            </w:r>
            <w:r/>
          </w:p>
        </w:tc>
      </w:tr>
      <w:tr>
        <w:trPr>
          <w:jc w:val="center"/>
          <w:trHeight w:val="401"/>
        </w:trPr>
        <w:tc>
          <w:tcPr>
            <w:shd w:val="clear" w:color="auto" w:fill="auto"/>
            <w:tcBorders>
              <w:top w:val="single" w:color="000000" w:sz="4" w:space="0"/>
              <w:left w:val="single" w:color="000000" w:sz="8" w:space="0"/>
              <w:bottom w:val="single" w:color="000000" w:sz="4" w:space="0"/>
              <w:right w:val="single" w:color="000000" w:sz="4" w:space="0"/>
            </w:tcBorders>
            <w:tcW w:w="50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电动沙发椅</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932180" cy="948055"/>
                      <wp:effectExtent l="0" t="0" r="1270" b="4445"/>
                      <wp:docPr id="119" name="图片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8" name="图片 202"/>
                              <pic:cNvPicPr>
                                <a:picLocks noChangeAspect="1"/>
                              </pic:cNvPicPr>
                              <pic:nvPr/>
                            </pic:nvPicPr>
                            <pic:blipFill>
                              <a:blip r:embed="rId30"/>
                              <a:stretch/>
                            </pic:blipFill>
                            <pic:spPr bwMode="auto">
                              <a:xfrm>
                                <a:off x="0" y="0"/>
                                <a:ext cx="932180" cy="9480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width:73.4pt;height:74.6pt;mso-wrap-distance-left:0.0pt;mso-wrap-distance-top:0.0pt;mso-wrap-distance-right:0.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单人位</w:t>
            </w:r>
            <w:r/>
          </w:p>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960*960*1020</w:t>
            </w:r>
            <w:r/>
          </w:p>
        </w:tc>
        <w:tc>
          <w:tcPr>
            <w:shd w:val="clear" w:color="auto" w:fill="auto"/>
            <w:tcBorders>
              <w:top w:val="single" w:color="000000" w:sz="4" w:space="0"/>
              <w:left w:val="single" w:color="000000" w:sz="4" w:space="0"/>
              <w:bottom w:val="single" w:color="000000" w:sz="4" w:space="0"/>
              <w:right w:val="single" w:color="000000" w:sz="4" w:space="0"/>
            </w:tcBorders>
            <w:tcW w:w="5641" w:type="dxa"/>
            <w:vAlign w:val="center"/>
            <w:textDirection w:val="lrTb"/>
            <w:noWrap w:val="false"/>
          </w:tcPr>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1、尺寸：坐高450mm</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2、饰面：优质超纤皮，表面纹理清晰，具有良好的色牢度、耐光耐磨性、透气性等特性   </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3、海绵：阻燃海绵，密度大于30kg/m3，回弹力大于45%，符合</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GB/T 10802-2023《通用软质聚氨酯泡沫塑料》</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GB 8624-2012《建筑材料及制品燃烧性能分级》等标准要求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4、内部框架：钢+松木框架</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5、胶粘剂：环保型喷胶，符合GB 18583-2008《室内装饰装修材料 胶粘剂中有害物质限量》、HJ 2541-2016《环境标志产品技术要求胶粘剂》、GB 33372-2020《胶粘剂挥发性有机化合物限量》要求。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6、沙发脚：钢制圆形底盘，圆管管径18mm，壁厚≥2.0mm，表面环氧树脂粉末涂料喷涂，符合HG/T 2006-2022《热固性和热塑性粉末涂料》要求；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7、扶手：软包扶手</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8、颜色：深棕色</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9、电机：24V直流电机，50HZ，电动收纳和抬起；靠背可以电动调节倾仰角度；最大倾仰角度170度。</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10、成品：各项技术指标符合QB/T 1952.1-2023《软体家具沙发》 标准的要求。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11、其他：边缘部位倒圆处理，无棱角，降低安全风险，整体结构、安全防护、质量、环保、舒适性、便利性等参数均须符合适老化要求</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张</w:t>
            </w:r>
            <w:r/>
          </w:p>
        </w:tc>
      </w:tr>
      <w:tr>
        <w:trPr>
          <w:jc w:val="center"/>
          <w:trHeight w:val="793"/>
        </w:trPr>
        <w:tc>
          <w:tcPr>
            <w:shd w:val="clear" w:color="auto" w:fill="auto"/>
            <w:tcBorders>
              <w:top w:val="single" w:color="000000" w:sz="4" w:space="0"/>
              <w:left w:val="single" w:color="000000" w:sz="8" w:space="0"/>
              <w:bottom w:val="single" w:color="000000" w:sz="4" w:space="0"/>
              <w:right w:val="single" w:color="000000" w:sz="4" w:space="0"/>
            </w:tcBorders>
            <w:tcW w:w="50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vMerge w:val="restart"/>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户外休闲桌</w:t>
            </w:r>
            <w:r/>
          </w:p>
        </w:tc>
        <w:tc>
          <w:tcPr>
            <w:shd w:val="clear" w:color="auto" w:fill="auto"/>
            <w:tcBorders>
              <w:top w:val="single" w:color="000000" w:sz="4" w:space="0"/>
              <w:left w:val="single" w:color="000000" w:sz="4" w:space="0"/>
              <w:right w:val="single" w:color="000000" w:sz="4" w:space="0"/>
            </w:tcBorders>
            <w:tcW w:w="1523" w:type="dxa"/>
            <w:vAlign w:val="center"/>
            <w:vMerge w:val="restart"/>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949960" cy="659130"/>
                      <wp:effectExtent l="0" t="0" r="2540" b="7620"/>
                      <wp:docPr id="120" name="图片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8" name="图片 213"/>
                              <pic:cNvPicPr>
                                <a:picLocks noChangeAspect="1"/>
                              </pic:cNvPicPr>
                              <pic:nvPr/>
                            </pic:nvPicPr>
                            <pic:blipFill>
                              <a:blip r:embed="rId31"/>
                              <a:stretch/>
                            </pic:blipFill>
                            <pic:spPr bwMode="auto">
                              <a:xfrm>
                                <a:off x="0" y="0"/>
                                <a:ext cx="949960" cy="65913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width:74.8pt;height:51.9pt;mso-wrap-distance-left:0.0pt;mso-wrap-distance-top:0.0pt;mso-wrap-distance-right:0.0pt;mso-wrap-distance-bottom:0.0pt;" stroked="f" strokeweight="0.75pt">
                      <v:path textboxrect="0,0,0,0"/>
                      <v:imagedata r:id="rId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φ800*580</w:t>
            </w:r>
            <w:r/>
          </w:p>
        </w:tc>
        <w:tc>
          <w:tcPr>
            <w:shd w:val="clear" w:color="auto" w:fill="auto"/>
            <w:tcBorders>
              <w:top w:val="single" w:color="000000" w:sz="4" w:space="0"/>
              <w:left w:val="single" w:color="000000" w:sz="4" w:space="0"/>
              <w:bottom w:val="single" w:color="000000" w:sz="4" w:space="0"/>
              <w:right w:val="single" w:color="000000" w:sz="4" w:space="0"/>
            </w:tcBorders>
            <w:tcW w:w="5641" w:type="dxa"/>
            <w:vAlign w:val="center"/>
            <w:textDirection w:val="lrTb"/>
            <w:noWrap w:val="false"/>
          </w:tcPr>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1、结构：圆盘脚，直径500mm,圆形桌面直径600mm，圆立柱直径60mm</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2、底盘：优质电解钢板，壁厚≥1.5mm，表面环氧树脂粉末涂料喷涂，符合HG/T 2006-2022《热固性和热塑性粉末涂料》要求；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3、桌面：户外用岩板，厚度12mm</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4、成品：各项技术指标符合GB/T 3325-2017《金属家具通用技术条件》标准的要求；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5、其他：边缘部位倒圆处理，无棱角，降低安全风险，整体结构、安全防护、质量、环保、舒适性、便利性等参数均须符合适老化要求</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张</w:t>
            </w:r>
            <w:r/>
          </w:p>
        </w:tc>
      </w:tr>
      <w:tr>
        <w:trPr>
          <w:jc w:val="center"/>
          <w:trHeight w:val="782"/>
        </w:trPr>
        <w:tc>
          <w:tcPr>
            <w:shd w:val="clear" w:color="auto" w:fill="auto"/>
            <w:tcBorders>
              <w:top w:val="single" w:color="000000" w:sz="4" w:space="0"/>
              <w:left w:val="single" w:color="000000" w:sz="8" w:space="0"/>
              <w:bottom w:val="single" w:color="000000" w:sz="4" w:space="0"/>
              <w:right w:val="single" w:color="000000" w:sz="4" w:space="0"/>
            </w:tcBorders>
            <w:tcW w:w="50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jc w:val="center"/>
              <w:rPr>
                <w:rFonts w:hint="default" w:ascii="Times New Roman" w:hAnsi="Times New Roman" w:cs="Times New Roman"/>
                <w:sz w:val="18"/>
                <w:szCs w:val="18"/>
              </w:rPr>
            </w:pPr>
            <w:r>
              <w:rPr>
                <w:rFonts w:hint="default" w:ascii="Times New Roman" w:hAnsi="Times New Roman" w:cs="Times New Roman"/>
                <w:sz w:val="18"/>
                <w:szCs w:val="18"/>
              </w:rPr>
            </w:r>
            <w:r/>
          </w:p>
        </w:tc>
        <w:tc>
          <w:tcPr>
            <w:shd w:val="clear" w:color="auto" w:fill="auto"/>
            <w:tcBorders>
              <w:left w:val="single" w:color="000000" w:sz="4" w:space="0"/>
              <w:bottom w:val="single" w:color="000000" w:sz="4" w:space="0"/>
              <w:right w:val="single" w:color="000000" w:sz="4" w:space="0"/>
            </w:tcBorders>
            <w:tcW w:w="1523" w:type="dxa"/>
            <w:vAlign w:val="center"/>
            <w:vMerge w:val="continue"/>
            <w:textDirection w:val="lrTb"/>
            <w:noWrap w:val="false"/>
          </w:tcPr>
          <w:p>
            <w:pPr>
              <w:jc w:val="center"/>
              <w:rPr>
                <w:rFonts w:hint="default" w:ascii="Times New Roman" w:hAnsi="Times New Roman" w:cs="Times New Roman"/>
                <w:sz w:val="18"/>
                <w:szCs w:val="18"/>
              </w:rPr>
            </w:pPr>
            <w:r>
              <w:rPr>
                <w:rFonts w:hint="default" w:ascii="Times New Roman" w:hAnsi="Times New Roman" w:cs="Times New Roman"/>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φ600*580</w:t>
            </w:r>
            <w:r/>
          </w:p>
        </w:tc>
        <w:tc>
          <w:tcPr>
            <w:shd w:val="clear" w:color="auto" w:fill="auto"/>
            <w:tcBorders>
              <w:top w:val="single" w:color="000000" w:sz="4" w:space="0"/>
              <w:left w:val="single" w:color="000000" w:sz="4" w:space="0"/>
              <w:bottom w:val="single" w:color="000000" w:sz="4" w:space="0"/>
              <w:right w:val="single" w:color="000000" w:sz="4" w:space="0"/>
            </w:tcBorders>
            <w:tcW w:w="5641" w:type="dxa"/>
            <w:vAlign w:val="center"/>
            <w:textDirection w:val="lrTb"/>
            <w:noWrap w:val="false"/>
          </w:tcPr>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1、结构：圆盘脚，直径500mm,圆形桌面直径600mm，圆立柱直径60mm</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2、底盘：优质电解钢板，壁厚≥1.5mm，表面环氧树脂粉末涂料喷涂，符合HG/T 2006-2022《热固性和热塑性粉末涂料》要求；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3、桌面：户外用岩板，厚度12mm</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4、成品：各项技术指标符合GB/T 3325-2017《金属家具通用技术条件》标准的要求；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5、其他：边缘部位倒圆处理，无棱角，降低安全风险，整体结构、安全防护、质量、环保、舒适性、便利性等参数均须符合适老化要求</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张</w:t>
            </w:r>
            <w:r/>
          </w:p>
        </w:tc>
      </w:tr>
      <w:tr>
        <w:trPr>
          <w:jc w:val="center"/>
          <w:trHeight w:val="1018"/>
        </w:trPr>
        <w:tc>
          <w:tcPr>
            <w:shd w:val="clear" w:color="auto" w:fill="auto"/>
            <w:tcBorders>
              <w:top w:val="single" w:color="000000" w:sz="4" w:space="0"/>
              <w:left w:val="single" w:color="000000" w:sz="8" w:space="0"/>
              <w:bottom w:val="single" w:color="000000" w:sz="4" w:space="0"/>
              <w:right w:val="single" w:color="000000" w:sz="4" w:space="0"/>
            </w:tcBorders>
            <w:tcW w:w="50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铝合金休闲椅</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rPr>
                <w:rFonts w:hint="default" w:ascii="Times New Roman" w:hAnsi="Times New Roman" w:cs="Times New Roman"/>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972185" cy="1045845"/>
                      <wp:effectExtent l="0" t="0" r="18415" b="1905"/>
                      <wp:docPr id="121" name="ID_0B5AA6A9FEBC416AA75CEDBCAB6AD90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9" name="ID_0B5AA6A9FEBC416AA75CEDBCAB6AD90E"/>
                              <pic:cNvPicPr>
                                <a:picLocks noChangeAspect="1"/>
                              </pic:cNvPicPr>
                              <pic:nvPr/>
                            </pic:nvPicPr>
                            <pic:blipFill>
                              <a:blip r:embed="rId17"/>
                              <a:stretch/>
                            </pic:blipFill>
                            <pic:spPr bwMode="auto">
                              <a:xfrm>
                                <a:off x="0" y="0"/>
                                <a:ext cx="972185" cy="10458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width:76.5pt;height:82.3pt;mso-wrap-distance-left:0.0pt;mso-wrap-distance-top:0.0pt;mso-wrap-distance-right:0.0pt;mso-wrap-distance-bottom:0.0pt;" stroked="f" strokeweight="0.75pt">
                      <v:path textboxrect="0,0,0,0"/>
                      <v:imagedata r:id="rId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565*630*770</w:t>
            </w:r>
            <w:r/>
          </w:p>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（坐高430）</w:t>
            </w:r>
            <w:r/>
          </w:p>
        </w:tc>
        <w:tc>
          <w:tcPr>
            <w:shd w:val="clear" w:color="auto" w:fill="auto"/>
            <w:tcBorders>
              <w:top w:val="single" w:color="000000" w:sz="4" w:space="0"/>
              <w:left w:val="single" w:color="000000" w:sz="4" w:space="0"/>
              <w:bottom w:val="single" w:color="000000" w:sz="4" w:space="0"/>
              <w:right w:val="single" w:color="000000" w:sz="4" w:space="0"/>
            </w:tcBorders>
            <w:tcW w:w="5641" w:type="dxa"/>
            <w:vAlign w:val="center"/>
            <w:textDirection w:val="lrTb"/>
            <w:noWrap w:val="false"/>
          </w:tcPr>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1、坐垫及靠背饰面：阻燃布料，透气性好，表面无刺触感，平滑舒适，防螨性能优，无明显色差，性能、环保性、质量、防螨等参数符合GB 18401-2010 《国家纺织产品基本安全技术规范》、GB/T 18885-2020《生态纺织品技术要求》</w:t>
            </w:r>
            <w:r>
              <w:rPr>
                <w:rFonts w:hint="default" w:ascii="Times New Roman" w:hAnsi="Times New Roman" w:cs="Times New Roman"/>
                <w:sz w:val="18"/>
                <w:szCs w:val="18"/>
                <w:lang w:eastAsia="zh-CN"/>
              </w:rPr>
              <w:t xml:space="preserve">、</w:t>
            </w:r>
            <w:r>
              <w:rPr>
                <w:rFonts w:hint="default" w:ascii="Times New Roman" w:hAnsi="Times New Roman" w:cs="Times New Roman"/>
                <w:sz w:val="18"/>
                <w:szCs w:val="18"/>
              </w:rPr>
              <w:t xml:space="preserve">GB/T 24253-2009《纺织品 防螨性能的评价》、GB 8624-2012《建筑材料及制品燃烧性能分级》、HJ 2546-2016《环境标志产品技术要求纺织产品》要求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2、海绵：成型海绵，密度大于40kg/m3，回弹力大于50%，厚度≥5cm，符合GB/T 10802-2023《通用软质聚氨酯泡沫塑料》</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3、框架：铝合金框架，表面喷涂砂纹粉末。指标符合GB/T 3325-2017《金属家具通用技术条件》；</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4、椅脚：铝合金圆管，直径 25mm, 壁厚1.5mm，交叉管加固工艺</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5、扶手：铝合金，侧边包裹高强度塑编带。</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6、成品：各项技术指标符合国家相关标准。</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7、其他：边缘部位倒圆处理，无棱角，降低安全风险，整体结构、安全防护、质量、环保、舒适性、便利性等参数均须符合适老化要求</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张</w:t>
            </w:r>
            <w:r/>
          </w:p>
        </w:tc>
      </w:tr>
      <w:tr>
        <w:trPr>
          <w:jc w:val="center"/>
          <w:trHeight w:val="390"/>
        </w:trPr>
        <w:tc>
          <w:tcPr>
            <w:gridSpan w:val="7"/>
            <w:shd w:val="clear" w:color="auto" w:fill="d9d9d9"/>
            <w:tcBorders>
              <w:top w:val="single" w:color="000000" w:sz="4" w:space="0"/>
              <w:left w:val="single" w:color="000000" w:sz="8" w:space="0"/>
              <w:bottom w:val="single" w:color="000000" w:sz="4" w:space="0"/>
              <w:right w:val="none" w:color="000000" w:sz="4" w:space="0"/>
            </w:tcBorders>
            <w:tcW w:w="10301" w:type="dxa"/>
            <w:vAlign w:val="center"/>
            <w:textDirection w:val="lrTb"/>
            <w:noWrap w:val="false"/>
          </w:tcPr>
          <w:p>
            <w:pPr>
              <w:jc w:val="center"/>
              <w:rPr>
                <w:rFonts w:hint="default" w:ascii="Times New Roman" w:hAnsi="Times New Roman" w:cs="Times New Roman"/>
                <w:b/>
                <w:bCs/>
                <w:sz w:val="18"/>
                <w:szCs w:val="18"/>
              </w:rPr>
            </w:pPr>
            <w:r>
              <w:rPr>
                <w:rFonts w:hint="default" w:ascii="Times New Roman" w:hAnsi="Times New Roman" w:cs="Times New Roman"/>
                <w:b/>
                <w:bCs/>
                <w:sz w:val="18"/>
                <w:szCs w:val="18"/>
              </w:rPr>
              <w:t xml:space="preserve">办公区</w:t>
            </w:r>
            <w:r/>
          </w:p>
        </w:tc>
      </w:tr>
      <w:tr>
        <w:trPr>
          <w:jc w:val="center"/>
          <w:trHeight w:val="2781"/>
        </w:trPr>
        <w:tc>
          <w:tcPr>
            <w:shd w:val="clear" w:color="auto" w:fill="auto"/>
            <w:tcBorders>
              <w:top w:val="single" w:color="000000" w:sz="4" w:space="0"/>
              <w:left w:val="single" w:color="000000" w:sz="8" w:space="0"/>
              <w:bottom w:val="single" w:color="000000" w:sz="4" w:space="0"/>
              <w:right w:val="single" w:color="000000" w:sz="4" w:space="0"/>
            </w:tcBorders>
            <w:tcW w:w="50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vMerge w:val="restart"/>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班台</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vMerge w:val="restart"/>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931545" cy="426085"/>
                      <wp:effectExtent l="0" t="0" r="1905" b="12065"/>
                      <wp:docPr id="122" name="图片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6" name="图片 222"/>
                              <pic:cNvPicPr>
                                <a:picLocks noChangeAspect="1"/>
                              </pic:cNvPicPr>
                              <pic:nvPr/>
                            </pic:nvPicPr>
                            <pic:blipFill>
                              <a:blip r:embed="rId32"/>
                              <a:stretch/>
                            </pic:blipFill>
                            <pic:spPr bwMode="auto">
                              <a:xfrm>
                                <a:off x="0" y="0"/>
                                <a:ext cx="931545" cy="4260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width:73.3pt;height:33.5pt;mso-wrap-distance-left:0.0pt;mso-wrap-distance-top:0.0pt;mso-wrap-distance-right:0.0pt;mso-wrap-distance-bottom:0.0pt;" stroked="f" strokeweight="0.75pt">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2000*2020*760</w:t>
            </w:r>
            <w:r/>
          </w:p>
        </w:tc>
        <w:tc>
          <w:tcPr>
            <w:shd w:val="clear" w:color="auto" w:fill="auto"/>
            <w:tcBorders>
              <w:top w:val="single" w:color="000000" w:sz="4" w:space="0"/>
              <w:left w:val="single" w:color="000000" w:sz="4" w:space="0"/>
              <w:bottom w:val="single" w:color="000000" w:sz="4" w:space="0"/>
              <w:right w:val="single" w:color="000000" w:sz="4" w:space="0"/>
            </w:tcBorders>
            <w:tcW w:w="5641" w:type="dxa"/>
            <w:vAlign w:val="center"/>
            <w:vMerge w:val="restart"/>
            <w:textDirection w:val="lrTb"/>
            <w:noWrap w:val="false"/>
          </w:tcPr>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1、基材：优质浸渍胶膜纸饰面刨花板。板厚60mm, 甲醛释放量 ENF 级。各项指标符合GB/T 15102-2017《浸渍胶膜纸饰面纤维板和刨花板》、GB 18580-2017《室内装饰装修材料 人造板及其制品中甲醛释放限量》、GB/T 39600-2021《人造板及其制品甲醛释放量分级》、GB/T 35601-2017《绿色产品评价 人造板和木质地板》、HJ 571-2010《环境标志产品技术要求 人造板及其制品》、GB 8624-2012《建筑材料及制品燃烧性能分级》要求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2、封边：PVC封边条，厚度2mm，各项指标符合QB/T 4463-2013《家具用封边条技术要求》要求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3、连接件：金属三合一连接件，耐腐蚀性强。符合QB/T 3832-1999《轻工产品金属镀层腐蚀试验结果的评价》的要求达到10级。</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4、胶水：PUR湿气固化反应型聚氨酯热熔胶，安全环保，符合GB 18583-2008《室内装饰装修材料 胶粘剂中有害物质限量》、HJ 2541-2016《环境标志产品技术要求胶粘剂》、GB 33372-2020《胶粘剂挥发性有机化合物限量》要求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5、结构：板材桌脚，侧边为侧柜，含三抽及开门柜，桌面、侧柜均配置线盒，内有多功能集成插座。</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6、锁具：抽屉带锁，优质锁具，符合QB/T 1621-2015《家具锁》要求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7、成品：各项技术指标符合GB/T 3324-2017《木家具通用技术条件》标准的要求。</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套</w:t>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50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jc w:val="center"/>
              <w:rPr>
                <w:rFonts w:hint="default" w:ascii="Times New Roman" w:hAnsi="Times New Roman" w:cs="Times New Roman"/>
                <w:sz w:val="18"/>
                <w:szCs w:val="18"/>
              </w:rPr>
            </w:pPr>
            <w:r>
              <w:rPr>
                <w:rFonts w:hint="default" w:ascii="Times New Roman" w:hAnsi="Times New Roman" w:cs="Times New Roman"/>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vMerge w:val="continue"/>
            <w:textDirection w:val="lrTb"/>
            <w:noWrap w:val="false"/>
          </w:tcPr>
          <w:p>
            <w:pPr>
              <w:jc w:val="center"/>
              <w:rPr>
                <w:rFonts w:hint="default" w:ascii="Times New Roman" w:hAnsi="Times New Roman" w:cs="Times New Roman"/>
                <w:sz w:val="18"/>
                <w:szCs w:val="18"/>
              </w:rPr>
            </w:pPr>
            <w:r>
              <w:rPr>
                <w:rFonts w:hint="default" w:ascii="Times New Roman" w:hAnsi="Times New Roman" w:cs="Times New Roman"/>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1800*2020*760</w:t>
            </w:r>
            <w:r/>
          </w:p>
        </w:tc>
        <w:tc>
          <w:tcPr>
            <w:shd w:val="clear" w:color="auto" w:fill="auto"/>
            <w:tcBorders>
              <w:top w:val="single" w:color="000000" w:sz="4" w:space="0"/>
              <w:left w:val="single" w:color="000000" w:sz="4" w:space="0"/>
              <w:bottom w:val="single" w:color="000000" w:sz="4" w:space="0"/>
              <w:right w:val="single" w:color="000000" w:sz="4" w:space="0"/>
            </w:tcBorders>
            <w:tcW w:w="5641" w:type="dxa"/>
            <w:vAlign w:val="center"/>
            <w:vMerge w:val="continue"/>
            <w:textDirection w:val="lrTb"/>
            <w:noWrap w:val="false"/>
          </w:tcPr>
          <w:p>
            <w:pPr>
              <w:jc w:val="left"/>
              <w:rPr>
                <w:rFonts w:hint="default" w:ascii="Times New Roman" w:hAnsi="Times New Roman" w:cs="Times New Roman"/>
                <w:sz w:val="18"/>
                <w:szCs w:val="18"/>
              </w:rPr>
            </w:pPr>
            <w:r>
              <w:rPr>
                <w:rFonts w:hint="default" w:ascii="Times New Roman" w:hAnsi="Times New Roman" w:cs="Times New Roman"/>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套</w:t>
            </w:r>
            <w:r/>
          </w:p>
        </w:tc>
      </w:tr>
      <w:tr>
        <w:trPr>
          <w:jc w:val="center"/>
          <w:trHeight w:val="990"/>
        </w:trPr>
        <w:tc>
          <w:tcPr>
            <w:shd w:val="clear" w:color="auto" w:fill="auto"/>
            <w:tcBorders>
              <w:top w:val="single" w:color="000000" w:sz="4" w:space="0"/>
              <w:left w:val="single" w:color="000000" w:sz="8" w:space="0"/>
              <w:bottom w:val="single" w:color="000000" w:sz="4" w:space="0"/>
              <w:right w:val="single" w:color="000000" w:sz="4" w:space="0"/>
            </w:tcBorders>
            <w:tcW w:w="50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背柜</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1001395" cy="1270000"/>
                      <wp:effectExtent l="0" t="0" r="8255" b="6350"/>
                      <wp:docPr id="123" name="ID_202555D3BE9F4BB7BD4A2A173AA60B4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 name="ID_202555D3BE9F4BB7BD4A2A173AA60B4B"/>
                              <pic:cNvPicPr>
                                <a:picLocks noChangeAspect="1"/>
                              </pic:cNvPicPr>
                              <pic:nvPr/>
                            </pic:nvPicPr>
                            <pic:blipFill>
                              <a:blip r:embed="rId33"/>
                              <a:stretch/>
                            </pic:blipFill>
                            <pic:spPr bwMode="auto">
                              <a:xfrm>
                                <a:off x="0" y="0"/>
                                <a:ext cx="1001395" cy="1270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width:78.8pt;height:100.0pt;mso-wrap-distance-left:0.0pt;mso-wrap-distance-top:0.0pt;mso-wrap-distance-right:0.0pt;mso-wrap-distance-bottom:0.0pt;" stroked="f" strokeweight="0.75pt">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1800*420*2000</w:t>
            </w:r>
            <w:r/>
          </w:p>
        </w:tc>
        <w:tc>
          <w:tcPr>
            <w:shd w:val="clear" w:color="auto" w:fill="auto"/>
            <w:tcBorders>
              <w:top w:val="single" w:color="000000" w:sz="4" w:space="0"/>
              <w:left w:val="single" w:color="000000" w:sz="4" w:space="0"/>
              <w:bottom w:val="single" w:color="000000" w:sz="4" w:space="0"/>
              <w:right w:val="single" w:color="000000" w:sz="4" w:space="0"/>
            </w:tcBorders>
            <w:tcW w:w="5641" w:type="dxa"/>
            <w:vAlign w:val="center"/>
            <w:textDirection w:val="lrTb"/>
            <w:noWrap w:val="false"/>
          </w:tcPr>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1、基材：优质浸渍胶膜纸饰面刨花板。 甲醛释放量 ENF 级。板厚25mm，各项指标符合GB/T 15102-2017《浸渍胶膜纸饰面纤维板和刨花板》、GB 18580-2017《室内装饰装修材料 人造板及其制品中甲醛释放限量》、GB/T 39600-2021《人造板及其制品甲醛释放量分级》、GB/T 35601-2017《绿色产品评价 人造板和木质地板》、HJ 571-2010《环境标志产品技术要求 人造板及其制品》、GB 8624-2012《建筑材料及制品燃烧性能分级》要求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2、封边：PVC封边条，厚度2mm，各项指标符合QB/T 4463-2013《家具用封边条技术要求》要求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3、连接件：金属三合一连接件，耐腐蚀性强。符合QB/T 3832-1999《轻工产品金属镀层腐蚀试验结果的评价》的要求达到10级。</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4、胶水：PUR湿气固化反应型聚氨酯热熔胶，安全环保，符合GB 18583-2008《室内装饰装修材料 胶粘剂中有害物质限量》、HJ 2541-2016《环境标志产品技术要求胶粘剂》、GB 33372-2020《胶粘剂挥发性有机化合物限量》要求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5、结构：上-左右为单开木掩门，内置一块活动层板，中间为双开玻璃门，</w:t>
            </w:r>
            <w:r>
              <w:rPr>
                <w:rFonts w:hint="default" w:ascii="Times New Roman" w:hAnsi="Times New Roman" w:cs="Times New Roman"/>
                <w:sz w:val="18"/>
                <w:szCs w:val="18"/>
                <w:lang w:val="en-US" w:eastAsia="zh-CN"/>
              </w:rPr>
              <w:t xml:space="preserve">玻璃材质为钢化清玻，</w:t>
            </w:r>
            <w:r>
              <w:rPr>
                <w:rFonts w:hint="default" w:ascii="Times New Roman" w:hAnsi="Times New Roman" w:cs="Times New Roman"/>
                <w:sz w:val="18"/>
                <w:szCs w:val="18"/>
              </w:rPr>
              <w:t xml:space="preserve">厚度≥</w:t>
            </w:r>
            <w:r>
              <w:rPr>
                <w:rFonts w:hint="default" w:ascii="Times New Roman" w:hAnsi="Times New Roman" w:cs="Times New Roman"/>
                <w:sz w:val="18"/>
                <w:szCs w:val="18"/>
                <w:lang w:val="en-US" w:eastAsia="zh-CN"/>
              </w:rPr>
              <w:t xml:space="preserve">5mm，</w:t>
            </w:r>
            <w:r>
              <w:rPr>
                <w:rFonts w:hint="default" w:ascii="Times New Roman" w:hAnsi="Times New Roman" w:cs="Times New Roman"/>
                <w:sz w:val="18"/>
                <w:szCs w:val="18"/>
              </w:rPr>
              <w:t xml:space="preserve">内置两块活动层板，下-左右单开木掩门，中间双开木掩门，所有下柜内置一块活动层板，柜门带锁；</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6、铰链：优质金属铰链，指标符合QB/T 2189-2013《家具五金 杯状暗铰链》要求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7、锁具：柜门带锁，优质锁具，符合QB/T 1621-2015《家具锁》要求；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8、成品：各项技术指标符合GB/T 3324-2017《木家具通用技术条件》标准的要求。</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个</w:t>
            </w:r>
            <w:r/>
          </w:p>
        </w:tc>
      </w:tr>
      <w:tr>
        <w:trPr>
          <w:jc w:val="center"/>
          <w:trHeight w:val="3000"/>
        </w:trPr>
        <w:tc>
          <w:tcPr>
            <w:shd w:val="clear" w:color="auto" w:fill="auto"/>
            <w:tcBorders>
              <w:top w:val="single" w:color="000000" w:sz="4" w:space="0"/>
              <w:left w:val="single" w:color="000000" w:sz="8" w:space="0"/>
              <w:bottom w:val="single" w:color="000000" w:sz="4" w:space="0"/>
              <w:right w:val="single" w:color="000000" w:sz="4" w:space="0"/>
            </w:tcBorders>
            <w:tcW w:w="50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班椅</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927100" cy="1176020"/>
                      <wp:effectExtent l="0" t="0" r="6350" b="5080"/>
                      <wp:docPr id="124"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1" name="图片 48"/>
                              <pic:cNvPicPr>
                                <a:picLocks noChangeAspect="1"/>
                              </pic:cNvPicPr>
                              <pic:nvPr/>
                            </pic:nvPicPr>
                            <pic:blipFill>
                              <a:blip r:embed="rId34"/>
                              <a:stretch/>
                            </pic:blipFill>
                            <pic:spPr bwMode="auto">
                              <a:xfrm>
                                <a:off x="0" y="0"/>
                                <a:ext cx="927100" cy="11760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width:73.0pt;height:92.6pt;mso-wrap-distance-left:0.0pt;mso-wrap-distance-top:0.0pt;mso-wrap-distance-right:0.0pt;mso-wrap-distance-bottom:0.0pt;" stroked="f" strokeweight="0.75pt">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650*640*（1180-1240）</w:t>
            </w:r>
            <w:r/>
          </w:p>
        </w:tc>
        <w:tc>
          <w:tcPr>
            <w:shd w:val="clear" w:color="auto" w:fill="auto"/>
            <w:tcBorders>
              <w:top w:val="single" w:color="000000" w:sz="4" w:space="0"/>
              <w:left w:val="single" w:color="000000" w:sz="4" w:space="0"/>
              <w:bottom w:val="single" w:color="000000" w:sz="4" w:space="0"/>
              <w:right w:val="single" w:color="000000" w:sz="4" w:space="0"/>
            </w:tcBorders>
            <w:tcW w:w="5641" w:type="dxa"/>
            <w:vAlign w:val="center"/>
            <w:textDirection w:val="lrTb"/>
            <w:noWrap w:val="false"/>
          </w:tcPr>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1、椅背/椅座：优质超纤皮，表面纹理清晰，具有良好的色牢度、耐光耐磨性、透气性等特性；   </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2、海绵：成型海绵，厚度≥10cm，密度大于40kg/m3，回弹力大于50%，符合GB/T 10802-2023《通用软质聚氨酯泡沫塑料》、QB/T 2280-2016《办公家具 办公椅》要求；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3、扶手：铝合金，表面超纤皮软包固定扶手；</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4、气压棒：金属气压棒，升降行程60mm，棒芯壁厚须符合GB/T 29525-2013《座椅升降气弹簧 技术条件》要求；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5、脚轮：铝合金抛光五星脚，五星脚直径670mm，尼龙轮，轮径60mm，滑动时无杂音、活动自如；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6、胶粘剂：环保型喷胶，符合GB 18583-2008《室内装饰装修材料 胶粘剂中有害物质限量》、HJ 2541-2016《环境标志产品技术要求胶粘剂》、GB 33372-2020《胶粘剂挥发性有机化合物限量》要求；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7、颜色：黑色；</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8、成品：需符合QB/T 2280-2016《办公家具 办公椅》；</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9、其他：前置式倾仰机构，原位锁定，靠背及坐垫支撑为多层曲木板，厚度≥15mm；</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10、净尺寸：坐宽505mm，坐高450-510mm，座深460mm；</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张</w:t>
            </w:r>
            <w:r/>
          </w:p>
        </w:tc>
      </w:tr>
      <w:tr>
        <w:trPr>
          <w:jc w:val="center"/>
          <w:trHeight w:val="3365"/>
        </w:trPr>
        <w:tc>
          <w:tcPr>
            <w:shd w:val="clear" w:color="auto" w:fill="auto"/>
            <w:tcBorders>
              <w:top w:val="single" w:color="000000" w:sz="4" w:space="0"/>
              <w:left w:val="single" w:color="000000" w:sz="8" w:space="0"/>
              <w:bottom w:val="single" w:color="000000" w:sz="4" w:space="0"/>
              <w:right w:val="single" w:color="000000" w:sz="4" w:space="0"/>
            </w:tcBorders>
            <w:tcW w:w="50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班前椅</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980440" cy="1152525"/>
                      <wp:effectExtent l="0" t="0" r="10160" b="9525"/>
                      <wp:docPr id="125" name="ID_7E29F11A92824F12A831BDB470712EB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2" name="ID_7E29F11A92824F12A831BDB470712EB8"/>
                              <pic:cNvPicPr>
                                <a:picLocks noChangeAspect="1"/>
                              </pic:cNvPicPr>
                              <pic:nvPr/>
                            </pic:nvPicPr>
                            <pic:blipFill>
                              <a:blip r:embed="rId35"/>
                              <a:srcRect l="0" t="16978" r="0" b="0"/>
                              <a:stretch/>
                            </pic:blipFill>
                            <pic:spPr bwMode="auto">
                              <a:xfrm>
                                <a:off x="0" y="0"/>
                                <a:ext cx="980440" cy="1152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width:77.2pt;height:90.8pt;mso-wrap-distance-left:0.0pt;mso-wrap-distance-top:0.0pt;mso-wrap-distance-right:0.0pt;mso-wrap-distance-bottom:0.0pt;" stroked="f" strokeweight="0.75pt">
                      <v:path textboxrect="0,0,0,0"/>
                      <v:imagedata r:id="rId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650*640*960</w:t>
            </w:r>
            <w:r/>
          </w:p>
        </w:tc>
        <w:tc>
          <w:tcPr>
            <w:shd w:val="clear" w:color="auto" w:fill="auto"/>
            <w:tcBorders>
              <w:top w:val="single" w:color="000000" w:sz="4" w:space="0"/>
              <w:left w:val="single" w:color="000000" w:sz="4" w:space="0"/>
              <w:bottom w:val="single" w:color="000000" w:sz="4" w:space="0"/>
              <w:right w:val="single" w:color="000000" w:sz="4" w:space="0"/>
            </w:tcBorders>
            <w:tcW w:w="5641" w:type="dxa"/>
            <w:vAlign w:val="center"/>
            <w:textDirection w:val="lrTb"/>
            <w:noWrap w:val="false"/>
          </w:tcPr>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1、椅背/椅座：优质超纤皮，表面纹理清晰，具有良好的色牢度、耐光耐磨性、透气性等特性；  </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2、海绵：成型海绵，厚度≥10cm，密度大于40kg/m³，回弹力大于50%，符合GB/T 10802-2023《通用软质聚氨酯泡沫塑料》、QB/T 2280-2016《办公家具 办公椅》要求；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3、扶手：超纤皮软包，固定扶手；</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4、椅脚：钢制电镀弓形脚；</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5、胶粘剂：环保型喷胶，符合GB 18583-2008《室内装饰装修材料 胶粘剂中有害物质限量》、HJ 2541-2016《环境标志产品技术要求胶粘剂》、GB 33372-2020《胶粘剂挥发性有机化合物限量》要求；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6、颜色：黑色；</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7、成品：需符合QB/T 2280-2016《办公家具 办公椅》要求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8、其他：固定式靠背及坐垫支撑为多层曲木板，厚度≥15mm；</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9、净尺寸：坐宽505mm，坐高450mm，坐深460mm；</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张</w:t>
            </w:r>
            <w:r/>
          </w:p>
        </w:tc>
      </w:tr>
      <w:tr>
        <w:trPr>
          <w:jc w:val="center"/>
          <w:trHeight w:val="180"/>
        </w:trPr>
        <w:tc>
          <w:tcPr>
            <w:shd w:val="clear" w:color="auto" w:fill="auto"/>
            <w:tcBorders>
              <w:top w:val="single" w:color="000000" w:sz="4" w:space="0"/>
              <w:left w:val="single" w:color="000000" w:sz="8" w:space="0"/>
              <w:bottom w:val="single" w:color="000000" w:sz="4" w:space="0"/>
              <w:right w:val="single" w:color="000000" w:sz="4" w:space="0"/>
            </w:tcBorders>
            <w:tcW w:w="50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沙发（双人位）</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963295" cy="521335"/>
                      <wp:effectExtent l="0" t="0" r="8255" b="12065"/>
                      <wp:docPr id="126" name="图片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8" name="图片 224"/>
                              <pic:cNvPicPr>
                                <a:picLocks noChangeAspect="1"/>
                              </pic:cNvPicPr>
                              <pic:nvPr/>
                            </pic:nvPicPr>
                            <pic:blipFill>
                              <a:blip r:embed="rId36"/>
                              <a:stretch/>
                            </pic:blipFill>
                            <pic:spPr bwMode="auto">
                              <a:xfrm>
                                <a:off x="0" y="0"/>
                                <a:ext cx="963295" cy="5213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width:75.8pt;height:41.0pt;mso-wrap-distance-left:0.0pt;mso-wrap-distance-top:0.0pt;mso-wrap-distance-right:0.0pt;mso-wrap-distance-bottom:0.0pt;" stroked="f" strokeweight="0.75pt">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1700*860*900</w:t>
            </w:r>
            <w:r/>
          </w:p>
        </w:tc>
        <w:tc>
          <w:tcPr>
            <w:shd w:val="clear" w:color="auto" w:fill="auto"/>
            <w:tcBorders>
              <w:top w:val="single" w:color="000000" w:sz="4" w:space="0"/>
              <w:left w:val="single" w:color="000000" w:sz="4" w:space="0"/>
              <w:bottom w:val="single" w:color="000000" w:sz="4" w:space="0"/>
              <w:right w:val="single" w:color="000000" w:sz="4" w:space="0"/>
            </w:tcBorders>
            <w:tcW w:w="5641" w:type="dxa"/>
            <w:vAlign w:val="center"/>
            <w:textDirection w:val="lrTb"/>
            <w:noWrap w:val="false"/>
          </w:tcPr>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1、饰面：优质超纤皮，表面纹理清晰，具有良好的色牢度、耐光耐磨性、透气性等特性；</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2、海绵：阻燃海绵，密度大于40kg/m3，回弹力大于50%，符合GB/T 10802-2023《通用软质聚氨酯泡沫塑料》</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GB 8624-2012《建筑材料及制品燃烧性能分级》等标准要求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3、框架：采用优质天然松木，经专业干燥设备处理，保证长时间使用不开裂、不变形；</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4、胶粘剂：环保型喷胶，符合GB 18583-2008《室内装饰装修材料 胶粘剂中有害物质限量》：HJ 2541-2016《环境标志产品技术要求胶粘剂》；GB 33372-2020《胶粘剂挥发性有机化合物限量》要求；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5、沙发脚：钢制脚，表面静电粉末喷涂处理；</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6、扶手：超纤皮软包扶手；</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7、颜色：黑色；</w:t>
            </w:r>
            <w:r/>
          </w:p>
          <w:p>
            <w:pPr>
              <w:jc w:val="left"/>
              <w:widowControl/>
              <w:rPr>
                <w:rFonts w:hint="default" w:ascii="Times New Roman" w:hAnsi="Times New Roman" w:cs="Times New Roman"/>
                <w:b/>
                <w:bCs/>
                <w:spacing w:val="2"/>
                <w:sz w:val="18"/>
                <w:szCs w:val="18"/>
                <w:highlight w:val="yellow"/>
              </w:rPr>
            </w:pPr>
            <w:r>
              <w:rPr>
                <w:rFonts w:hint="default" w:ascii="Times New Roman" w:hAnsi="Times New Roman" w:cs="Times New Roman"/>
                <w:sz w:val="18"/>
                <w:szCs w:val="18"/>
              </w:rPr>
              <w:t xml:space="preserve">8、成品：各项技术指标符合QB/T 1952.1-2023《软体家具沙发》 标准的要求。</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张</w:t>
            </w:r>
            <w:r/>
          </w:p>
        </w:tc>
      </w:tr>
      <w:tr>
        <w:trPr>
          <w:jc w:val="center"/>
          <w:trHeight w:val="3000"/>
        </w:trPr>
        <w:tc>
          <w:tcPr>
            <w:shd w:val="clear" w:color="auto" w:fill="auto"/>
            <w:tcBorders>
              <w:top w:val="single" w:color="000000" w:sz="4" w:space="0"/>
              <w:left w:val="single" w:color="000000" w:sz="8" w:space="0"/>
              <w:bottom w:val="single" w:color="000000" w:sz="4" w:space="0"/>
              <w:right w:val="single" w:color="000000" w:sz="4" w:space="0"/>
            </w:tcBorders>
            <w:tcW w:w="50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方茶几</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921385" cy="636270"/>
                      <wp:effectExtent l="0" t="0" r="12065" b="11430"/>
                      <wp:docPr id="127" name="图片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9" name="图片 225"/>
                              <pic:cNvPicPr>
                                <a:picLocks noChangeAspect="1"/>
                              </pic:cNvPicPr>
                              <pic:nvPr/>
                            </pic:nvPicPr>
                            <pic:blipFill>
                              <a:blip r:embed="rId37"/>
                              <a:stretch/>
                            </pic:blipFill>
                            <pic:spPr bwMode="auto">
                              <a:xfrm>
                                <a:off x="0" y="0"/>
                                <a:ext cx="921385" cy="6362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width:72.5pt;height:50.1pt;mso-wrap-distance-left:0.0pt;mso-wrap-distance-top:0.0pt;mso-wrap-distance-right:0.0pt;mso-wrap-distance-bottom:0.0pt;" stroked="f" strokeweight="0.75pt">
                      <v:path textboxrect="0,0,0,0"/>
                      <v:imagedata r:id="rId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600*600*420</w:t>
            </w:r>
            <w:r/>
          </w:p>
        </w:tc>
        <w:tc>
          <w:tcPr>
            <w:shd w:val="clear" w:color="auto" w:fill="auto"/>
            <w:tcBorders>
              <w:top w:val="single" w:color="000000" w:sz="4" w:space="0"/>
              <w:left w:val="single" w:color="000000" w:sz="4" w:space="0"/>
              <w:bottom w:val="single" w:color="000000" w:sz="4" w:space="0"/>
              <w:right w:val="single" w:color="000000" w:sz="4" w:space="0"/>
            </w:tcBorders>
            <w:tcW w:w="5641" w:type="dxa"/>
            <w:vAlign w:val="center"/>
            <w:textDirection w:val="lrTb"/>
            <w:noWrap w:val="false"/>
          </w:tcPr>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1、结构：四脚桌；</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2、基材：优质浸渍胶膜纸饰面刨花板。 甲醛释放量 ENF 级。板厚25mm，各项指标符合GB/T 15102-2017《浸渍胶膜纸饰面纤维板和刨花板》、GB 18580-2017《室内装饰装修材料 人造板及其制品中甲醛释放限量》、GB/T 39600-2021《人造板及其制品甲醛释放量分级》、B/T 35601-2017《绿色产品评价 人造板和木质地板》、HJ 571-2010《环境标志产品技术要求 人造板及其制品》、GB 8624-2012《建筑材料及制品燃烧性能分级》要求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3、封边：PVC封边条，厚度2mm，各项指标符合QB/T 4463-2013《家具用封边条技术要求》要求；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4、桌腿：优质钢腿及桌架，方管尺寸50*50mm，表面环氧树脂粉末涂料喷涂，符合HG/T 2006-2022《热固性和热塑性粉末涂料》要求；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5、成品：各项技术指标符合GB/T 3325-2017《金属家具通用技术条件》标准的要求；</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个</w:t>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50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23</w:t>
            </w:r>
            <w:r/>
          </w:p>
        </w:tc>
        <w:tc>
          <w:tcPr>
            <w:shd w:val="clear" w:color="auto" w:fill="auto"/>
            <w:tcBorders>
              <w:top w:val="non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屏风工位</w:t>
            </w:r>
            <w:r/>
          </w:p>
        </w:tc>
        <w:tc>
          <w:tcPr>
            <w:shd w:val="clear" w:color="auto" w:fill="auto"/>
            <w:tcBorders>
              <w:top w:val="non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793115" cy="987425"/>
                      <wp:effectExtent l="0" t="0" r="6985" b="3175"/>
                      <wp:docPr id="128" name="图片 35" descr="02莱克活动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3" name="图片 35" descr="02莱克活动柜"/>
                              <pic:cNvPicPr>
                                <a:picLocks noChangeAspect="1"/>
                              </pic:cNvPicPr>
                              <pic:nvPr/>
                            </pic:nvPicPr>
                            <pic:blipFill>
                              <a:blip r:embed="rId39"/>
                              <a:stretch/>
                            </pic:blipFill>
                            <pic:spPr bwMode="auto">
                              <a:xfrm>
                                <a:off x="0" y="0"/>
                                <a:ext cx="793115" cy="9874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width:62.4pt;height:77.8pt;mso-wrap-distance-left:0.0pt;mso-wrap-distance-top:0.0pt;mso-wrap-distance-right:0.0pt;mso-wrap-distance-bottom:0.0pt;" stroked="f" strokeweight="0.75pt">
                      <v:path textboxrect="0,0,0,0"/>
                      <v:imagedata r:id="rId39" o:title=""/>
                    </v:shape>
                  </w:pict>
                </mc:Fallback>
              </mc:AlternateContent>
            </w: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1001395" cy="780415"/>
                      <wp:effectExtent l="0" t="0" r="8255" b="635"/>
                      <wp:docPr id="129" name="ID_4A5264C807D94F8DACEB35691C298ABA" descr="Enscape_2024-04-05-17-0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2" name="ID_4A5264C807D94F8DACEB35691C298ABA" descr="Enscape_2024-04-05-17-08-56"/>
                              <pic:cNvPicPr>
                                <a:picLocks noChangeAspect="1"/>
                              </pic:cNvPicPr>
                              <pic:nvPr/>
                            </pic:nvPicPr>
                            <pic:blipFill>
                              <a:blip r:embed="rId38"/>
                              <a:srcRect l="17812" t="8235" r="25417" b="11209"/>
                              <a:stretch/>
                            </pic:blipFill>
                            <pic:spPr bwMode="auto">
                              <a:xfrm>
                                <a:off x="0" y="0"/>
                                <a:ext cx="1001395" cy="7804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width:78.8pt;height:61.4pt;mso-wrap-distance-left:0.0pt;mso-wrap-distance-top:0.0pt;mso-wrap-distance-right:0.0pt;mso-wrap-distance-bottom:0.0pt;" stroked="f" strokeweight="0.75pt">
                      <v:path textboxrect="0,0,0,0"/>
                      <v:imagedata r:id="rId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工作位：1500*1500*750/1200</w:t>
            </w:r>
            <w:r>
              <w:rPr>
                <w:rFonts w:hint="default" w:ascii="Times New Roman" w:hAnsi="Times New Roman" w:eastAsia="等线" w:cs="Times New Roman"/>
                <w:sz w:val="18"/>
                <w:szCs w:val="18"/>
              </w:rPr>
              <w:br/>
            </w:r>
            <w:r>
              <w:rPr>
                <w:rFonts w:hint="default" w:ascii="Times New Roman" w:hAnsi="Times New Roman" w:eastAsia="等线" w:cs="Times New Roman"/>
                <w:sz w:val="18"/>
                <w:szCs w:val="18"/>
              </w:rPr>
              <w:t xml:space="preserve">活动柜：</w:t>
            </w:r>
            <w:r>
              <w:rPr>
                <w:rFonts w:hint="default" w:ascii="Times New Roman" w:hAnsi="Times New Roman" w:eastAsia="等线" w:cs="Times New Roman"/>
                <w:sz w:val="18"/>
                <w:szCs w:val="18"/>
              </w:rPr>
              <w:br/>
            </w:r>
            <w:r>
              <w:rPr>
                <w:rFonts w:hint="default" w:ascii="Times New Roman" w:hAnsi="Times New Roman" w:eastAsia="等线" w:cs="Times New Roman"/>
                <w:sz w:val="18"/>
                <w:szCs w:val="18"/>
              </w:rPr>
              <w:t xml:space="preserve">410*490*630</w:t>
            </w:r>
            <w:r/>
          </w:p>
        </w:tc>
        <w:tc>
          <w:tcPr>
            <w:shd w:val="clear" w:color="auto" w:fill="auto"/>
            <w:tcBorders>
              <w:top w:val="none" w:color="000000" w:sz="4" w:space="0"/>
              <w:left w:val="single" w:color="000000" w:sz="4" w:space="0"/>
              <w:bottom w:val="single" w:color="000000" w:sz="4" w:space="0"/>
              <w:right w:val="single" w:color="000000" w:sz="4" w:space="0"/>
            </w:tcBorders>
            <w:tcW w:w="5641" w:type="dxa"/>
            <w:vAlign w:val="center"/>
            <w:textDirection w:val="lrTb"/>
            <w:noWrap w:val="false"/>
          </w:tcPr>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1、屏风框架：屏风工位主龙骨采用铝型材，走线屏风厚度45mm，非走线屏风厚度30mm,符合GB/T 22792.1-2009《办公家具屏风第1部分：尺寸》。主材壁厚不小于1.2mm。</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2、安全角设计：所有人体接触棱角、棱边均倒圆弧，避免铝材切口位置对人体接触时的伤害。裸露的接口和切口处加铝合金边盖。</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3、屏风面板：基材：刨花板；外饰：阻燃布料；甲醛释放量符合国家标准ENF级要求。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走线槽在45mm厚屏风上，可拆卸，便于打开检修。</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屏风结实牢靠，所有接头卡位牢固；顶部接头无螺丝位，能多次无损拆装。</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4、桌面面板：优质浸渍胶膜纸饰面刨花板，厚度25mm，甲醛释放量 ENF 级。各项指标符合GB/T 15102-2017《浸渍胶膜纸饰面纤维板和刨花板》、GB 18580-2017《室内装饰装修材料 人造板及其制品中甲醛释放限量》、GB/T 39600-2021《人造板及其制品甲醛释放量分级》、GB/T 35601-2017《绿色产品评价 人造板和木质地板》、HJ 571-2010《环境标志产品技术要求 人造板及其制品》、GB 8624-2012《建筑材料及制品燃烧性能分级》要求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5、封边：激光封边条，各项指标符合QB/T 4463-2013《家具用封边条技术要求》要求。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6、走线：走线符合安全使用要求，走暗线，暗线槽设置符合现场使用要求。桌面设备铝合金线盒，可放置4个86型插座。</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7、底脚：底脚带有高度调节功能。</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8、成品：桌面高度为750mm，屏风高度为1200mm，各项技术指标符合GB/T 22792.1-2009《办公家具 屏风 第1部分：尺寸》、GB 22792.2-2008《办公家具 屏风 第2部分：安全要求》、GB/T 22792.3-2008《办公家具 屏风 第3部分:试验方法》、GB/T 3325-2017《金属家具通用技术条件》、QB/T 4935-2016《办公家具屏风桌》标准的要求；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9、柜类配置：</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①每个工位含板式活动柜一个，外部及抽面材质：优质浸渍胶膜纸饰面刨花板，颜色同桌面</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三层抽屉，抽屉材质为电解钢板，厚度为0.8mm，符合GB/T 35607-2017《绿色产品评价 家具》、GB/T 11253-2019《碳素结构钢冷轧钢板及钢带》要求，表面粉末喷涂</w:t>
            </w:r>
            <w:r/>
          </w:p>
          <w:p>
            <w:pPr>
              <w:jc w:val="left"/>
              <w:widowControl/>
              <w:rPr>
                <w:rFonts w:hint="default" w:ascii="Times New Roman" w:hAnsi="Times New Roman" w:cs="Times New Roman"/>
                <w:sz w:val="18"/>
                <w:szCs w:val="18"/>
                <w:highlight w:val="yellow"/>
              </w:rPr>
            </w:pPr>
            <w:r>
              <w:rPr>
                <w:rFonts w:hint="default" w:ascii="Times New Roman" w:hAnsi="Times New Roman" w:cs="Times New Roman"/>
                <w:sz w:val="18"/>
                <w:szCs w:val="18"/>
              </w:rPr>
              <w:t xml:space="preserve">三节导轨符合QB/T 2454-2013《家具五金 抽屉导轨》要求，首层抽屉配文具盒，底层抽屉可挂挂块牢档案袋，带锁具，锁具符合QB/T 1621-2015《家具锁》要求，底部5个活动轮，配有防倾倒轮，静音。</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套</w:t>
            </w:r>
            <w:r/>
          </w:p>
        </w:tc>
      </w:tr>
      <w:tr>
        <w:trPr>
          <w:jc w:val="center"/>
          <w:trHeight w:val="1276"/>
        </w:trPr>
        <w:tc>
          <w:tcPr>
            <w:shd w:val="clear" w:color="auto" w:fill="auto"/>
            <w:tcBorders>
              <w:top w:val="single" w:color="000000" w:sz="4" w:space="0"/>
              <w:left w:val="single" w:color="000000" w:sz="8" w:space="0"/>
              <w:bottom w:val="single" w:color="000000" w:sz="4" w:space="0"/>
              <w:right w:val="single" w:color="000000" w:sz="4" w:space="0"/>
            </w:tcBorders>
            <w:tcW w:w="50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969010" cy="1313180"/>
                      <wp:effectExtent l="0" t="0" r="2540" b="1270"/>
                      <wp:docPr id="130"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8" name="图片 45"/>
                              <pic:cNvPicPr>
                                <a:picLocks noChangeAspect="1"/>
                              </pic:cNvPicPr>
                              <pic:nvPr/>
                            </pic:nvPicPr>
                            <pic:blipFill>
                              <a:blip r:embed="rId40"/>
                              <a:stretch/>
                            </pic:blipFill>
                            <pic:spPr bwMode="auto">
                              <a:xfrm>
                                <a:off x="0" y="0"/>
                                <a:ext cx="969010" cy="13131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width:76.3pt;height:103.4pt;mso-wrap-distance-left:0.0pt;mso-wrap-distance-top:0.0pt;mso-wrap-distance-right:0.0pt;mso-wrap-distance-bottom:0.0pt;" stroked="f" strokeweight="0.75pt">
                      <v:path textboxrect="0,0,0,0"/>
                      <v:imagedata r:id="rId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645*560*（970-1060）</w:t>
            </w:r>
            <w:r/>
          </w:p>
        </w:tc>
        <w:tc>
          <w:tcPr>
            <w:shd w:val="clear" w:color="auto" w:fill="auto"/>
            <w:tcBorders>
              <w:top w:val="single" w:color="000000" w:sz="4" w:space="0"/>
              <w:left w:val="single" w:color="000000" w:sz="4" w:space="0"/>
              <w:bottom w:val="single" w:color="000000" w:sz="4" w:space="0"/>
              <w:right w:val="single" w:color="000000" w:sz="4" w:space="0"/>
            </w:tcBorders>
            <w:tcW w:w="5641" w:type="dxa"/>
            <w:vAlign w:val="center"/>
            <w:textDirection w:val="lrTb"/>
            <w:noWrap w:val="false"/>
          </w:tcPr>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1、椅背：优质网布，具有透气性和防静电性能，耐磨性强，厚度1.0mm。甲醛含量低于300mg/kg，安全环保，符合GB 18401-2010《国家纺织产品基本安全技术规范》标准。具有透气性和防静电性能，耐磨性强，厚度≥1.0mm。</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2、背框：全新PP一次注塑成型背框，内外框结构，结构坚固。</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3、坐垫：纤维织物，具有耐磨性。</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4、海绵：软质聚醚型聚氨酯泡沫塑料成型海绵，厚度≥75mm，密度大于40kg/m3，回弹力大于50%，符合GB/T 10802-2023《通用软质聚氨酯泡沫塑料》；QB/T 2280-2016《办公家具 办公椅》要求。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5、座板：采用15mm多层曲木板热压成型，板材绿色环保，经防潮、防腐、防蛀等化学处理。底部采用PP底壳包底。</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6、扶手：PP可升降T型扶手,扶手面PU材质</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7、底盘：采用安全可锁定同步倾仰底盘，由3.2mm钢板压制而成，经防腐处理。</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8、气压棒：金属气压棒，升降行程90mm，棒芯壁厚须符合GB/T 29525-2013《座椅升降气弹簧 技术条件》要求。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9、胶粘剂：环保型喷胶，符合GB 18583-2008《室内装饰装修材料 胶粘剂中有害物质限量》、HJ 2541-2016《环境标志产品技术要求胶粘剂》、GB 33372-2020《胶粘剂挥发性有机化合物限量》要求；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10、五星脚：塑料五星脚，直径650 mm。</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11、脚轮：PU万向轮，直径60 mm，滑动时无杂音、活动自如。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12、成品：需符合QB/T 2280-2016《办公家具 办公椅》的要求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13、腰托：PP腰托，可上下调节</w:t>
            </w:r>
            <w:r/>
          </w:p>
          <w:p>
            <w:pPr>
              <w:jc w:val="left"/>
              <w:widowControl/>
              <w:rPr>
                <w:rFonts w:hint="default" w:ascii="Times New Roman" w:hAnsi="Times New Roman" w:cs="Times New Roman" w:eastAsiaTheme="majorEastAsia"/>
                <w:sz w:val="18"/>
                <w:szCs w:val="18"/>
                <w:highlight w:val="yellow"/>
              </w:rPr>
            </w:pPr>
            <w:r>
              <w:rPr>
                <w:rFonts w:hint="default" w:ascii="Times New Roman" w:hAnsi="Times New Roman" w:cs="Times New Roman"/>
                <w:sz w:val="18"/>
                <w:szCs w:val="18"/>
              </w:rPr>
              <w:t xml:space="preserve">14、净尺寸：座宽455mm，坐高405-495mm，坐深：450mm；</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张</w:t>
            </w:r>
            <w:r/>
          </w:p>
        </w:tc>
      </w:tr>
      <w:tr>
        <w:trPr>
          <w:jc w:val="center"/>
          <w:trHeight w:val="590"/>
        </w:trPr>
        <w:tc>
          <w:tcPr>
            <w:shd w:val="clear" w:color="auto" w:fill="auto"/>
            <w:tcBorders>
              <w:top w:val="single" w:color="000000" w:sz="4" w:space="0"/>
              <w:left w:val="single" w:color="000000" w:sz="8" w:space="0"/>
              <w:bottom w:val="single" w:color="000000" w:sz="4" w:space="0"/>
              <w:right w:val="single" w:color="000000" w:sz="4" w:space="0"/>
            </w:tcBorders>
            <w:tcW w:w="50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矮柜</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847725" cy="885825"/>
                      <wp:effectExtent l="0" t="0" r="5715" b="13335"/>
                      <wp:docPr id="131" name="ID_FE7CAE82699642ABA5E50EA15B07D58D" descr="MS2B-0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D_FE7CAE82699642ABA5E50EA15B07D58D" descr="MS2B-0809"/>
                              <pic:cNvPicPr>
                                <a:picLocks noChangeAspect="1"/>
                              </pic:cNvPicPr>
                              <pic:nvPr/>
                            </pic:nvPicPr>
                            <pic:blipFill>
                              <a:blip r:embed="rId42"/>
                              <a:stretch/>
                            </pic:blipFill>
                            <pic:spPr bwMode="auto">
                              <a:xfrm>
                                <a:off x="0" y="0"/>
                                <a:ext cx="847725" cy="885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width:66.8pt;height:69.8pt;mso-wrap-distance-left:0.0pt;mso-wrap-distance-top:0.0pt;mso-wrap-distance-right:0.0pt;mso-wrap-distance-bottom:0.0pt;" stroked="f" strokeweight="0.75pt">
                      <v:path textboxrect="0,0,0,0"/>
                      <v:imagedata r:id="rId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900*420*900</w:t>
            </w:r>
            <w:r/>
          </w:p>
        </w:tc>
        <w:tc>
          <w:tcPr>
            <w:shd w:val="clear" w:color="auto" w:fill="auto"/>
            <w:tcBorders>
              <w:top w:val="single" w:color="000000" w:sz="4" w:space="0"/>
              <w:left w:val="single" w:color="000000" w:sz="4" w:space="0"/>
              <w:bottom w:val="single" w:color="000000" w:sz="4" w:space="0"/>
              <w:right w:val="single" w:color="000000" w:sz="4" w:space="0"/>
            </w:tcBorders>
            <w:tcW w:w="5641" w:type="dxa"/>
            <w:vAlign w:val="center"/>
            <w:textDirection w:val="lrTb"/>
            <w:noWrap w:val="false"/>
          </w:tcPr>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1、优质浸渍胶膜纸饰面刨花板。 甲醛释放量 ENF 级。板厚25mm，各项指标符合</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GB/T 15102-2017《浸渍胶膜纸饰面纤维板和刨花板》、GB 18580-2017《室内装饰装修材料 人造板及其制品中甲醛释放限量》、GB/T 39600-2021《人造板及其制品甲醛释放量分级》、GB/T 35601-2017《绿色产品评价 人造板和木质地板》、HJ 571-2010《环境标志产品技术要求 人造板及其制品》。</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GB 8624-2012《建筑材料及制品燃烧性能分级》要求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2、封边：激光封边条，各项指标符合QB/T 4463-2013《家具用封边条技术要求》要求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3、连接件：金属三合一连接件，耐腐蚀性强。符合QB/T 3832-1999《轻工产品金属镀层腐蚀试验结果的评价》的要求达到10级。</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4、结构：双开木掩门，内置一块活动层板，柜门带锁；</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5、铰链：优质金属铰链，指标符合QB/T 2189-2013《家具五金 杯状暗铰链》要求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6、锁具：柜门带锁，优质锁具，符合QB/T 1621-2015《家具锁》要求；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7、成品：各项技术指标符合GB/T 3324-2017《木家具通用技术条件》标准的要求。</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个</w:t>
            </w:r>
            <w:r/>
          </w:p>
        </w:tc>
      </w:tr>
      <w:tr>
        <w:trPr>
          <w:jc w:val="center"/>
          <w:trHeight w:val="566"/>
        </w:trPr>
        <w:tc>
          <w:tcPr>
            <w:shd w:val="clear" w:color="auto" w:fill="auto"/>
            <w:tcBorders>
              <w:top w:val="single" w:color="000000" w:sz="4" w:space="0"/>
              <w:left w:val="single" w:color="000000" w:sz="8" w:space="0"/>
              <w:bottom w:val="single" w:color="000000" w:sz="4" w:space="0"/>
              <w:right w:val="single" w:color="000000" w:sz="4" w:space="0"/>
            </w:tcBorders>
            <w:tcW w:w="50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板式文件柜（上玻璃下木掩门柜）</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833755" cy="1332230"/>
                      <wp:effectExtent l="0" t="0" r="4445" b="1270"/>
                      <wp:docPr id="132" name="ID_0E9D5B77CEC04E16BAF7DA9BEB28D77A" descr="MS4B-0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9" name="ID_0E9D5B77CEC04E16BAF7DA9BEB28D77A" descr="MS4B-0920"/>
                              <pic:cNvPicPr>
                                <a:picLocks noChangeAspect="1"/>
                              </pic:cNvPicPr>
                              <pic:nvPr/>
                            </pic:nvPicPr>
                            <pic:blipFill>
                              <a:blip r:embed="rId43"/>
                              <a:stretch/>
                            </pic:blipFill>
                            <pic:spPr bwMode="auto">
                              <a:xfrm>
                                <a:off x="0" y="0"/>
                                <a:ext cx="833755" cy="133222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width:65.6pt;height:104.9pt;mso-wrap-distance-left:0.0pt;mso-wrap-distance-top:0.0pt;mso-wrap-distance-right:0.0pt;mso-wrap-distance-bottom:0.0pt;" stroked="f" strokeweight="0.75pt">
                      <v:path textboxrect="0,0,0,0"/>
                      <v:imagedata r:id="rId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900*420*2000</w:t>
            </w:r>
            <w:r/>
          </w:p>
        </w:tc>
        <w:tc>
          <w:tcPr>
            <w:shd w:val="clear" w:color="auto" w:fill="auto"/>
            <w:tcBorders>
              <w:top w:val="single" w:color="000000" w:sz="4" w:space="0"/>
              <w:left w:val="single" w:color="000000" w:sz="4" w:space="0"/>
              <w:bottom w:val="single" w:color="000000" w:sz="4" w:space="0"/>
              <w:right w:val="single" w:color="000000" w:sz="4" w:space="0"/>
            </w:tcBorders>
            <w:tcW w:w="5641" w:type="dxa"/>
            <w:vAlign w:val="center"/>
            <w:textDirection w:val="lrTb"/>
            <w:noWrap w:val="false"/>
          </w:tcPr>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1、基材：优质浸渍胶膜纸饰面刨花板。 甲醛释放量 ENF 级。板厚25mm，各项指标符合GB/T 15102-2017《浸渍胶膜纸饰面纤维板和刨花板》、GB 18580-2017《室内装饰装修材料 人造板及其制品中甲醛释放限量》、GB/T 39600-2021《人造板及其制品甲醛释放量分级》、GB/T 35601-2017《绿色产品评价 人造板和木质地板》、HJ 571-2010《环境标志产品技术要求 人造板及其制品》、GB 8624-2012《建筑材料及制品燃烧性能分级》要求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2、封边：激光封边条，各项指标符合QB/T 4463-2013《家具用封边条技术要求》要求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3、连接件：金属三合一连接件，耐腐蚀性强。符合QB/T 3832-1999《轻工产品金属镀层腐蚀试验结果的评价》的要求达到10级。</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4、结构：上-二块活动层板，双开铝框玻璃门</w:t>
            </w:r>
            <w:r>
              <w:rPr>
                <w:rFonts w:hint="default" w:ascii="Times New Roman" w:hAnsi="Times New Roman" w:cs="Times New Roman"/>
                <w:sz w:val="18"/>
                <w:szCs w:val="18"/>
                <w:lang w:eastAsia="zh-CN"/>
              </w:rPr>
              <w:t xml:space="preserve">，</w:t>
            </w:r>
            <w:r>
              <w:rPr>
                <w:rFonts w:hint="default" w:ascii="Times New Roman" w:hAnsi="Times New Roman" w:cs="Times New Roman"/>
                <w:sz w:val="18"/>
                <w:szCs w:val="18"/>
                <w:lang w:val="en-US" w:eastAsia="zh-CN"/>
              </w:rPr>
              <w:t xml:space="preserve">玻璃材质为钢化清玻，</w:t>
            </w:r>
            <w:r>
              <w:rPr>
                <w:rFonts w:hint="default" w:ascii="Times New Roman" w:hAnsi="Times New Roman" w:cs="Times New Roman"/>
                <w:sz w:val="18"/>
                <w:szCs w:val="18"/>
              </w:rPr>
              <w:t xml:space="preserve">厚度≥</w:t>
            </w:r>
            <w:r>
              <w:rPr>
                <w:rFonts w:hint="default" w:ascii="Times New Roman" w:hAnsi="Times New Roman" w:cs="Times New Roman"/>
                <w:sz w:val="18"/>
                <w:szCs w:val="18"/>
                <w:lang w:val="en-US" w:eastAsia="zh-CN"/>
              </w:rPr>
              <w:t xml:space="preserve">5mm</w:t>
            </w:r>
            <w:r>
              <w:rPr>
                <w:rFonts w:hint="default" w:ascii="Times New Roman" w:hAnsi="Times New Roman" w:cs="Times New Roman"/>
                <w:sz w:val="18"/>
                <w:szCs w:val="18"/>
              </w:rPr>
              <w:t xml:space="preserve">；下-一块活动层板，双开带锁木掩门；</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5、铰链：优质金属铰链，指标符合QB/T 2189-2013《家具五金 杯状暗铰链》要求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6、锁具：下柜门带锁，优质锁具，符合QB/T 1621-2015《家具锁》要求；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7、成品：各项技术指标符合GB/T 3324-2017《木家具通用技术条件》标准的要求。 </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个</w:t>
            </w:r>
            <w:r/>
          </w:p>
        </w:tc>
      </w:tr>
      <w:tr>
        <w:trPr>
          <w:jc w:val="center"/>
          <w:trHeight w:val="1684"/>
        </w:trPr>
        <w:tc>
          <w:tcPr>
            <w:shd w:val="clear" w:color="auto" w:fill="auto"/>
            <w:tcBorders>
              <w:top w:val="single" w:color="000000" w:sz="4" w:space="0"/>
              <w:left w:val="single" w:color="000000" w:sz="8" w:space="0"/>
              <w:bottom w:val="single" w:color="000000" w:sz="4" w:space="0"/>
              <w:right w:val="single" w:color="000000" w:sz="4" w:space="0"/>
            </w:tcBorders>
            <w:tcW w:w="50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医用办公桌</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962660" cy="615315"/>
                      <wp:effectExtent l="0" t="0" r="8890" b="13335"/>
                      <wp:docPr id="133" name="ID_11C844D108A94EC8BBB85194F915E2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6" name="ID_11C844D108A94EC8BBB85194F915E2FA"/>
                              <pic:cNvPicPr>
                                <a:picLocks noChangeAspect="1"/>
                              </pic:cNvPicPr>
                              <pic:nvPr/>
                            </pic:nvPicPr>
                            <pic:blipFill>
                              <a:blip r:embed="rId41"/>
                              <a:stretch/>
                            </pic:blipFill>
                            <pic:spPr bwMode="auto">
                              <a:xfrm>
                                <a:off x="0" y="0"/>
                                <a:ext cx="962660" cy="6153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width:75.8pt;height:48.4pt;mso-wrap-distance-left:0.0pt;mso-wrap-distance-top:0.0pt;mso-wrap-distance-right:0.0pt;mso-wrap-distance-bottom:0.0pt;" stroked="f" strokeweight="0.75pt">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1500*700*750</w:t>
            </w:r>
            <w:r/>
          </w:p>
        </w:tc>
        <w:tc>
          <w:tcPr>
            <w:shd w:val="clear" w:color="auto" w:fill="auto"/>
            <w:tcBorders>
              <w:top w:val="single" w:color="000000" w:sz="4" w:space="0"/>
              <w:left w:val="single" w:color="000000" w:sz="4" w:space="0"/>
              <w:bottom w:val="single" w:color="000000" w:sz="4" w:space="0"/>
              <w:right w:val="single" w:color="000000" w:sz="4" w:space="0"/>
            </w:tcBorders>
            <w:tcW w:w="5641" w:type="dxa"/>
            <w:vAlign w:val="center"/>
            <w:textDirection w:val="lrTb"/>
            <w:noWrap w:val="false"/>
          </w:tcPr>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1、结构：钢横梁及钢腿，侧边为三抽固定柜，桌面配备铝合金翻盖板，配插座安装盒，预留标准86面板孔；</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2、桌面：优质浸渍胶膜纸饰面刨花板。板厚25mm, 甲醛释放量 ENF 级。各项指标符合GB/T 15102-2017《浸渍胶膜纸饰面纤维板和刨花板》、GB 18580-2017《室内装饰装修材料 人造板及其制品中甲醛释放限量》、GB/T 39600-2021《人造板及其制品甲醛释放量分级》、GB/T 35601-2017《绿色产品评价 人造板和木质地板》、HJ 571-2010《环境标志产品技术要求 人造板及其制品》、GB 8624-2012《建筑材料及制品燃烧性能分级》要求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3、封边：激光封边条，各项指标符合QB/T 4463-2013《家具用封边条技术要求》要求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4、金属喷涂粉末：防腐抗菌喷涂粉末，符合HG/T 2006-2022《热固性和热塑性粉末涂料》、GB/T 35607-2017《绿色产品评价 家具》、QB/T 4371-2012《家具抗菌性能的评价》、GB/T 1741-2020《漆膜耐霉菌性测定法》要求，耐霉菌性等级达到0级。</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5、固定抽屉柜：本体及抽屉材质为电解钢板，厚度0.8mm,表面粉末喷涂，粉末为防腐抗菌喷涂粉表面粉末喷涂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三节导轨符合QB/T 2454-2013《家具五金 抽屉导轨》要求，首层抽屉配文具盒，底层抽屉可挂挂块牢档案袋，带锁具，锁具符合QB/T 1621-2015《家具锁》要求；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6、电解钢板：厚度0.8mm,符合GB/T 35607-2017《绿色产品评价 家具》、GB/T 11253-2019《碳素结构钢冷轧钢板及钢带》要求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7、桌腿：方腿，截面50*50mm钢方管，壁厚1.5mm,表面静电粉末喷涂，防腐抗菌喷涂粉末</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8、成品：各项技术指标符合GB/T 3325-2017《金属家具通用技术条件》标准的要求；</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套</w:t>
            </w:r>
            <w:r/>
          </w:p>
        </w:tc>
      </w:tr>
      <w:tr>
        <w:trPr>
          <w:jc w:val="center"/>
          <w:trHeight w:val="440"/>
        </w:trPr>
        <w:tc>
          <w:tcPr>
            <w:shd w:val="clear" w:color="auto" w:fill="auto"/>
            <w:tcBorders>
              <w:top w:val="single" w:color="000000" w:sz="4" w:space="0"/>
              <w:left w:val="single" w:color="000000" w:sz="8" w:space="0"/>
              <w:bottom w:val="single" w:color="000000" w:sz="4" w:space="0"/>
              <w:right w:val="single" w:color="000000" w:sz="4" w:space="0"/>
            </w:tcBorders>
            <w:tcW w:w="50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双人沙发</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993775" cy="771525"/>
                      <wp:effectExtent l="0" t="0" r="15875" b="9525"/>
                      <wp:docPr id="134" name="图片_3"/>
                      <wp:cNvGraphicFramePr/>
                      <a:graphic xmlns:a="http://schemas.openxmlformats.org/drawingml/2006/main">
                        <a:graphicData uri="http://schemas.openxmlformats.org/drawingml/2006/picture">
                          <pic:pic xmlns:pic="http://schemas.openxmlformats.org/drawingml/2006/picture">
                            <pic:nvPicPr>
                              <pic:cNvPr id="47" name="图片_3"/>
                              <pic:cNvPicPr/>
                              <pic:nvPr/>
                            </pic:nvPicPr>
                            <pic:blipFill>
                              <a:blip r:embed="rId79"/>
                              <a:stretch/>
                            </pic:blipFill>
                            <pic:spPr bwMode="auto">
                              <a:xfrm>
                                <a:off x="0" y="0"/>
                                <a:ext cx="993775" cy="771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width:78.2pt;height:60.8pt;mso-wrap-distance-left:0.0pt;mso-wrap-distance-top:0.0pt;mso-wrap-distance-right:0.0pt;mso-wrap-distance-bottom:0.0pt;" stroked="f">
                      <v:path textboxrect="0,0,0,0"/>
                      <v:imagedata r:id="rId7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1400*760*800</w:t>
            </w:r>
            <w:r/>
          </w:p>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（坐高4</w:t>
            </w:r>
            <w:r>
              <w:rPr>
                <w:rFonts w:hint="default" w:ascii="Times New Roman" w:hAnsi="Times New Roman" w:eastAsia="等线" w:cs="Times New Roman"/>
                <w:sz w:val="18"/>
                <w:szCs w:val="18"/>
                <w:lang w:val="en-US" w:eastAsia="zh-CN"/>
              </w:rPr>
              <w:t xml:space="preserve">2</w:t>
            </w:r>
            <w:r>
              <w:rPr>
                <w:rFonts w:hint="default" w:ascii="Times New Roman" w:hAnsi="Times New Roman" w:eastAsia="等线" w:cs="Times New Roman"/>
                <w:sz w:val="18"/>
                <w:szCs w:val="18"/>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641" w:type="dxa"/>
            <w:vAlign w:val="center"/>
            <w:textDirection w:val="lrTb"/>
            <w:noWrap w:val="false"/>
          </w:tcPr>
          <w:p>
            <w:pPr>
              <w:jc w:val="left"/>
              <w:widowControl/>
              <w:rPr>
                <w:rFonts w:hint="default" w:ascii="Times New Roman" w:hAnsi="Times New Roman" w:cs="Times New Roman"/>
                <w:spacing w:val="2"/>
                <w:sz w:val="18"/>
                <w:szCs w:val="18"/>
              </w:rPr>
            </w:pPr>
            <w:r>
              <w:rPr>
                <w:rFonts w:hint="default" w:ascii="Times New Roman" w:hAnsi="Times New Roman" w:cs="Times New Roman"/>
                <w:spacing w:val="2"/>
                <w:sz w:val="18"/>
                <w:szCs w:val="18"/>
              </w:rPr>
              <w:t xml:space="preserve">1、饰面：优质超纤皮，表面纹理清晰，具有良好的色牢度、耐光耐磨性、透气性等特性 </w:t>
            </w:r>
            <w:r/>
          </w:p>
          <w:p>
            <w:pPr>
              <w:jc w:val="left"/>
              <w:widowControl/>
              <w:rPr>
                <w:rFonts w:hint="default" w:ascii="Times New Roman" w:hAnsi="Times New Roman" w:cs="Times New Roman"/>
                <w:spacing w:val="2"/>
                <w:sz w:val="18"/>
                <w:szCs w:val="18"/>
              </w:rPr>
            </w:pPr>
            <w:r>
              <w:rPr>
                <w:rFonts w:hint="default" w:ascii="Times New Roman" w:hAnsi="Times New Roman" w:cs="Times New Roman"/>
                <w:spacing w:val="2"/>
                <w:sz w:val="18"/>
                <w:szCs w:val="18"/>
              </w:rPr>
              <w:t xml:space="preserve">2、海绵：阻燃海绵，厚度不小于100mm，密度大于40kg/m3，回弹力大于50%，符合GB/T 10802-2023《通用软质聚氨酯泡沫塑料》、GB 8624-2012《建筑材料及制品燃烧性能分级》等标准要求</w:t>
            </w:r>
            <w:r/>
          </w:p>
          <w:p>
            <w:pPr>
              <w:jc w:val="left"/>
              <w:widowControl/>
              <w:rPr>
                <w:rFonts w:hint="default" w:ascii="Times New Roman" w:hAnsi="Times New Roman" w:cs="Times New Roman"/>
                <w:spacing w:val="2"/>
                <w:sz w:val="18"/>
                <w:szCs w:val="18"/>
              </w:rPr>
            </w:pPr>
            <w:r>
              <w:rPr>
                <w:rFonts w:hint="default" w:ascii="Times New Roman" w:hAnsi="Times New Roman" w:cs="Times New Roman"/>
                <w:spacing w:val="2"/>
                <w:sz w:val="18"/>
                <w:szCs w:val="18"/>
              </w:rPr>
              <w:t xml:space="preserve">3、内部框架：橡胶木实木框架：采用榫卯结构，表面平整，无毛刺。</w:t>
            </w:r>
            <w:r/>
          </w:p>
          <w:p>
            <w:pPr>
              <w:jc w:val="left"/>
              <w:widowControl/>
              <w:rPr>
                <w:rFonts w:hint="default" w:ascii="Times New Roman" w:hAnsi="Times New Roman" w:cs="Times New Roman"/>
                <w:spacing w:val="2"/>
                <w:sz w:val="18"/>
                <w:szCs w:val="18"/>
              </w:rPr>
            </w:pPr>
            <w:r>
              <w:rPr>
                <w:rFonts w:hint="default" w:ascii="Times New Roman" w:hAnsi="Times New Roman" w:cs="Times New Roman"/>
                <w:spacing w:val="2"/>
                <w:sz w:val="18"/>
                <w:szCs w:val="18"/>
              </w:rPr>
              <w:t xml:space="preserve">4、胶粘剂：环保型喷胶，符合GB 18583-2008《室内装饰装修材料 胶粘剂中有害物质限量》：HJ 2541-2016《环境标志产品技术要求胶粘剂》；GB 33372-2020《胶粘剂挥发性有机化合物限量》要求。</w:t>
            </w:r>
            <w:r/>
          </w:p>
          <w:p>
            <w:pPr>
              <w:jc w:val="left"/>
              <w:widowControl/>
              <w:rPr>
                <w:rFonts w:hint="default" w:ascii="Times New Roman" w:hAnsi="Times New Roman" w:cs="Times New Roman"/>
                <w:spacing w:val="2"/>
                <w:sz w:val="18"/>
                <w:szCs w:val="18"/>
              </w:rPr>
            </w:pPr>
            <w:r>
              <w:rPr>
                <w:rFonts w:hint="default" w:ascii="Times New Roman" w:hAnsi="Times New Roman" w:cs="Times New Roman"/>
                <w:spacing w:val="2"/>
                <w:sz w:val="18"/>
                <w:szCs w:val="18"/>
              </w:rPr>
              <w:t xml:space="preserve">5、沙发脚：橡胶木实木沙发脚。</w:t>
            </w:r>
            <w:r/>
          </w:p>
          <w:p>
            <w:pPr>
              <w:jc w:val="left"/>
              <w:widowControl/>
              <w:rPr>
                <w:rFonts w:hint="default" w:ascii="Times New Roman" w:hAnsi="Times New Roman" w:cs="Times New Roman"/>
                <w:spacing w:val="2"/>
                <w:sz w:val="18"/>
                <w:szCs w:val="18"/>
              </w:rPr>
            </w:pPr>
            <w:r>
              <w:rPr>
                <w:rFonts w:hint="default" w:ascii="Times New Roman" w:hAnsi="Times New Roman" w:cs="Times New Roman"/>
                <w:spacing w:val="2"/>
                <w:sz w:val="18"/>
                <w:szCs w:val="18"/>
              </w:rPr>
              <w:t xml:space="preserve">6、扶手/靠垫：软包扶手，带靠垫</w:t>
            </w:r>
            <w:r/>
          </w:p>
          <w:p>
            <w:pPr>
              <w:jc w:val="left"/>
              <w:widowControl/>
              <w:rPr>
                <w:rFonts w:hint="default" w:ascii="Times New Roman" w:hAnsi="Times New Roman" w:cs="Times New Roman"/>
                <w:spacing w:val="2"/>
                <w:sz w:val="18"/>
                <w:szCs w:val="18"/>
              </w:rPr>
            </w:pPr>
            <w:r>
              <w:rPr>
                <w:rFonts w:hint="default" w:ascii="Times New Roman" w:hAnsi="Times New Roman" w:cs="Times New Roman"/>
                <w:spacing w:val="2"/>
                <w:sz w:val="18"/>
                <w:szCs w:val="18"/>
              </w:rPr>
              <w:t xml:space="preserve">7、颜色：淡雅暖色系，与现场环境匹配</w:t>
            </w:r>
            <w:r/>
          </w:p>
          <w:p>
            <w:pPr>
              <w:jc w:val="left"/>
              <w:widowControl/>
              <w:rPr>
                <w:rFonts w:hint="default" w:ascii="Times New Roman" w:hAnsi="Times New Roman" w:cs="Times New Roman"/>
                <w:spacing w:val="2"/>
                <w:sz w:val="18"/>
                <w:szCs w:val="18"/>
              </w:rPr>
            </w:pPr>
            <w:r>
              <w:rPr>
                <w:rFonts w:hint="default" w:ascii="Times New Roman" w:hAnsi="Times New Roman" w:cs="Times New Roman"/>
                <w:spacing w:val="2"/>
                <w:sz w:val="18"/>
                <w:szCs w:val="18"/>
              </w:rPr>
              <w:t xml:space="preserve">8、成品：各项技术指标符合QB/T 1952.1-2023《软体家具沙发》 标准的要求。</w:t>
            </w:r>
            <w:r/>
          </w:p>
          <w:p>
            <w:pPr>
              <w:jc w:val="left"/>
              <w:widowControl/>
              <w:rPr>
                <w:rFonts w:hint="default" w:ascii="Times New Roman" w:hAnsi="Times New Roman" w:cs="Times New Roman"/>
                <w:spacing w:val="2"/>
                <w:sz w:val="18"/>
                <w:szCs w:val="18"/>
              </w:rPr>
            </w:pPr>
            <w:r>
              <w:rPr>
                <w:rFonts w:hint="default" w:ascii="Times New Roman" w:hAnsi="Times New Roman" w:cs="Times New Roman"/>
                <w:spacing w:val="2"/>
                <w:sz w:val="18"/>
                <w:szCs w:val="18"/>
              </w:rPr>
              <w:t xml:space="preserve">9、其他：边缘部位倒圆处理，无棱角，降低安全风险，整体结构、安全防护、质量、环保、舒适性、便利性等参数均须符合适老化要求</w:t>
            </w:r>
            <w:r>
              <w:rPr>
                <w:rFonts w:hint="default" w:ascii="Times New Roman" w:hAnsi="Times New Roman" w:cs="Times New Roman"/>
                <w:spacing w:val="2"/>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张</w:t>
            </w:r>
            <w:r/>
          </w:p>
        </w:tc>
      </w:tr>
      <w:tr>
        <w:trPr>
          <w:jc w:val="center"/>
          <w:trHeight w:val="1270"/>
        </w:trPr>
        <w:tc>
          <w:tcPr>
            <w:shd w:val="clear" w:color="auto" w:fill="auto"/>
            <w:tcBorders>
              <w:top w:val="single" w:color="000000" w:sz="4" w:space="0"/>
              <w:left w:val="single" w:color="000000" w:sz="8" w:space="0"/>
              <w:bottom w:val="single" w:color="000000" w:sz="4" w:space="0"/>
              <w:right w:val="single" w:color="000000" w:sz="4" w:space="0"/>
            </w:tcBorders>
            <w:tcW w:w="50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812800" cy="381000"/>
                      <wp:effectExtent l="19050" t="0" r="6350" b="0"/>
                      <wp:docPr id="135" name="图片_4"/>
                      <wp:cNvGraphicFramePr/>
                      <a:graphic xmlns:a="http://schemas.openxmlformats.org/drawingml/2006/main">
                        <a:graphicData uri="http://schemas.openxmlformats.org/drawingml/2006/picture">
                          <pic:pic xmlns:pic="http://schemas.openxmlformats.org/drawingml/2006/picture">
                            <pic:nvPicPr>
                              <pic:cNvPr id="48" name="图片_4"/>
                              <pic:cNvPicPr/>
                              <pic:nvPr/>
                            </pic:nvPicPr>
                            <pic:blipFill>
                              <a:blip r:embed="rId80"/>
                              <a:stretch/>
                            </pic:blipFill>
                            <pic:spPr bwMode="auto">
                              <a:xfrm>
                                <a:off x="0" y="0"/>
                                <a:ext cx="812800" cy="381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width:64.0pt;height:30.0pt;mso-wrap-distance-left:0.0pt;mso-wrap-distance-top:0.0pt;mso-wrap-distance-right:0.0pt;mso-wrap-distance-bottom:0.0pt;" stroked="f">
                      <v:path textboxrect="0,0,0,0"/>
                      <v:imagedata r:id="rId8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1200*600*450</w:t>
            </w:r>
            <w:r/>
          </w:p>
        </w:tc>
        <w:tc>
          <w:tcPr>
            <w:shd w:val="clear" w:color="auto" w:fill="auto"/>
            <w:tcBorders>
              <w:top w:val="single" w:color="000000" w:sz="4" w:space="0"/>
              <w:left w:val="single" w:color="000000" w:sz="4" w:space="0"/>
              <w:bottom w:val="single" w:color="000000" w:sz="4" w:space="0"/>
              <w:right w:val="single" w:color="000000" w:sz="4" w:space="0"/>
            </w:tcBorders>
            <w:tcW w:w="5641" w:type="dxa"/>
            <w:vAlign w:val="center"/>
            <w:textDirection w:val="lrTb"/>
            <w:noWrap w:val="false"/>
          </w:tcPr>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1、基材：优质浸渍胶膜纸饰面刨花板。板厚25m</w:t>
            </w:r>
            <w:r>
              <w:rPr>
                <w:rFonts w:hint="default" w:ascii="Times New Roman" w:hAnsi="Times New Roman" w:cs="Times New Roman"/>
                <w:sz w:val="18"/>
                <w:szCs w:val="18"/>
              </w:rPr>
              <w:t xml:space="preserve">m, 甲醛释放量 ENF 级。各项指标符合GB/T 15102-2017《浸渍胶膜纸饰面纤维板和刨花板》、GB 18580-2017《室内装饰装修材料 人造板及其制品中甲醛释放限量》、GB/T 39600-2021《人造板及其制品甲醛释放量分级》、GB/T 35601-2017《绿色产品评价 人造板和木质地板》、GB/T 17657-2013《人造板及饰面人造板理化性能试验方法》 、HJ 571-2010《环境标志产品技术要求 人造板及其制品》 、GB 8624-2012《建筑材料及制品燃烧性能分级》要求；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2、封边：激光封边条，各项指标符合QB/T 4463-2013《家具用封边条技术要求》要求。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3、桌腿：橡胶木实木脚，顶部铝合金套筒与桌面连接</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4、桌架，钢制方管桌架，50*50mm方管截面尺寸，双横梁。</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个</w:t>
            </w:r>
            <w:r/>
          </w:p>
        </w:tc>
      </w:tr>
      <w:tr>
        <w:trPr>
          <w:jc w:val="center"/>
          <w:trHeight w:val="1156"/>
        </w:trPr>
        <w:tc>
          <w:tcPr>
            <w:shd w:val="clear" w:color="auto" w:fill="auto"/>
            <w:tcBorders>
              <w:top w:val="single" w:color="000000" w:sz="4" w:space="0"/>
              <w:left w:val="single" w:color="000000" w:sz="8" w:space="0"/>
              <w:bottom w:val="single" w:color="000000" w:sz="4" w:space="0"/>
              <w:right w:val="single" w:color="000000" w:sz="4" w:space="0"/>
            </w:tcBorders>
            <w:tcW w:w="50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床（含床垫）</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838200" cy="753745"/>
                      <wp:effectExtent l="19050" t="0" r="0" b="0"/>
                      <wp:docPr id="136" name="ID_DEF729695F744F16A6CC3A0739890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5" name="ID_DEF729695F744F16A6CC3A0739890586"/>
                              <pic:cNvPicPr>
                                <a:picLocks noChangeAspect="1"/>
                              </pic:cNvPicPr>
                              <pic:nvPr/>
                            </pic:nvPicPr>
                            <pic:blipFill>
                              <a:blip r:embed="rId81"/>
                              <a:stretch/>
                            </pic:blipFill>
                            <pic:spPr bwMode="auto">
                              <a:xfrm>
                                <a:off x="0" y="0"/>
                                <a:ext cx="838200" cy="75415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width:66.0pt;height:59.3pt;mso-wrap-distance-left:0.0pt;mso-wrap-distance-top:0.0pt;mso-wrap-distance-right:0.0pt;mso-wrap-distance-bottom:0.0pt;" stroked="f" strokeweight="0.75pt">
                      <v:path textboxrect="0,0,0,0"/>
                      <v:imagedata r:id="rId8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default" w:ascii="Times New Roman" w:hAnsi="Times New Roman" w:eastAsia="等线" w:cs="Times New Roman"/>
                <w:color w:val="000000"/>
                <w:sz w:val="18"/>
                <w:szCs w:val="18"/>
              </w:rPr>
            </w:pPr>
            <w:r>
              <w:rPr>
                <w:rFonts w:hint="default" w:ascii="Times New Roman" w:hAnsi="Times New Roman" w:eastAsia="等线" w:cs="Times New Roman"/>
                <w:color w:val="000000"/>
                <w:sz w:val="18"/>
                <w:szCs w:val="18"/>
                <w:lang w:val="en-US" w:eastAsia="zh-CN"/>
              </w:rPr>
              <w:t xml:space="preserve">2155</w:t>
            </w:r>
            <w:r>
              <w:rPr>
                <w:rFonts w:hint="default" w:ascii="Times New Roman" w:hAnsi="Times New Roman" w:eastAsia="等线" w:cs="Times New Roman"/>
                <w:color w:val="000000"/>
                <w:sz w:val="18"/>
                <w:szCs w:val="18"/>
              </w:rPr>
              <w:t xml:space="preserve">*100</w:t>
            </w:r>
            <w:r>
              <w:rPr>
                <w:rFonts w:hint="default" w:ascii="Times New Roman" w:hAnsi="Times New Roman" w:eastAsia="等线" w:cs="Times New Roman"/>
                <w:color w:val="000000"/>
                <w:sz w:val="18"/>
                <w:szCs w:val="18"/>
                <w:lang w:val="en-US" w:eastAsia="zh-CN"/>
              </w:rPr>
              <w:t xml:space="preserve">4</w:t>
            </w:r>
            <w:r>
              <w:rPr>
                <w:rFonts w:hint="default" w:ascii="Times New Roman" w:hAnsi="Times New Roman" w:eastAsia="等线" w:cs="Times New Roman"/>
                <w:color w:val="000000"/>
                <w:sz w:val="18"/>
                <w:szCs w:val="18"/>
              </w:rPr>
              <w:t xml:space="preserve">*</w:t>
            </w:r>
            <w:r>
              <w:rPr>
                <w:rFonts w:hint="default" w:ascii="Times New Roman" w:hAnsi="Times New Roman" w:eastAsia="等线" w:cs="Times New Roman"/>
                <w:color w:val="000000"/>
                <w:sz w:val="18"/>
                <w:szCs w:val="18"/>
                <w:lang w:val="en-US" w:eastAsia="zh-CN"/>
              </w:rPr>
              <w:t xml:space="preserve">1100</w:t>
            </w:r>
            <w:r/>
          </w:p>
          <w:p>
            <w:pPr>
              <w:jc w:val="center"/>
              <w:widowControl/>
              <w:rPr>
                <w:rFonts w:hint="default" w:ascii="Times New Roman" w:hAnsi="Times New Roman" w:eastAsia="等线" w:cs="Times New Roman"/>
                <w:sz w:val="18"/>
                <w:szCs w:val="18"/>
              </w:rPr>
            </w:pPr>
            <w:r>
              <w:rPr>
                <w:rStyle w:val="909"/>
                <w:rFonts w:hint="default" w:ascii="Times New Roman" w:hAnsi="Times New Roman" w:cs="Times New Roman"/>
                <w:sz w:val="18"/>
                <w:szCs w:val="18"/>
                <w:lang w:val="en-US" w:eastAsia="zh-CN"/>
              </w:rPr>
              <w:t xml:space="preserve">坐高440（含床垫）</w:t>
            </w:r>
            <w:r/>
          </w:p>
        </w:tc>
        <w:tc>
          <w:tcPr>
            <w:shd w:val="clear" w:color="auto" w:fill="auto"/>
            <w:tcBorders>
              <w:top w:val="single" w:color="000000" w:sz="4" w:space="0"/>
              <w:left w:val="single" w:color="000000" w:sz="4" w:space="0"/>
              <w:bottom w:val="single" w:color="000000" w:sz="4" w:space="0"/>
              <w:right w:val="single" w:color="000000" w:sz="4" w:space="0"/>
            </w:tcBorders>
            <w:tcW w:w="5641" w:type="dxa"/>
            <w:vAlign w:val="center"/>
            <w:textDirection w:val="lrTb"/>
            <w:noWrap w:val="false"/>
          </w:tcPr>
          <w:p>
            <w:pPr>
              <w:jc w:val="left"/>
              <w:widowControl/>
              <w:rPr>
                <w:rFonts w:hint="default" w:ascii="Times New Roman" w:hAnsi="Times New Roman" w:cs="Times New Roman"/>
                <w:b/>
                <w:bCs/>
                <w:sz w:val="18"/>
                <w:szCs w:val="18"/>
              </w:rPr>
            </w:pPr>
            <w:r>
              <w:rPr>
                <w:rFonts w:hint="default" w:ascii="Times New Roman" w:hAnsi="Times New Roman" w:cs="Times New Roman"/>
                <w:b/>
                <w:bCs/>
                <w:sz w:val="18"/>
                <w:szCs w:val="18"/>
              </w:rPr>
              <w:t xml:space="preserve">床体：</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1、结构：床体由床板、床靠、床垫等部分组成</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2、基材：优质浸渍胶膜纸饰面刨花板。 甲醛释放量 ENF 级。板厚25mm，各项指标符合GB/T 15102-2017《浸渍胶膜纸饰面纤维板和刨花板》、GB 18580-2017《室内装饰装修材料 人造板及其制品中甲醛释放限量》、GB/T 39600-2021《人造板及其制品甲醛释放量分级》、GB/T 35601-2017《绿色产品评价 人造板和木质地板》、HJ 571-2010《环境标志产品技术要求 人造板及其制品》、GB 8624-2012《建筑材料及制品燃烧性能分级》要求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3、封边：激光封边条，各项指标符合QB/T 4463-2013《家具用封边条技术要求》要求</w:t>
            </w:r>
            <w:r/>
          </w:p>
          <w:p>
            <w:pPr>
              <w:jc w:val="left"/>
              <w:widowControl/>
              <w:rPr>
                <w:rFonts w:hint="default" w:ascii="Times New Roman" w:hAnsi="Times New Roman" w:cs="Times New Roman"/>
                <w:b/>
                <w:bCs/>
                <w:sz w:val="18"/>
                <w:szCs w:val="18"/>
              </w:rPr>
            </w:pPr>
            <w:r>
              <w:rPr>
                <w:rFonts w:hint="default" w:ascii="Times New Roman" w:hAnsi="Times New Roman" w:cs="Times New Roman"/>
                <w:b/>
                <w:bCs/>
                <w:sz w:val="18"/>
                <w:szCs w:val="18"/>
              </w:rPr>
              <w:t xml:space="preserve">床垫：棕纤维弹性床垫</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1、尺寸：长度为</w:t>
            </w:r>
            <w:r>
              <w:rPr>
                <w:rFonts w:hint="default" w:ascii="Times New Roman" w:hAnsi="Times New Roman" w:cs="Times New Roman"/>
                <w:sz w:val="18"/>
                <w:szCs w:val="18"/>
                <w:lang w:val="en-US" w:eastAsia="zh-CN"/>
              </w:rPr>
              <w:t xml:space="preserve">2</w:t>
            </w:r>
            <w:r>
              <w:rPr>
                <w:rFonts w:hint="default" w:ascii="Times New Roman" w:hAnsi="Times New Roman" w:cs="Times New Roman"/>
                <w:sz w:val="18"/>
                <w:szCs w:val="18"/>
              </w:rPr>
              <w:t xml:space="preserve">00</w:t>
            </w:r>
            <w:r>
              <w:rPr>
                <w:rFonts w:hint="default" w:ascii="Times New Roman" w:hAnsi="Times New Roman" w:cs="Times New Roman"/>
                <w:sz w:val="18"/>
                <w:szCs w:val="18"/>
                <w:lang w:val="en-US" w:eastAsia="zh-CN"/>
              </w:rPr>
              <w:t xml:space="preserve">0</w:t>
            </w:r>
            <w:r>
              <w:rPr>
                <w:rFonts w:hint="default" w:ascii="Times New Roman" w:hAnsi="Times New Roman" w:cs="Times New Roman"/>
                <w:sz w:val="18"/>
                <w:szCs w:val="18"/>
              </w:rPr>
              <w:t xml:space="preserve">mm</w:t>
            </w:r>
            <w:r>
              <w:rPr>
                <w:rFonts w:hint="default" w:ascii="Times New Roman" w:hAnsi="Times New Roman" w:cs="Times New Roman"/>
                <w:sz w:val="18"/>
                <w:szCs w:val="18"/>
                <w:lang w:eastAsia="zh-CN"/>
              </w:rPr>
              <w:t xml:space="preserve">，</w:t>
            </w:r>
            <w:r>
              <w:rPr>
                <w:rFonts w:hint="default" w:ascii="Times New Roman" w:hAnsi="Times New Roman" w:cs="Times New Roman"/>
                <w:sz w:val="18"/>
                <w:szCs w:val="18"/>
              </w:rPr>
              <w:t xml:space="preserve">宽度</w:t>
            </w:r>
            <w:r>
              <w:rPr>
                <w:rFonts w:hint="default" w:ascii="Times New Roman" w:hAnsi="Times New Roman" w:cs="Times New Roman"/>
                <w:sz w:val="18"/>
                <w:szCs w:val="18"/>
                <w:lang w:val="en-US" w:eastAsia="zh-CN"/>
              </w:rPr>
              <w:t xml:space="preserve">1000mm</w:t>
            </w:r>
            <w:r>
              <w:rPr>
                <w:rFonts w:hint="default" w:ascii="Times New Roman" w:hAnsi="Times New Roman" w:cs="Times New Roman"/>
                <w:sz w:val="18"/>
                <w:szCs w:val="18"/>
              </w:rPr>
              <w:t xml:space="preserve">，厚度为</w:t>
            </w:r>
            <w:r>
              <w:rPr>
                <w:rFonts w:hint="default" w:ascii="Times New Roman" w:hAnsi="Times New Roman" w:cs="Times New Roman"/>
                <w:sz w:val="18"/>
                <w:szCs w:val="18"/>
                <w:lang w:val="en-US" w:eastAsia="zh-CN"/>
              </w:rPr>
              <w:t xml:space="preserve">200</w:t>
            </w:r>
            <w:r>
              <w:rPr>
                <w:rFonts w:hint="default" w:ascii="Times New Roman" w:hAnsi="Times New Roman" w:cs="Times New Roman"/>
                <w:sz w:val="18"/>
                <w:szCs w:val="18"/>
              </w:rPr>
              <w:t xml:space="preserve">mm</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2、面料：阻燃布料，高针织数，透气性好，正面绗缝面料层须至少有 4 层，边缘滚边处理，表面无刺触感，平滑舒适，防螨性能好，无明显色差。</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3、填充物：内芯填充天然椰棕</w:t>
            </w:r>
            <w:r>
              <w:rPr>
                <w:rFonts w:hint="default" w:ascii="Times New Roman" w:hAnsi="Times New Roman" w:cs="Times New Roman"/>
                <w:sz w:val="18"/>
                <w:szCs w:val="18"/>
                <w:lang w:eastAsia="zh-CN"/>
              </w:rPr>
              <w:t xml:space="preserve">，</w:t>
            </w:r>
            <w:r>
              <w:rPr>
                <w:rFonts w:hint="default" w:ascii="Times New Roman" w:hAnsi="Times New Roman" w:cs="Times New Roman"/>
                <w:sz w:val="18"/>
                <w:szCs w:val="18"/>
              </w:rPr>
              <w:t xml:space="preserve">弹性好，软硬均匀,密度不小于60kg/m³</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4、绿色环保，产品各项指标符合：GB/T 35607-2017《绿色产品评价 家具》;GB/T 26706-2011《软体家具 棕纤维弹性床垫》</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5、成品：床体边缘部位倒圆处理，无棱角，降低安全风险</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套</w:t>
            </w:r>
            <w:r/>
          </w:p>
        </w:tc>
      </w:tr>
      <w:tr>
        <w:trPr>
          <w:jc w:val="center"/>
          <w:trHeight w:val="1056"/>
        </w:trPr>
        <w:tc>
          <w:tcPr>
            <w:shd w:val="clear" w:color="auto" w:fill="auto"/>
            <w:tcBorders>
              <w:top w:val="single" w:color="000000" w:sz="4" w:space="0"/>
              <w:left w:val="single" w:color="000000" w:sz="8" w:space="0"/>
              <w:bottom w:val="single" w:color="000000" w:sz="4" w:space="0"/>
              <w:right w:val="single" w:color="000000" w:sz="4" w:space="0"/>
            </w:tcBorders>
            <w:tcW w:w="50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床头柜</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889635" cy="990600"/>
                      <wp:effectExtent l="19050" t="0" r="5174" b="0"/>
                      <wp:docPr id="137" name="图片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6" name="图片 236"/>
                              <pic:cNvPicPr>
                                <a:picLocks noChangeAspect="1"/>
                              </pic:cNvPicPr>
                              <pic:nvPr/>
                            </pic:nvPicPr>
                            <pic:blipFill>
                              <a:blip r:embed="rId64"/>
                              <a:stretch/>
                            </pic:blipFill>
                            <pic:spPr bwMode="auto">
                              <a:xfrm>
                                <a:off x="0" y="0"/>
                                <a:ext cx="890176" cy="990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width:70.0pt;height:78.0pt;mso-wrap-distance-left:0.0pt;mso-wrap-distance-top:0.0pt;mso-wrap-distance-right:0.0pt;mso-wrap-distance-bottom:0.0pt;" stroked="f" strokeweight="0.75pt">
                      <v:path textboxrect="0,0,0,0"/>
                      <v:imagedata r:id="rId6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500*450*500</w:t>
            </w:r>
            <w:r/>
          </w:p>
        </w:tc>
        <w:tc>
          <w:tcPr>
            <w:shd w:val="clear" w:color="auto" w:fill="auto"/>
            <w:tcBorders>
              <w:top w:val="single" w:color="000000" w:sz="4" w:space="0"/>
              <w:left w:val="single" w:color="000000" w:sz="4" w:space="0"/>
              <w:bottom w:val="single" w:color="000000" w:sz="4" w:space="0"/>
              <w:right w:val="single" w:color="000000" w:sz="4" w:space="0"/>
            </w:tcBorders>
            <w:tcW w:w="5641" w:type="dxa"/>
            <w:vAlign w:val="center"/>
            <w:textDirection w:val="lrTb"/>
            <w:noWrap w:val="false"/>
          </w:tcPr>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1、结构：上部单层抽屉，下空层，亦可置物；</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2、柜体基材：优质浸渍胶膜纸饰面刨花板。 甲醛释放量 ENF 级。板厚25mm，各项指标符合GB/T 15102-2017《浸渍胶膜纸饰面纤维板和刨花板》、GB 18580-2017《室内装饰装修材料 人造板及其制品中甲醛释放限量》、GB/T 39600-2021《人造板及其制品甲醛释放量分级》、GB/T 35601-2017《绿色产品评价 人造板和木质地板》、HJ 571-2010《环境标志产品技术要求 人造板及其制品》、GB 8624-2012《建筑材料及制品燃烧性能分级》要求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3、封边：激光封边条，各项指标符合QB/T 4463-2013《家具用封边条技术要求》要求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4、导轨：优质三节导轨，符合QB/T 2454-2013《家具五金 抽屉导轨》要求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5、其他要求：边缘部位倒圆处理，无棱角，降低安全风险</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个</w:t>
            </w:r>
            <w:r/>
          </w:p>
        </w:tc>
      </w:tr>
      <w:tr>
        <w:trPr>
          <w:jc w:val="center"/>
          <w:trHeight w:val="2427"/>
        </w:trPr>
        <w:tc>
          <w:tcPr>
            <w:shd w:val="clear" w:color="auto" w:fill="auto"/>
            <w:tcBorders>
              <w:top w:val="single" w:color="000000" w:sz="4" w:space="0"/>
              <w:left w:val="single" w:color="000000" w:sz="8" w:space="0"/>
              <w:bottom w:val="single" w:color="000000" w:sz="4" w:space="0"/>
              <w:right w:val="single" w:color="000000" w:sz="4" w:space="0"/>
            </w:tcBorders>
            <w:tcW w:w="50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衣柜</w:t>
            </w:r>
            <w:r/>
          </w:p>
        </w:tc>
        <w:tc>
          <w:tcPr>
            <w:shd w:val="clear" w:color="auto" w:fill="auto"/>
            <w:tcBorders>
              <w:top w:val="none" w:color="000000" w:sz="4" w:space="0"/>
              <w:left w:val="none" w:color="000000" w:sz="4" w:space="0"/>
              <w:bottom w:val="none" w:color="000000" w:sz="4" w:space="0"/>
              <w:right w:val="single" w:color="000000" w:sz="4" w:space="0"/>
            </w:tcBorders>
            <w:tcW w:w="1523"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628650" cy="1578610"/>
                      <wp:effectExtent l="0" t="0" r="0" b="2540"/>
                      <wp:docPr id="138" name="ID_345F876ECB9A44D993B86EC73A9E3F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7" name="ID_345F876ECB9A44D993B86EC73A9E3F84"/>
                              <pic:cNvPicPr>
                                <a:picLocks noChangeAspect="1"/>
                              </pic:cNvPicPr>
                              <pic:nvPr/>
                            </pic:nvPicPr>
                            <pic:blipFill>
                              <a:blip r:embed="rId65"/>
                              <a:stretch/>
                            </pic:blipFill>
                            <pic:spPr bwMode="auto">
                              <a:xfrm>
                                <a:off x="0" y="0"/>
                                <a:ext cx="628650" cy="15786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width:49.5pt;height:124.3pt;mso-wrap-distance-left:0.0pt;mso-wrap-distance-top:0.0pt;mso-wrap-distance-right:0.0pt;mso-wrap-distance-bottom:0.0pt;" stroked="f" strokeweight="0.75pt">
                      <v:path textboxrect="0,0,0,0"/>
                      <v:imagedata r:id="rId6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900*600*2400</w:t>
            </w:r>
            <w:r/>
          </w:p>
        </w:tc>
        <w:tc>
          <w:tcPr>
            <w:shd w:val="clear" w:color="auto" w:fill="auto"/>
            <w:tcBorders>
              <w:top w:val="single" w:color="000000" w:sz="4" w:space="0"/>
              <w:left w:val="single" w:color="000000" w:sz="4" w:space="0"/>
              <w:bottom w:val="single" w:color="000000" w:sz="4" w:space="0"/>
              <w:right w:val="single" w:color="000000" w:sz="4" w:space="0"/>
            </w:tcBorders>
            <w:tcW w:w="5641" w:type="dxa"/>
            <w:vAlign w:val="center"/>
            <w:textDirection w:val="lrTb"/>
            <w:noWrap w:val="false"/>
          </w:tcPr>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1、基材：优质浸渍胶膜纸饰面刨花板。 甲醛释放量 ENF 级。板厚25mm，各项指标符合GB/T 15102-2017《浸渍胶膜纸饰面纤维板和刨花板》 、GB 18580-2017《室内装饰装修材料 人造板及其制品中甲醛释放限量》、GB/T 39600-2021《人造板及其制品甲醛释放量分级》、GB/T 35601-2017《绿色产品评价 人造板和木质地板》、HJ 571-2010《环境标志产品技术要求 人造板及其制品》 、GB 8624-2012《建筑材料及制品燃烧性能分级》要求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2、封边：激光封边条，各项指标符合QB/T 4463-2013《家具用封边条技术要求》要求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3、连接件：金属三合一连接件，耐腐蚀性强。符合QB/T 3832-1999《轻工产品金属镀层腐蚀试验结果的评价》的要求达到10级。</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4、结构：双开木掩门，</w:t>
            </w:r>
            <w:r>
              <w:rPr>
                <w:rFonts w:hint="default" w:ascii="Times New Roman" w:hAnsi="Times New Roman" w:cs="Times New Roman"/>
                <w:sz w:val="18"/>
                <w:szCs w:val="18"/>
                <w:lang w:val="en-US" w:eastAsia="zh-CN"/>
              </w:rPr>
              <w:t xml:space="preserve">含一片固定层板，一片活动层板，含一根挂衣杆</w:t>
            </w:r>
            <w:r>
              <w:rPr>
                <w:rFonts w:hint="default" w:ascii="Times New Roman" w:hAnsi="Times New Roman" w:cs="Times New Roman"/>
                <w:sz w:val="18"/>
                <w:szCs w:val="18"/>
              </w:rPr>
              <w:t xml:space="preserve">；</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5、铰链：优质金属铰链，指标符合QB/T 2189-2013《家具五金 杯状暗铰链》要求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6、成品：各项技术指标符合GB/T 3324-2017《木家具通用技术条件》标准的要求。</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个</w:t>
            </w:r>
            <w:r/>
          </w:p>
        </w:tc>
      </w:tr>
      <w:tr>
        <w:trPr>
          <w:jc w:val="center"/>
          <w:trHeight w:val="1124"/>
        </w:trPr>
        <w:tc>
          <w:tcPr>
            <w:shd w:val="clear" w:color="auto" w:fill="auto"/>
            <w:tcBorders>
              <w:top w:val="single" w:color="000000" w:sz="4" w:space="0"/>
              <w:left w:val="single" w:color="000000" w:sz="8" w:space="0"/>
              <w:bottom w:val="single" w:color="000000" w:sz="4" w:space="0"/>
              <w:right w:val="single" w:color="000000" w:sz="4" w:space="0"/>
            </w:tcBorders>
            <w:tcW w:w="50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写字桌</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765810" cy="606425"/>
                      <wp:effectExtent l="0" t="0" r="11430" b="3175"/>
                      <wp:docPr id="139" name="ID_6D994EF79133451996A561AA436D56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8" name="ID_6D994EF79133451996A561AA436D56B0"/>
                              <pic:cNvPicPr>
                                <a:picLocks noChangeAspect="1"/>
                              </pic:cNvPicPr>
                              <pic:nvPr/>
                            </pic:nvPicPr>
                            <pic:blipFill>
                              <a:blip r:embed="rId66"/>
                              <a:srcRect l="0" t="0" r="13789" b="0"/>
                              <a:stretch/>
                            </pic:blipFill>
                            <pic:spPr bwMode="auto">
                              <a:xfrm>
                                <a:off x="0" y="0"/>
                                <a:ext cx="765810" cy="6064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width:60.3pt;height:47.8pt;mso-wrap-distance-left:0.0pt;mso-wrap-distance-top:0.0pt;mso-wrap-distance-right:0.0pt;mso-wrap-distance-bottom:0.0pt;" stroked="f" strokeweight="0.75pt">
                      <v:path textboxrect="0,0,0,0"/>
                      <v:imagedata r:id="rId6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1200*600*750</w:t>
            </w:r>
            <w:r/>
          </w:p>
        </w:tc>
        <w:tc>
          <w:tcPr>
            <w:shd w:val="clear" w:color="auto" w:fill="auto"/>
            <w:tcBorders>
              <w:top w:val="single" w:color="000000" w:sz="4" w:space="0"/>
              <w:left w:val="single" w:color="000000" w:sz="4" w:space="0"/>
              <w:bottom w:val="single" w:color="000000" w:sz="4" w:space="0"/>
              <w:right w:val="single" w:color="000000" w:sz="4" w:space="0"/>
            </w:tcBorders>
            <w:tcW w:w="5641" w:type="dxa"/>
            <w:vAlign w:val="center"/>
            <w:textDirection w:val="lrTb"/>
            <w:noWrap w:val="false"/>
          </w:tcPr>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1、基材：优质浸渍胶膜纸饰面刨花板。板厚25mm, 甲醛释放量 ENF 级。各项指标符合GB/T 15102-2017《浸渍胶膜纸饰面纤维板和刨花板》、GB 18580-2017《室内装饰装修材料 人造板及其制品中甲醛释放限量》、GB/T 39600-2021《人造板及其制品甲醛释放量分级》、GB/T 35601-2017《绿色产品评价 人造板和木质地板》</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HJ 571-2010《环境标志产品技术要求 人造板及其制品》 、GB 8624-2012《建筑材料及制品燃烧性能分级》要求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2、封边：激光封边条，各项指标符合QB/T 4463-2013《家具用封边条技术要求》要求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3、连接件：金属三合一连接件，耐腐蚀性强。符合QB/T 3832-1999《轻工产品金属镀层腐蚀试验结果的评价》的要求达到10级。</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4、胶水：PUR湿气固化反应型聚氨酯热熔胶，安全环保，符合GB 18583-2008《室内装饰装修材料 胶粘剂中有害物质限量》；HJ 2541-2016《环境标志产品技术要求胶粘剂》；GB 33372-2020《胶粘剂挥发性有机化合物限量》要求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5、结构：桌面下方配置双边单层抽屉；</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6、导轨：三节导轨符合QB/T 2454-2013《家具五金 抽屉导轨》要求；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7、成品：各项技术指标符合GB/T 3324-2017《木家具通用技术条件》标准的要求；</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张</w:t>
            </w:r>
            <w:r/>
          </w:p>
        </w:tc>
      </w:tr>
      <w:tr>
        <w:trPr>
          <w:jc w:val="center"/>
          <w:trHeight w:val="1457"/>
        </w:trPr>
        <w:tc>
          <w:tcPr>
            <w:shd w:val="clear" w:color="auto" w:fill="auto"/>
            <w:tcBorders>
              <w:top w:val="single" w:color="000000" w:sz="4" w:space="0"/>
              <w:left w:val="single" w:color="000000" w:sz="8" w:space="0"/>
              <w:bottom w:val="single" w:color="000000" w:sz="4" w:space="0"/>
              <w:right w:val="single" w:color="000000" w:sz="4" w:space="0"/>
            </w:tcBorders>
            <w:tcW w:w="50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写字椅</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881380" cy="1099820"/>
                      <wp:effectExtent l="0" t="0" r="13970" b="5080"/>
                      <wp:docPr id="140" name="ID_29B639A60C864B8F9368582C269355C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9" name="ID_29B639A60C864B8F9368582C269355C3"/>
                              <pic:cNvPicPr>
                                <a:picLocks noChangeAspect="1"/>
                              </pic:cNvPicPr>
                              <pic:nvPr/>
                            </pic:nvPicPr>
                            <pic:blipFill>
                              <a:blip r:embed="rId67"/>
                              <a:stretch/>
                            </pic:blipFill>
                            <pic:spPr bwMode="auto">
                              <a:xfrm>
                                <a:off x="0" y="0"/>
                                <a:ext cx="881380" cy="10998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width:69.4pt;height:86.6pt;mso-wrap-distance-left:0.0pt;mso-wrap-distance-top:0.0pt;mso-wrap-distance-right:0.0pt;mso-wrap-distance-bottom:0.0pt;" stroked="f" strokeweight="0.75pt">
                      <v:path textboxrect="0,0,0,0"/>
                      <v:imagedata r:id="rId6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570*500*815</w:t>
            </w:r>
            <w:r/>
          </w:p>
        </w:tc>
        <w:tc>
          <w:tcPr>
            <w:shd w:val="clear" w:color="auto" w:fill="auto"/>
            <w:tcBorders>
              <w:top w:val="single" w:color="000000" w:sz="4" w:space="0"/>
              <w:left w:val="single" w:color="000000" w:sz="4" w:space="0"/>
              <w:bottom w:val="single" w:color="000000" w:sz="4" w:space="0"/>
              <w:right w:val="single" w:color="000000" w:sz="4" w:space="0"/>
            </w:tcBorders>
            <w:tcW w:w="5641" w:type="dxa"/>
            <w:vAlign w:val="center"/>
            <w:textDirection w:val="lrTb"/>
            <w:noWrap w:val="false"/>
          </w:tcPr>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1、椅座：底部为PP塑料，上部软包坐垫，面料为阻燃布料，透气性好，表面无刺触感，平滑舒适，防螨性能优，无明显色差，性能、环保性、质量、防螨等参数符合GB 18401-2010 《国家纺织产品基本安全技术规范》、GB/T 18885-2020《生态纺织品技术要求》</w:t>
            </w:r>
            <w:r>
              <w:rPr>
                <w:rFonts w:hint="default" w:ascii="Times New Roman" w:hAnsi="Times New Roman" w:cs="Times New Roman"/>
                <w:sz w:val="18"/>
                <w:szCs w:val="18"/>
                <w:lang w:eastAsia="zh-CN"/>
              </w:rPr>
              <w:t xml:space="preserve">、</w:t>
            </w:r>
            <w:r>
              <w:rPr>
                <w:rFonts w:hint="default" w:ascii="Times New Roman" w:hAnsi="Times New Roman" w:cs="Times New Roman"/>
                <w:sz w:val="18"/>
                <w:szCs w:val="18"/>
              </w:rPr>
              <w:t xml:space="preserve">GB/T 24253-2009《纺织品 防螨性能的评价》、GB 8624-2012《建筑材料及制品燃烧性能分级》、HJ 2546-2016《环境标志产品技术要求纺织产品》要求。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2、靠背：采用一次成型 PP 塑料，各项指标符合GB 28481-2012《塑料家具中有害物质限量》要求，弧度贴合后背腰部，坐感舒适,椅面人性化圆角设计，防止磕碰。</w:t>
            </w:r>
            <w:r/>
          </w:p>
          <w:p>
            <w:pPr>
              <w:jc w:val="left"/>
              <w:widowControl/>
              <w:rPr>
                <w:rFonts w:hint="default" w:ascii="Times New Roman" w:hAnsi="Times New Roman" w:cs="Times New Roman"/>
                <w:sz w:val="18"/>
                <w:szCs w:val="18"/>
                <w:lang w:eastAsia="zh-CN"/>
              </w:rPr>
            </w:pPr>
            <w:r>
              <w:rPr>
                <w:rFonts w:hint="default" w:ascii="Times New Roman" w:hAnsi="Times New Roman" w:cs="Times New Roman"/>
                <w:sz w:val="18"/>
                <w:szCs w:val="18"/>
              </w:rPr>
              <w:t xml:space="preserve">3、椅架：实芯冷轧钢管，直径16mm, 表面表面静电粉末喷涂</w:t>
            </w:r>
            <w:r>
              <w:rPr>
                <w:rFonts w:hint="default" w:ascii="Times New Roman" w:hAnsi="Times New Roman" w:cs="Times New Roman"/>
                <w:sz w:val="18"/>
                <w:szCs w:val="18"/>
                <w:lang w:eastAsia="zh-CN"/>
              </w:rPr>
              <w:t xml:space="preserve">；</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4、防腐抗菌粉末：粉末符合HG/T 2006-2022《热固性和热塑性粉末涂料》、GB/T 35607-2017《绿色产品评价 家具》</w:t>
            </w:r>
            <w:r>
              <w:rPr>
                <w:rFonts w:hint="default" w:ascii="Times New Roman" w:hAnsi="Times New Roman" w:cs="Times New Roman"/>
                <w:sz w:val="18"/>
                <w:szCs w:val="18"/>
                <w:lang w:eastAsia="zh-CN"/>
              </w:rPr>
              <w:t xml:space="preserve">；</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5、椅脚：设有防滑耐磨脚垫，增加摩擦力，保护地板和减少噪音；边缘光滑；</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张</w:t>
            </w:r>
            <w:r/>
          </w:p>
        </w:tc>
      </w:tr>
      <w:tr>
        <w:trPr>
          <w:jc w:val="center"/>
          <w:trHeight w:val="678"/>
        </w:trPr>
        <w:tc>
          <w:tcPr>
            <w:shd w:val="clear" w:color="auto" w:fill="auto"/>
            <w:tcBorders>
              <w:top w:val="single" w:color="000000" w:sz="4" w:space="0"/>
              <w:left w:val="single" w:color="000000" w:sz="8" w:space="0"/>
              <w:bottom w:val="single" w:color="000000" w:sz="4" w:space="0"/>
              <w:right w:val="single" w:color="000000" w:sz="4" w:space="0"/>
            </w:tcBorders>
            <w:tcW w:w="50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条桌</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820420" cy="648335"/>
                      <wp:effectExtent l="0" t="0" r="2540" b="6985"/>
                      <wp:docPr id="141" name="ID_847F49406497460F8F12603C865C9E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D_847F49406497460F8F12603C865C9E96"/>
                              <pic:cNvPicPr>
                                <a:picLocks noChangeAspect="1"/>
                              </pic:cNvPicPr>
                              <pic:nvPr/>
                            </pic:nvPicPr>
                            <pic:blipFill>
                              <a:blip r:embed="rId69"/>
                              <a:stretch/>
                            </pic:blipFill>
                            <pic:spPr bwMode="auto">
                              <a:xfrm>
                                <a:off x="0" y="0"/>
                                <a:ext cx="820420" cy="6483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width:64.6pt;height:51.0pt;mso-wrap-distance-left:0.0pt;mso-wrap-distance-top:0.0pt;mso-wrap-distance-right:0.0pt;mso-wrap-distance-bottom:0.0pt;" stroked="f" strokeweight="0.75pt">
                      <v:path textboxrect="0,0,0,0"/>
                      <v:imagedata r:id="rId6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1400*600*750</w:t>
            </w:r>
            <w:r/>
          </w:p>
        </w:tc>
        <w:tc>
          <w:tcPr>
            <w:shd w:val="clear" w:color="auto" w:fill="auto"/>
            <w:tcBorders>
              <w:top w:val="single" w:color="000000" w:sz="4" w:space="0"/>
              <w:left w:val="single" w:color="000000" w:sz="4" w:space="0"/>
              <w:bottom w:val="single" w:color="000000" w:sz="4" w:space="0"/>
              <w:right w:val="single" w:color="000000" w:sz="4" w:space="0"/>
            </w:tcBorders>
            <w:tcW w:w="5641" w:type="dxa"/>
            <w:vAlign w:val="center"/>
            <w:textDirection w:val="lrTb"/>
            <w:noWrap w:val="false"/>
          </w:tcPr>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1、结构：四脚桌，电解钢板前档板</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2、基材：优质浸渍胶膜纸饰面刨花板。 甲醛释放量 ENF 级。板厚25mm，各项指标符合GB/T 15102-2017《浸渍胶膜纸饰面纤维板和刨花板》 、GB 18580-2017《室内装饰装修材料 人造板及其制品中甲醛释放限量》、GB/T 39600-2021《人造板及其制品甲醛释放量分级》、GB/T 35601-2017《绿色产品评价 人造板和木质地板》、HJ 571-2010《环境标志产品技术要求 人造板及其制品》 、GB 8624-2012《建筑材料及制品燃烧性能分级》要求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3、桌面封边：激光封边条，各项指标符合QB/T 4463-2013《家具用封边条技术要求》要求；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4、桌架：优质方钢脚及钢架，50*50mm,壁厚1.5mm及以上，前档板为电解钢板，厚度0.8mm,表面静电粉末喷涂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5、</w:t>
            </w:r>
            <w:r>
              <w:rPr>
                <w:rFonts w:hint="default" w:ascii="Times New Roman" w:hAnsi="Times New Roman" w:cs="Times New Roman"/>
                <w:sz w:val="18"/>
                <w:szCs w:val="18"/>
                <w:lang w:val="en-US" w:eastAsia="zh-CN"/>
              </w:rPr>
              <w:t xml:space="preserve">喷涂粉末</w:t>
            </w:r>
            <w:r>
              <w:rPr>
                <w:rFonts w:hint="default" w:ascii="Times New Roman" w:hAnsi="Times New Roman" w:cs="Times New Roman"/>
                <w:sz w:val="18"/>
                <w:szCs w:val="18"/>
              </w:rPr>
              <w:t xml:space="preserve">：粉末符合HG/T 2006-2022《热固性和热塑性粉末涂料》、GB/T 35607-2017《绿色产品评价 家具》、QB/T 4371-2012《家具抗菌性能的评价》。</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6、电解钢板：符合GB/T 35607-2017《绿色产品评价 家具》、GB/T 11253-2019《碳素结构钢冷轧钢板及钢带》要求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7、成品：各项技术指标符合GB/T 3325-2017《金属家具通用技术条件》标准的要求；</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张</w:t>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50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944880" cy="1078865"/>
                      <wp:effectExtent l="0" t="0" r="7620" b="6985"/>
                      <wp:docPr id="142" name="ID_460E6A511CA74ACCA973F61CE68523AE" descr="海昕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2" name="ID_460E6A511CA74ACCA973F61CE68523AE" descr="海昕1"/>
                              <pic:cNvPicPr>
                                <a:picLocks noChangeAspect="1"/>
                              </pic:cNvPicPr>
                              <pic:nvPr/>
                            </pic:nvPicPr>
                            <pic:blipFill>
                              <a:blip r:embed="rId70"/>
                              <a:stretch/>
                            </pic:blipFill>
                            <pic:spPr bwMode="auto">
                              <a:xfrm>
                                <a:off x="0" y="0"/>
                                <a:ext cx="944880" cy="10788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width:74.4pt;height:85.0pt;mso-wrap-distance-left:0.0pt;mso-wrap-distance-top:0.0pt;mso-wrap-distance-right:0.0pt;mso-wrap-distance-bottom:0.0pt;" stroked="f" strokeweight="0.75pt">
                      <v:path textboxrect="0,0,0,0"/>
                      <v:imagedata r:id="rId7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600*550*800</w:t>
            </w:r>
            <w:r/>
          </w:p>
        </w:tc>
        <w:tc>
          <w:tcPr>
            <w:shd w:val="clear" w:color="auto" w:fill="auto"/>
            <w:tcBorders>
              <w:top w:val="single" w:color="000000" w:sz="4" w:space="0"/>
              <w:left w:val="single" w:color="000000" w:sz="4" w:space="0"/>
              <w:bottom w:val="single" w:color="000000" w:sz="4" w:space="0"/>
              <w:right w:val="single" w:color="000000" w:sz="4" w:space="0"/>
            </w:tcBorders>
            <w:tcW w:w="5641" w:type="dxa"/>
            <w:vAlign w:val="center"/>
            <w:textDirection w:val="lrTb"/>
            <w:noWrap w:val="false"/>
          </w:tcPr>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1、椅背：优质网布，具有透气性和防静电性能，耐磨性强，厚度1.0mm。甲醛含量低于300mg/kg，安全环保，符合GB 18401-2010《国家纺织产品基本安全技术规范》标准。</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2、背框：全新PP一次注塑成型背框，结构坚固。</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3、坐垫：软质聚醚型聚氨酯泡沫塑料成型海绵，符合GB/T 10802-2023《通用软质聚氨酯泡沫塑料》；QB/T 2280-2016《办公家具 办公椅》要求。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4、扶手：PP固定T型扶手；</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5、椅脚：优质冷轧钢管，壁厚≥1.5mm，表面静电粉末喷涂，粉末为</w:t>
            </w:r>
            <w:r>
              <w:rPr>
                <w:rFonts w:hint="default" w:ascii="Times New Roman" w:hAnsi="Times New Roman" w:cs="Times New Roman"/>
                <w:sz w:val="18"/>
                <w:szCs w:val="18"/>
                <w:lang w:val="en-US" w:eastAsia="zh-CN"/>
              </w:rPr>
              <w:t xml:space="preserve">喷涂粉末</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6、</w:t>
            </w:r>
            <w:r>
              <w:rPr>
                <w:rFonts w:hint="default" w:ascii="Times New Roman" w:hAnsi="Times New Roman" w:cs="Times New Roman"/>
                <w:sz w:val="18"/>
                <w:szCs w:val="18"/>
                <w:lang w:val="en-US" w:eastAsia="zh-CN"/>
              </w:rPr>
              <w:t xml:space="preserve">喷涂粉末</w:t>
            </w:r>
            <w:r>
              <w:rPr>
                <w:rFonts w:hint="default" w:ascii="Times New Roman" w:hAnsi="Times New Roman" w:cs="Times New Roman"/>
                <w:sz w:val="18"/>
                <w:szCs w:val="18"/>
              </w:rPr>
              <w:t xml:space="preserve">：粉末符合HG/T 2006-2022《热固性和热塑性粉末涂料》、GB/T 35607-2017《绿色产品评价 家具》</w:t>
            </w:r>
            <w:r>
              <w:rPr>
                <w:rFonts w:hint="default" w:ascii="Times New Roman" w:hAnsi="Times New Roman" w:cs="Times New Roman"/>
                <w:sz w:val="18"/>
                <w:szCs w:val="18"/>
                <w:lang w:eastAsia="zh-CN"/>
              </w:rPr>
              <w:t xml:space="preserve">；</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7、成品：需符合QB/T 2280-2016《办公家具 办公椅》的要求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8、结构：坐高450mm，固定脚，无轮。</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张</w:t>
            </w:r>
            <w:r/>
          </w:p>
        </w:tc>
      </w:tr>
      <w:tr>
        <w:trPr>
          <w:jc w:val="center"/>
          <w:trHeight w:val="1530"/>
        </w:trPr>
        <w:tc>
          <w:tcPr>
            <w:shd w:val="clear" w:color="auto" w:fill="auto"/>
            <w:tcBorders>
              <w:top w:val="single" w:color="000000" w:sz="4" w:space="0"/>
              <w:left w:val="single" w:color="000000" w:sz="8" w:space="0"/>
              <w:bottom w:val="single" w:color="000000" w:sz="4" w:space="0"/>
              <w:right w:val="single" w:color="000000" w:sz="4" w:space="0"/>
            </w:tcBorders>
            <w:tcW w:w="50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演讲台</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807720" cy="1188720"/>
                      <wp:effectExtent l="0" t="0" r="11430" b="11430"/>
                      <wp:docPr id="143" name="ID_65CAF1880218446F88E4E12B7ACC6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7" name="ID_65CAF1880218446F88E4E12B7ACC6797"/>
                              <pic:cNvPicPr>
                                <a:picLocks noChangeAspect="1"/>
                              </pic:cNvPicPr>
                              <pic:nvPr/>
                            </pic:nvPicPr>
                            <pic:blipFill>
                              <a:blip r:embed="rId82"/>
                              <a:stretch/>
                            </pic:blipFill>
                            <pic:spPr bwMode="auto">
                              <a:xfrm>
                                <a:off x="0" y="0"/>
                                <a:ext cx="807720" cy="11887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width:63.6pt;height:93.6pt;mso-wrap-distance-left:0.0pt;mso-wrap-distance-top:0.0pt;mso-wrap-distance-right:0.0pt;mso-wrap-distance-bottom:0.0pt;" stroked="f" strokeweight="0.75pt">
                      <v:path textboxrect="0,0,0,0"/>
                      <v:imagedata r:id="rId8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480*450*1100</w:t>
            </w:r>
            <w:r/>
          </w:p>
        </w:tc>
        <w:tc>
          <w:tcPr>
            <w:shd w:val="clear" w:color="auto" w:fill="auto"/>
            <w:tcBorders>
              <w:top w:val="single" w:color="000000" w:sz="4" w:space="0"/>
              <w:left w:val="single" w:color="000000" w:sz="4" w:space="0"/>
              <w:bottom w:val="single" w:color="000000" w:sz="4" w:space="0"/>
              <w:right w:val="single" w:color="000000" w:sz="4" w:space="0"/>
            </w:tcBorders>
            <w:tcW w:w="5641" w:type="dxa"/>
            <w:vAlign w:val="center"/>
            <w:textDirection w:val="lrTb"/>
            <w:noWrap w:val="false"/>
          </w:tcPr>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1、基材：优质浸渍胶膜纸饰面刨花板。 甲醛释放量 ENF 级。板厚25mm，各项指标符合GB/T 15102-2017《浸渍胶膜纸饰面纤维板和刨花板》、GB 18580-2017《室内装饰装修材料 人造板及其制品中甲醛释放限量》、GB/T 39600-2021《人造板及其制品甲醛释放量分级》、GB/T 35601-2017《绿色产品评价 人造板和木质地板》、HJ 571-2010《环境标志产品技术要求 人造板及其制品》、GB 8624-2012《建筑材料及制品燃烧性能分级》要求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2、封边：激光封边条，各项指标符合QB/T 4463-2013《家具用封边条技术要求》要求；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3、连接件：金属三合一连接件，耐腐蚀性强。符合QB/T 3832-1999《轻工产品金属镀层腐蚀试验结果的评价》的要求达到10级。</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4、结构：倾斜式讲台面，带上下挡边，直立式支撑柱，内部可走线，矩形底座。</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张</w:t>
            </w:r>
            <w:r/>
          </w:p>
        </w:tc>
      </w:tr>
      <w:tr>
        <w:trPr>
          <w:jc w:val="center"/>
          <w:trHeight w:val="1160"/>
        </w:trPr>
        <w:tc>
          <w:tcPr>
            <w:shd w:val="clear" w:color="auto" w:fill="auto"/>
            <w:tcBorders>
              <w:top w:val="single" w:color="000000" w:sz="4" w:space="0"/>
              <w:left w:val="single" w:color="000000" w:sz="8" w:space="0"/>
              <w:bottom w:val="single" w:color="000000" w:sz="4" w:space="0"/>
              <w:right w:val="single" w:color="000000" w:sz="4" w:space="0"/>
            </w:tcBorders>
            <w:tcW w:w="50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rPr>
              <mc:AlternateContent>
                <mc:Choice Requires="wpg">
                  <w:drawing>
                    <wp:inline xmlns:wp="http://schemas.openxmlformats.org/drawingml/2006/wordprocessingDrawing" distT="0" distB="0" distL="0" distR="0">
                      <wp:extent cx="829310" cy="618490"/>
                      <wp:effectExtent l="0" t="0" r="8890" b="6350"/>
                      <wp:docPr id="14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5"/>
                              <pic:cNvPicPr>
                                <a:picLocks noChangeAspect="1"/>
                              </pic:cNvPicPr>
                              <pic:nvPr/>
                            </pic:nvPicPr>
                            <pic:blipFill>
                              <a:blip r:embed="rId83"/>
                              <a:stretch/>
                            </pic:blipFill>
                            <pic:spPr bwMode="auto">
                              <a:xfrm>
                                <a:off x="0" y="0"/>
                                <a:ext cx="829310" cy="618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width:65.3pt;height:48.7pt;mso-wrap-distance-left:0.0pt;mso-wrap-distance-top:0.0pt;mso-wrap-distance-right:0.0pt;mso-wrap-distance-bottom:0.0pt;" stroked="f">
                      <v:path textboxrect="0,0,0,0"/>
                      <v:imagedata r:id="rId8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2800*1200*750</w:t>
            </w:r>
            <w:r/>
          </w:p>
        </w:tc>
        <w:tc>
          <w:tcPr>
            <w:shd w:val="clear" w:color="auto" w:fill="auto"/>
            <w:tcBorders>
              <w:top w:val="single" w:color="000000" w:sz="4" w:space="0"/>
              <w:left w:val="single" w:color="000000" w:sz="4" w:space="0"/>
              <w:bottom w:val="single" w:color="000000" w:sz="4" w:space="0"/>
              <w:right w:val="single" w:color="000000" w:sz="4" w:space="0"/>
            </w:tcBorders>
            <w:tcW w:w="5641" w:type="dxa"/>
            <w:vAlign w:val="center"/>
            <w:textDirection w:val="lrTb"/>
            <w:noWrap w:val="false"/>
          </w:tcPr>
          <w:p>
            <w:pPr>
              <w:jc w:val="left"/>
              <w:widowControl/>
              <w:rPr>
                <w:rFonts w:hint="default" w:ascii="Times New Roman" w:hAnsi="Times New Roman" w:eastAsia="宋体" w:cs="Times New Roman"/>
                <w:color w:val="000000"/>
                <w:sz w:val="18"/>
                <w:szCs w:val="18"/>
                <w:lang w:eastAsia="zh-CN"/>
              </w:rPr>
            </w:pPr>
            <w:r>
              <w:rPr>
                <w:rFonts w:hint="default" w:ascii="Times New Roman" w:hAnsi="Times New Roman" w:cs="Times New Roman"/>
                <w:sz w:val="18"/>
                <w:szCs w:val="18"/>
              </w:rPr>
              <w:t xml:space="preserve">1、结构：</w:t>
            </w:r>
            <w:r>
              <w:rPr>
                <w:rFonts w:hint="default" w:ascii="Times New Roman" w:hAnsi="Times New Roman" w:cs="Times New Roman"/>
                <w:sz w:val="18"/>
                <w:szCs w:val="18"/>
                <w:lang w:val="en-US" w:eastAsia="zh-CN"/>
              </w:rPr>
              <w:t xml:space="preserve">2</w:t>
            </w:r>
            <w:r>
              <w:rPr>
                <w:rFonts w:hint="default" w:ascii="Times New Roman" w:hAnsi="Times New Roman" w:cs="Times New Roman"/>
                <w:color w:val="000000"/>
                <w:sz w:val="18"/>
                <w:szCs w:val="18"/>
              </w:rPr>
              <w:t xml:space="preserve">块桌板拼接，2个边脚及</w:t>
            </w:r>
            <w:r>
              <w:rPr>
                <w:rFonts w:hint="default" w:ascii="Times New Roman" w:hAnsi="Times New Roman" w:cs="Times New Roman"/>
                <w:color w:val="000000"/>
                <w:sz w:val="18"/>
                <w:szCs w:val="18"/>
                <w:lang w:val="en-US" w:eastAsia="zh-CN"/>
              </w:rPr>
              <w:t xml:space="preserve">1</w:t>
            </w:r>
            <w:r>
              <w:rPr>
                <w:rFonts w:hint="default" w:ascii="Times New Roman" w:hAnsi="Times New Roman" w:cs="Times New Roman"/>
                <w:color w:val="000000"/>
                <w:sz w:val="18"/>
                <w:szCs w:val="18"/>
              </w:rPr>
              <w:t xml:space="preserve">个中间</w:t>
            </w:r>
            <w:r>
              <w:rPr>
                <w:rFonts w:hint="default" w:ascii="Times New Roman" w:hAnsi="Times New Roman" w:cs="Times New Roman"/>
                <w:color w:val="000000"/>
                <w:sz w:val="18"/>
                <w:szCs w:val="18"/>
                <w:lang w:val="en-US" w:eastAsia="zh-CN"/>
              </w:rPr>
              <w:t xml:space="preserve">上线</w:t>
            </w:r>
            <w:r>
              <w:rPr>
                <w:rFonts w:hint="default" w:ascii="Times New Roman" w:hAnsi="Times New Roman" w:cs="Times New Roman"/>
                <w:color w:val="000000"/>
                <w:sz w:val="18"/>
                <w:szCs w:val="18"/>
              </w:rPr>
              <w:t xml:space="preserve">脚</w:t>
            </w:r>
            <w:r>
              <w:rPr>
                <w:rFonts w:hint="default" w:ascii="Times New Roman" w:hAnsi="Times New Roman" w:cs="Times New Roman"/>
                <w:color w:val="000000"/>
                <w:sz w:val="18"/>
                <w:szCs w:val="18"/>
                <w:lang w:eastAsia="zh-CN"/>
              </w:rPr>
              <w:t xml:space="preserve">（</w:t>
            </w:r>
            <w:r>
              <w:rPr>
                <w:rFonts w:hint="default" w:ascii="Times New Roman" w:hAnsi="Times New Roman" w:cs="Times New Roman"/>
                <w:color w:val="000000"/>
                <w:sz w:val="18"/>
                <w:szCs w:val="18"/>
                <w:lang w:val="en-US" w:eastAsia="zh-CN"/>
              </w:rPr>
              <w:t xml:space="preserve">两侧钢板封闭</w:t>
            </w:r>
            <w:r>
              <w:rPr>
                <w:rFonts w:hint="default" w:ascii="Times New Roman" w:hAnsi="Times New Roman" w:cs="Times New Roman"/>
                <w:color w:val="000000"/>
                <w:sz w:val="18"/>
                <w:szCs w:val="18"/>
                <w:lang w:eastAsia="zh-CN"/>
              </w:rPr>
              <w:t xml:space="preserve">），</w:t>
            </w:r>
            <w:r>
              <w:rPr>
                <w:rFonts w:hint="default" w:ascii="Times New Roman" w:hAnsi="Times New Roman" w:cs="Times New Roman"/>
                <w:color w:val="000000"/>
                <w:sz w:val="18"/>
                <w:szCs w:val="18"/>
              </w:rPr>
              <w:t xml:space="preserve">桌面带</w:t>
            </w:r>
            <w:r>
              <w:rPr>
                <w:rFonts w:hint="default" w:ascii="Times New Roman" w:hAnsi="Times New Roman" w:cs="Times New Roman"/>
                <w:color w:val="000000"/>
                <w:sz w:val="18"/>
                <w:szCs w:val="18"/>
                <w:lang w:val="en-US" w:eastAsia="zh-CN"/>
              </w:rPr>
              <w:t xml:space="preserve">2个</w:t>
            </w:r>
            <w:r>
              <w:rPr>
                <w:rFonts w:hint="default" w:ascii="Times New Roman" w:hAnsi="Times New Roman" w:cs="Times New Roman"/>
                <w:color w:val="000000"/>
                <w:sz w:val="18"/>
                <w:szCs w:val="18"/>
              </w:rPr>
              <w:t xml:space="preserve">铝合金线盒</w:t>
            </w:r>
            <w:r>
              <w:rPr>
                <w:rFonts w:hint="default" w:ascii="Times New Roman" w:hAnsi="Times New Roman" w:cs="Times New Roman"/>
                <w:color w:val="000000"/>
                <w:sz w:val="18"/>
                <w:szCs w:val="18"/>
                <w:lang w:val="en-US" w:eastAsia="zh-CN"/>
              </w:rPr>
              <w:t xml:space="preserve">（含钢制底盒，内有4个86面板安装孔）</w:t>
            </w:r>
            <w:r>
              <w:rPr>
                <w:rFonts w:hint="default" w:ascii="Times New Roman" w:hAnsi="Times New Roman" w:cs="Times New Roman"/>
                <w:color w:val="000000"/>
                <w:sz w:val="18"/>
                <w:szCs w:val="18"/>
                <w:lang w:eastAsia="zh-CN"/>
              </w:rPr>
              <w:t xml:space="preserve">；</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2、桌面：基材优质浸渍胶膜纸饰面刨花板。 甲醛释放量 ENF 级。板厚25mm，各项指标符合GB/T 15102-2017《浸渍胶膜纸饰面纤维板和刨花板》 、GB 18580-2017《室内装饰装修材料 人造板及其制品中甲醛释放限量》、GB/T 39600-2021《人造板及其制品甲醛释放量分级》、GB/T 35601-2017《绿色产品评价 人造板和木质地板》、HJ 571-2010《环境标志产品技术要求 人造板及其制品》、GB 8624-2012《建筑材料及制品燃烧性能分级》要求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3、封边：激光封边条，各项指标符合QB/T 4463-2013《家具用封边条技术要求》要求；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4、线盒：桌面配备铝合金双面翻盖板，内部可安装4个86型插座便于使用电源；</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5、桌架及腿：方形桌腿及横梁，截面50*50钢方管，壁厚1.5mm,表面静电粉末喷涂，喷涂粉末，粉末符合符合HG/T 2006-2022《热固性和热塑性粉末涂料》、GB/T 35607-2017《绿色产品评价 家具》</w:t>
            </w:r>
            <w:r>
              <w:rPr>
                <w:rFonts w:hint="default" w:ascii="Times New Roman" w:hAnsi="Times New Roman" w:cs="Times New Roman"/>
                <w:sz w:val="18"/>
                <w:szCs w:val="18"/>
                <w:lang w:eastAsia="zh-CN"/>
              </w:rPr>
              <w:t xml:space="preserve">；</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6、成品：各项技术指标符合GB/T 3325-2017《金属家具通用技术条件》标准的要求；</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张</w:t>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50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819785" cy="1022350"/>
                      <wp:effectExtent l="19050" t="0" r="0" b="0"/>
                      <wp:docPr id="145"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9" name="图片 46"/>
                              <pic:cNvPicPr>
                                <a:picLocks noChangeAspect="1"/>
                              </pic:cNvPicPr>
                              <pic:nvPr/>
                            </pic:nvPicPr>
                            <pic:blipFill>
                              <a:blip r:embed="rId40"/>
                              <a:stretch/>
                            </pic:blipFill>
                            <pic:spPr bwMode="auto">
                              <a:xfrm>
                                <a:off x="0" y="0"/>
                                <a:ext cx="820309" cy="1022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width:64.5pt;height:80.5pt;mso-wrap-distance-left:0.0pt;mso-wrap-distance-top:0.0pt;mso-wrap-distance-right:0.0pt;mso-wrap-distance-bottom:0.0pt;" stroked="f" strokeweight="0.75pt">
                      <v:path textboxrect="0,0,0,0"/>
                      <v:imagedata r:id="rId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中背</w:t>
            </w:r>
            <w:r/>
          </w:p>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645*560*（970-1060）</w:t>
            </w:r>
            <w:r/>
          </w:p>
        </w:tc>
        <w:tc>
          <w:tcPr>
            <w:shd w:val="clear" w:color="auto" w:fill="auto"/>
            <w:tcBorders>
              <w:top w:val="single" w:color="000000" w:sz="4" w:space="0"/>
              <w:left w:val="single" w:color="000000" w:sz="4" w:space="0"/>
              <w:bottom w:val="single" w:color="000000" w:sz="4" w:space="0"/>
              <w:right w:val="single" w:color="000000" w:sz="4" w:space="0"/>
            </w:tcBorders>
            <w:tcW w:w="5641" w:type="dxa"/>
            <w:vAlign w:val="center"/>
            <w:textDirection w:val="lrTb"/>
            <w:noWrap w:val="false"/>
          </w:tcPr>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1、椅背：优质网布，具有透气性和防静电性能，耐磨性强，厚度1.0mm。甲醛含量低于300mg/kg，安全环保，符合GB 18401-2010《国家纺织产品基本安全技术规范》标准。具有透气性和防静电性能，耐磨性强，厚度≥1.0mm。</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2、背框：全新PP一次注塑成型背框，内外框结构，结构坚固。</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3、坐垫：纤维织物，具有耐磨性。</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4、海绵：软质聚醚型聚氨酯泡沫塑料成型海绵，厚度≥75mm，密度大于40kg/m3，回弹力大于50%，符合GB/T 10802-2023《通用软质聚氨酯泡沫塑料》QB/T 2280-2016《办公家具 办公椅》要求。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5、座板：采用15mm多层曲木板热压成型，板材绿色环保，经防潮、防腐、防蛀等化学处理。底部采用PP底壳包底。</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6、扶手：PP可升降T型扶手,扶手面PU材质</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7、底盘：采用安全可锁定同步倾仰底盘，由3.2mm钢板压制而成，经防腐处理。</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8、气压棒：金属气压棒，升降行程90mm，棒芯壁厚须符合GB/T 29525-2013《座椅升降气弹簧 技术条件》要求。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9、胶粘剂：环保型喷胶，符合GB 18583-2008《室内装饰装修材料 胶粘剂中有害物质限量》：HJ 2541-2016《环境标志产品技术要求胶粘剂》；GB 33372-2020《胶粘剂挥发性有机化合物限量》要求；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10、五星脚：塑料五星脚，直径650 mm。</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11、脚轮：PU万向轮，直径60 mm，滑动时无杂音、活动自如。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12、成品：需符合QB/T 2280-2016《办公家具 办公椅》的要求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13、腰托：PP腰托，可上下调节</w:t>
            </w:r>
            <w:r/>
          </w:p>
          <w:p>
            <w:pPr>
              <w:jc w:val="left"/>
              <w:widowControl/>
              <w:rPr>
                <w:rFonts w:hint="default" w:ascii="Times New Roman" w:hAnsi="Times New Roman" w:cs="Times New Roman"/>
                <w:sz w:val="18"/>
                <w:szCs w:val="18"/>
                <w:highlight w:val="yellow"/>
              </w:rPr>
            </w:pPr>
            <w:r>
              <w:rPr>
                <w:rFonts w:hint="default" w:ascii="Times New Roman" w:hAnsi="Times New Roman" w:cs="Times New Roman"/>
                <w:sz w:val="18"/>
                <w:szCs w:val="18"/>
              </w:rPr>
              <w:t xml:space="preserve">14、净尺寸：座宽455mm，坐高405-495mm，坐深：450mm；</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张</w:t>
            </w:r>
            <w:r/>
          </w:p>
        </w:tc>
      </w:tr>
      <w:tr>
        <w:trPr>
          <w:jc w:val="center"/>
          <w:trHeight w:val="1645"/>
        </w:trPr>
        <w:tc>
          <w:tcPr>
            <w:shd w:val="clear" w:color="auto" w:fill="auto"/>
            <w:tcBorders>
              <w:top w:val="single" w:color="000000" w:sz="4" w:space="0"/>
              <w:left w:val="single" w:color="000000" w:sz="8" w:space="0"/>
              <w:bottom w:val="single" w:color="000000" w:sz="4" w:space="0"/>
              <w:right w:val="single" w:color="000000" w:sz="4" w:space="0"/>
            </w:tcBorders>
            <w:tcW w:w="50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接待椅</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981710" cy="1021715"/>
                      <wp:effectExtent l="0" t="0" r="8890" b="6985"/>
                      <wp:docPr id="146"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0" name="图片 25"/>
                              <pic:cNvPicPr>
                                <a:picLocks noChangeAspect="1"/>
                              </pic:cNvPicPr>
                              <pic:nvPr/>
                            </pic:nvPicPr>
                            <pic:blipFill>
                              <a:blip r:embed="rId25"/>
                              <a:stretch/>
                            </pic:blipFill>
                            <pic:spPr bwMode="auto">
                              <a:xfrm>
                                <a:off x="0" y="0"/>
                                <a:ext cx="981710" cy="10217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width:77.3pt;height:80.5pt;mso-wrap-distance-left:0.0pt;mso-wrap-distance-top:0.0pt;mso-wrap-distance-right:0.0pt;mso-wrap-distance-bottom:0.0pt;" stroked="f" strokeweight="0.75pt">
                      <v:path textboxrect="0,0,0,0"/>
                      <v:imagedata r:id="rId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600*610*825</w:t>
            </w:r>
            <w:r/>
          </w:p>
        </w:tc>
        <w:tc>
          <w:tcPr>
            <w:shd w:val="clear" w:color="auto" w:fill="auto"/>
            <w:tcBorders>
              <w:top w:val="single" w:color="000000" w:sz="4" w:space="0"/>
              <w:left w:val="single" w:color="000000" w:sz="4" w:space="0"/>
              <w:bottom w:val="single" w:color="000000" w:sz="4" w:space="0"/>
              <w:right w:val="single" w:color="000000" w:sz="4" w:space="0"/>
            </w:tcBorders>
            <w:tcW w:w="5641" w:type="dxa"/>
            <w:vAlign w:val="center"/>
            <w:textDirection w:val="lrTb"/>
            <w:noWrap w:val="false"/>
          </w:tcPr>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1、尺寸：600*610*825mm（坐高430mm）</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2、饰面：阻燃布料，透气性好，表面无刺触感，平滑舒适，防螨性能优，无明显色差，性能、环保性、质量、防螨等参数符合GB 18401-2010 《国家纺织产品基本安全技术规范》、GB/T 18885-2020《生态纺织品技术要求》</w:t>
            </w:r>
            <w:r>
              <w:rPr>
                <w:rFonts w:hint="default" w:ascii="Times New Roman" w:hAnsi="Times New Roman" w:cs="Times New Roman"/>
                <w:sz w:val="18"/>
                <w:szCs w:val="18"/>
                <w:lang w:eastAsia="zh-CN"/>
              </w:rPr>
              <w:t xml:space="preserve">、</w:t>
            </w:r>
            <w:r>
              <w:rPr>
                <w:rFonts w:hint="default" w:ascii="Times New Roman" w:hAnsi="Times New Roman" w:cs="Times New Roman"/>
                <w:sz w:val="18"/>
                <w:szCs w:val="18"/>
              </w:rPr>
              <w:t xml:space="preserve">GB/T 24253-2009《纺织品 防螨性能的评价》、GB 8624-2012《建筑材料及制品燃烧性能分级》、HJ 2546-2016《环境标志产品技术要求纺织产品》要求。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3、海绵：阻燃海绵，厚度不小于100mm，密度大于40kg/m3，回弹力大于50%，符合GB/T 10802-2023《通用软质聚氨酯泡沫塑料》、GB 8624-2012《建筑材料及制品燃烧性能分级》等标准要求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4、内部框架：橡胶木实木框架，表面平整，无毛刺。</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5、胶粘剂：环保型喷胶，符合GB 18583-2008《室内装饰装修材料 胶粘剂中有害物质限量》、HJ 2541-2016《环境标志产品技术要求胶粘剂》、GB 33372-2020《胶粘剂挥发性有机化合物限量》要求。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6、沙发脚：水曲柳实木沙发脚。</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7、扶手：弧线形软包扶手</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8、颜色：采购人自选</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9、成品：各项技术指标符合QB/T 1952.1-2023《软体家具沙发》 标准的要求。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10、其他：边缘部位倒圆处理，无棱角，降低安全风险，整体结构、安全防护、质量、环保、舒适性、便利性等参数均须符合适老化要求</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张</w:t>
            </w:r>
            <w:r/>
          </w:p>
        </w:tc>
      </w:tr>
      <w:tr>
        <w:trPr>
          <w:jc w:val="center"/>
          <w:trHeight w:val="90"/>
        </w:trPr>
        <w:tc>
          <w:tcPr>
            <w:gridSpan w:val="7"/>
            <w:shd w:val="clear" w:color="auto" w:fill="d9d9d9"/>
            <w:tcBorders>
              <w:top w:val="single" w:color="000000" w:sz="4" w:space="0"/>
              <w:left w:val="single" w:color="000000" w:sz="8" w:space="0"/>
              <w:bottom w:val="single" w:color="000000" w:sz="4" w:space="0"/>
              <w:right w:val="none" w:color="000000" w:sz="4" w:space="0"/>
            </w:tcBorders>
            <w:tcW w:w="10301" w:type="dxa"/>
            <w:vAlign w:val="center"/>
            <w:textDirection w:val="lrTb"/>
            <w:noWrap w:val="false"/>
          </w:tcPr>
          <w:p>
            <w:pPr>
              <w:jc w:val="center"/>
              <w:rPr>
                <w:rFonts w:hint="default" w:ascii="Times New Roman" w:hAnsi="Times New Roman" w:cs="Times New Roman"/>
                <w:b/>
                <w:bCs/>
                <w:sz w:val="18"/>
                <w:szCs w:val="18"/>
              </w:rPr>
            </w:pPr>
            <w:r>
              <w:rPr>
                <w:rFonts w:hint="default" w:ascii="Times New Roman" w:hAnsi="Times New Roman" w:cs="Times New Roman"/>
                <w:b/>
                <w:bCs/>
                <w:sz w:val="18"/>
                <w:szCs w:val="18"/>
              </w:rPr>
              <w:t xml:space="preserve">诊室</w:t>
            </w:r>
            <w:r/>
          </w:p>
        </w:tc>
      </w:tr>
      <w:tr>
        <w:trPr>
          <w:jc w:val="center"/>
          <w:trHeight w:val="681"/>
        </w:trPr>
        <w:tc>
          <w:tcPr>
            <w:shd w:val="clear" w:color="auto" w:fill="auto"/>
            <w:tcBorders>
              <w:top w:val="single" w:color="000000" w:sz="4" w:space="0"/>
              <w:left w:val="single" w:color="000000" w:sz="8" w:space="0"/>
              <w:bottom w:val="single" w:color="000000" w:sz="4" w:space="0"/>
              <w:right w:val="single" w:color="000000" w:sz="4" w:space="0"/>
            </w:tcBorders>
            <w:tcW w:w="50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医用办公桌</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913765" cy="478155"/>
                      <wp:effectExtent l="0" t="0" r="635" b="17145"/>
                      <wp:docPr id="147" name="ID_807AE487077F4EDABC1F339B686C7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8" name="ID_807AE487077F4EDABC1F339B686C7637"/>
                              <pic:cNvPicPr>
                                <a:picLocks noChangeAspect="1"/>
                              </pic:cNvPicPr>
                              <pic:nvPr/>
                            </pic:nvPicPr>
                            <pic:blipFill>
                              <a:blip r:embed="rId49"/>
                              <a:stretch/>
                            </pic:blipFill>
                            <pic:spPr bwMode="auto">
                              <a:xfrm>
                                <a:off x="0" y="0"/>
                                <a:ext cx="913765" cy="4781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width:72.0pt;height:37.6pt;mso-wrap-distance-left:0.0pt;mso-wrap-distance-top:0.0pt;mso-wrap-distance-right:0.0pt;mso-wrap-distance-bottom:0.0pt;" stroked="f" strokeweight="0.75pt">
                      <v:path textboxrect="0,0,0,0"/>
                      <v:imagedata r:id="rId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1500*1600*750</w:t>
            </w:r>
            <w:r/>
          </w:p>
        </w:tc>
        <w:tc>
          <w:tcPr>
            <w:shd w:val="clear" w:color="auto" w:fill="auto"/>
            <w:tcBorders>
              <w:top w:val="single" w:color="000000" w:sz="4" w:space="0"/>
              <w:left w:val="single" w:color="000000" w:sz="4" w:space="0"/>
              <w:bottom w:val="single" w:color="000000" w:sz="4" w:space="0"/>
              <w:right w:val="single" w:color="000000" w:sz="4" w:space="0"/>
            </w:tcBorders>
            <w:tcW w:w="5641" w:type="dxa"/>
            <w:vAlign w:val="center"/>
            <w:textDirection w:val="lrTb"/>
            <w:noWrap w:val="false"/>
          </w:tcPr>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1、结构：钢横梁及钢腿，一侧为三抽固定柜，另一侧为圆盘支撑脚</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2、桌面：优质浸渍胶膜纸饰面刨花板。板厚25mm, 甲醛释放量ENF 级。一侧弧形，各项指标符合GB/T 15102-2017《浸渍胶膜纸饰面纤维板和刨花板》、GB 18580-2017《室内装饰装修材料 人造板及其制品中甲醛释放限量》、GB/T 39600-2021《人造板及其制品甲醛释放量分级》、GB/T 35601-2017《绿色产品评价 人造板和木质地板》、HJ 571-2010《环境标志产品技术要求 人造板及其制品》、GB 8624-2012《建筑材料及制品燃烧性能分级》要求。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3、封边：激光封边条，各项指标符合QB/T 4463-2013《家具用封边条技术要求》要求。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4、固定抽屉柜：本体及抽屉材质为电解钢板，厚度0.8mm,表面粉末喷涂，粉末为防腐抗菌喷涂粉末。</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三节导轨符合QB/T 2454-2013《家具五金 抽屉导轨》要求，首层抽屉配文具盒，底层抽屉可挂挂块牢档案袋，带锁具，锁具符合QB/T 1621-2015《家具锁》要求；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5、桌腿：圆盘脚，直径300mm，表面静电粉末喷涂，防腐抗菌喷涂粉末。</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6、防腐抗菌喷涂粉末：符合HG/T 2006-2022《热固性和热塑性粉末涂料》、GB/T 35607-2017《绿色产品评价 家具》、QB/T 4371-2012《家具抗菌性能的评价》、GB/T 1741-2020《漆膜耐霉菌性测定法》要求，耐霉菌性等级达到0级。</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7、电解钢板：抽屉及前档板为电解钢板，符合GB/T 35607-2017《绿色产品评价 家具》、GB/T 11253-2019《碳素结构钢冷轧钢板及钢带》要求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8、成品：各项技术指标符合GB/T 3325-2017《金属家具通用技术条件》标准的要求；</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套</w:t>
            </w:r>
            <w:r/>
          </w:p>
        </w:tc>
      </w:tr>
      <w:tr>
        <w:trPr>
          <w:jc w:val="center"/>
          <w:trHeight w:val="532"/>
        </w:trPr>
        <w:tc>
          <w:tcPr>
            <w:shd w:val="clear" w:color="auto" w:fill="auto"/>
            <w:tcBorders>
              <w:top w:val="single" w:color="000000" w:sz="4" w:space="0"/>
              <w:left w:val="single" w:color="000000" w:sz="8" w:space="0"/>
              <w:bottom w:val="single" w:color="000000" w:sz="4" w:space="0"/>
              <w:right w:val="single" w:color="000000" w:sz="4" w:space="0"/>
            </w:tcBorders>
            <w:tcW w:w="50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板式文件柜</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836295" cy="895350"/>
                      <wp:effectExtent l="19050" t="0" r="1489" b="0"/>
                      <wp:docPr id="148" name="图片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7" name="图片 201"/>
                              <pic:cNvPicPr>
                                <a:picLocks noChangeAspect="1"/>
                              </pic:cNvPicPr>
                              <pic:nvPr/>
                            </pic:nvPicPr>
                            <pic:blipFill>
                              <a:blip r:embed="rId50"/>
                              <a:stretch/>
                            </pic:blipFill>
                            <pic:spPr bwMode="auto">
                              <a:xfrm>
                                <a:off x="0" y="0"/>
                                <a:ext cx="836711" cy="895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width:65.8pt;height:70.5pt;mso-wrap-distance-left:0.0pt;mso-wrap-distance-top:0.0pt;mso-wrap-distance-right:0.0pt;mso-wrap-distance-bottom:0.0pt;" stroked="f" strokeweight="0.75pt">
                      <v:path textboxrect="0,0,0,0"/>
                      <v:imagedata r:id="rId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1200*420*1800</w:t>
            </w:r>
            <w:r/>
          </w:p>
        </w:tc>
        <w:tc>
          <w:tcPr>
            <w:shd w:val="clear" w:color="auto" w:fill="auto"/>
            <w:tcBorders>
              <w:top w:val="single" w:color="000000" w:sz="4" w:space="0"/>
              <w:left w:val="single" w:color="000000" w:sz="4" w:space="0"/>
              <w:bottom w:val="single" w:color="000000" w:sz="4" w:space="0"/>
              <w:right w:val="single" w:color="000000" w:sz="4" w:space="0"/>
            </w:tcBorders>
            <w:tcW w:w="5641" w:type="dxa"/>
            <w:vAlign w:val="center"/>
            <w:textDirection w:val="lrTb"/>
            <w:noWrap w:val="false"/>
          </w:tcPr>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1、基材：优质浸渍胶膜纸饰面刨花板。 甲醛释放量 ENF 级。板厚25mm，各项指标符合GB/T 15102-2017《浸渍胶膜纸饰面纤维板和刨花板》 、GB 18580-2017《室内装饰装修材料 人造板及其制品中甲醛释放限量》、GB/T 39600-2021《人造板及其制品甲醛释放量分级》、GB/T 35601-2017《绿色产品评价 人造板和木质地板》、HJ 571-2010《环境标志产品技术要求 人造板及其制品》 、GB 8624-2012《建筑材料及制品燃烧性能分级》要求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2、封边：激光封边条，各项指标符合QB/T 4463-2013《家具用封边条技术要求》要求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3、连接件：金属三合一连接件，耐腐蚀性强。符合QB/T 3832-1999《轻工产品金属镀层腐蚀试验结果的评价》的要求达到10级。</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4、结构：左上-单开木掩门，内置一块活动层板，右上-双开铝框玻璃门</w:t>
            </w:r>
            <w:r>
              <w:rPr>
                <w:rFonts w:hint="default" w:ascii="Times New Roman" w:hAnsi="Times New Roman" w:cs="Times New Roman"/>
                <w:sz w:val="18"/>
                <w:szCs w:val="18"/>
                <w:lang w:eastAsia="zh-CN"/>
              </w:rPr>
              <w:t xml:space="preserve">，</w:t>
            </w:r>
            <w:r>
              <w:rPr>
                <w:rFonts w:hint="default" w:ascii="Times New Roman" w:hAnsi="Times New Roman" w:cs="Times New Roman"/>
                <w:sz w:val="18"/>
                <w:szCs w:val="18"/>
                <w:lang w:val="en-US" w:eastAsia="zh-CN"/>
              </w:rPr>
              <w:t xml:space="preserve">玻璃材质为钢化清玻，</w:t>
            </w:r>
            <w:r>
              <w:rPr>
                <w:rFonts w:hint="default" w:ascii="Times New Roman" w:hAnsi="Times New Roman" w:cs="Times New Roman"/>
                <w:sz w:val="18"/>
                <w:szCs w:val="18"/>
              </w:rPr>
              <w:t xml:space="preserve">厚度≥</w:t>
            </w:r>
            <w:r>
              <w:rPr>
                <w:rFonts w:hint="default" w:ascii="Times New Roman" w:hAnsi="Times New Roman" w:cs="Times New Roman"/>
                <w:sz w:val="18"/>
                <w:szCs w:val="18"/>
                <w:lang w:val="en-US" w:eastAsia="zh-CN"/>
              </w:rPr>
              <w:t xml:space="preserve">5mm，</w:t>
            </w:r>
            <w:r>
              <w:rPr>
                <w:rFonts w:hint="default" w:ascii="Times New Roman" w:hAnsi="Times New Roman" w:cs="Times New Roman"/>
                <w:sz w:val="18"/>
                <w:szCs w:val="18"/>
              </w:rPr>
              <w:t xml:space="preserve">内置一块活动层板；左下-单开木掩门，内置一块活动层板，右下-双开木掩门，内置一块活动层板，柜门均带锁具；</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5、铰链：优质金属铰链，指标符合QB/T 2189-2013《家具五金 杯状暗铰链》要求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6、锁具：下柜门带锁，优质锁具，符合QB/T 1621-2015《家具锁》要求；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7、成品：各项技术指标符合GB/T 3324-2017《木家具通用技术条件》标准的要求。</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个</w:t>
            </w:r>
            <w:r/>
          </w:p>
        </w:tc>
      </w:tr>
      <w:tr>
        <w:trPr>
          <w:jc w:val="center"/>
          <w:trHeight w:val="832"/>
        </w:trPr>
        <w:tc>
          <w:tcPr>
            <w:shd w:val="clear" w:color="auto" w:fill="auto"/>
            <w:tcBorders>
              <w:top w:val="single" w:color="000000" w:sz="4" w:space="0"/>
              <w:left w:val="single" w:color="000000" w:sz="8" w:space="0"/>
              <w:bottom w:val="single" w:color="000000" w:sz="4" w:space="0"/>
              <w:right w:val="single" w:color="000000" w:sz="4" w:space="0"/>
            </w:tcBorders>
            <w:tcW w:w="50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828675" cy="1116330"/>
                      <wp:effectExtent l="0" t="0" r="9525" b="7620"/>
                      <wp:docPr id="149"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0" name="图片 47"/>
                              <pic:cNvPicPr>
                                <a:picLocks noChangeAspect="1"/>
                              </pic:cNvPicPr>
                              <pic:nvPr/>
                            </pic:nvPicPr>
                            <pic:blipFill>
                              <a:blip r:embed="rId40"/>
                              <a:stretch/>
                            </pic:blipFill>
                            <pic:spPr bwMode="auto">
                              <a:xfrm>
                                <a:off x="0" y="0"/>
                                <a:ext cx="828675" cy="111633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width:65.2pt;height:87.9pt;mso-wrap-distance-left:0.0pt;mso-wrap-distance-top:0.0pt;mso-wrap-distance-right:0.0pt;mso-wrap-distance-bottom:0.0pt;" stroked="f" strokeweight="0.75pt">
                      <v:path textboxrect="0,0,0,0"/>
                      <v:imagedata r:id="rId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中背</w:t>
            </w:r>
            <w:r/>
          </w:p>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645*560*（970-1060）</w:t>
            </w:r>
            <w:r/>
          </w:p>
        </w:tc>
        <w:tc>
          <w:tcPr>
            <w:shd w:val="clear" w:color="auto" w:fill="auto"/>
            <w:tcBorders>
              <w:top w:val="single" w:color="000000" w:sz="4" w:space="0"/>
              <w:left w:val="single" w:color="000000" w:sz="4" w:space="0"/>
              <w:bottom w:val="single" w:color="000000" w:sz="4" w:space="0"/>
              <w:right w:val="single" w:color="000000" w:sz="4" w:space="0"/>
            </w:tcBorders>
            <w:tcW w:w="5641" w:type="dxa"/>
            <w:vAlign w:val="center"/>
            <w:textDirection w:val="lrTb"/>
            <w:noWrap w:val="false"/>
          </w:tcPr>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1、椅背：优质网布，具有透气性和防静电性能，耐磨性强，厚度1.0mm。甲醛含量低于300mg/kg，安全环保，符合GB 18401-2010《国家纺织产品基本安全技术规范》标准。具有透气性和防静电性能，耐磨性强，厚度≥1.0mm。</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2、背框：全新PP一次注塑成型背框，内外框结构，结构坚固。</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3、坐垫：纤维织物，具有耐磨性。</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4、海绵：软质聚醚型聚氨酯泡沫塑料成型海绵，厚度≥75mm，密度大于40kg/m3，回弹力大于50%，符合GB/T 10802-2023《通用软质聚氨酯泡沫塑料》QB/T 2280-2016《办公家具 办公椅》要求。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5、座板：采用15mm多层曲木板热压成型，板材绿色环保，经防潮、防腐、防蛀等化学处理。底部采用PP底壳包底。</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6、扶手：PP可升降T型扶手,扶手面PU材质</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7、底盘：采用安全可锁定同步倾仰底盘，由3.2mm钢板压制而成，经防腐处理。</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8、气压棒：金属气压棒，升降行程90mm，棒芯壁厚须符合GB/T 29525-2013《座椅升降气弹簧 技术条件》要求。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9、胶粘剂：环保型喷胶，符合GB 18583-2008《室内装饰装修材料 胶粘剂中有害物质限量》：HJ 2541-2016《环境标志产品技术要求胶粘剂》；GB 33372-2020《胶粘剂挥发性有机化合物限量》要求；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10、五星脚：塑料五星脚，直径650 mm。</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11、脚轮：PU万向轮，直径60 mm，滑动时无杂音、活动自如。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12、成品：需符合QB/T 2280-2016《办公家具 办公椅》的要求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13、腰托：PP腰托，可上下调节</w:t>
            </w:r>
            <w:r/>
          </w:p>
          <w:p>
            <w:pPr>
              <w:jc w:val="left"/>
              <w:widowControl/>
              <w:rPr>
                <w:rFonts w:hint="default" w:ascii="Times New Roman" w:hAnsi="Times New Roman" w:cs="Times New Roman" w:eastAsiaTheme="majorEastAsia"/>
                <w:sz w:val="18"/>
                <w:szCs w:val="18"/>
                <w:highlight w:val="yellow"/>
              </w:rPr>
            </w:pPr>
            <w:r>
              <w:rPr>
                <w:rFonts w:hint="default" w:ascii="Times New Roman" w:hAnsi="Times New Roman" w:cs="Times New Roman"/>
                <w:sz w:val="18"/>
                <w:szCs w:val="18"/>
              </w:rPr>
              <w:t xml:space="preserve">14、净尺寸：座宽455mm，坐高405-495mm，坐深：450mm；</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张</w:t>
            </w:r>
            <w:r/>
          </w:p>
        </w:tc>
      </w:tr>
      <w:tr>
        <w:trPr>
          <w:jc w:val="center"/>
          <w:trHeight w:val="1638"/>
        </w:trPr>
        <w:tc>
          <w:tcPr>
            <w:shd w:val="clear" w:color="auto" w:fill="auto"/>
            <w:tcBorders>
              <w:top w:val="single" w:color="000000" w:sz="4" w:space="0"/>
              <w:left w:val="single" w:color="000000" w:sz="8" w:space="0"/>
              <w:bottom w:val="single" w:color="000000" w:sz="4" w:space="0"/>
              <w:right w:val="single" w:color="000000" w:sz="4" w:space="0"/>
            </w:tcBorders>
            <w:tcW w:w="50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患者问诊椅</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953135" cy="941705"/>
                      <wp:effectExtent l="0" t="0" r="18415" b="10795"/>
                      <wp:docPr id="150"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1" name="图片 26"/>
                              <pic:cNvPicPr>
                                <a:picLocks noChangeAspect="1"/>
                              </pic:cNvPicPr>
                              <pic:nvPr/>
                            </pic:nvPicPr>
                            <pic:blipFill>
                              <a:blip r:embed="rId25"/>
                              <a:stretch/>
                            </pic:blipFill>
                            <pic:spPr bwMode="auto">
                              <a:xfrm>
                                <a:off x="0" y="0"/>
                                <a:ext cx="953135" cy="9417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width:75.0pt;height:74.1pt;mso-wrap-distance-left:0.0pt;mso-wrap-distance-top:0.0pt;mso-wrap-distance-right:0.0pt;mso-wrap-distance-bottom:0.0pt;" stroked="f" strokeweight="0.75pt">
                      <v:path textboxrect="0,0,0,0"/>
                      <v:imagedata r:id="rId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中背</w:t>
            </w:r>
            <w:r/>
          </w:p>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600*610*825</w:t>
            </w:r>
            <w:r/>
          </w:p>
        </w:tc>
        <w:tc>
          <w:tcPr>
            <w:shd w:val="clear" w:color="auto" w:fill="auto"/>
            <w:tcBorders>
              <w:top w:val="single" w:color="000000" w:sz="4" w:space="0"/>
              <w:left w:val="single" w:color="000000" w:sz="4" w:space="0"/>
              <w:bottom w:val="single" w:color="000000" w:sz="4" w:space="0"/>
              <w:right w:val="single" w:color="000000" w:sz="4" w:space="0"/>
            </w:tcBorders>
            <w:tcW w:w="5641" w:type="dxa"/>
            <w:vAlign w:val="center"/>
            <w:textDirection w:val="lrTb"/>
            <w:noWrap w:val="false"/>
          </w:tcPr>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1、尺寸：600*610*825mm（坐高430mm）</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2、饰面：阻燃布料，透气性好，表面无刺触感，平滑舒适，防螨性能优，无明显色差，性能、环保性、质量、防螨等参数符合GB 18401-2010 《国家纺织产品基本安全技术规范》、GB/T 18885-2020《生态纺织品技术要求》</w:t>
            </w:r>
            <w:r>
              <w:rPr>
                <w:rFonts w:hint="default" w:ascii="Times New Roman" w:hAnsi="Times New Roman" w:cs="Times New Roman"/>
                <w:sz w:val="18"/>
                <w:szCs w:val="18"/>
                <w:lang w:eastAsia="zh-CN"/>
              </w:rPr>
              <w:t xml:space="preserve">、</w:t>
            </w:r>
            <w:r>
              <w:rPr>
                <w:rFonts w:hint="default" w:ascii="Times New Roman" w:hAnsi="Times New Roman" w:cs="Times New Roman"/>
                <w:sz w:val="18"/>
                <w:szCs w:val="18"/>
              </w:rPr>
              <w:t xml:space="preserve">GB/T 24253-2009《纺织品 防螨性能的评价》、GB 8624-2012《建筑材料及制品燃烧性能分级》、HJ 2546-2016《环境标志产品技术要求纺织产品》要求。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3、海绵：阻燃海绵，厚度不小于100mm，密度大于40kg/m3，回弹力大于50%，符合GB/T 10802-2023《通用软质聚氨酯泡沫塑料》、GB 8624-2012《建筑材料及制品燃烧性能分级》等标准要求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4、内部框架：橡胶木实木框架，表面平整，无毛刺。</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5、胶粘剂：环保型喷胶，符合GB 18583-2008《室内装饰装修材料 胶粘剂中有害物质限量》、HJ 2541-2016《环境标志产品技术要求胶粘剂》、GB 33372-2020《胶粘剂挥发性有机化合物限量》要求。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6、沙发脚：水曲柳实木沙发脚。</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7、扶手：弧线形软包扶手</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8、颜色：采购人自选</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9、成品：各项技术指标符合QB/T 1952.1-2023《软体家具沙发》 标准的要求。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10、其他：边缘部位倒圆处理，无棱角，降低安全风险，整体结构、安全防护、质量、环保、舒适性、便利性等参数均须符合适老化要求</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张</w:t>
            </w:r>
            <w:r/>
          </w:p>
        </w:tc>
      </w:tr>
      <w:tr>
        <w:trPr>
          <w:jc w:val="center"/>
          <w:trHeight w:val="708"/>
        </w:trPr>
        <w:tc>
          <w:tcPr>
            <w:shd w:val="clear" w:color="auto" w:fill="auto"/>
            <w:tcBorders>
              <w:top w:val="single" w:color="000000" w:sz="4" w:space="0"/>
              <w:left w:val="single" w:color="000000" w:sz="8" w:space="0"/>
              <w:bottom w:val="single" w:color="000000" w:sz="4" w:space="0"/>
              <w:right w:val="single" w:color="000000" w:sz="4" w:space="0"/>
            </w:tcBorders>
            <w:tcW w:w="50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医用诊断床</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784860" cy="615950"/>
                      <wp:effectExtent l="19050" t="0" r="0" b="0"/>
                      <wp:docPr id="151" name="图片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9" name="图片 249"/>
                              <pic:cNvPicPr>
                                <a:picLocks noChangeAspect="1"/>
                              </pic:cNvPicPr>
                              <pic:nvPr/>
                            </pic:nvPicPr>
                            <pic:blipFill>
                              <a:blip r:embed="rId73"/>
                              <a:stretch/>
                            </pic:blipFill>
                            <pic:spPr bwMode="auto">
                              <a:xfrm>
                                <a:off x="0" y="0"/>
                                <a:ext cx="785093" cy="615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width:61.8pt;height:48.5pt;mso-wrap-distance-left:0.0pt;mso-wrap-distance-top:0.0pt;mso-wrap-distance-right:0.0pt;mso-wrap-distance-bottom:0.0pt;" stroked="f" strokeweight="0.75pt">
                      <v:path textboxrect="0,0,0,0"/>
                      <v:imagedata r:id="rId7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1900*650*730</w:t>
            </w:r>
            <w:r/>
          </w:p>
        </w:tc>
        <w:tc>
          <w:tcPr>
            <w:shd w:val="clear" w:color="auto" w:fill="auto"/>
            <w:tcBorders>
              <w:top w:val="single" w:color="000000" w:sz="4" w:space="0"/>
              <w:left w:val="single" w:color="000000" w:sz="4" w:space="0"/>
              <w:bottom w:val="single" w:color="000000" w:sz="4" w:space="0"/>
              <w:right w:val="single" w:color="000000" w:sz="4" w:space="0"/>
            </w:tcBorders>
            <w:tcW w:w="5641" w:type="dxa"/>
            <w:vAlign w:val="center"/>
            <w:textDirection w:val="lrTb"/>
            <w:noWrap w:val="false"/>
          </w:tcPr>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1、面料：优质超纤皮，表面纹理清晰，具有良好的色牢度、耐光耐磨性、透气性等特性                                         </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2、海绵：成型绵，厚度不小于40mm，密度不小于45kg/m³。                                                                </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3、床架：采用方形钢管，60*60mm，壁厚不小于1.5mm，表面静电粉末喷涂处理，光滑美观，坚固耐用</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4、表面喷涂粉末：防腐抗菌喷涂粉末，符合HG/T 2006-2022《热固性和热塑性粉末涂料》、GB/T 35607-2017《绿色产品评价 家具》、QB/T 4371-2012《家具抗菌性能的评价》、GB/T 1741-2020《漆膜耐霉菌性测定法》要求，耐霉菌性等级达到0级。</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5、床脚：移动万向静音轮，带刹车</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6、其他：床头配置定型绵头枕，超纤皮面料；床尾配钢制转轴滚筒（放置一医用次性床单）。</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张</w:t>
            </w:r>
            <w:r/>
          </w:p>
        </w:tc>
      </w:tr>
      <w:tr>
        <w:trPr>
          <w:jc w:val="center"/>
          <w:trHeight w:val="290"/>
        </w:trPr>
        <w:tc>
          <w:tcPr>
            <w:gridSpan w:val="7"/>
            <w:shd w:val="clear" w:color="auto" w:fill="d9d9d9"/>
            <w:tcBorders>
              <w:top w:val="single" w:color="000000" w:sz="4" w:space="0"/>
              <w:left w:val="single" w:color="000000" w:sz="8" w:space="0"/>
              <w:bottom w:val="single" w:color="000000" w:sz="4" w:space="0"/>
              <w:right w:val="none" w:color="000000" w:sz="4" w:space="0"/>
            </w:tcBorders>
            <w:tcW w:w="10301" w:type="dxa"/>
            <w:vAlign w:val="center"/>
            <w:textDirection w:val="lrTb"/>
            <w:noWrap w:val="false"/>
          </w:tcPr>
          <w:p>
            <w:pPr>
              <w:jc w:val="center"/>
              <w:rPr>
                <w:rFonts w:hint="default" w:ascii="Times New Roman" w:hAnsi="Times New Roman" w:cs="Times New Roman"/>
                <w:b/>
                <w:bCs/>
                <w:sz w:val="18"/>
                <w:szCs w:val="18"/>
              </w:rPr>
            </w:pPr>
            <w:r>
              <w:rPr>
                <w:rFonts w:hint="default" w:ascii="Times New Roman" w:hAnsi="Times New Roman" w:cs="Times New Roman"/>
                <w:b/>
                <w:bCs/>
                <w:sz w:val="18"/>
                <w:szCs w:val="18"/>
              </w:rPr>
              <w:t xml:space="preserve">存储区</w:t>
            </w:r>
            <w:r/>
          </w:p>
        </w:tc>
      </w:tr>
      <w:tr>
        <w:trPr>
          <w:jc w:val="center"/>
          <w:trHeight w:val="709"/>
        </w:trPr>
        <w:tc>
          <w:tcPr>
            <w:shd w:val="clear" w:color="auto" w:fill="auto"/>
            <w:tcBorders>
              <w:top w:val="single" w:color="000000" w:sz="4" w:space="0"/>
              <w:left w:val="single" w:color="000000" w:sz="8" w:space="0"/>
              <w:bottom w:val="single" w:color="000000" w:sz="4" w:space="0"/>
              <w:right w:val="single" w:color="000000" w:sz="4" w:space="0"/>
            </w:tcBorders>
            <w:tcW w:w="50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西药架</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866140" cy="1111250"/>
                      <wp:effectExtent l="19050" t="0" r="0" b="0"/>
                      <wp:docPr id="152" name="图片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3" name="图片 243"/>
                              <pic:cNvPicPr>
                                <a:picLocks noChangeAspect="1"/>
                              </pic:cNvPicPr>
                              <pic:nvPr/>
                            </pic:nvPicPr>
                            <pic:blipFill>
                              <a:blip r:embed="rId74"/>
                              <a:stretch/>
                            </pic:blipFill>
                            <pic:spPr bwMode="auto">
                              <a:xfrm>
                                <a:off x="0" y="0"/>
                                <a:ext cx="866272" cy="1111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width:68.2pt;height:87.5pt;mso-wrap-distance-left:0.0pt;mso-wrap-distance-top:0.0pt;mso-wrap-distance-right:0.0pt;mso-wrap-distance-bottom:0.0pt;" stroked="f" strokeweight="0.75pt">
                      <v:path textboxrect="0,0,0,0"/>
                      <v:imagedata r:id="rId7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1000*505*2000</w:t>
            </w:r>
            <w:r/>
          </w:p>
        </w:tc>
        <w:tc>
          <w:tcPr>
            <w:shd w:val="clear" w:color="auto" w:fill="auto"/>
            <w:tcBorders>
              <w:top w:val="single" w:color="000000" w:sz="4" w:space="0"/>
              <w:left w:val="single" w:color="000000" w:sz="4" w:space="0"/>
              <w:bottom w:val="single" w:color="000000" w:sz="4" w:space="0"/>
              <w:right w:val="single" w:color="000000" w:sz="4" w:space="0"/>
            </w:tcBorders>
            <w:tcW w:w="5641" w:type="dxa"/>
            <w:vAlign w:val="center"/>
            <w:textDirection w:val="lrTb"/>
            <w:noWrap w:val="false"/>
          </w:tcPr>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1、全钢制，立柱为1.5mm厚50*50mm型钢，加强筋、层板为电解钢板，厚度大于等于1.0mm，表面静电粉末喷涂，粉末为防腐抗菌粉末，为各项指标符合GB/T 3325-2017《金属家具通用技术条件》要求；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2、整体或拆装电阻焊接工艺，焊点平整，无外露，结构稳固，承重、承压性好；所有部件均经打磨，砂光处理。</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3、表面经过除油、除锈、陶化等防锈清洗前处理，再进行静电粉末喷涂，粉末涂料180℃高温固化，外观平整，无波纹、流痕、起泡、针孔折痕、污点、露底、剥落、伤痕等可见性缺陷，耐腐蚀、耐冲击性能高。</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4、电解钢板：符合GB/T 35607-2017《绿色产品评价 家具》、GB/T 11253-2019《碳素结构钢冷轧钢板及钢带》要求。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5、防腐抗菌粉末：粉末符合HG/T 2006-2022《热固性和热塑性粉末涂料》、GB/T 35607-2017《绿色产品评价 家具》、QB/T 4371-2012《家具抗菌性能的评价》、GB/T 1741-2020《漆膜耐霉菌性测定法》要求，耐霉菌性等级达到0级。</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6、结构：配4 层层板，含顶、底为6层。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7、采用侧挡式设计，药品从上往下滑动，符合医院用药要求，先进先出的规范。</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个</w:t>
            </w:r>
            <w:r/>
          </w:p>
        </w:tc>
      </w:tr>
      <w:tr>
        <w:trPr>
          <w:jc w:val="center"/>
          <w:trHeight w:val="974"/>
        </w:trPr>
        <w:tc>
          <w:tcPr>
            <w:shd w:val="clear" w:color="auto" w:fill="auto"/>
            <w:tcBorders>
              <w:top w:val="single" w:color="000000" w:sz="4" w:space="0"/>
              <w:left w:val="single" w:color="000000" w:sz="8" w:space="0"/>
              <w:bottom w:val="single" w:color="000000" w:sz="4" w:space="0"/>
              <w:right w:val="single" w:color="000000" w:sz="4" w:space="0"/>
            </w:tcBorders>
            <w:tcW w:w="50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西药柜</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1050290" cy="1555750"/>
                      <wp:effectExtent l="0" t="0" r="16510" b="6350"/>
                      <wp:docPr id="153" name="图片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4" name="图片 244"/>
                              <pic:cNvPicPr>
                                <a:picLocks noChangeAspect="1"/>
                              </pic:cNvPicPr>
                              <pic:nvPr/>
                            </pic:nvPicPr>
                            <pic:blipFill>
                              <a:blip r:embed="rId75"/>
                              <a:stretch/>
                            </pic:blipFill>
                            <pic:spPr bwMode="auto">
                              <a:xfrm>
                                <a:off x="0" y="0"/>
                                <a:ext cx="1050290" cy="1555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width:82.7pt;height:122.5pt;mso-wrap-distance-left:0.0pt;mso-wrap-distance-top:0.0pt;mso-wrap-distance-right:0.0pt;mso-wrap-distance-bottom:0.0pt;" stroked="f" strokeweight="0.75pt">
                      <v:path textboxrect="0,0,0,0"/>
                      <v:imagedata r:id="rId7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900*500*2000</w:t>
            </w:r>
            <w:r/>
          </w:p>
        </w:tc>
        <w:tc>
          <w:tcPr>
            <w:shd w:val="clear" w:color="auto" w:fill="auto"/>
            <w:tcBorders>
              <w:top w:val="single" w:color="000000" w:sz="4" w:space="0"/>
              <w:left w:val="single" w:color="000000" w:sz="4" w:space="0"/>
              <w:bottom w:val="single" w:color="000000" w:sz="4" w:space="0"/>
              <w:right w:val="single" w:color="000000" w:sz="4" w:space="0"/>
            </w:tcBorders>
            <w:tcW w:w="5641" w:type="dxa"/>
            <w:vAlign w:val="center"/>
            <w:textDirection w:val="lrTb"/>
            <w:noWrap w:val="false"/>
          </w:tcPr>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1、基材：优质电解钢板，板厚</w:t>
            </w:r>
            <w:r>
              <w:rPr>
                <w:rFonts w:hint="default" w:ascii="Times New Roman" w:hAnsi="Times New Roman" w:cs="Times New Roman"/>
                <w:sz w:val="18"/>
                <w:szCs w:val="18"/>
                <w:lang w:val="en-US" w:eastAsia="zh-CN"/>
              </w:rPr>
              <w:t xml:space="preserve">≥</w:t>
            </w:r>
            <w:r>
              <w:rPr>
                <w:rFonts w:hint="default" w:ascii="Times New Roman" w:hAnsi="Times New Roman" w:cs="Times New Roman"/>
                <w:sz w:val="18"/>
                <w:szCs w:val="18"/>
              </w:rPr>
              <w:t xml:space="preserve">1.0mm，表面静电粉末喷涂，粉末为防腐抗菌喷涂粉末</w:t>
            </w:r>
            <w:r/>
          </w:p>
          <w:p>
            <w:pPr>
              <w:jc w:val="left"/>
              <w:widowControl/>
              <w:rPr>
                <w:rFonts w:hint="default" w:ascii="Times New Roman" w:hAnsi="Times New Roman" w:eastAsia="宋体" w:cs="Times New Roman"/>
                <w:sz w:val="18"/>
                <w:szCs w:val="18"/>
                <w:lang w:val="en-US" w:eastAsia="zh-CN"/>
              </w:rPr>
            </w:pPr>
            <w:r>
              <w:rPr>
                <w:rFonts w:hint="default" w:ascii="Times New Roman" w:hAnsi="Times New Roman" w:cs="Times New Roman"/>
                <w:sz w:val="18"/>
                <w:szCs w:val="18"/>
              </w:rPr>
              <w:t xml:space="preserve">2、防腐抗菌粉末：粉末符合HG/T 2006-2022《热固性和热塑性粉末涂料》、GB/T 35607-2017《绿色产品评价 家具》、QB/T 4371-2012《家具抗菌性能的评价》、GB/T 1741-2020《漆膜耐霉菌性测定法》要求，耐霉菌性等级达到0级。</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3、电解钢板：符合GB/T 35607-2017《绿色产品评价 家具》、GB/T 11253-2019《碳素结构钢冷轧钢板及钢带》要求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4、结构：上钢化玻璃内带三块活动层板</w:t>
            </w:r>
            <w:r>
              <w:rPr>
                <w:rFonts w:hint="default" w:ascii="Times New Roman" w:hAnsi="Times New Roman" w:cs="Times New Roman"/>
                <w:sz w:val="18"/>
                <w:szCs w:val="18"/>
                <w:lang w:eastAsia="zh-CN"/>
              </w:rPr>
              <w:t xml:space="preserve">，</w:t>
            </w:r>
            <w:r>
              <w:rPr>
                <w:rFonts w:hint="default" w:ascii="Times New Roman" w:hAnsi="Times New Roman" w:cs="Times New Roman"/>
                <w:sz w:val="18"/>
                <w:szCs w:val="18"/>
                <w:lang w:val="en-US" w:eastAsia="zh-CN"/>
              </w:rPr>
              <w:t xml:space="preserve">玻璃材质为钢化清玻，</w:t>
            </w:r>
            <w:r>
              <w:rPr>
                <w:rFonts w:hint="default" w:ascii="Times New Roman" w:hAnsi="Times New Roman" w:cs="Times New Roman"/>
                <w:sz w:val="18"/>
                <w:szCs w:val="18"/>
              </w:rPr>
              <w:t xml:space="preserve">厚度≥</w:t>
            </w:r>
            <w:r>
              <w:rPr>
                <w:rFonts w:hint="default" w:ascii="Times New Roman" w:hAnsi="Times New Roman" w:cs="Times New Roman"/>
                <w:sz w:val="18"/>
                <w:szCs w:val="18"/>
                <w:lang w:val="en-US" w:eastAsia="zh-CN"/>
              </w:rPr>
              <w:t xml:space="preserve">5mm</w:t>
            </w:r>
            <w:r>
              <w:rPr>
                <w:rFonts w:hint="default" w:ascii="Times New Roman" w:hAnsi="Times New Roman" w:cs="Times New Roman"/>
                <w:sz w:val="18"/>
                <w:szCs w:val="18"/>
              </w:rPr>
              <w:t xml:space="preserve">，下掩门内带一件活动层板，下为抽屉，4个抽屉，每层2个。</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5、铰链：优质金属铰链（非插销），指标符合QB/T 2189-2013《家具五金 杯状暗铰链》要求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6、导轨：优质三节导轨，符合QB/T 2454-2013《家具五金 抽屉导轨》要求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7、成品：各项技术指标符合GB/T 3325-2017《金属家具通用技术条件》标准的要求。</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个</w:t>
            </w:r>
            <w:r/>
          </w:p>
        </w:tc>
      </w:tr>
      <w:tr>
        <w:trPr>
          <w:jc w:val="center"/>
          <w:trHeight w:val="882"/>
        </w:trPr>
        <w:tc>
          <w:tcPr>
            <w:shd w:val="clear" w:color="auto" w:fill="auto"/>
            <w:tcBorders>
              <w:top w:val="single" w:color="000000" w:sz="4" w:space="0"/>
              <w:left w:val="single" w:color="000000" w:sz="8" w:space="0"/>
              <w:bottom w:val="single" w:color="auto" w:sz="4" w:space="0"/>
              <w:right w:val="single" w:color="000000" w:sz="4" w:space="0"/>
            </w:tcBorders>
            <w:tcW w:w="50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48</w:t>
            </w:r>
            <w:r/>
          </w:p>
        </w:tc>
        <w:tc>
          <w:tcPr>
            <w:shd w:val="clear" w:color="auto" w:fill="auto"/>
            <w:tcBorders>
              <w:top w:val="single" w:color="000000" w:sz="4" w:space="0"/>
              <w:left w:val="single" w:color="000000" w:sz="4" w:space="0"/>
              <w:bottom w:val="single" w:color="auto" w:sz="4" w:space="0"/>
              <w:right w:val="single" w:color="000000" w:sz="4" w:space="0"/>
            </w:tcBorders>
            <w:tcW w:w="771"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钢制文件柜</w:t>
            </w:r>
            <w:r/>
          </w:p>
        </w:tc>
        <w:tc>
          <w:tcPr>
            <w:shd w:val="clear" w:color="auto" w:fill="auto"/>
            <w:tcBorders>
              <w:top w:val="single" w:color="000000" w:sz="4" w:space="0"/>
              <w:left w:val="single" w:color="000000" w:sz="4" w:space="0"/>
              <w:bottom w:val="single" w:color="auto" w:sz="4" w:space="0"/>
              <w:right w:val="single" w:color="000000" w:sz="4" w:space="0"/>
            </w:tcBorders>
            <w:tcW w:w="1523"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760730" cy="1561465"/>
                      <wp:effectExtent l="0" t="0" r="1270" b="635"/>
                      <wp:docPr id="154" name="ID_02541B49FEE64801A4ED1E8A3036A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0" name="ID_02541B49FEE64801A4ED1E8A3036A984"/>
                              <pic:cNvPicPr>
                                <a:picLocks noChangeAspect="1"/>
                              </pic:cNvPicPr>
                              <pic:nvPr/>
                            </pic:nvPicPr>
                            <pic:blipFill>
                              <a:blip r:embed="rId51"/>
                              <a:stretch/>
                            </pic:blipFill>
                            <pic:spPr bwMode="auto">
                              <a:xfrm>
                                <a:off x="0" y="0"/>
                                <a:ext cx="760730" cy="15614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width:59.9pt;height:122.9pt;mso-wrap-distance-left:0.0pt;mso-wrap-distance-top:0.0pt;mso-wrap-distance-right:0.0pt;mso-wrap-distance-bottom:0.0pt;" stroked="f" strokeweight="0.75pt">
                      <v:path textboxrect="0,0,0,0"/>
                      <v:imagedata r:id="rId51" o:title=""/>
                    </v:shape>
                  </w:pict>
                </mc:Fallback>
              </mc:AlternateContent>
            </w:r>
            <w:r/>
          </w:p>
        </w:tc>
        <w:tc>
          <w:tcPr>
            <w:shd w:val="clear" w:color="auto" w:fill="auto"/>
            <w:tcBorders>
              <w:top w:val="single" w:color="000000" w:sz="4" w:space="0"/>
              <w:left w:val="single" w:color="000000" w:sz="4" w:space="0"/>
              <w:bottom w:val="single" w:color="auto" w:sz="4" w:space="0"/>
              <w:right w:val="single" w:color="000000" w:sz="4" w:space="0"/>
            </w:tcBorders>
            <w:tcW w:w="961" w:type="dxa"/>
            <w:vAlign w:val="center"/>
            <w:textDirection w:val="lrTb"/>
            <w:noWrap w:val="false"/>
          </w:tcPr>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900*420*2000</w:t>
            </w:r>
            <w:r/>
          </w:p>
        </w:tc>
        <w:tc>
          <w:tcPr>
            <w:shd w:val="clear" w:color="auto" w:fill="auto"/>
            <w:tcBorders>
              <w:top w:val="single" w:color="000000" w:sz="4" w:space="0"/>
              <w:left w:val="single" w:color="000000" w:sz="4" w:space="0"/>
              <w:bottom w:val="single" w:color="auto" w:sz="4" w:space="0"/>
              <w:right w:val="single" w:color="000000" w:sz="4" w:space="0"/>
            </w:tcBorders>
            <w:tcW w:w="5641" w:type="dxa"/>
            <w:vAlign w:val="center"/>
            <w:textDirection w:val="lrTb"/>
            <w:noWrap w:val="false"/>
          </w:tcPr>
          <w:p>
            <w:pPr>
              <w:numPr>
                <w:ilvl w:val="0"/>
                <w:numId w:val="8"/>
              </w:num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基材：优质电解钢板，板厚</w:t>
            </w:r>
            <w:r>
              <w:rPr>
                <w:rFonts w:hint="default" w:ascii="Times New Roman" w:hAnsi="Times New Roman" w:cs="Times New Roman"/>
                <w:color w:val="000000"/>
                <w:sz w:val="18"/>
                <w:szCs w:val="18"/>
                <w:lang w:val="en-US" w:eastAsia="zh-CN"/>
              </w:rPr>
              <w:t xml:space="preserve">≥1.00</w:t>
            </w:r>
            <w:r>
              <w:rPr>
                <w:rFonts w:hint="default" w:ascii="Times New Roman" w:hAnsi="Times New Roman" w:cs="Times New Roman"/>
                <w:sz w:val="18"/>
                <w:szCs w:val="18"/>
              </w:rPr>
              <w:t xml:space="preserve">mm，表面静电粉末喷涂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2、</w:t>
            </w:r>
            <w:r>
              <w:rPr>
                <w:rFonts w:hint="default" w:ascii="Times New Roman" w:hAnsi="Times New Roman" w:cs="Times New Roman"/>
                <w:sz w:val="18"/>
                <w:szCs w:val="18"/>
                <w:lang w:val="en-US" w:eastAsia="zh-CN"/>
              </w:rPr>
              <w:t xml:space="preserve">喷涂粉末</w:t>
            </w:r>
            <w:r>
              <w:rPr>
                <w:rFonts w:hint="default" w:ascii="Times New Roman" w:hAnsi="Times New Roman" w:cs="Times New Roman"/>
                <w:sz w:val="18"/>
                <w:szCs w:val="18"/>
              </w:rPr>
              <w:t xml:space="preserve">：粉末符合HG/T 2006-2022《热固性和热塑性粉末涂料》、GB/T 35607-2017《绿色产品评价 家具》要求。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3、电解钢板：符合GB/T 35607-2017《绿色产品评价 家具》、GB/T 11253-2019《碳素结构钢冷轧钢板及钢带》要求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4、结构：上钢化玻璃内带二件活动层板</w:t>
            </w:r>
            <w:r>
              <w:rPr>
                <w:rFonts w:hint="default" w:ascii="Times New Roman" w:hAnsi="Times New Roman" w:cs="Times New Roman"/>
                <w:sz w:val="18"/>
                <w:szCs w:val="18"/>
                <w:lang w:eastAsia="zh-CN"/>
              </w:rPr>
              <w:t xml:space="preserve">，</w:t>
            </w:r>
            <w:r>
              <w:rPr>
                <w:rFonts w:hint="default" w:ascii="Times New Roman" w:hAnsi="Times New Roman" w:cs="Times New Roman"/>
                <w:sz w:val="18"/>
                <w:szCs w:val="18"/>
                <w:lang w:val="en-US" w:eastAsia="zh-CN"/>
              </w:rPr>
              <w:t xml:space="preserve">玻璃材质为钢化清玻，</w:t>
            </w:r>
            <w:r>
              <w:rPr>
                <w:rFonts w:hint="default" w:ascii="Times New Roman" w:hAnsi="Times New Roman" w:cs="Times New Roman"/>
                <w:sz w:val="18"/>
                <w:szCs w:val="18"/>
              </w:rPr>
              <w:t xml:space="preserve">厚度≥</w:t>
            </w:r>
            <w:r>
              <w:rPr>
                <w:rFonts w:hint="default" w:ascii="Times New Roman" w:hAnsi="Times New Roman" w:cs="Times New Roman"/>
                <w:sz w:val="18"/>
                <w:szCs w:val="18"/>
                <w:lang w:val="en-US" w:eastAsia="zh-CN"/>
              </w:rPr>
              <w:t xml:space="preserve">5mm</w:t>
            </w:r>
            <w:r>
              <w:rPr>
                <w:rFonts w:hint="default" w:ascii="Times New Roman" w:hAnsi="Times New Roman" w:cs="Times New Roman"/>
                <w:sz w:val="18"/>
                <w:szCs w:val="18"/>
              </w:rPr>
              <w:t xml:space="preserve">，下掩门内带一件活动层板，右门带拉手，上下柜门带锁；</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5、锁具：柜门带锁，优质锁具，符合QB/T 1621-2015《家具锁》要求；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6、铰链：优质金属铰链（非插销），指标符合QB/T 2189-2013《家具五金 杯状暗铰链》要求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7、成品：各项技术指标符合GB/T 3325-2017《金属家具通用技术条件》标准的要求。</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个</w:t>
            </w:r>
            <w:r/>
          </w:p>
        </w:tc>
      </w:tr>
      <w:tr>
        <w:trPr>
          <w:jc w:val="center"/>
          <w:trHeight w:val="356"/>
        </w:trPr>
        <w:tc>
          <w:tcPr>
            <w:shd w:val="clear" w:color="auto" w:fill="auto"/>
            <w:tcBorders>
              <w:top w:val="single" w:color="auto" w:sz="4" w:space="0"/>
              <w:left w:val="single" w:color="auto" w:sz="4" w:space="0"/>
              <w:bottom w:val="single" w:color="auto" w:sz="4" w:space="0"/>
              <w:right w:val="single" w:color="000000" w:sz="4" w:space="0"/>
            </w:tcBorders>
            <w:tcW w:w="50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49</w:t>
            </w:r>
            <w:r/>
          </w:p>
        </w:tc>
        <w:tc>
          <w:tcPr>
            <w:shd w:val="clear" w:color="auto" w:fill="auto"/>
            <w:tcBorders>
              <w:top w:val="single" w:color="auto" w:sz="4" w:space="0"/>
              <w:left w:val="single" w:color="000000" w:sz="4" w:space="0"/>
              <w:bottom w:val="single" w:color="auto" w:sz="4" w:space="0"/>
              <w:right w:val="single" w:color="000000" w:sz="4" w:space="0"/>
            </w:tcBorders>
            <w:tcW w:w="771"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更衣柜</w:t>
            </w:r>
            <w:r/>
          </w:p>
        </w:tc>
        <w:tc>
          <w:tcPr>
            <w:shd w:val="clear" w:color="auto" w:fill="auto"/>
            <w:tcBorders>
              <w:top w:val="single" w:color="auto" w:sz="4" w:space="0"/>
              <w:left w:val="single" w:color="000000" w:sz="4" w:space="0"/>
              <w:bottom w:val="single" w:color="auto" w:sz="4" w:space="0"/>
              <w:right w:val="single" w:color="000000" w:sz="4" w:space="0"/>
            </w:tcBorders>
            <w:tcW w:w="1523"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990600" cy="916940"/>
                      <wp:effectExtent l="0" t="0" r="0" b="16510"/>
                      <wp:docPr id="155" name="ID_25A113D1EC2F41CD98A751E5BB248E6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1" name="ID_25A113D1EC2F41CD98A751E5BB248E6B"/>
                              <pic:cNvPicPr>
                                <a:picLocks noChangeAspect="1"/>
                              </pic:cNvPicPr>
                              <pic:nvPr/>
                            </pic:nvPicPr>
                            <pic:blipFill>
                              <a:blip r:embed="rId52"/>
                              <a:stretch/>
                            </pic:blipFill>
                            <pic:spPr bwMode="auto">
                              <a:xfrm>
                                <a:off x="0" y="0"/>
                                <a:ext cx="990600" cy="9169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width:78.0pt;height:72.2pt;mso-wrap-distance-left:0.0pt;mso-wrap-distance-top:0.0pt;mso-wrap-distance-right:0.0pt;mso-wrap-distance-bottom:0.0pt;" stroked="f" strokeweight="0.75pt">
                      <v:path textboxrect="0,0,0,0"/>
                      <v:imagedata r:id="rId52" o:title=""/>
                    </v:shape>
                  </w:pict>
                </mc:Fallback>
              </mc:AlternateContent>
            </w:r>
            <w:r/>
          </w:p>
        </w:tc>
        <w:tc>
          <w:tcPr>
            <w:shd w:val="clear" w:color="auto" w:fill="auto"/>
            <w:tcBorders>
              <w:top w:val="single" w:color="auto" w:sz="4" w:space="0"/>
              <w:left w:val="single" w:color="000000" w:sz="4" w:space="0"/>
              <w:bottom w:val="single" w:color="auto" w:sz="4" w:space="0"/>
              <w:right w:val="single" w:color="000000" w:sz="4" w:space="0"/>
            </w:tcBorders>
            <w:tcW w:w="961" w:type="dxa"/>
            <w:vAlign w:val="center"/>
            <w:textDirection w:val="lrTb"/>
            <w:noWrap w:val="false"/>
          </w:tcPr>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800*500*1800*</w:t>
            </w:r>
            <w:r>
              <w:rPr>
                <w:rFonts w:hint="default" w:ascii="Times New Roman" w:hAnsi="Times New Roman" w:eastAsia="等线" w:cs="Times New Roman"/>
                <w:color w:val="000000"/>
                <w:sz w:val="18"/>
                <w:szCs w:val="18"/>
                <w:lang w:val="en-US" w:eastAsia="zh-CN"/>
              </w:rPr>
              <w:t xml:space="preserve">不锈钢底座支架</w:t>
            </w:r>
            <w:r>
              <w:rPr>
                <w:rFonts w:hint="default" w:ascii="Times New Roman" w:hAnsi="Times New Roman" w:eastAsia="等线" w:cs="Times New Roman"/>
                <w:sz w:val="18"/>
                <w:szCs w:val="18"/>
              </w:rPr>
              <w:t xml:space="preserve">150</w:t>
            </w:r>
            <w:r/>
          </w:p>
        </w:tc>
        <w:tc>
          <w:tcPr>
            <w:shd w:val="clear" w:color="auto" w:fill="auto"/>
            <w:tcBorders>
              <w:top w:val="single" w:color="auto" w:sz="4" w:space="0"/>
              <w:left w:val="single" w:color="000000" w:sz="4" w:space="0"/>
              <w:bottom w:val="single" w:color="auto" w:sz="4" w:space="0"/>
              <w:right w:val="single" w:color="auto" w:sz="4" w:space="0"/>
            </w:tcBorders>
            <w:tcW w:w="5641" w:type="dxa"/>
            <w:vAlign w:val="center"/>
            <w:textDirection w:val="lrTb"/>
            <w:noWrap w:val="false"/>
          </w:tcPr>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1、基材：优质电解钢板，板厚</w:t>
            </w:r>
            <w:r>
              <w:rPr>
                <w:rFonts w:hint="default" w:ascii="Times New Roman" w:hAnsi="Times New Roman" w:cs="Times New Roman"/>
                <w:color w:val="000000"/>
                <w:sz w:val="18"/>
                <w:szCs w:val="18"/>
                <w:lang w:val="en-US" w:eastAsia="zh-CN"/>
              </w:rPr>
              <w:t xml:space="preserve">≥1.00</w:t>
            </w:r>
            <w:r>
              <w:rPr>
                <w:rFonts w:hint="default" w:ascii="Times New Roman" w:hAnsi="Times New Roman" w:cs="Times New Roman"/>
                <w:sz w:val="18"/>
                <w:szCs w:val="18"/>
              </w:rPr>
              <w:t xml:space="preserve">mm，表面静电粉末喷涂，粉末为喷涂粉末</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2、</w:t>
            </w:r>
            <w:r>
              <w:rPr>
                <w:rFonts w:hint="default" w:ascii="Times New Roman" w:hAnsi="Times New Roman" w:cs="Times New Roman"/>
                <w:sz w:val="18"/>
                <w:szCs w:val="18"/>
                <w:lang w:val="en-US" w:eastAsia="zh-CN"/>
              </w:rPr>
              <w:t xml:space="preserve">喷涂粉末</w:t>
            </w:r>
            <w:r>
              <w:rPr>
                <w:rFonts w:hint="default" w:ascii="Times New Roman" w:hAnsi="Times New Roman" w:cs="Times New Roman"/>
                <w:sz w:val="18"/>
                <w:szCs w:val="18"/>
              </w:rPr>
              <w:t xml:space="preserve">：粉末符合HG/T 2006-2022《热固性和热塑性粉末涂料》、GB/T 35607-2017《绿色产品评价 家具》要求。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3、电解钢板：符合GB/T 35607-2017《绿色产品评价 家具》、GB/T 11253-2019《碳素结构钢冷轧钢板及钢带》要求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4、结构：6门，上3门下3门，均匀分布，每门内含衣杆，一片活动层板，镜子，每门板上外置毛巾架。</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5、锁具：机构密码锁，符合QB/T 1621-2015《家具锁》要求；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6、铰链：优质金属铰链，指标符合QB/T 2189-2013《家具五金 杯状暗铰链》要求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7、成品：各项技术指标符合GB/T 3325-2017《金属家具通用技术条件》标准的要求。</w:t>
            </w:r>
            <w:r/>
          </w:p>
        </w:tc>
        <w:tc>
          <w:tcPr>
            <w:shd w:val="clear" w:color="auto" w:fill="auto"/>
            <w:tcBorders>
              <w:top w:val="single" w:color="000000" w:sz="4" w:space="0"/>
              <w:left w:val="single" w:color="auto" w:sz="4" w:space="0"/>
              <w:bottom w:val="single" w:color="000000" w:sz="4" w:space="0"/>
              <w:right w:val="single" w:color="000000" w:sz="4" w:space="0"/>
            </w:tcBorders>
            <w:tcW w:w="52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个</w:t>
            </w:r>
            <w:r/>
          </w:p>
        </w:tc>
      </w:tr>
      <w:tr>
        <w:trPr>
          <w:jc w:val="center"/>
          <w:trHeight w:val="2700"/>
        </w:trPr>
        <w:tc>
          <w:tcPr>
            <w:shd w:val="clear" w:color="auto" w:fill="auto"/>
            <w:tcBorders>
              <w:top w:val="single" w:color="auto" w:sz="4" w:space="0"/>
              <w:left w:val="single" w:color="000000" w:sz="8" w:space="0"/>
              <w:bottom w:val="single" w:color="000000" w:sz="4" w:space="0"/>
              <w:right w:val="single" w:color="000000" w:sz="4" w:space="0"/>
            </w:tcBorders>
            <w:tcW w:w="50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50</w:t>
            </w:r>
            <w:r/>
          </w:p>
        </w:tc>
        <w:tc>
          <w:tcPr>
            <w:shd w:val="clear" w:color="auto" w:fill="auto"/>
            <w:tcBorders>
              <w:top w:val="single" w:color="auto"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更衣凳（员工）</w:t>
            </w:r>
            <w:r/>
          </w:p>
        </w:tc>
        <w:tc>
          <w:tcPr>
            <w:shd w:val="clear" w:color="auto" w:fill="auto"/>
            <w:tcBorders>
              <w:top w:val="single" w:color="auto" w:sz="4" w:space="0"/>
              <w:left w:val="single" w:color="000000" w:sz="4" w:space="0"/>
              <w:bottom w:val="single" w:color="000000" w:sz="4" w:space="0"/>
              <w:right w:val="single" w:color="000000" w:sz="4" w:space="0"/>
            </w:tcBorders>
            <w:tcW w:w="1523"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835025" cy="736600"/>
                      <wp:effectExtent l="19050" t="0" r="2746" b="0"/>
                      <wp:docPr id="156" name="ID_A6BBF51C9F1246A18BA59FD8BC2D828A" descr="更衣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6" name="ID_A6BBF51C9F1246A18BA59FD8BC2D828A" descr="更衣凳"/>
                              <pic:cNvPicPr>
                                <a:picLocks noChangeAspect="1"/>
                              </pic:cNvPicPr>
                              <pic:nvPr/>
                            </pic:nvPicPr>
                            <pic:blipFill>
                              <a:blip r:embed="rId77"/>
                              <a:srcRect l="1813" t="15491" r="34946" b="35120"/>
                              <a:stretch/>
                            </pic:blipFill>
                            <pic:spPr bwMode="auto">
                              <a:xfrm>
                                <a:off x="0" y="0"/>
                                <a:ext cx="835454" cy="736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width:65.8pt;height:58.0pt;mso-wrap-distance-left:0.0pt;mso-wrap-distance-top:0.0pt;mso-wrap-distance-right:0.0pt;mso-wrap-distance-bottom:0.0pt;" stroked="f" strokeweight="0.75pt">
                      <v:path textboxrect="0,0,0,0"/>
                      <v:imagedata r:id="rId77" o:title=""/>
                    </v:shape>
                  </w:pict>
                </mc:Fallback>
              </mc:AlternateContent>
            </w:r>
            <w:r/>
          </w:p>
        </w:tc>
        <w:tc>
          <w:tcPr>
            <w:shd w:val="clear" w:color="auto" w:fill="auto"/>
            <w:tcBorders>
              <w:top w:val="single" w:color="auto"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1000*350*450</w:t>
            </w:r>
            <w:r/>
          </w:p>
        </w:tc>
        <w:tc>
          <w:tcPr>
            <w:shd w:val="clear" w:color="auto" w:fill="auto"/>
            <w:tcBorders>
              <w:top w:val="single" w:color="auto" w:sz="4" w:space="0"/>
              <w:left w:val="single" w:color="000000" w:sz="4" w:space="0"/>
              <w:bottom w:val="single" w:color="000000" w:sz="4" w:space="0"/>
              <w:right w:val="single" w:color="000000" w:sz="4" w:space="0"/>
            </w:tcBorders>
            <w:tcW w:w="5641" w:type="dxa"/>
            <w:vAlign w:val="center"/>
            <w:textDirection w:val="lrTb"/>
            <w:noWrap w:val="false"/>
          </w:tcPr>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1、结构：四脚凳；</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2、基材：优质浸渍胶膜纸饰面刨花板。 甲醛释放量 ENF 级。板厚25mm，各项指标符合GB/T 15102-2017《浸渍胶膜纸饰面纤维板和刨花板》、GB 18580-2017《室内装饰装修材料 人造板及其制品中甲醛释放限量》、GB/T 39600-2021《人造板及其制品甲醛释放量分级》、GB/T 35601-2017《绿色产品评价 人造板和木质地板》、HJ 571-2010《环境标志产品技术要求 人造板及其制品》、GB 8624-2012《建筑材料及制品燃烧性能分级》要求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3、封边：激光封边条，各项指标符合QB/T 4463-2013《家具用封边条技术要求》要求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4、桌架及桌腿：50*50mm型钢，壁厚1.5mm。表面静电粉末喷涂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5、</w:t>
            </w:r>
            <w:r>
              <w:rPr>
                <w:rFonts w:hint="default" w:ascii="Times New Roman" w:hAnsi="Times New Roman" w:cs="Times New Roman"/>
                <w:sz w:val="18"/>
                <w:szCs w:val="18"/>
                <w:lang w:val="en-US" w:eastAsia="zh-CN"/>
              </w:rPr>
              <w:t xml:space="preserve">喷涂</w:t>
            </w:r>
            <w:r>
              <w:rPr>
                <w:rFonts w:hint="default" w:ascii="Times New Roman" w:hAnsi="Times New Roman" w:cs="Times New Roman"/>
                <w:sz w:val="18"/>
                <w:szCs w:val="18"/>
              </w:rPr>
              <w:t xml:space="preserve">粉末：粉末符合HG/T 2006-2022《热固性和热塑性粉末涂料》、GB/T 35607-2017《绿色产品评价 家具》要求。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6、成品：各项技术指标符合GB/T 3325-2017《金属家具通用技术条件》标准的要求。</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个</w:t>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50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840105" cy="933450"/>
                      <wp:effectExtent l="19050" t="0" r="0" b="0"/>
                      <wp:docPr id="157" name="图片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2" name="图片 254"/>
                              <pic:cNvPicPr>
                                <a:picLocks noChangeAspect="1"/>
                              </pic:cNvPicPr>
                              <pic:nvPr/>
                            </pic:nvPicPr>
                            <pic:blipFill>
                              <a:blip r:embed="rId53"/>
                              <a:stretch/>
                            </pic:blipFill>
                            <pic:spPr bwMode="auto">
                              <a:xfrm>
                                <a:off x="0" y="0"/>
                                <a:ext cx="840672" cy="933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width:66.1pt;height:73.5pt;mso-wrap-distance-left:0.0pt;mso-wrap-distance-top:0.0pt;mso-wrap-distance-right:0.0pt;mso-wrap-distance-bottom:0.0pt;" stroked="f" strokeweight="0.75pt">
                      <v:path textboxrect="0,0,0,0"/>
                      <v:imagedata r:id="rId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default" w:ascii="Times New Roman" w:hAnsi="Times New Roman" w:eastAsia="等线" w:cs="Times New Roman"/>
                <w:sz w:val="18"/>
                <w:szCs w:val="18"/>
              </w:rPr>
            </w:pPr>
            <w:r>
              <w:rPr>
                <w:rFonts w:hint="default" w:ascii="Times New Roman" w:hAnsi="Times New Roman" w:eastAsia="等线" w:cs="Times New Roman"/>
                <w:sz w:val="18"/>
                <w:szCs w:val="18"/>
              </w:rPr>
              <w:t xml:space="preserve">1500*500*1800</w:t>
            </w:r>
            <w:r/>
          </w:p>
        </w:tc>
        <w:tc>
          <w:tcPr>
            <w:shd w:val="clear" w:color="auto" w:fill="auto"/>
            <w:tcBorders>
              <w:top w:val="single" w:color="000000" w:sz="4" w:space="0"/>
              <w:left w:val="single" w:color="000000" w:sz="4" w:space="0"/>
              <w:bottom w:val="single" w:color="000000" w:sz="4" w:space="0"/>
              <w:right w:val="single" w:color="000000" w:sz="4" w:space="0"/>
            </w:tcBorders>
            <w:tcW w:w="5641" w:type="dxa"/>
            <w:vAlign w:val="center"/>
            <w:textDirection w:val="lrTb"/>
            <w:noWrap w:val="false"/>
          </w:tcPr>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1、材料：钢板采用电解钢板，经剪切，冲压，折弯，焊接，装配 而成。无甲醛释放量，各零部件、组合件表面应光滑、平整，色泽应一致，漆面均匀光亮、无任何流挂。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2、立柱材料壁厚大于等于1.2mm，横梁厚度大于等于1.5mm.</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3、层板厚度大于等于</w:t>
            </w:r>
            <w:r>
              <w:rPr>
                <w:rFonts w:hint="default" w:ascii="Times New Roman" w:hAnsi="Times New Roman" w:cs="Times New Roman"/>
                <w:sz w:val="18"/>
                <w:szCs w:val="18"/>
                <w:lang w:val="en-US" w:eastAsia="zh-CN"/>
              </w:rPr>
              <w:t xml:space="preserve">1</w:t>
            </w:r>
            <w:r>
              <w:rPr>
                <w:rFonts w:hint="default" w:ascii="Times New Roman" w:hAnsi="Times New Roman" w:cs="Times New Roman"/>
                <w:sz w:val="18"/>
                <w:szCs w:val="18"/>
              </w:rPr>
              <w:t xml:space="preserve">mm。背部焊有加强筋，增加承重，每层承重大于250kg</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4、成品：各项指标符合GB/T 3325-2017《金属家具通用技术》要求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5、工艺要求：立柱上开蝴蝶孔，方便拆卸组装，可根据需要调整层高。焊接部分采用高标准熔接焊，表面平整光滑，表面经静电粉末喷涂处理</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6、</w:t>
            </w:r>
            <w:r>
              <w:rPr>
                <w:rFonts w:hint="default" w:ascii="Times New Roman" w:hAnsi="Times New Roman" w:cs="Times New Roman"/>
                <w:sz w:val="18"/>
                <w:szCs w:val="18"/>
                <w:lang w:val="en-US" w:eastAsia="zh-CN"/>
              </w:rPr>
              <w:t xml:space="preserve">喷涂</w:t>
            </w:r>
            <w:r>
              <w:rPr>
                <w:rFonts w:hint="default" w:ascii="Times New Roman" w:hAnsi="Times New Roman" w:cs="Times New Roman"/>
                <w:sz w:val="18"/>
                <w:szCs w:val="18"/>
              </w:rPr>
              <w:t xml:space="preserve">粉末：粉末符合HG/T 2006-2022《热固性和热塑性粉末涂料》、GB/T 35607-2017《绿色产品评价 家具》要求。</w:t>
            </w:r>
            <w:r/>
          </w:p>
          <w:p>
            <w:pPr>
              <w:jc w:val="left"/>
              <w:widowControl/>
              <w:rPr>
                <w:rFonts w:hint="default" w:ascii="Times New Roman" w:hAnsi="Times New Roman" w:cs="Times New Roman"/>
                <w:sz w:val="18"/>
                <w:szCs w:val="18"/>
              </w:rPr>
            </w:pPr>
            <w:r>
              <w:rPr>
                <w:rFonts w:hint="default" w:ascii="Times New Roman" w:hAnsi="Times New Roman" w:cs="Times New Roman"/>
                <w:sz w:val="18"/>
                <w:szCs w:val="18"/>
              </w:rPr>
              <w:t xml:space="preserve">7、电解钢板：符合GB/T 35607-2017《绿色产品评价 家具》、GB/T 11253-2019《碳素结构钢冷轧钢板及钢带》要求</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sz w:val="18"/>
                <w:szCs w:val="18"/>
              </w:rPr>
              <w:t xml:space="preserve">个</w:t>
            </w:r>
            <w:r/>
          </w:p>
        </w:tc>
      </w:tr>
    </w:tbl>
    <w:p>
      <w:pPr>
        <w:pStyle w:val="869"/>
        <w:ind w:left="0" w:firstLine="211"/>
        <w:spacing w:after="0" w:line="400" w:lineRule="exact"/>
        <w:rPr>
          <w:rFonts w:hint="default" w:ascii="Times New Roman" w:hAnsi="Times New Roman" w:cs="Times New Roman"/>
          <w:b/>
          <w:bCs/>
        </w:rPr>
      </w:pPr>
      <w:r>
        <w:rPr>
          <w:rFonts w:hint="default" w:ascii="Times New Roman" w:hAnsi="Times New Roman" w:cs="Times New Roman"/>
          <w:b/>
          <w:bCs/>
        </w:rPr>
        <w:t xml:space="preserve">注：1、本次不采购进口产品。</w:t>
      </w:r>
      <w:r/>
    </w:p>
    <w:p>
      <w:pPr>
        <w:pStyle w:val="869"/>
        <w:ind w:left="0" w:firstLine="632"/>
        <w:spacing w:after="0" w:line="400" w:lineRule="exact"/>
        <w:rPr>
          <w:rFonts w:hint="default" w:ascii="Times New Roman" w:hAnsi="Times New Roman" w:cs="Times New Roman"/>
          <w:b/>
          <w:bCs/>
        </w:rPr>
      </w:pPr>
      <w:r>
        <w:rPr>
          <w:rFonts w:hint="default" w:ascii="Times New Roman" w:hAnsi="Times New Roman" w:cs="Times New Roman"/>
          <w:b/>
          <w:bCs/>
        </w:rPr>
        <w:t xml:space="preserve">2、本项目确定核心产品为：</w:t>
      </w:r>
      <w:r>
        <w:rPr>
          <w:rFonts w:hint="default" w:ascii="Times New Roman" w:hAnsi="Times New Roman" w:cs="Times New Roman"/>
          <w:b/>
          <w:bCs/>
          <w:lang w:eastAsia="zh-CN"/>
        </w:rPr>
        <w:t xml:space="preserve">①</w:t>
      </w:r>
      <w:r>
        <w:rPr>
          <w:rFonts w:hint="default" w:ascii="Times New Roman" w:hAnsi="Times New Roman" w:cs="Times New Roman"/>
          <w:b/>
          <w:bCs/>
        </w:rPr>
        <w:t xml:space="preserve">适老桌</w:t>
      </w:r>
      <w:r>
        <w:rPr>
          <w:rFonts w:hint="default" w:ascii="Times New Roman" w:hAnsi="Times New Roman" w:cs="Times New Roman"/>
          <w:b/>
          <w:bCs/>
          <w:lang w:eastAsia="zh-CN"/>
        </w:rPr>
        <w:t xml:space="preserve">（</w:t>
      </w:r>
      <w:r>
        <w:rPr>
          <w:rFonts w:hint="default" w:ascii="Times New Roman" w:hAnsi="Times New Roman" w:cs="Times New Roman"/>
          <w:b/>
          <w:bCs/>
          <w:lang w:val="en-US" w:eastAsia="zh-CN"/>
        </w:rPr>
        <w:t xml:space="preserve">方形）（唯亭街道：序号10、序号60、胜浦街道：序号3）</w:t>
      </w:r>
      <w:r>
        <w:rPr>
          <w:rFonts w:hint="default" w:ascii="Times New Roman" w:hAnsi="Times New Roman" w:cs="Times New Roman"/>
          <w:b/>
          <w:bCs/>
        </w:rPr>
        <w:t xml:space="preserve">、</w:t>
      </w:r>
      <w:r>
        <w:rPr>
          <w:rFonts w:hint="default" w:ascii="Times New Roman" w:hAnsi="Times New Roman" w:cs="Times New Roman"/>
          <w:b/>
          <w:bCs/>
          <w:lang w:eastAsia="zh-CN"/>
        </w:rPr>
        <w:t xml:space="preserve">②</w:t>
      </w:r>
      <w:r>
        <w:rPr>
          <w:rFonts w:hint="default" w:ascii="Times New Roman" w:hAnsi="Times New Roman" w:cs="Times New Roman"/>
          <w:b/>
          <w:bCs/>
        </w:rPr>
        <w:t xml:space="preserve">适老椅</w:t>
      </w:r>
      <w:r>
        <w:rPr>
          <w:rFonts w:hint="default" w:ascii="Times New Roman" w:hAnsi="Times New Roman" w:cs="Times New Roman"/>
          <w:b/>
          <w:bCs/>
          <w:lang w:val="en-US" w:eastAsia="zh-CN"/>
        </w:rPr>
        <w:t xml:space="preserve">（唯亭街道：序号13、序号63、胜浦街道：序号6）</w:t>
      </w:r>
      <w:r>
        <w:rPr>
          <w:rFonts w:hint="default" w:ascii="Times New Roman" w:hAnsi="Times New Roman" w:cs="Times New Roman"/>
          <w:b/>
          <w:bCs/>
        </w:rPr>
        <w:t xml:space="preserve">、</w:t>
      </w:r>
      <w:r>
        <w:rPr>
          <w:rFonts w:hint="default" w:ascii="Times New Roman" w:hAnsi="Times New Roman" w:cs="Times New Roman"/>
          <w:b/>
          <w:bCs/>
          <w:lang w:eastAsia="zh-CN"/>
        </w:rPr>
        <w:t xml:space="preserve">③</w:t>
      </w:r>
      <w:r>
        <w:rPr>
          <w:rFonts w:hint="default" w:ascii="Times New Roman" w:hAnsi="Times New Roman" w:cs="Times New Roman"/>
          <w:b/>
          <w:bCs/>
        </w:rPr>
        <w:t xml:space="preserve">适老床（电动护理）</w:t>
      </w:r>
      <w:r>
        <w:rPr>
          <w:rFonts w:hint="default" w:ascii="Times New Roman" w:hAnsi="Times New Roman" w:cs="Times New Roman"/>
          <w:b/>
          <w:bCs/>
          <w:lang w:val="en-US" w:eastAsia="zh-CN"/>
        </w:rPr>
        <w:t xml:space="preserve">（唯亭街道：序号52、胜浦街道：序号1）</w:t>
      </w:r>
      <w:r>
        <w:rPr>
          <w:rFonts w:hint="default" w:ascii="Times New Roman" w:hAnsi="Times New Roman" w:cs="Times New Roman"/>
          <w:b/>
          <w:bCs/>
        </w:rPr>
        <w:t xml:space="preserve"> 。</w:t>
      </w:r>
      <w:r/>
    </w:p>
    <w:p>
      <w:pPr>
        <w:pStyle w:val="869"/>
        <w:ind w:left="0" w:firstLine="632"/>
        <w:spacing w:after="0" w:line="400" w:lineRule="exact"/>
        <w:rPr>
          <w:rFonts w:hint="default" w:ascii="Times New Roman" w:hAnsi="Times New Roman" w:cs="Times New Roman"/>
          <w:b/>
          <w:bCs/>
        </w:rPr>
      </w:pPr>
      <w:r>
        <w:rPr>
          <w:rFonts w:hint="default" w:ascii="Times New Roman" w:hAnsi="Times New Roman" w:cs="Times New Roman"/>
          <w:b/>
          <w:bCs/>
        </w:rPr>
        <w:t xml:space="preserve">3、以上图片仅供参考，上述清单中未注明颜色的，最终由采购人根据中标供应商在合同签订后一周内提供的色卡后再确定。</w:t>
      </w:r>
      <w:r/>
    </w:p>
    <w:p>
      <w:pPr>
        <w:pStyle w:val="869"/>
        <w:ind w:left="0" w:firstLine="632"/>
        <w:spacing w:after="0" w:line="400" w:lineRule="exact"/>
        <w:rPr>
          <w:rFonts w:hint="default" w:ascii="Times New Roman" w:hAnsi="Times New Roman" w:cs="Times New Roman"/>
          <w:b/>
          <w:bCs/>
        </w:rPr>
      </w:pPr>
      <w:r>
        <w:rPr>
          <w:rFonts w:hint="default" w:ascii="Times New Roman" w:hAnsi="Times New Roman" w:cs="Times New Roman"/>
          <w:b/>
          <w:bCs/>
        </w:rPr>
        <w:t xml:space="preserve">4、投标人在 “采购需求偏离表”中填写产品投标响应情况：产品符合上表中规格、数量及技术要求的为无偏离（即响应）；不符合的为有偏离（即不响应）。</w:t>
      </w:r>
      <w:r/>
    </w:p>
    <w:p>
      <w:pPr>
        <w:rPr>
          <w:rFonts w:hint="default" w:ascii="Times New Roman" w:hAnsi="Times New Roman" w:cs="Times New Roman"/>
          <w:b/>
        </w:rPr>
      </w:pPr>
      <w:r>
        <w:rPr>
          <w:rFonts w:hint="default" w:ascii="Times New Roman" w:hAnsi="Times New Roman" w:cs="Times New Roman"/>
          <w:b/>
        </w:rPr>
      </w:r>
      <w:r/>
    </w:p>
    <w:p>
      <w:pPr>
        <w:ind w:firstLine="422"/>
        <w:rPr>
          <w:rFonts w:hint="default" w:ascii="Times New Roman" w:hAnsi="Times New Roman" w:cs="Times New Roman"/>
          <w:b/>
        </w:rPr>
      </w:pPr>
      <w:r>
        <w:rPr>
          <w:rFonts w:hint="default" w:ascii="Times New Roman" w:hAnsi="Times New Roman" w:cs="Times New Roman"/>
          <w:b/>
        </w:rPr>
        <w:t xml:space="preserve">二、报价要求</w:t>
      </w:r>
      <w:r/>
    </w:p>
    <w:p>
      <w:pPr>
        <w:ind w:firstLine="420"/>
        <w:spacing w:line="360" w:lineRule="auto"/>
        <w:rPr>
          <w:rFonts w:hint="default" w:ascii="Times New Roman" w:hAnsi="Times New Roman" w:cs="Times New Roman"/>
          <w:szCs w:val="21"/>
          <w:lang w:val="zh-CN"/>
        </w:rPr>
      </w:pPr>
      <w:r>
        <w:rPr>
          <w:rFonts w:hint="default" w:ascii="Times New Roman" w:hAnsi="Times New Roman" w:cs="Times New Roman"/>
          <w:szCs w:val="21"/>
        </w:rPr>
        <w:t xml:space="preserve">1、投标总报价一次报定，</w:t>
      </w:r>
      <w:r>
        <w:rPr>
          <w:rFonts w:hint="default" w:ascii="Times New Roman" w:hAnsi="Times New Roman" w:cs="Times New Roman"/>
          <w:szCs w:val="21"/>
          <w:lang w:val="zh-CN"/>
        </w:rPr>
        <w:t xml:space="preserve">包括所投标的物及其备品、备件和专用工具费用、布线、开挖填补费、税费及包装、运至最终目的地的运输、保险、现场吊装、临时工程、检测验收、安装调试、技术支持与培训、售后服务与维保及相关劳务支出等工作所发生的全部费用以及投标人企业利润、税金和政策性文件规定及合同包含的所有风险、责任等各项应有费用。</w:t>
      </w:r>
      <w:r/>
    </w:p>
    <w:p>
      <w:pPr>
        <w:ind w:firstLine="422"/>
        <w:spacing w:line="360" w:lineRule="auto"/>
        <w:rPr>
          <w:rFonts w:hint="default" w:ascii="Times New Roman" w:hAnsi="Times New Roman" w:cs="Times New Roman"/>
        </w:rPr>
      </w:pPr>
      <w:r>
        <w:rPr>
          <w:rFonts w:hint="default" w:ascii="Times New Roman" w:hAnsi="Times New Roman" w:cs="Times New Roman"/>
          <w:b/>
          <w:bCs/>
          <w:color w:val="ff0000"/>
          <w:szCs w:val="21"/>
        </w:rPr>
        <w:t xml:space="preserve">2、本项目为合并项目，</w:t>
      </w:r>
      <w:r>
        <w:rPr>
          <w:rFonts w:hint="default" w:ascii="Times New Roman" w:hAnsi="Times New Roman" w:cs="Times New Roman"/>
          <w:b/>
          <w:bCs/>
          <w:color w:val="ff0000"/>
        </w:rPr>
        <w:t xml:space="preserve">本项目预算总金额为5550000元，本项目最高限价为5270000元。唯亭街道区域性养老服务中心家具预算金额为4030000元，胜浦街道医养项目家具预算金额为1520000元</w:t>
      </w:r>
      <w:r>
        <w:rPr>
          <w:rFonts w:hint="default" w:ascii="Times New Roman" w:hAnsi="Times New Roman" w:cs="Times New Roman"/>
          <w:b/>
          <w:bCs/>
          <w:color w:val="ff0000"/>
          <w:szCs w:val="21"/>
        </w:rPr>
        <w:t xml:space="preserve">。投标人必须在公开分项报价表中列明2个街道分别的总报价，且不可超出各街道预算金额，否则投标无效。</w:t>
      </w:r>
      <w:r/>
    </w:p>
    <w:p>
      <w:pPr>
        <w:ind w:firstLine="422"/>
        <w:spacing w:line="360" w:lineRule="auto"/>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 xml:space="preserve">三、其他要求</w:t>
      </w:r>
      <w:r/>
    </w:p>
    <w:p>
      <w:pPr>
        <w:ind w:firstLine="420"/>
        <w:spacing w:line="400" w:lineRule="exact"/>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其他要求包括第五章合同文本中约定的所有条款，投标人完全同意条款（</w:t>
      </w:r>
      <w:r>
        <w:rPr>
          <w:rFonts w:hint="default" w:ascii="Times New Roman" w:hAnsi="Times New Roman" w:cs="Times New Roman" w:eastAsiaTheme="minorEastAsia"/>
          <w:b/>
          <w:szCs w:val="21"/>
        </w:rPr>
        <w:t xml:space="preserve">即无偏离</w:t>
      </w:r>
      <w:r>
        <w:rPr>
          <w:rFonts w:hint="default" w:ascii="Times New Roman" w:hAnsi="Times New Roman" w:cs="Times New Roman" w:eastAsiaTheme="minorEastAsia"/>
          <w:szCs w:val="21"/>
        </w:rPr>
        <w:t xml:space="preserve">）或提出对采购人更有利的条款（</w:t>
      </w:r>
      <w:r>
        <w:rPr>
          <w:rFonts w:hint="default" w:ascii="Times New Roman" w:hAnsi="Times New Roman" w:cs="Times New Roman" w:eastAsiaTheme="minorEastAsia"/>
          <w:b/>
          <w:szCs w:val="21"/>
        </w:rPr>
        <w:t xml:space="preserve">即正偏离</w:t>
      </w:r>
      <w:r>
        <w:rPr>
          <w:rFonts w:hint="default" w:ascii="Times New Roman" w:hAnsi="Times New Roman" w:cs="Times New Roman" w:eastAsiaTheme="minorEastAsia"/>
          <w:szCs w:val="21"/>
        </w:rPr>
        <w:t xml:space="preserve">）都属于响应，投标人不同意某项条款（即负偏离）的属于不响应，</w:t>
      </w:r>
      <w:r>
        <w:rPr>
          <w:rFonts w:hint="default" w:ascii="Times New Roman" w:hAnsi="Times New Roman" w:cs="Times New Roman" w:eastAsiaTheme="minorEastAsia"/>
          <w:b/>
          <w:szCs w:val="21"/>
        </w:rPr>
        <w:t xml:space="preserve">按投标无效处理</w:t>
      </w:r>
      <w:r>
        <w:rPr>
          <w:rFonts w:hint="default" w:ascii="Times New Roman" w:hAnsi="Times New Roman" w:cs="Times New Roman" w:eastAsiaTheme="minorEastAsia"/>
          <w:szCs w:val="21"/>
        </w:rPr>
        <w:t xml:space="preserve">。</w:t>
      </w:r>
      <w:r/>
    </w:p>
    <w:p>
      <w:pPr>
        <w:ind w:firstLine="422"/>
        <w:spacing w:line="400" w:lineRule="exact"/>
        <w:rPr>
          <w:rFonts w:hint="default" w:ascii="Times New Roman" w:hAnsi="Times New Roman" w:cs="Times New Roman" w:eastAsiaTheme="minorEastAsia"/>
          <w:b/>
        </w:rPr>
      </w:pPr>
      <w:r>
        <w:rPr>
          <w:rFonts w:hint="default" w:ascii="Times New Roman" w:hAnsi="Times New Roman" w:cs="Times New Roman" w:eastAsiaTheme="minorEastAsia"/>
          <w:b/>
          <w:szCs w:val="21"/>
        </w:rPr>
        <w:t xml:space="preserve">投标人应将不同意的条款和更有利的条款在第三章投标文件格式中的“采购需求偏离表”中列出，投标人完全同意的条款不需要列出。</w:t>
      </w:r>
      <w:r>
        <w:rPr>
          <w:rFonts w:hint="default" w:ascii="Times New Roman" w:hAnsi="Times New Roman" w:cs="Times New Roman" w:eastAsiaTheme="minorEastAsia"/>
          <w:b/>
          <w:szCs w:val="21"/>
        </w:rPr>
        <w:br w:type="page" w:clear="all"/>
      </w:r>
      <w:r/>
    </w:p>
    <w:p>
      <w:pPr>
        <w:ind w:firstLine="880"/>
        <w:jc w:val="center"/>
        <w:spacing w:line="360" w:lineRule="auto"/>
        <w:widowControl/>
        <w:rPr>
          <w:rFonts w:hint="default" w:ascii="Times New Roman" w:hAnsi="Times New Roman" w:cs="Times New Roman" w:eastAsiaTheme="minorEastAsia"/>
          <w:bCs/>
          <w:sz w:val="44"/>
          <w:szCs w:val="44"/>
        </w:rPr>
      </w:pPr>
      <w:r>
        <w:rPr>
          <w:rFonts w:hint="default" w:ascii="Times New Roman" w:hAnsi="Times New Roman" w:cs="Times New Roman" w:eastAsiaTheme="minorEastAsia"/>
          <w:bCs/>
          <w:sz w:val="44"/>
          <w:szCs w:val="44"/>
        </w:rPr>
        <w:t xml:space="preserve">第五章合同文本</w:t>
      </w:r>
      <w:r/>
    </w:p>
    <w:p>
      <w:pPr>
        <w:ind w:firstLine="6300"/>
        <w:jc w:val="left"/>
        <w:spacing w:line="360" w:lineRule="auto"/>
        <w:widowControl/>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r>
      <w:r/>
    </w:p>
    <w:p>
      <w:pPr>
        <w:jc w:val="center"/>
        <w:spacing w:line="240" w:lineRule="atLeast"/>
        <w:rPr>
          <w:rFonts w:hint="default" w:ascii="Times New Roman" w:hAnsi="Times New Roman" w:eastAsia="黑体" w:cs="Times New Roman"/>
          <w:spacing w:val="-10"/>
          <w:sz w:val="44"/>
        </w:rPr>
      </w:pPr>
      <w:r>
        <w:rPr>
          <w:rFonts w:hint="default" w:ascii="Times New Roman" w:hAnsi="Times New Roman" w:eastAsia="黑体" w:cs="Times New Roman"/>
          <w:spacing w:val="-10"/>
          <w:sz w:val="44"/>
        </w:rPr>
        <w:t xml:space="preserve">政府采购合同</w:t>
      </w:r>
      <w:r/>
    </w:p>
    <w:p>
      <w:pPr>
        <w:spacing w:before="120" w:after="120" w:line="440" w:lineRule="exact"/>
        <w:rPr>
          <w:rFonts w:hint="default" w:ascii="Times New Roman" w:hAnsi="Times New Roman" w:cs="Times New Roman"/>
          <w:b/>
          <w:sz w:val="24"/>
          <w:szCs w:val="24"/>
        </w:rPr>
      </w:pPr>
      <w:r>
        <w:rPr>
          <w:rFonts w:hint="default" w:ascii="Times New Roman" w:hAnsi="Times New Roman" w:cs="Times New Roman"/>
          <w:b/>
          <w:sz w:val="24"/>
          <w:szCs w:val="24"/>
        </w:rPr>
      </w:r>
      <w:r/>
    </w:p>
    <w:p>
      <w:pPr>
        <w:spacing w:before="120" w:after="120" w:line="440" w:lineRule="exact"/>
        <w:rPr>
          <w:rFonts w:hint="default" w:ascii="Times New Roman" w:hAnsi="Times New Roman" w:cs="Times New Roman"/>
          <w:b/>
          <w:sz w:val="24"/>
          <w:szCs w:val="24"/>
        </w:rPr>
      </w:pPr>
      <w:r>
        <w:rPr>
          <w:rFonts w:hint="default" w:ascii="Times New Roman" w:hAnsi="Times New Roman" w:cs="Times New Roman"/>
          <w:b/>
          <w:sz w:val="24"/>
          <w:szCs w:val="24"/>
        </w:rPr>
        <w:t xml:space="preserve">项目名称：    </w:t>
      </w:r>
      <w:r/>
    </w:p>
    <w:p>
      <w:pPr>
        <w:spacing w:before="120" w:after="120" w:line="440" w:lineRule="exact"/>
        <w:rPr>
          <w:rFonts w:hint="default" w:ascii="Times New Roman" w:hAnsi="Times New Roman" w:cs="Times New Roman"/>
          <w:b/>
          <w:sz w:val="24"/>
          <w:szCs w:val="24"/>
        </w:rPr>
      </w:pPr>
      <w:r>
        <w:rPr>
          <w:rFonts w:hint="default" w:ascii="Times New Roman" w:hAnsi="Times New Roman" w:cs="Times New Roman"/>
          <w:b/>
          <w:sz w:val="24"/>
          <w:szCs w:val="24"/>
        </w:rPr>
        <w:t xml:space="preserve">项目编号：</w:t>
      </w:r>
      <w:r/>
    </w:p>
    <w:p>
      <w:pPr>
        <w:jc w:val="left"/>
        <w:spacing w:line="360" w:lineRule="auto"/>
        <w:rPr>
          <w:rFonts w:hint="default" w:ascii="Times New Roman" w:hAnsi="Times New Roman" w:cs="Times New Roman"/>
          <w:b/>
          <w:sz w:val="24"/>
          <w:szCs w:val="24"/>
        </w:rPr>
      </w:pPr>
      <w:r>
        <w:rPr>
          <w:rFonts w:hint="default" w:ascii="Times New Roman" w:hAnsi="Times New Roman" w:cs="Times New Roman"/>
          <w:b/>
          <w:sz w:val="24"/>
          <w:szCs w:val="24"/>
        </w:rPr>
      </w:r>
      <w:r/>
    </w:p>
    <w:p>
      <w:pPr>
        <w:jc w:val="left"/>
        <w:spacing w:line="360" w:lineRule="auto"/>
        <w:rPr>
          <w:rFonts w:hint="default" w:ascii="Times New Roman" w:hAnsi="Times New Roman" w:cs="Times New Roman"/>
          <w:b/>
          <w:sz w:val="24"/>
          <w:szCs w:val="24"/>
        </w:rPr>
      </w:pPr>
      <w:r>
        <w:rPr>
          <w:rFonts w:hint="default" w:ascii="Times New Roman" w:hAnsi="Times New Roman" w:cs="Times New Roman"/>
          <w:b/>
          <w:sz w:val="24"/>
          <w:szCs w:val="24"/>
        </w:rPr>
        <w:t xml:space="preserve">甲方（项目采购人）：</w:t>
      </w:r>
      <w:r/>
    </w:p>
    <w:p>
      <w:pPr>
        <w:jc w:val="left"/>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联系人： </w:t>
      </w:r>
      <w:r>
        <w:rPr>
          <w:rFonts w:hint="default" w:ascii="Times New Roman" w:hAnsi="Times New Roman" w:cs="Times New Roman"/>
          <w:sz w:val="24"/>
          <w:szCs w:val="24"/>
        </w:rPr>
        <w:tab/>
      </w:r>
      <w:r/>
    </w:p>
    <w:p>
      <w:pPr>
        <w:jc w:val="left"/>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单位地址： </w:t>
      </w:r>
      <w:r/>
    </w:p>
    <w:p>
      <w:pPr>
        <w:jc w:val="left"/>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电话：</w:t>
      </w:r>
      <w:r/>
    </w:p>
    <w:p>
      <w:pPr>
        <w:jc w:val="left"/>
        <w:spacing w:line="360" w:lineRule="auto"/>
        <w:rPr>
          <w:rFonts w:hint="default" w:ascii="Times New Roman" w:hAnsi="Times New Roman" w:cs="Times New Roman"/>
          <w:b/>
          <w:sz w:val="24"/>
          <w:szCs w:val="24"/>
        </w:rPr>
      </w:pPr>
      <w:r>
        <w:rPr>
          <w:rFonts w:hint="default" w:ascii="Times New Roman" w:hAnsi="Times New Roman" w:cs="Times New Roman"/>
          <w:b/>
          <w:sz w:val="24"/>
          <w:szCs w:val="24"/>
        </w:rPr>
      </w:r>
      <w:r/>
    </w:p>
    <w:p>
      <w:pPr>
        <w:jc w:val="left"/>
        <w:spacing w:line="360" w:lineRule="auto"/>
        <w:rPr>
          <w:rFonts w:hint="default" w:ascii="Times New Roman" w:hAnsi="Times New Roman" w:cs="Times New Roman"/>
          <w:b/>
          <w:sz w:val="24"/>
          <w:szCs w:val="24"/>
        </w:rPr>
      </w:pPr>
      <w:r>
        <w:rPr>
          <w:rFonts w:hint="default" w:ascii="Times New Roman" w:hAnsi="Times New Roman" w:cs="Times New Roman"/>
          <w:b/>
          <w:sz w:val="24"/>
          <w:szCs w:val="24"/>
        </w:rPr>
        <w:t xml:space="preserve">乙方（中标供应商）：</w:t>
      </w:r>
      <w:r/>
    </w:p>
    <w:p>
      <w:pPr>
        <w:spacing w:before="120" w:after="120" w:line="44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联系人： </w:t>
      </w:r>
      <w:r>
        <w:rPr>
          <w:rFonts w:hint="default" w:ascii="Times New Roman" w:hAnsi="Times New Roman" w:cs="Times New Roman"/>
          <w:sz w:val="24"/>
          <w:szCs w:val="24"/>
        </w:rPr>
        <w:tab/>
      </w:r>
      <w:r/>
    </w:p>
    <w:p>
      <w:pPr>
        <w:spacing w:before="120" w:after="120" w:line="44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单位地址： </w:t>
      </w:r>
      <w:r/>
    </w:p>
    <w:p>
      <w:pPr>
        <w:spacing w:before="120" w:after="120" w:line="44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电话：</w:t>
      </w:r>
      <w:r/>
    </w:p>
    <w:p>
      <w:pPr>
        <w:spacing w:before="120" w:after="120" w:line="440" w:lineRule="exact"/>
        <w:rPr>
          <w:rFonts w:hint="default" w:ascii="Times New Roman" w:hAnsi="Times New Roman" w:cs="Times New Roman"/>
          <w:sz w:val="24"/>
          <w:szCs w:val="24"/>
        </w:rPr>
      </w:pPr>
      <w:r>
        <w:rPr>
          <w:rFonts w:hint="default" w:ascii="Times New Roman" w:hAnsi="Times New Roman" w:cs="Times New Roman"/>
          <w:sz w:val="24"/>
          <w:szCs w:val="24"/>
        </w:rPr>
      </w:r>
      <w:r/>
    </w:p>
    <w:p>
      <w:pPr>
        <w:pStyle w:val="1180"/>
        <w:ind w:firstLine="420"/>
        <w:rPr>
          <w:rFonts w:hint="default" w:ascii="Times New Roman" w:hAnsi="Times New Roman" w:cs="Times New Roman"/>
        </w:rPr>
      </w:pPr>
      <w:r>
        <w:rPr>
          <w:rFonts w:hint="default" w:ascii="Times New Roman" w:hAnsi="Times New Roman" w:cs="Times New Roman"/>
        </w:rPr>
      </w:r>
      <w:r/>
    </w:p>
    <w:p>
      <w:pPr>
        <w:ind w:firstLine="630"/>
        <w:spacing w:before="120" w:after="120" w:line="440" w:lineRule="exact"/>
        <w:rPr>
          <w:rFonts w:hint="default" w:ascii="Times New Roman" w:hAnsi="Times New Roman" w:cs="Times New Roman"/>
          <w:szCs w:val="20"/>
        </w:rPr>
      </w:pPr>
      <w:r>
        <w:rPr>
          <w:rFonts w:hint="default" w:ascii="Times New Roman" w:hAnsi="Times New Roman" w:cs="Times New Roman"/>
        </w:rPr>
        <w:t xml:space="preserve">甲方所需</w:t>
      </w:r>
      <w:r>
        <w:rPr>
          <w:rFonts w:hint="default" w:ascii="Times New Roman" w:hAnsi="Times New Roman" w:cs="Times New Roman"/>
          <w:u w:val="single"/>
        </w:rPr>
        <w:t xml:space="preserve">  (项目名称)  </w:t>
      </w:r>
      <w:r>
        <w:rPr>
          <w:rFonts w:hint="default" w:ascii="Times New Roman" w:hAnsi="Times New Roman" w:cs="Times New Roman"/>
        </w:rPr>
        <w:t xml:space="preserve">经</w:t>
      </w:r>
      <w:r>
        <w:rPr>
          <w:rFonts w:hint="default" w:ascii="Times New Roman" w:hAnsi="Times New Roman" w:cs="Times New Roman"/>
          <w:u w:val="single"/>
        </w:rPr>
        <w:t xml:space="preserve">苏州工业园区集中采购中心 </w:t>
      </w:r>
      <w:r>
        <w:rPr>
          <w:rFonts w:hint="default" w:ascii="Times New Roman" w:hAnsi="Times New Roman" w:cs="Times New Roman"/>
        </w:rPr>
        <w:t xml:space="preserve">以</w:t>
      </w:r>
      <w:r>
        <w:rPr>
          <w:rFonts w:hint="default" w:ascii="Times New Roman" w:hAnsi="Times New Roman" w:cs="Times New Roman"/>
          <w:u w:val="single"/>
        </w:rPr>
        <w:t xml:space="preserve">  公开招标  </w:t>
      </w:r>
      <w:r>
        <w:rPr>
          <w:rFonts w:hint="default" w:ascii="Times New Roman" w:hAnsi="Times New Roman" w:cs="Times New Roman"/>
        </w:rPr>
        <w:t xml:space="preserve">方式进行采购，并依法确定乙方为中标供应商。甲、乙双方根据《中华人民共和国政府采购法》、《中华人民共和国民法典》等相关法律以及本项目采购文件的规定，签署本合同。下列文件是构成本合同不可分割的部分：</w:t>
      </w:r>
      <w:r/>
    </w:p>
    <w:p>
      <w:pPr>
        <w:pStyle w:val="1038"/>
        <w:numPr>
          <w:ilvl w:val="0"/>
          <w:numId w:val="9"/>
        </w:numPr>
        <w:spacing w:before="120" w:after="120" w:line="440" w:lineRule="exact"/>
        <w:rPr>
          <w:rFonts w:hint="default" w:ascii="Times New Roman" w:hAnsi="Times New Roman" w:cs="Times New Roman"/>
          <w:b/>
          <w:bCs/>
        </w:rPr>
      </w:pPr>
      <w:r>
        <w:rPr>
          <w:rFonts w:hint="default" w:ascii="Times New Roman" w:hAnsi="Times New Roman" w:cs="Times New Roman"/>
          <w:b/>
          <w:bCs/>
        </w:rPr>
        <w:t xml:space="preserve">合同文件</w:t>
      </w:r>
      <w:r/>
    </w:p>
    <w:p>
      <w:pPr>
        <w:spacing w:before="120" w:after="120" w:line="440" w:lineRule="exact"/>
        <w:rPr>
          <w:rFonts w:hint="default" w:ascii="Times New Roman" w:hAnsi="Times New Roman" w:cs="Times New Roman"/>
          <w:szCs w:val="20"/>
        </w:rPr>
      </w:pPr>
      <w:r>
        <w:rPr>
          <w:rFonts w:hint="default" w:ascii="Times New Roman" w:hAnsi="Times New Roman" w:cs="Times New Roman"/>
        </w:rPr>
        <w:t xml:space="preserve">    以下文件是构成本合同不可分割的部分：</w:t>
      </w:r>
      <w:r/>
    </w:p>
    <w:p>
      <w:pPr>
        <w:spacing w:before="120" w:after="120" w:line="440" w:lineRule="exact"/>
        <w:rPr>
          <w:rFonts w:hint="default" w:ascii="Times New Roman" w:hAnsi="Times New Roman" w:cs="Times New Roman"/>
        </w:rPr>
      </w:pPr>
      <w:r>
        <w:rPr>
          <w:rFonts w:hint="default" w:ascii="Times New Roman" w:hAnsi="Times New Roman" w:cs="Times New Roman"/>
        </w:rPr>
        <w:t xml:space="preserve">（一）本项目采购文件；</w:t>
      </w:r>
      <w:r/>
    </w:p>
    <w:p>
      <w:pPr>
        <w:spacing w:before="120" w:after="120" w:line="440" w:lineRule="exact"/>
        <w:rPr>
          <w:rFonts w:hint="default" w:ascii="Times New Roman" w:hAnsi="Times New Roman" w:cs="Times New Roman"/>
        </w:rPr>
      </w:pPr>
      <w:r>
        <w:rPr>
          <w:rFonts w:hint="default" w:ascii="Times New Roman" w:hAnsi="Times New Roman" w:cs="Times New Roman"/>
        </w:rPr>
        <w:t xml:space="preserve">（二）中标供应商响应文件；</w:t>
      </w:r>
      <w:r/>
    </w:p>
    <w:p>
      <w:pPr>
        <w:spacing w:before="120" w:after="120" w:line="440" w:lineRule="exact"/>
        <w:rPr>
          <w:rFonts w:hint="default" w:ascii="Times New Roman" w:hAnsi="Times New Roman" w:cs="Times New Roman"/>
        </w:rPr>
      </w:pPr>
      <w:r>
        <w:rPr>
          <w:rFonts w:hint="default" w:ascii="Times New Roman" w:hAnsi="Times New Roman" w:cs="Times New Roman"/>
        </w:rPr>
        <w:t xml:space="preserve">（三）合同条款；</w:t>
      </w:r>
      <w:r/>
    </w:p>
    <w:p>
      <w:pPr>
        <w:spacing w:before="120" w:after="120" w:line="440" w:lineRule="exact"/>
        <w:rPr>
          <w:rFonts w:hint="default" w:ascii="Times New Roman" w:hAnsi="Times New Roman" w:cs="Times New Roman"/>
        </w:rPr>
      </w:pPr>
      <w:r>
        <w:rPr>
          <w:rFonts w:hint="default" w:ascii="Times New Roman" w:hAnsi="Times New Roman" w:cs="Times New Roman"/>
        </w:rPr>
        <w:t xml:space="preserve">（四）中标供应商做出的有关澄清、说明或者补正文件；</w:t>
      </w:r>
      <w:r/>
    </w:p>
    <w:p>
      <w:pPr>
        <w:spacing w:before="120" w:after="120" w:line="440" w:lineRule="exact"/>
        <w:rPr>
          <w:rFonts w:hint="default" w:ascii="Times New Roman" w:hAnsi="Times New Roman" w:cs="Times New Roman"/>
        </w:rPr>
      </w:pPr>
      <w:r>
        <w:rPr>
          <w:rFonts w:hint="default" w:ascii="Times New Roman" w:hAnsi="Times New Roman" w:cs="Times New Roman"/>
        </w:rPr>
        <w:t xml:space="preserve">（五）确定中标供应商的文件（包括但不限于中标通知书、中标通知书等）；</w:t>
      </w:r>
      <w:r/>
    </w:p>
    <w:p>
      <w:pPr>
        <w:spacing w:before="120" w:after="120" w:line="440" w:lineRule="exact"/>
        <w:rPr>
          <w:rFonts w:hint="default" w:ascii="Times New Roman" w:hAnsi="Times New Roman" w:cs="Times New Roman"/>
        </w:rPr>
      </w:pPr>
      <w:r>
        <w:rPr>
          <w:rFonts w:hint="default" w:ascii="Times New Roman" w:hAnsi="Times New Roman" w:cs="Times New Roman"/>
        </w:rPr>
        <w:t xml:space="preserve">（六）本合同附件。</w:t>
      </w:r>
      <w:r/>
    </w:p>
    <w:p>
      <w:pPr>
        <w:pStyle w:val="1038"/>
        <w:numPr>
          <w:ilvl w:val="0"/>
          <w:numId w:val="9"/>
        </w:numPr>
        <w:spacing w:before="120" w:after="120" w:line="440" w:lineRule="exact"/>
        <w:rPr>
          <w:rFonts w:hint="default" w:ascii="Times New Roman" w:hAnsi="Times New Roman" w:cs="Times New Roman"/>
          <w:b/>
          <w:bCs/>
        </w:rPr>
      </w:pPr>
      <w:r>
        <w:rPr>
          <w:rFonts w:hint="default" w:ascii="Times New Roman" w:hAnsi="Times New Roman" w:cs="Times New Roman"/>
          <w:b/>
          <w:bCs/>
        </w:rPr>
        <w:t xml:space="preserve">采购货物清单</w:t>
      </w:r>
      <w:r/>
    </w:p>
    <w:tbl>
      <w:tblPr>
        <w:tblStyle w:val="8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17"/>
        <w:gridCol w:w="1363"/>
        <w:gridCol w:w="947"/>
        <w:gridCol w:w="1035"/>
        <w:gridCol w:w="615"/>
        <w:gridCol w:w="855"/>
        <w:gridCol w:w="825"/>
        <w:gridCol w:w="1080"/>
        <w:gridCol w:w="1200"/>
        <w:gridCol w:w="1320"/>
      </w:tblGrid>
      <w:tr>
        <w:trPr/>
        <w:tc>
          <w:tcPr>
            <w:tcBorders>
              <w:top w:val="single" w:color="auto" w:sz="4" w:space="0"/>
              <w:left w:val="single" w:color="auto" w:sz="4" w:space="0"/>
              <w:bottom w:val="single" w:color="auto" w:sz="4" w:space="0"/>
              <w:right w:val="single" w:color="auto" w:sz="4" w:space="0"/>
            </w:tcBorders>
            <w:tcW w:w="617" w:type="dxa"/>
            <w:textDirection w:val="lrTb"/>
            <w:noWrap w:val="false"/>
          </w:tcPr>
          <w:p>
            <w:pPr>
              <w:jc w:val="center"/>
              <w:spacing w:line="360" w:lineRule="auto"/>
              <w:rPr>
                <w:rFonts w:hint="default" w:ascii="Times New Roman" w:hAnsi="Times New Roman" w:cs="Times New Roman"/>
                <w:szCs w:val="20"/>
              </w:rPr>
            </w:pPr>
            <w:r>
              <w:rPr>
                <w:rFonts w:hint="default" w:ascii="Times New Roman" w:hAnsi="Times New Roman" w:cs="Times New Roman"/>
              </w:rPr>
              <w:t xml:space="preserve">序号</w:t>
            </w:r>
            <w:r/>
          </w:p>
        </w:tc>
        <w:tc>
          <w:tcPr>
            <w:tcBorders>
              <w:top w:val="single" w:color="auto" w:sz="4" w:space="0"/>
              <w:left w:val="single" w:color="auto" w:sz="4" w:space="0"/>
              <w:bottom w:val="single" w:color="auto" w:sz="4" w:space="0"/>
              <w:right w:val="single" w:color="auto" w:sz="4" w:space="0"/>
            </w:tcBorders>
            <w:tcW w:w="1363" w:type="dxa"/>
            <w:textDirection w:val="lrTb"/>
            <w:noWrap w:val="false"/>
          </w:tcPr>
          <w:p>
            <w:pPr>
              <w:jc w:val="center"/>
              <w:spacing w:line="360" w:lineRule="auto"/>
              <w:rPr>
                <w:rFonts w:hint="default" w:ascii="Times New Roman" w:hAnsi="Times New Roman" w:cs="Times New Roman"/>
              </w:rPr>
            </w:pPr>
            <w:r>
              <w:rPr>
                <w:rFonts w:hint="default" w:ascii="Times New Roman" w:hAnsi="Times New Roman" w:cs="Times New Roman"/>
              </w:rPr>
              <w:t xml:space="preserve">货物名称</w:t>
            </w:r>
            <w:r/>
          </w:p>
        </w:tc>
        <w:tc>
          <w:tcPr>
            <w:tcBorders>
              <w:top w:val="single" w:color="auto" w:sz="4" w:space="0"/>
              <w:left w:val="single" w:color="auto" w:sz="4" w:space="0"/>
              <w:bottom w:val="single" w:color="auto" w:sz="4" w:space="0"/>
              <w:right w:val="single" w:color="auto" w:sz="4" w:space="0"/>
            </w:tcBorders>
            <w:tcW w:w="947" w:type="dxa"/>
            <w:textDirection w:val="lrTb"/>
            <w:noWrap w:val="false"/>
          </w:tcPr>
          <w:p>
            <w:pPr>
              <w:jc w:val="center"/>
              <w:spacing w:line="360" w:lineRule="auto"/>
              <w:rPr>
                <w:rFonts w:hint="default" w:ascii="Times New Roman" w:hAnsi="Times New Roman" w:cs="Times New Roman"/>
              </w:rPr>
            </w:pPr>
            <w:r>
              <w:rPr>
                <w:rFonts w:hint="default" w:ascii="Times New Roman" w:hAnsi="Times New Roman" w:cs="Times New Roman"/>
              </w:rPr>
              <w:t xml:space="preserve">品牌</w:t>
            </w:r>
            <w:r/>
          </w:p>
        </w:tc>
        <w:tc>
          <w:tcPr>
            <w:tcBorders>
              <w:top w:val="single" w:color="auto" w:sz="4" w:space="0"/>
              <w:left w:val="single" w:color="auto" w:sz="4" w:space="0"/>
              <w:bottom w:val="single" w:color="auto" w:sz="4" w:space="0"/>
              <w:right w:val="single" w:color="auto" w:sz="4" w:space="0"/>
            </w:tcBorders>
            <w:tcW w:w="1035" w:type="dxa"/>
            <w:textDirection w:val="lrTb"/>
            <w:noWrap w:val="false"/>
          </w:tcPr>
          <w:p>
            <w:pPr>
              <w:jc w:val="center"/>
              <w:spacing w:line="360" w:lineRule="auto"/>
              <w:rPr>
                <w:rFonts w:hint="default" w:ascii="Times New Roman" w:hAnsi="Times New Roman" w:cs="Times New Roman"/>
              </w:rPr>
            </w:pPr>
            <w:r>
              <w:rPr>
                <w:rFonts w:hint="default" w:ascii="Times New Roman" w:hAnsi="Times New Roman" w:cs="Times New Roman"/>
              </w:rPr>
              <w:t xml:space="preserve">规格型号</w:t>
            </w:r>
            <w:r/>
          </w:p>
        </w:tc>
        <w:tc>
          <w:tcPr>
            <w:tcBorders>
              <w:top w:val="single" w:color="auto" w:sz="4" w:space="0"/>
              <w:left w:val="single" w:color="auto" w:sz="4" w:space="0"/>
              <w:bottom w:val="single" w:color="auto" w:sz="4" w:space="0"/>
              <w:right w:val="single" w:color="auto" w:sz="4" w:space="0"/>
            </w:tcBorders>
            <w:tcW w:w="615" w:type="dxa"/>
            <w:textDirection w:val="lrTb"/>
            <w:noWrap w:val="false"/>
          </w:tcPr>
          <w:p>
            <w:pPr>
              <w:jc w:val="center"/>
              <w:spacing w:line="360" w:lineRule="auto"/>
              <w:rPr>
                <w:rFonts w:hint="default" w:ascii="Times New Roman" w:hAnsi="Times New Roman" w:cs="Times New Roman"/>
              </w:rPr>
            </w:pPr>
            <w:r>
              <w:rPr>
                <w:rFonts w:hint="default" w:ascii="Times New Roman" w:hAnsi="Times New Roman" w:cs="Times New Roman"/>
              </w:rPr>
              <w:t xml:space="preserve">数量</w:t>
            </w:r>
            <w:r/>
          </w:p>
        </w:tc>
        <w:tc>
          <w:tcPr>
            <w:tcBorders>
              <w:top w:val="single" w:color="auto" w:sz="4" w:space="0"/>
              <w:left w:val="single" w:color="auto" w:sz="4" w:space="0"/>
              <w:bottom w:val="single" w:color="auto" w:sz="4" w:space="0"/>
              <w:right w:val="single" w:color="auto" w:sz="4" w:space="0"/>
            </w:tcBorders>
            <w:tcW w:w="855" w:type="dxa"/>
            <w:textDirection w:val="lrTb"/>
            <w:noWrap w:val="false"/>
          </w:tcPr>
          <w:p>
            <w:pPr>
              <w:jc w:val="center"/>
              <w:spacing w:line="360" w:lineRule="auto"/>
              <w:rPr>
                <w:rFonts w:hint="default" w:ascii="Times New Roman" w:hAnsi="Times New Roman" w:cs="Times New Roman"/>
              </w:rPr>
            </w:pPr>
            <w:r>
              <w:rPr>
                <w:rFonts w:hint="default" w:ascii="Times New Roman" w:hAnsi="Times New Roman" w:cs="Times New Roman"/>
              </w:rPr>
              <w:t xml:space="preserve">单位</w:t>
            </w:r>
            <w:r/>
          </w:p>
        </w:tc>
        <w:tc>
          <w:tcPr>
            <w:tcBorders>
              <w:top w:val="single" w:color="auto" w:sz="4" w:space="0"/>
              <w:left w:val="single" w:color="auto" w:sz="4" w:space="0"/>
              <w:bottom w:val="single" w:color="auto" w:sz="4" w:space="0"/>
              <w:right w:val="single" w:color="auto" w:sz="4" w:space="0"/>
            </w:tcBorders>
            <w:tcW w:w="825" w:type="dxa"/>
            <w:textDirection w:val="lrTb"/>
            <w:noWrap w:val="false"/>
          </w:tcPr>
          <w:p>
            <w:pPr>
              <w:jc w:val="center"/>
              <w:spacing w:line="360" w:lineRule="auto"/>
              <w:rPr>
                <w:rFonts w:hint="default" w:ascii="Times New Roman" w:hAnsi="Times New Roman" w:cs="Times New Roman"/>
              </w:rPr>
            </w:pPr>
            <w:r>
              <w:rPr>
                <w:rFonts w:hint="default" w:ascii="Times New Roman" w:hAnsi="Times New Roman" w:cs="Times New Roman"/>
              </w:rPr>
              <w:t xml:space="preserve">产地</w:t>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spacing w:line="360" w:lineRule="auto"/>
              <w:rPr>
                <w:rFonts w:hint="default" w:ascii="Times New Roman" w:hAnsi="Times New Roman" w:cs="Times New Roman"/>
              </w:rPr>
            </w:pPr>
            <w:r>
              <w:rPr>
                <w:rFonts w:hint="default" w:ascii="Times New Roman" w:hAnsi="Times New Roman" w:cs="Times New Roman"/>
              </w:rPr>
              <w:t xml:space="preserve">单价(元)</w:t>
            </w:r>
            <w:r/>
          </w:p>
        </w:tc>
        <w:tc>
          <w:tcPr>
            <w:tcBorders>
              <w:top w:val="single" w:color="auto" w:sz="4" w:space="0"/>
              <w:left w:val="single" w:color="auto" w:sz="4" w:space="0"/>
              <w:bottom w:val="single" w:color="auto" w:sz="4" w:space="0"/>
              <w:right w:val="single" w:color="auto" w:sz="4" w:space="0"/>
            </w:tcBorders>
            <w:tcW w:w="1200" w:type="dxa"/>
            <w:textDirection w:val="lrTb"/>
            <w:noWrap w:val="false"/>
          </w:tcPr>
          <w:p>
            <w:pPr>
              <w:jc w:val="center"/>
              <w:spacing w:line="360" w:lineRule="auto"/>
              <w:rPr>
                <w:rFonts w:hint="default" w:ascii="Times New Roman" w:hAnsi="Times New Roman" w:cs="Times New Roman"/>
              </w:rPr>
            </w:pPr>
            <w:r>
              <w:rPr>
                <w:rFonts w:hint="default" w:ascii="Times New Roman" w:hAnsi="Times New Roman" w:cs="Times New Roman"/>
              </w:rPr>
              <w:t xml:space="preserve">总价（元）</w:t>
            </w:r>
            <w:r/>
          </w:p>
        </w:tc>
        <w:tc>
          <w:tcPr>
            <w:tcBorders>
              <w:top w:val="single" w:color="auto" w:sz="4" w:space="0"/>
              <w:left w:val="single" w:color="auto" w:sz="4" w:space="0"/>
              <w:bottom w:val="single" w:color="auto" w:sz="4" w:space="0"/>
              <w:right w:val="single" w:color="auto" w:sz="4" w:space="0"/>
            </w:tcBorders>
            <w:tcW w:w="1320" w:type="dxa"/>
            <w:textDirection w:val="lrTb"/>
            <w:noWrap w:val="false"/>
          </w:tcPr>
          <w:p>
            <w:pPr>
              <w:jc w:val="center"/>
              <w:spacing w:line="360" w:lineRule="auto"/>
              <w:rPr>
                <w:rFonts w:hint="default" w:ascii="Times New Roman" w:hAnsi="Times New Roman" w:cs="Times New Roman"/>
              </w:rPr>
            </w:pPr>
            <w:r>
              <w:rPr>
                <w:rFonts w:hint="default" w:ascii="Times New Roman" w:hAnsi="Times New Roman" w:cs="Times New Roman"/>
              </w:rPr>
              <w:t xml:space="preserve">备注</w:t>
            </w:r>
            <w:r/>
          </w:p>
        </w:tc>
      </w:tr>
      <w:tr>
        <w:trPr/>
        <w:tc>
          <w:tcPr>
            <w:tcBorders>
              <w:top w:val="single" w:color="auto" w:sz="4" w:space="0"/>
              <w:left w:val="single" w:color="auto" w:sz="4" w:space="0"/>
              <w:bottom w:val="single" w:color="auto" w:sz="4" w:space="0"/>
              <w:right w:val="single" w:color="auto" w:sz="4" w:space="0"/>
            </w:tcBorders>
            <w:tcW w:w="617" w:type="dxa"/>
            <w:textDirection w:val="lrTb"/>
            <w:noWrap w:val="false"/>
          </w:tcPr>
          <w:p>
            <w:pPr>
              <w:jc w:val="center"/>
              <w:spacing w:line="360" w:lineRule="auto"/>
              <w:rPr>
                <w:rFonts w:hint="default" w:ascii="Times New Roman" w:hAnsi="Times New Roman" w:cs="Times New Roman"/>
              </w:rPr>
            </w:pPr>
            <w:r>
              <w:rPr>
                <w:rFonts w:hint="default" w:ascii="Times New Roman" w:hAnsi="Times New Roman" w:cs="Times New Roman"/>
              </w:rPr>
              <w:t xml:space="preserve">1</w:t>
            </w:r>
            <w:r/>
          </w:p>
        </w:tc>
        <w:tc>
          <w:tcPr>
            <w:tcBorders>
              <w:top w:val="single" w:color="auto" w:sz="4" w:space="0"/>
              <w:left w:val="single" w:color="auto" w:sz="4" w:space="0"/>
              <w:bottom w:val="single" w:color="auto" w:sz="4" w:space="0"/>
              <w:right w:val="single" w:color="auto" w:sz="4" w:space="0"/>
            </w:tcBorders>
            <w:tcW w:w="1363" w:type="dxa"/>
            <w:textDirection w:val="lrTb"/>
            <w:noWrap w:val="false"/>
          </w:tcPr>
          <w:p>
            <w:pPr>
              <w:jc w:val="left"/>
              <w:spacing w:line="360" w:lineRule="auto"/>
              <w:rPr>
                <w:rFonts w:hint="default" w:ascii="Times New Roman" w:hAnsi="Times New Roman" w:cs="Times New Roman"/>
              </w:rPr>
            </w:pPr>
            <w:r>
              <w:rPr>
                <w:rFonts w:hint="default"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947" w:type="dxa"/>
            <w:textDirection w:val="lrTb"/>
            <w:noWrap w:val="false"/>
          </w:tcPr>
          <w:p>
            <w:pPr>
              <w:jc w:val="left"/>
              <w:spacing w:line="360" w:lineRule="auto"/>
              <w:rPr>
                <w:rFonts w:hint="default" w:ascii="Times New Roman" w:hAnsi="Times New Roman" w:cs="Times New Roman"/>
              </w:rPr>
            </w:pPr>
            <w:r>
              <w:rPr>
                <w:rFonts w:hint="default"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1035" w:type="dxa"/>
            <w:textDirection w:val="lrTb"/>
            <w:noWrap w:val="false"/>
          </w:tcPr>
          <w:p>
            <w:pPr>
              <w:jc w:val="left"/>
              <w:spacing w:line="360" w:lineRule="auto"/>
              <w:rPr>
                <w:rFonts w:hint="default" w:ascii="Times New Roman" w:hAnsi="Times New Roman" w:cs="Times New Roman"/>
              </w:rPr>
            </w:pPr>
            <w:r>
              <w:rPr>
                <w:rFonts w:hint="default"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615" w:type="dxa"/>
            <w:textDirection w:val="lrTb"/>
            <w:noWrap w:val="false"/>
          </w:tcPr>
          <w:p>
            <w:pPr>
              <w:jc w:val="left"/>
              <w:spacing w:line="360" w:lineRule="auto"/>
              <w:rPr>
                <w:rFonts w:hint="default" w:ascii="Times New Roman" w:hAnsi="Times New Roman" w:cs="Times New Roman"/>
              </w:rPr>
            </w:pPr>
            <w:r>
              <w:rPr>
                <w:rFonts w:hint="default"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855" w:type="dxa"/>
            <w:textDirection w:val="lrTb"/>
            <w:noWrap w:val="false"/>
          </w:tcPr>
          <w:p>
            <w:pPr>
              <w:jc w:val="left"/>
              <w:spacing w:line="360" w:lineRule="auto"/>
              <w:rPr>
                <w:rFonts w:hint="default" w:ascii="Times New Roman" w:hAnsi="Times New Roman" w:cs="Times New Roman"/>
              </w:rPr>
            </w:pPr>
            <w:r>
              <w:rPr>
                <w:rFonts w:hint="default"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825" w:type="dxa"/>
            <w:textDirection w:val="lrTb"/>
            <w:noWrap w:val="false"/>
          </w:tcPr>
          <w:p>
            <w:pPr>
              <w:jc w:val="left"/>
              <w:spacing w:line="360" w:lineRule="auto"/>
              <w:rPr>
                <w:rFonts w:hint="default" w:ascii="Times New Roman" w:hAnsi="Times New Roman" w:cs="Times New Roman"/>
              </w:rPr>
            </w:pPr>
            <w:r>
              <w:rPr>
                <w:rFonts w:hint="default"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jc w:val="left"/>
              <w:spacing w:line="360" w:lineRule="auto"/>
              <w:rPr>
                <w:rFonts w:hint="default" w:ascii="Times New Roman" w:hAnsi="Times New Roman" w:cs="Times New Roman"/>
              </w:rPr>
            </w:pPr>
            <w:r>
              <w:rPr>
                <w:rFonts w:hint="default"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1200" w:type="dxa"/>
            <w:textDirection w:val="lrTb"/>
            <w:noWrap w:val="false"/>
          </w:tcPr>
          <w:p>
            <w:pPr>
              <w:jc w:val="left"/>
              <w:spacing w:line="360" w:lineRule="auto"/>
              <w:rPr>
                <w:rFonts w:hint="default" w:ascii="Times New Roman" w:hAnsi="Times New Roman" w:cs="Times New Roman"/>
              </w:rPr>
            </w:pPr>
            <w:r>
              <w:rPr>
                <w:rFonts w:hint="default"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1320" w:type="dxa"/>
            <w:textDirection w:val="lrTb"/>
            <w:noWrap w:val="false"/>
          </w:tcPr>
          <w:p>
            <w:pPr>
              <w:jc w:val="left"/>
              <w:spacing w:line="360" w:lineRule="auto"/>
              <w:rPr>
                <w:rFonts w:hint="default" w:ascii="Times New Roman" w:hAnsi="Times New Roman" w:cs="Times New Roman"/>
              </w:rPr>
            </w:pPr>
            <w:r>
              <w:rPr>
                <w:rFonts w:hint="default" w:ascii="Times New Roman" w:hAnsi="Times New Roman" w:cs="Times New Roman"/>
              </w:rPr>
            </w:r>
            <w:r/>
          </w:p>
        </w:tc>
      </w:tr>
      <w:tr>
        <w:trPr/>
        <w:tc>
          <w:tcPr>
            <w:tcBorders>
              <w:top w:val="single" w:color="auto" w:sz="4" w:space="0"/>
              <w:left w:val="single" w:color="auto" w:sz="4" w:space="0"/>
              <w:bottom w:val="single" w:color="auto" w:sz="4" w:space="0"/>
              <w:right w:val="single" w:color="auto" w:sz="4" w:space="0"/>
            </w:tcBorders>
            <w:tcW w:w="617" w:type="dxa"/>
            <w:textDirection w:val="lrTb"/>
            <w:noWrap w:val="false"/>
          </w:tcPr>
          <w:p>
            <w:pPr>
              <w:jc w:val="center"/>
              <w:spacing w:line="360" w:lineRule="auto"/>
              <w:rPr>
                <w:rFonts w:hint="default" w:ascii="Times New Roman" w:hAnsi="Times New Roman" w:cs="Times New Roman"/>
              </w:rPr>
            </w:pPr>
            <w:r>
              <w:rPr>
                <w:rFonts w:hint="default" w:ascii="Times New Roman" w:hAnsi="Times New Roman" w:cs="Times New Roman"/>
              </w:rPr>
              <w:t xml:space="preserve">2</w:t>
            </w:r>
            <w:r/>
          </w:p>
        </w:tc>
        <w:tc>
          <w:tcPr>
            <w:tcBorders>
              <w:top w:val="single" w:color="auto" w:sz="4" w:space="0"/>
              <w:left w:val="single" w:color="auto" w:sz="4" w:space="0"/>
              <w:bottom w:val="single" w:color="auto" w:sz="4" w:space="0"/>
              <w:right w:val="single" w:color="auto" w:sz="4" w:space="0"/>
            </w:tcBorders>
            <w:tcW w:w="1363" w:type="dxa"/>
            <w:textDirection w:val="lrTb"/>
            <w:noWrap w:val="false"/>
          </w:tcPr>
          <w:p>
            <w:pPr>
              <w:jc w:val="left"/>
              <w:spacing w:line="360" w:lineRule="auto"/>
              <w:rPr>
                <w:rFonts w:hint="default" w:ascii="Times New Roman" w:hAnsi="Times New Roman" w:cs="Times New Roman"/>
              </w:rPr>
            </w:pPr>
            <w:r>
              <w:rPr>
                <w:rFonts w:hint="default"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947" w:type="dxa"/>
            <w:textDirection w:val="lrTb"/>
            <w:noWrap w:val="false"/>
          </w:tcPr>
          <w:p>
            <w:pPr>
              <w:jc w:val="left"/>
              <w:spacing w:line="360" w:lineRule="auto"/>
              <w:rPr>
                <w:rFonts w:hint="default" w:ascii="Times New Roman" w:hAnsi="Times New Roman" w:cs="Times New Roman"/>
              </w:rPr>
            </w:pPr>
            <w:r>
              <w:rPr>
                <w:rFonts w:hint="default"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1035" w:type="dxa"/>
            <w:textDirection w:val="lrTb"/>
            <w:noWrap w:val="false"/>
          </w:tcPr>
          <w:p>
            <w:pPr>
              <w:jc w:val="left"/>
              <w:spacing w:line="360" w:lineRule="auto"/>
              <w:rPr>
                <w:rFonts w:hint="default" w:ascii="Times New Roman" w:hAnsi="Times New Roman" w:cs="Times New Roman"/>
              </w:rPr>
            </w:pPr>
            <w:r>
              <w:rPr>
                <w:rFonts w:hint="default"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615" w:type="dxa"/>
            <w:textDirection w:val="lrTb"/>
            <w:noWrap w:val="false"/>
          </w:tcPr>
          <w:p>
            <w:pPr>
              <w:jc w:val="left"/>
              <w:spacing w:line="360" w:lineRule="auto"/>
              <w:rPr>
                <w:rFonts w:hint="default" w:ascii="Times New Roman" w:hAnsi="Times New Roman" w:cs="Times New Roman"/>
              </w:rPr>
            </w:pPr>
            <w:r>
              <w:rPr>
                <w:rFonts w:hint="default"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855" w:type="dxa"/>
            <w:textDirection w:val="lrTb"/>
            <w:noWrap w:val="false"/>
          </w:tcPr>
          <w:p>
            <w:pPr>
              <w:jc w:val="left"/>
              <w:spacing w:line="360" w:lineRule="auto"/>
              <w:rPr>
                <w:rFonts w:hint="default" w:ascii="Times New Roman" w:hAnsi="Times New Roman" w:cs="Times New Roman"/>
              </w:rPr>
            </w:pPr>
            <w:r>
              <w:rPr>
                <w:rFonts w:hint="default"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825" w:type="dxa"/>
            <w:textDirection w:val="lrTb"/>
            <w:noWrap w:val="false"/>
          </w:tcPr>
          <w:p>
            <w:pPr>
              <w:jc w:val="left"/>
              <w:spacing w:line="360" w:lineRule="auto"/>
              <w:rPr>
                <w:rFonts w:hint="default" w:ascii="Times New Roman" w:hAnsi="Times New Roman" w:cs="Times New Roman"/>
              </w:rPr>
            </w:pPr>
            <w:r>
              <w:rPr>
                <w:rFonts w:hint="default"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jc w:val="left"/>
              <w:spacing w:line="360" w:lineRule="auto"/>
              <w:rPr>
                <w:rFonts w:hint="default" w:ascii="Times New Roman" w:hAnsi="Times New Roman" w:cs="Times New Roman"/>
              </w:rPr>
            </w:pPr>
            <w:r>
              <w:rPr>
                <w:rFonts w:hint="default"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1200" w:type="dxa"/>
            <w:textDirection w:val="lrTb"/>
            <w:noWrap w:val="false"/>
          </w:tcPr>
          <w:p>
            <w:pPr>
              <w:jc w:val="left"/>
              <w:spacing w:line="360" w:lineRule="auto"/>
              <w:rPr>
                <w:rFonts w:hint="default" w:ascii="Times New Roman" w:hAnsi="Times New Roman" w:cs="Times New Roman"/>
              </w:rPr>
            </w:pPr>
            <w:r>
              <w:rPr>
                <w:rFonts w:hint="default"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1320" w:type="dxa"/>
            <w:textDirection w:val="lrTb"/>
            <w:noWrap w:val="false"/>
          </w:tcPr>
          <w:p>
            <w:pPr>
              <w:jc w:val="left"/>
              <w:spacing w:line="360" w:lineRule="auto"/>
              <w:rPr>
                <w:rFonts w:hint="default" w:ascii="Times New Roman" w:hAnsi="Times New Roman" w:cs="Times New Roman"/>
              </w:rPr>
            </w:pPr>
            <w:r>
              <w:rPr>
                <w:rFonts w:hint="default" w:ascii="Times New Roman" w:hAnsi="Times New Roman" w:cs="Times New Roman"/>
              </w:rPr>
            </w:r>
            <w:r/>
          </w:p>
        </w:tc>
      </w:tr>
      <w:tr>
        <w:trPr/>
        <w:tc>
          <w:tcPr>
            <w:tcBorders>
              <w:top w:val="single" w:color="auto" w:sz="4" w:space="0"/>
              <w:left w:val="single" w:color="auto" w:sz="4" w:space="0"/>
              <w:bottom w:val="single" w:color="auto" w:sz="4" w:space="0"/>
              <w:right w:val="single" w:color="auto" w:sz="4" w:space="0"/>
            </w:tcBorders>
            <w:tcW w:w="617" w:type="dxa"/>
            <w:textDirection w:val="lrTb"/>
            <w:noWrap w:val="false"/>
          </w:tcPr>
          <w:p>
            <w:pPr>
              <w:jc w:val="center"/>
              <w:spacing w:line="360" w:lineRule="auto"/>
              <w:rPr>
                <w:rFonts w:hint="default" w:ascii="Times New Roman" w:hAnsi="Times New Roman" w:cs="Times New Roman"/>
              </w:rPr>
            </w:pPr>
            <w:r>
              <w:rPr>
                <w:rFonts w:hint="default" w:ascii="Times New Roman" w:hAnsi="Times New Roman" w:cs="Times New Roman"/>
              </w:rPr>
              <w:t xml:space="preserve">3</w:t>
            </w:r>
            <w:r/>
          </w:p>
        </w:tc>
        <w:tc>
          <w:tcPr>
            <w:tcBorders>
              <w:top w:val="single" w:color="auto" w:sz="4" w:space="0"/>
              <w:left w:val="single" w:color="auto" w:sz="4" w:space="0"/>
              <w:bottom w:val="single" w:color="auto" w:sz="4" w:space="0"/>
              <w:right w:val="single" w:color="auto" w:sz="4" w:space="0"/>
            </w:tcBorders>
            <w:tcW w:w="1363" w:type="dxa"/>
            <w:textDirection w:val="lrTb"/>
            <w:noWrap w:val="false"/>
          </w:tcPr>
          <w:p>
            <w:pPr>
              <w:jc w:val="left"/>
              <w:spacing w:line="360" w:lineRule="auto"/>
              <w:rPr>
                <w:rFonts w:hint="default" w:ascii="Times New Roman" w:hAnsi="Times New Roman" w:cs="Times New Roman"/>
              </w:rPr>
            </w:pPr>
            <w:r>
              <w:rPr>
                <w:rFonts w:hint="default"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947" w:type="dxa"/>
            <w:textDirection w:val="lrTb"/>
            <w:noWrap w:val="false"/>
          </w:tcPr>
          <w:p>
            <w:pPr>
              <w:jc w:val="left"/>
              <w:spacing w:line="360" w:lineRule="auto"/>
              <w:rPr>
                <w:rFonts w:hint="default" w:ascii="Times New Roman" w:hAnsi="Times New Roman" w:cs="Times New Roman"/>
              </w:rPr>
            </w:pPr>
            <w:r>
              <w:rPr>
                <w:rFonts w:hint="default"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1035" w:type="dxa"/>
            <w:textDirection w:val="lrTb"/>
            <w:noWrap w:val="false"/>
          </w:tcPr>
          <w:p>
            <w:pPr>
              <w:jc w:val="left"/>
              <w:spacing w:line="360" w:lineRule="auto"/>
              <w:rPr>
                <w:rFonts w:hint="default" w:ascii="Times New Roman" w:hAnsi="Times New Roman" w:cs="Times New Roman"/>
              </w:rPr>
            </w:pPr>
            <w:r>
              <w:rPr>
                <w:rFonts w:hint="default"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615" w:type="dxa"/>
            <w:textDirection w:val="lrTb"/>
            <w:noWrap w:val="false"/>
          </w:tcPr>
          <w:p>
            <w:pPr>
              <w:jc w:val="left"/>
              <w:spacing w:line="360" w:lineRule="auto"/>
              <w:rPr>
                <w:rFonts w:hint="default" w:ascii="Times New Roman" w:hAnsi="Times New Roman" w:cs="Times New Roman"/>
              </w:rPr>
            </w:pPr>
            <w:r>
              <w:rPr>
                <w:rFonts w:hint="default"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855" w:type="dxa"/>
            <w:textDirection w:val="lrTb"/>
            <w:noWrap w:val="false"/>
          </w:tcPr>
          <w:p>
            <w:pPr>
              <w:jc w:val="left"/>
              <w:spacing w:line="360" w:lineRule="auto"/>
              <w:rPr>
                <w:rFonts w:hint="default" w:ascii="Times New Roman" w:hAnsi="Times New Roman" w:cs="Times New Roman"/>
              </w:rPr>
            </w:pPr>
            <w:r>
              <w:rPr>
                <w:rFonts w:hint="default"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825" w:type="dxa"/>
            <w:textDirection w:val="lrTb"/>
            <w:noWrap w:val="false"/>
          </w:tcPr>
          <w:p>
            <w:pPr>
              <w:jc w:val="left"/>
              <w:spacing w:line="360" w:lineRule="auto"/>
              <w:rPr>
                <w:rFonts w:hint="default" w:ascii="Times New Roman" w:hAnsi="Times New Roman" w:cs="Times New Roman"/>
              </w:rPr>
            </w:pPr>
            <w:r>
              <w:rPr>
                <w:rFonts w:hint="default"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jc w:val="left"/>
              <w:spacing w:line="360" w:lineRule="auto"/>
              <w:rPr>
                <w:rFonts w:hint="default" w:ascii="Times New Roman" w:hAnsi="Times New Roman" w:cs="Times New Roman"/>
              </w:rPr>
            </w:pPr>
            <w:r>
              <w:rPr>
                <w:rFonts w:hint="default"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1200" w:type="dxa"/>
            <w:textDirection w:val="lrTb"/>
            <w:noWrap w:val="false"/>
          </w:tcPr>
          <w:p>
            <w:pPr>
              <w:jc w:val="left"/>
              <w:spacing w:line="360" w:lineRule="auto"/>
              <w:rPr>
                <w:rFonts w:hint="default" w:ascii="Times New Roman" w:hAnsi="Times New Roman" w:cs="Times New Roman"/>
              </w:rPr>
            </w:pPr>
            <w:r>
              <w:rPr>
                <w:rFonts w:hint="default"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1320" w:type="dxa"/>
            <w:textDirection w:val="lrTb"/>
            <w:noWrap w:val="false"/>
          </w:tcPr>
          <w:p>
            <w:pPr>
              <w:jc w:val="left"/>
              <w:spacing w:line="360" w:lineRule="auto"/>
              <w:rPr>
                <w:rFonts w:hint="default" w:ascii="Times New Roman" w:hAnsi="Times New Roman" w:cs="Times New Roman"/>
              </w:rPr>
            </w:pPr>
            <w:r>
              <w:rPr>
                <w:rFonts w:hint="default" w:ascii="Times New Roman" w:hAnsi="Times New Roman" w:cs="Times New Roman"/>
              </w:rPr>
            </w:r>
            <w:r/>
          </w:p>
        </w:tc>
      </w:tr>
      <w:tr>
        <w:trPr/>
        <w:tc>
          <w:tcPr>
            <w:tcBorders>
              <w:top w:val="single" w:color="auto" w:sz="4" w:space="0"/>
              <w:left w:val="single" w:color="auto" w:sz="4" w:space="0"/>
              <w:bottom w:val="single" w:color="auto" w:sz="4" w:space="0"/>
              <w:right w:val="single" w:color="auto" w:sz="4" w:space="0"/>
            </w:tcBorders>
            <w:tcW w:w="617" w:type="dxa"/>
            <w:textDirection w:val="lrTb"/>
            <w:noWrap w:val="false"/>
          </w:tcPr>
          <w:p>
            <w:pPr>
              <w:jc w:val="center"/>
              <w:spacing w:line="360" w:lineRule="auto"/>
              <w:rPr>
                <w:rFonts w:hint="default" w:ascii="Times New Roman" w:hAnsi="Times New Roman" w:cs="Times New Roman"/>
              </w:rPr>
            </w:pPr>
            <w:r>
              <w:rPr>
                <w:rFonts w:hint="default" w:ascii="Times New Roman" w:hAnsi="Times New Roman" w:cs="Times New Roman"/>
              </w:rPr>
              <w:t xml:space="preserve">4</w:t>
            </w:r>
            <w:r/>
          </w:p>
        </w:tc>
        <w:tc>
          <w:tcPr>
            <w:tcBorders>
              <w:top w:val="single" w:color="auto" w:sz="4" w:space="0"/>
              <w:left w:val="single" w:color="auto" w:sz="4" w:space="0"/>
              <w:bottom w:val="single" w:color="auto" w:sz="4" w:space="0"/>
              <w:right w:val="single" w:color="auto" w:sz="4" w:space="0"/>
            </w:tcBorders>
            <w:tcW w:w="1363" w:type="dxa"/>
            <w:textDirection w:val="lrTb"/>
            <w:noWrap w:val="false"/>
          </w:tcPr>
          <w:p>
            <w:pPr>
              <w:jc w:val="left"/>
              <w:spacing w:line="360" w:lineRule="auto"/>
              <w:rPr>
                <w:rFonts w:hint="default" w:ascii="Times New Roman" w:hAnsi="Times New Roman" w:cs="Times New Roman"/>
              </w:rPr>
            </w:pPr>
            <w:r>
              <w:rPr>
                <w:rFonts w:hint="default"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947" w:type="dxa"/>
            <w:textDirection w:val="lrTb"/>
            <w:noWrap w:val="false"/>
          </w:tcPr>
          <w:p>
            <w:pPr>
              <w:jc w:val="left"/>
              <w:spacing w:line="360" w:lineRule="auto"/>
              <w:rPr>
                <w:rFonts w:hint="default" w:ascii="Times New Roman" w:hAnsi="Times New Roman" w:cs="Times New Roman"/>
              </w:rPr>
            </w:pPr>
            <w:r>
              <w:rPr>
                <w:rFonts w:hint="default"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1035" w:type="dxa"/>
            <w:textDirection w:val="lrTb"/>
            <w:noWrap w:val="false"/>
          </w:tcPr>
          <w:p>
            <w:pPr>
              <w:jc w:val="left"/>
              <w:spacing w:line="360" w:lineRule="auto"/>
              <w:rPr>
                <w:rFonts w:hint="default" w:ascii="Times New Roman" w:hAnsi="Times New Roman" w:cs="Times New Roman"/>
              </w:rPr>
            </w:pPr>
            <w:r>
              <w:rPr>
                <w:rFonts w:hint="default"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615" w:type="dxa"/>
            <w:textDirection w:val="lrTb"/>
            <w:noWrap w:val="false"/>
          </w:tcPr>
          <w:p>
            <w:pPr>
              <w:jc w:val="left"/>
              <w:spacing w:line="360" w:lineRule="auto"/>
              <w:rPr>
                <w:rFonts w:hint="default" w:ascii="Times New Roman" w:hAnsi="Times New Roman" w:cs="Times New Roman"/>
              </w:rPr>
            </w:pPr>
            <w:r>
              <w:rPr>
                <w:rFonts w:hint="default"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855" w:type="dxa"/>
            <w:textDirection w:val="lrTb"/>
            <w:noWrap w:val="false"/>
          </w:tcPr>
          <w:p>
            <w:pPr>
              <w:jc w:val="left"/>
              <w:spacing w:line="360" w:lineRule="auto"/>
              <w:rPr>
                <w:rFonts w:hint="default" w:ascii="Times New Roman" w:hAnsi="Times New Roman" w:cs="Times New Roman"/>
              </w:rPr>
            </w:pPr>
            <w:r>
              <w:rPr>
                <w:rFonts w:hint="default"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825" w:type="dxa"/>
            <w:textDirection w:val="lrTb"/>
            <w:noWrap w:val="false"/>
          </w:tcPr>
          <w:p>
            <w:pPr>
              <w:jc w:val="left"/>
              <w:spacing w:line="360" w:lineRule="auto"/>
              <w:rPr>
                <w:rFonts w:hint="default" w:ascii="Times New Roman" w:hAnsi="Times New Roman" w:cs="Times New Roman"/>
              </w:rPr>
            </w:pPr>
            <w:r>
              <w:rPr>
                <w:rFonts w:hint="default"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jc w:val="left"/>
              <w:spacing w:line="360" w:lineRule="auto"/>
              <w:rPr>
                <w:rFonts w:hint="default" w:ascii="Times New Roman" w:hAnsi="Times New Roman" w:cs="Times New Roman"/>
              </w:rPr>
            </w:pPr>
            <w:r>
              <w:rPr>
                <w:rFonts w:hint="default"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1200" w:type="dxa"/>
            <w:textDirection w:val="lrTb"/>
            <w:noWrap w:val="false"/>
          </w:tcPr>
          <w:p>
            <w:pPr>
              <w:jc w:val="left"/>
              <w:spacing w:line="360" w:lineRule="auto"/>
              <w:rPr>
                <w:rFonts w:hint="default" w:ascii="Times New Roman" w:hAnsi="Times New Roman" w:cs="Times New Roman"/>
              </w:rPr>
            </w:pPr>
            <w:r>
              <w:rPr>
                <w:rFonts w:hint="default"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1320" w:type="dxa"/>
            <w:textDirection w:val="lrTb"/>
            <w:noWrap w:val="false"/>
          </w:tcPr>
          <w:p>
            <w:pPr>
              <w:jc w:val="left"/>
              <w:spacing w:line="360" w:lineRule="auto"/>
              <w:rPr>
                <w:rFonts w:hint="default" w:ascii="Times New Roman" w:hAnsi="Times New Roman" w:cs="Times New Roman"/>
              </w:rPr>
            </w:pPr>
            <w:r>
              <w:rPr>
                <w:rFonts w:hint="default" w:ascii="Times New Roman" w:hAnsi="Times New Roman" w:cs="Times New Roman"/>
              </w:rPr>
            </w:r>
            <w:r/>
          </w:p>
        </w:tc>
      </w:tr>
      <w:tr>
        <w:trPr/>
        <w:tc>
          <w:tcPr>
            <w:tcBorders>
              <w:top w:val="single" w:color="auto" w:sz="4" w:space="0"/>
              <w:left w:val="single" w:color="auto" w:sz="4" w:space="0"/>
              <w:bottom w:val="single" w:color="auto" w:sz="4" w:space="0"/>
              <w:right w:val="single" w:color="auto" w:sz="4" w:space="0"/>
            </w:tcBorders>
            <w:tcW w:w="617" w:type="dxa"/>
            <w:textDirection w:val="lrTb"/>
            <w:noWrap w:val="false"/>
          </w:tcPr>
          <w:p>
            <w:pPr>
              <w:jc w:val="center"/>
              <w:spacing w:line="360" w:lineRule="auto"/>
              <w:rPr>
                <w:rFonts w:hint="default" w:ascii="Times New Roman" w:hAnsi="Times New Roman" w:cs="Times New Roman"/>
              </w:rPr>
            </w:pPr>
            <w:r>
              <w:rPr>
                <w:rFonts w:hint="default" w:ascii="Times New Roman" w:hAnsi="Times New Roman" w:cs="Times New Roman"/>
              </w:rPr>
              <w:t xml:space="preserve">…</w:t>
            </w:r>
            <w:r/>
          </w:p>
        </w:tc>
        <w:tc>
          <w:tcPr>
            <w:tcBorders>
              <w:top w:val="single" w:color="auto" w:sz="4" w:space="0"/>
              <w:left w:val="single" w:color="auto" w:sz="4" w:space="0"/>
              <w:bottom w:val="single" w:color="auto" w:sz="4" w:space="0"/>
              <w:right w:val="single" w:color="auto" w:sz="4" w:space="0"/>
            </w:tcBorders>
            <w:tcW w:w="1363" w:type="dxa"/>
            <w:textDirection w:val="lrTb"/>
            <w:noWrap w:val="false"/>
          </w:tcPr>
          <w:p>
            <w:pPr>
              <w:jc w:val="left"/>
              <w:spacing w:line="360" w:lineRule="auto"/>
              <w:rPr>
                <w:rFonts w:hint="default" w:ascii="Times New Roman" w:hAnsi="Times New Roman" w:cs="Times New Roman"/>
              </w:rPr>
            </w:pPr>
            <w:r>
              <w:rPr>
                <w:rFonts w:hint="default"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947" w:type="dxa"/>
            <w:textDirection w:val="lrTb"/>
            <w:noWrap w:val="false"/>
          </w:tcPr>
          <w:p>
            <w:pPr>
              <w:jc w:val="left"/>
              <w:spacing w:line="360" w:lineRule="auto"/>
              <w:rPr>
                <w:rFonts w:hint="default" w:ascii="Times New Roman" w:hAnsi="Times New Roman" w:cs="Times New Roman"/>
              </w:rPr>
            </w:pPr>
            <w:r>
              <w:rPr>
                <w:rFonts w:hint="default"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1035" w:type="dxa"/>
            <w:textDirection w:val="lrTb"/>
            <w:noWrap w:val="false"/>
          </w:tcPr>
          <w:p>
            <w:pPr>
              <w:jc w:val="left"/>
              <w:spacing w:line="360" w:lineRule="auto"/>
              <w:rPr>
                <w:rFonts w:hint="default" w:ascii="Times New Roman" w:hAnsi="Times New Roman" w:cs="Times New Roman"/>
              </w:rPr>
            </w:pPr>
            <w:r>
              <w:rPr>
                <w:rFonts w:hint="default"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615" w:type="dxa"/>
            <w:textDirection w:val="lrTb"/>
            <w:noWrap w:val="false"/>
          </w:tcPr>
          <w:p>
            <w:pPr>
              <w:jc w:val="left"/>
              <w:spacing w:line="360" w:lineRule="auto"/>
              <w:rPr>
                <w:rFonts w:hint="default" w:ascii="Times New Roman" w:hAnsi="Times New Roman" w:cs="Times New Roman"/>
              </w:rPr>
            </w:pPr>
            <w:r>
              <w:rPr>
                <w:rFonts w:hint="default"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855" w:type="dxa"/>
            <w:textDirection w:val="lrTb"/>
            <w:noWrap w:val="false"/>
          </w:tcPr>
          <w:p>
            <w:pPr>
              <w:jc w:val="left"/>
              <w:spacing w:line="360" w:lineRule="auto"/>
              <w:rPr>
                <w:rFonts w:hint="default" w:ascii="Times New Roman" w:hAnsi="Times New Roman" w:cs="Times New Roman"/>
              </w:rPr>
            </w:pPr>
            <w:r>
              <w:rPr>
                <w:rFonts w:hint="default"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825" w:type="dxa"/>
            <w:textDirection w:val="lrTb"/>
            <w:noWrap w:val="false"/>
          </w:tcPr>
          <w:p>
            <w:pPr>
              <w:jc w:val="left"/>
              <w:spacing w:line="360" w:lineRule="auto"/>
              <w:rPr>
                <w:rFonts w:hint="default" w:ascii="Times New Roman" w:hAnsi="Times New Roman" w:cs="Times New Roman"/>
              </w:rPr>
            </w:pPr>
            <w:r>
              <w:rPr>
                <w:rFonts w:hint="default"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jc w:val="left"/>
              <w:spacing w:line="360" w:lineRule="auto"/>
              <w:rPr>
                <w:rFonts w:hint="default" w:ascii="Times New Roman" w:hAnsi="Times New Roman" w:cs="Times New Roman"/>
              </w:rPr>
            </w:pPr>
            <w:r>
              <w:rPr>
                <w:rFonts w:hint="default"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1200" w:type="dxa"/>
            <w:textDirection w:val="lrTb"/>
            <w:noWrap w:val="false"/>
          </w:tcPr>
          <w:p>
            <w:pPr>
              <w:jc w:val="left"/>
              <w:spacing w:line="360" w:lineRule="auto"/>
              <w:rPr>
                <w:rFonts w:hint="default" w:ascii="Times New Roman" w:hAnsi="Times New Roman" w:cs="Times New Roman"/>
              </w:rPr>
            </w:pPr>
            <w:r>
              <w:rPr>
                <w:rFonts w:hint="default"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1320" w:type="dxa"/>
            <w:textDirection w:val="lrTb"/>
            <w:noWrap w:val="false"/>
          </w:tcPr>
          <w:p>
            <w:pPr>
              <w:jc w:val="left"/>
              <w:spacing w:line="360" w:lineRule="auto"/>
              <w:rPr>
                <w:rFonts w:hint="default" w:ascii="Times New Roman" w:hAnsi="Times New Roman" w:cs="Times New Roman"/>
              </w:rPr>
            </w:pPr>
            <w:r>
              <w:rPr>
                <w:rFonts w:hint="default" w:ascii="Times New Roman" w:hAnsi="Times New Roman" w:cs="Times New Roman"/>
              </w:rPr>
            </w:r>
            <w:r/>
          </w:p>
        </w:tc>
      </w:tr>
    </w:tbl>
    <w:p>
      <w:pPr>
        <w:pStyle w:val="1038"/>
        <w:numPr>
          <w:ilvl w:val="0"/>
          <w:numId w:val="9"/>
        </w:numPr>
        <w:spacing w:before="120" w:after="120" w:line="440" w:lineRule="exact"/>
        <w:rPr>
          <w:rFonts w:hint="default" w:ascii="Times New Roman" w:hAnsi="Times New Roman" w:cs="Times New Roman"/>
          <w:b/>
          <w:bCs/>
        </w:rPr>
      </w:pPr>
      <w:r>
        <w:rPr>
          <w:rFonts w:hint="default" w:ascii="Times New Roman" w:hAnsi="Times New Roman" w:cs="Times New Roman"/>
          <w:b/>
          <w:bCs/>
        </w:rPr>
        <w:t xml:space="preserve">合同金额</w:t>
      </w:r>
      <w:r/>
    </w:p>
    <w:p>
      <w:pPr>
        <w:ind w:firstLine="420"/>
        <w:jc w:val="left"/>
        <w:spacing w:line="360" w:lineRule="auto"/>
        <w:rPr>
          <w:rFonts w:hint="default" w:ascii="Times New Roman" w:hAnsi="Times New Roman" w:cs="Times New Roman"/>
          <w:szCs w:val="20"/>
        </w:rPr>
      </w:pPr>
      <w:r>
        <w:rPr>
          <w:rFonts w:hint="default" w:ascii="Times New Roman" w:hAnsi="Times New Roman" w:cs="Times New Roman"/>
        </w:rPr>
        <w:t xml:space="preserve">本合同金额为人民币元，大写：元整。合同金额包括乙方所投产品及其备品、备件和专用工具费用、税费及包装、运至最终目的地的运输、保险、现场吊装、搬运费、安装调试、检测验收、采购单位指定部门的抽样产品的检测检验费用、技术支持与培训、售后服务与维保及相关劳务支出等工作所发生的全部费用以及投标人企业利润、税金和政策性文件规定及合同包含的所有风险、责任等各项应有费用。</w:t>
      </w:r>
      <w:r/>
    </w:p>
    <w:p>
      <w:pPr>
        <w:pStyle w:val="1038"/>
        <w:numPr>
          <w:ilvl w:val="0"/>
          <w:numId w:val="9"/>
        </w:numPr>
        <w:spacing w:before="120" w:after="120" w:line="440" w:lineRule="exact"/>
        <w:rPr>
          <w:rFonts w:hint="default" w:ascii="Times New Roman" w:hAnsi="Times New Roman" w:cs="Times New Roman"/>
          <w:b/>
          <w:bCs/>
        </w:rPr>
      </w:pPr>
      <w:r>
        <w:rPr>
          <w:rFonts w:hint="default" w:ascii="Times New Roman" w:hAnsi="Times New Roman" w:cs="Times New Roman"/>
          <w:b/>
          <w:bCs/>
        </w:rPr>
        <w:t xml:space="preserve">付款</w:t>
      </w:r>
      <w:r/>
    </w:p>
    <w:p>
      <w:pPr>
        <w:jc w:val="left"/>
        <w:spacing w:line="360" w:lineRule="auto"/>
        <w:rPr>
          <w:rFonts w:hint="default" w:ascii="Times New Roman" w:hAnsi="Times New Roman" w:cs="Times New Roman"/>
          <w:szCs w:val="20"/>
        </w:rPr>
      </w:pPr>
      <w:r>
        <w:rPr>
          <w:rFonts w:hint="default" w:ascii="Times New Roman" w:hAnsi="Times New Roman" w:cs="Times New Roman"/>
        </w:rPr>
        <w:t xml:space="preserve">1、甲方根据乙方在本合同中所提供银行开户信息转账支付。</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乙方开户名称：               </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开户银行：                               </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银行账号：            </w:t>
      </w:r>
      <w:r/>
    </w:p>
    <w:p>
      <w:pPr>
        <w:ind w:firstLine="420"/>
        <w:jc w:val="left"/>
        <w:spacing w:line="360" w:lineRule="auto"/>
        <w:rPr>
          <w:rFonts w:hint="default" w:ascii="Times New Roman" w:hAnsi="Times New Roman" w:cs="Times New Roman"/>
        </w:rPr>
      </w:pPr>
      <w:r>
        <w:rPr>
          <w:rFonts w:hint="default" w:ascii="Times New Roman" w:hAnsi="Times New Roman" w:cs="Times New Roman"/>
        </w:rPr>
        <w:t xml:space="preserve">经双方协商一致同意，在本合同签订后，若因乙方办理“园采贷”信用融资的需要，本合同第条第1款中约定的收款账号可作变更，变更后的账号为甲方付款时中征应收账款融资服务平台中资金提供方指定的回款账户，甲方支付至该账号的款项，亦视为已向乙方履行完毕支付义务。甲方同时应与办理“园采贷”的供应商签订变更账号的补充协议或由供应商提供账号的变更申请。乙方银行账户如需变更，应至少于付款期限届满前10个工作日书面通知甲方，否则产生的一切责任、因变更引起的额外费用由乙方承担。</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2、付款条件和付款时间:</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2.1预付款：</w:t>
      </w:r>
      <w:r/>
    </w:p>
    <w:p>
      <w:pPr>
        <w:ind w:firstLine="420"/>
        <w:jc w:val="left"/>
        <w:spacing w:line="360" w:lineRule="auto"/>
        <w:rPr>
          <w:rFonts w:hint="default" w:ascii="Times New Roman" w:hAnsi="Times New Roman" w:cs="Times New Roman"/>
        </w:rPr>
      </w:pPr>
      <w:r>
        <w:rPr>
          <w:rFonts w:hint="default" w:ascii="Times New Roman" w:hAnsi="Times New Roman" w:cs="Times New Roman"/>
        </w:rPr>
        <w:t xml:space="preserve">□乙方明确表示无需预付款；</w:t>
      </w:r>
      <w:r/>
    </w:p>
    <w:p>
      <w:pPr>
        <w:ind w:firstLine="420"/>
        <w:jc w:val="left"/>
        <w:spacing w:line="360" w:lineRule="auto"/>
        <w:rPr>
          <w:rFonts w:hint="default" w:ascii="Times New Roman" w:hAnsi="Times New Roman" w:cs="Times New Roman"/>
        </w:rPr>
      </w:pPr>
      <w:r>
        <w:rPr>
          <w:rFonts w:hint="default" w:ascii="Times New Roman" w:hAnsi="Times New Roman" w:cs="Times New Roman"/>
        </w:rPr>
        <w:t xml:space="preserve">□有预付款：待合同签订生效后，甲方支付合同金额的30%的预付款，预付款将从第</w:t>
      </w:r>
      <w:r>
        <w:rPr>
          <w:rFonts w:hint="default" w:ascii="Times New Roman" w:hAnsi="Times New Roman" w:cs="Times New Roman"/>
          <w:u w:val="single"/>
        </w:rPr>
        <w:t xml:space="preserve">1</w:t>
      </w:r>
      <w:r>
        <w:rPr>
          <w:rFonts w:hint="default" w:ascii="Times New Roman" w:hAnsi="Times New Roman" w:cs="Times New Roman"/>
        </w:rPr>
        <w:t xml:space="preserve">笔（期）待支付的进度款款项中扣除。</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2.2</w:t>
      </w:r>
      <w:r>
        <w:rPr>
          <w:rFonts w:hint="default" w:ascii="Times New Roman" w:hAnsi="Times New Roman" w:cs="Times New Roman"/>
          <w:b/>
        </w:rPr>
        <w:t xml:space="preserve">进度款：</w:t>
      </w:r>
      <w:r>
        <w:rPr>
          <w:rFonts w:hint="default" w:ascii="Times New Roman" w:hAnsi="Times New Roman" w:cs="Times New Roman"/>
        </w:rPr>
        <w:t xml:space="preserve">所提供的货物全部安装调试完毕，且经采购人验收合格后通知供货方开具发票，在收到发票后三十个工作日内支付至合同金额的95％；</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2.3</w:t>
      </w:r>
      <w:r>
        <w:rPr>
          <w:rFonts w:hint="default" w:ascii="Times New Roman" w:hAnsi="Times New Roman" w:cs="Times New Roman"/>
          <w:b/>
        </w:rPr>
        <w:t xml:space="preserve">结清款：</w:t>
      </w:r>
      <w:r>
        <w:rPr>
          <w:rFonts w:hint="default" w:ascii="Times New Roman" w:hAnsi="Times New Roman" w:cs="Times New Roman"/>
        </w:rPr>
        <w:t xml:space="preserve">验收合格一年后七个工作日内一次性付清剩余5%（无息）。</w:t>
      </w:r>
      <w:r/>
    </w:p>
    <w:p>
      <w:pPr>
        <w:pStyle w:val="1038"/>
        <w:numPr>
          <w:ilvl w:val="0"/>
          <w:numId w:val="9"/>
        </w:numPr>
        <w:spacing w:before="120" w:after="120" w:line="440" w:lineRule="exact"/>
        <w:rPr>
          <w:rFonts w:hint="default" w:ascii="Times New Roman" w:hAnsi="Times New Roman" w:cs="Times New Roman"/>
          <w:b/>
          <w:bCs/>
        </w:rPr>
      </w:pPr>
      <w:r>
        <w:rPr>
          <w:rFonts w:hint="default" w:ascii="Times New Roman" w:hAnsi="Times New Roman" w:cs="Times New Roman"/>
          <w:b/>
          <w:bCs/>
        </w:rPr>
        <w:t xml:space="preserve">交货时间、地点</w:t>
      </w:r>
      <w:r/>
    </w:p>
    <w:p>
      <w:pPr>
        <w:jc w:val="left"/>
        <w:spacing w:line="360" w:lineRule="auto"/>
        <w:rPr>
          <w:rFonts w:hint="default" w:ascii="Times New Roman" w:hAnsi="Times New Roman" w:cs="Times New Roman"/>
          <w:color w:val="000000"/>
          <w:sz w:val="20"/>
          <w:szCs w:val="20"/>
        </w:rPr>
      </w:pPr>
      <w:r>
        <w:rPr>
          <w:rFonts w:hint="default" w:ascii="Times New Roman" w:hAnsi="Times New Roman" w:cs="Times New Roman"/>
        </w:rPr>
        <w:t xml:space="preserve">1、交付时间：合同签订</w:t>
      </w:r>
      <w:r>
        <w:rPr>
          <w:rFonts w:hint="default" w:ascii="Times New Roman" w:hAnsi="Times New Roman" w:cs="Times New Roman" w:eastAsiaTheme="minorEastAsia"/>
          <w:szCs w:val="21"/>
        </w:rPr>
        <w:t xml:space="preserve">之日起</w:t>
      </w:r>
      <w:r>
        <w:rPr>
          <w:rFonts w:hint="default" w:ascii="Times New Roman" w:hAnsi="Times New Roman" w:cs="Times New Roman" w:eastAsiaTheme="minorEastAsia"/>
          <w:szCs w:val="21"/>
          <w:u w:val="single"/>
        </w:rPr>
        <w:t xml:space="preserve">  35  </w:t>
      </w:r>
      <w:r>
        <w:rPr>
          <w:rFonts w:hint="default" w:ascii="Times New Roman" w:hAnsi="Times New Roman" w:cs="Times New Roman" w:eastAsiaTheme="minorEastAsia"/>
          <w:szCs w:val="21"/>
        </w:rPr>
        <w:t xml:space="preserve">日内</w:t>
      </w:r>
      <w:r>
        <w:rPr>
          <w:rFonts w:hint="default" w:ascii="Times New Roman" w:hAnsi="Times New Roman" w:cs="Times New Roman"/>
        </w:rPr>
        <w:t xml:space="preserve">完成供货及安装。如因现场不具备进场安装条件的，采购人将书面或邮件通知中标供应商调整履行期限的起算日。</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2、交货地点：唯亭街道区域性养老服务中心：苏州市工业园区方夏街与金陵西路交叉口 </w:t>
      </w:r>
      <w:r/>
    </w:p>
    <w:p>
      <w:pPr>
        <w:ind w:firstLine="1470"/>
        <w:jc w:val="left"/>
        <w:spacing w:line="360" w:lineRule="auto"/>
        <w:rPr>
          <w:rFonts w:hint="default" w:ascii="Times New Roman" w:hAnsi="Times New Roman" w:cs="Times New Roman"/>
        </w:rPr>
      </w:pPr>
      <w:r>
        <w:rPr>
          <w:rFonts w:hint="default" w:ascii="Times New Roman" w:hAnsi="Times New Roman" w:cs="Times New Roman"/>
        </w:rPr>
        <w:t xml:space="preserve">胜浦街道医养项目：苏州工业园区胜浦新胜路南、沽浦路东</w:t>
      </w:r>
      <w:r/>
    </w:p>
    <w:p>
      <w:pPr>
        <w:pStyle w:val="1038"/>
        <w:numPr>
          <w:ilvl w:val="0"/>
          <w:numId w:val="9"/>
        </w:numPr>
        <w:spacing w:before="120" w:after="120" w:line="440" w:lineRule="exact"/>
        <w:rPr>
          <w:rFonts w:hint="default" w:ascii="Times New Roman" w:hAnsi="Times New Roman" w:cs="Times New Roman"/>
          <w:b/>
          <w:bCs/>
        </w:rPr>
      </w:pPr>
      <w:r>
        <w:rPr>
          <w:rFonts w:hint="default" w:ascii="Times New Roman" w:hAnsi="Times New Roman" w:cs="Times New Roman"/>
          <w:b/>
          <w:bCs/>
        </w:rPr>
        <w:t xml:space="preserve">包装与运输</w:t>
      </w:r>
      <w:r/>
    </w:p>
    <w:p>
      <w:pPr>
        <w:jc w:val="left"/>
        <w:spacing w:line="360" w:lineRule="auto"/>
        <w:rPr>
          <w:rFonts w:hint="default" w:ascii="Times New Roman" w:hAnsi="Times New Roman" w:cs="Times New Roman"/>
          <w:szCs w:val="20"/>
        </w:rPr>
      </w:pPr>
      <w:r>
        <w:rPr>
          <w:rFonts w:hint="default" w:ascii="Times New Roman" w:hAnsi="Times New Roman" w:cs="Times New Roman"/>
        </w:rPr>
        <w:t xml:space="preserve">1、乙方应妥善包装货物，适合运输、防潮、防湿、防锈、耐野蛮装卸，任何由于乙方包装不善而造成的损失由乙方负责；</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2、乙方包装货物时，必须附有装箱清单。</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3、乙方应自行选择适宜的运输工具及线路安排货物运输。</w:t>
      </w:r>
      <w:r/>
    </w:p>
    <w:p>
      <w:pPr>
        <w:pStyle w:val="1038"/>
        <w:numPr>
          <w:ilvl w:val="0"/>
          <w:numId w:val="9"/>
        </w:numPr>
        <w:spacing w:before="120" w:after="120" w:line="440" w:lineRule="exact"/>
        <w:rPr>
          <w:rFonts w:hint="default" w:ascii="Times New Roman" w:hAnsi="Times New Roman" w:cs="Times New Roman"/>
          <w:b/>
          <w:bCs/>
        </w:rPr>
      </w:pPr>
      <w:r>
        <w:rPr>
          <w:rFonts w:hint="default" w:ascii="Times New Roman" w:hAnsi="Times New Roman" w:cs="Times New Roman"/>
          <w:b/>
          <w:bCs/>
        </w:rPr>
        <w:t xml:space="preserve">质量保证</w:t>
      </w:r>
      <w:r/>
    </w:p>
    <w:p>
      <w:pPr>
        <w:spacing w:line="360" w:lineRule="auto"/>
        <w:rPr>
          <w:rFonts w:hint="default" w:ascii="Times New Roman" w:hAnsi="Times New Roman" w:cs="Times New Roman"/>
          <w:b/>
          <w:szCs w:val="20"/>
        </w:rPr>
      </w:pPr>
      <w:r>
        <w:rPr>
          <w:rFonts w:hint="default" w:ascii="Times New Roman" w:hAnsi="Times New Roman" w:cs="Times New Roman"/>
          <w:b/>
        </w:rPr>
        <w:t xml:space="preserve">1、乙方应保证货物的生产、安装、检验检测、调试等各项技术标准，应当符合国家或行业标准。</w:t>
      </w:r>
      <w:r/>
    </w:p>
    <w:p>
      <w:pPr>
        <w:jc w:val="left"/>
        <w:spacing w:line="360" w:lineRule="auto"/>
        <w:rPr>
          <w:rFonts w:hint="default" w:ascii="Times New Roman" w:hAnsi="Times New Roman" w:cs="Times New Roman"/>
          <w:b/>
        </w:rPr>
      </w:pPr>
      <w:r>
        <w:rPr>
          <w:rFonts w:hint="default" w:ascii="Times New Roman" w:hAnsi="Times New Roman" w:cs="Times New Roman"/>
          <w:b/>
        </w:rPr>
        <w:t xml:space="preserve">2、乙方应保证提供给甲方的货物是货物生产厂商原造的，全新、未使用过的，产品质量符合国家或行业标准、采购文件所列的各项要求以及乙方在投标（响应）文件中承诺的其它指标。</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3、乙方应保证提供给甲方的货物是通过货物生产厂商的出厂检验合格的，并提供质量合格证书。</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4、乙方应保证所提供的货物经正确安装、合理操作和维护保养在其使用寿命期内具有令甲方满意的性能，并对由于合同货物的设计、工艺或材料的缺陷而发生的任何故障负责。</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5、乙方应保证甲方在中国境内使用货物或货物的任何一部分时，免受第三方提出的侵犯其知识产权的诉讼。如甲方因合同货物的知识产权原因而受到第三方的索赔请求，乙方应负责处理，承担相关法律责任，并承担甲方因此发生的全部费用及损失。</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6、乙方应保证其对货物的销售不损害任何第三方的合法权益和社会公众利益。任何第三方不会因乙方原因而基于所有权、抵押权、留置权或其他任何权利或事由对合同货物主张权利。如出现此类情况，乙方应负责处理，承担相关法律责任，并承担甲方因此发生的全部费用及损失。</w:t>
      </w:r>
      <w:r/>
    </w:p>
    <w:p>
      <w:pPr>
        <w:pStyle w:val="1038"/>
        <w:numPr>
          <w:ilvl w:val="0"/>
          <w:numId w:val="9"/>
        </w:numPr>
        <w:spacing w:before="120" w:after="120" w:line="440" w:lineRule="exact"/>
        <w:rPr>
          <w:rFonts w:hint="default" w:ascii="Times New Roman" w:hAnsi="Times New Roman" w:cs="Times New Roman"/>
          <w:b/>
          <w:bCs/>
        </w:rPr>
      </w:pPr>
      <w:r>
        <w:rPr>
          <w:rFonts w:hint="default" w:ascii="Times New Roman" w:hAnsi="Times New Roman" w:cs="Times New Roman"/>
          <w:b/>
          <w:bCs/>
        </w:rPr>
        <w:t xml:space="preserve">检验与验收</w:t>
      </w:r>
      <w:r/>
    </w:p>
    <w:p>
      <w:pPr>
        <w:spacing w:line="360" w:lineRule="auto"/>
        <w:rPr>
          <w:rFonts w:hint="default" w:ascii="Times New Roman" w:hAnsi="Times New Roman" w:cs="Times New Roman"/>
          <w:b/>
          <w:color w:val="ff0000"/>
          <w:szCs w:val="20"/>
        </w:rPr>
      </w:pPr>
      <w:r>
        <w:rPr>
          <w:rFonts w:hint="default" w:ascii="Times New Roman" w:hAnsi="Times New Roman" w:cs="Times New Roman"/>
          <w:b/>
          <w:color w:val="ff0000"/>
        </w:rPr>
        <w:t xml:space="preserve">本项目将根据政府采购法及相关法规，以及《苏州工业园区政府采购履约验收管理暂行办法》文件的规定，对供应商进行履约验收，采购文件中设置检测报告相关要求的，应聘请检测机构实施检验、出具检测报告。具体履约验收方案详见合同文本—附件1”。</w:t>
      </w:r>
      <w:r/>
    </w:p>
    <w:p>
      <w:pPr>
        <w:pStyle w:val="1038"/>
        <w:numPr>
          <w:ilvl w:val="0"/>
          <w:numId w:val="9"/>
        </w:numPr>
        <w:spacing w:before="120" w:after="120" w:line="440" w:lineRule="exact"/>
        <w:rPr>
          <w:rFonts w:hint="default" w:ascii="Times New Roman" w:hAnsi="Times New Roman" w:cs="Times New Roman"/>
          <w:b/>
          <w:bCs/>
        </w:rPr>
      </w:pPr>
      <w:r>
        <w:rPr>
          <w:rFonts w:hint="default" w:ascii="Times New Roman" w:hAnsi="Times New Roman" w:cs="Times New Roman"/>
          <w:b/>
          <w:bCs/>
        </w:rPr>
        <w:t xml:space="preserve">质保期和售后服务</w:t>
      </w:r>
      <w:r/>
    </w:p>
    <w:p>
      <w:pPr>
        <w:jc w:val="left"/>
        <w:spacing w:line="360" w:lineRule="auto"/>
        <w:rPr>
          <w:rFonts w:hint="default" w:ascii="Times New Roman" w:hAnsi="Times New Roman" w:cs="Times New Roman"/>
          <w:szCs w:val="20"/>
        </w:rPr>
      </w:pPr>
      <w:r>
        <w:rPr>
          <w:rFonts w:hint="default" w:ascii="Times New Roman" w:hAnsi="Times New Roman" w:cs="Times New Roman"/>
        </w:rPr>
        <w:t xml:space="preserve">1、</w:t>
      </w:r>
      <w:r>
        <w:rPr>
          <w:rFonts w:hint="default" w:ascii="Times New Roman" w:hAnsi="Times New Roman" w:cs="Times New Roman"/>
          <w:b/>
        </w:rPr>
        <w:t xml:space="preserve">乙方对货物的免费质保期为</w:t>
      </w:r>
      <w:r>
        <w:rPr>
          <w:rFonts w:hint="default" w:ascii="Times New Roman" w:hAnsi="Times New Roman" w:cs="Times New Roman"/>
          <w:b/>
          <w:u w:val="single"/>
        </w:rPr>
        <w:t xml:space="preserve">  伍  </w:t>
      </w:r>
      <w:r>
        <w:rPr>
          <w:rFonts w:hint="default" w:ascii="Times New Roman" w:hAnsi="Times New Roman" w:cs="Times New Roman"/>
          <w:b/>
        </w:rPr>
        <w:t xml:space="preserve">年，时间自最终验收合格并交付使用之日起计算。若货物生产厂家规定的免费质保期长于本合同质保期，质保期以较长者为准。</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2、除非因甲方使用不当，货物在免费质保期内如破损、变质或被发现存在任何质量问题，乙方应免费负责对货物进行修补和退换。更换的货物的免费质保期应重新计算。</w:t>
      </w:r>
      <w:r/>
    </w:p>
    <w:p>
      <w:pPr>
        <w:spacing w:line="460" w:lineRule="exact"/>
        <w:rPr>
          <w:rFonts w:hint="default" w:ascii="Times New Roman" w:hAnsi="Times New Roman" w:cs="Times New Roman"/>
          <w:b/>
        </w:rPr>
      </w:pPr>
      <w:r>
        <w:rPr>
          <w:rFonts w:hint="default" w:ascii="Times New Roman" w:hAnsi="Times New Roman" w:cs="Times New Roman"/>
          <w:b/>
        </w:rPr>
        <w:t xml:space="preserve">3、在免费质保期内，乙方应以优良的服务态度，一旦货物发生质量问题，乙方应在2小时以内响应，4小时内赶到现场，8小时内解决问题，如在8小时内不能解决问题，应免费用同样品牌、规格的的产品更换到位。如乙方在接到通知后24小时内没有答复或处理问题，甲方有权直接聘请第三方提供，因此而造成的费用、损失风险由乙方承担，甲方可在保证金中直接予以扣除。</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4、如因甲方使用不当而引起的缺陷，或因甲方人员维护不当而损坏的货物或零部件，乙方不负保修责任，乙方应按照或比照本合同相关条款规定提供更换或修理服务，由此引起的合理费用由甲方负担。</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5、如因乙方提供的货物有缺陷、服务达不到要求，或乙方提供的技术资料有错误，或乙方在现场的技术人员指导有错误而使合同货物不能达到合同规定的指标和技术性能，乙方应负责按本合同相关条款规定修理或更换，使货物运行指标和技术性能以及相关服务达到合同规定,由此引起的全部费用由乙方承担。若以上原因导致或引起甲方损失及导致或引起第三方受到损害的，全部赔偿责任均应由乙方承担。</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6、在免费保修期内，如果由于乙方更换、修理和续补货物或更换服务，而造成本合同不得不停止履行，保修期应依照停止运行的实际时间加以延长，如因此给甲方造成损失，乙方应负责赔偿。</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7、在免费保修期届满后，乙方保证继续为甲方提供设备的维修服务，甲方应按乙方提供的不差于任何第三方的优惠价格向乙方支付相关费用，乙方保证在合同货物使用期内以不高于本合同货物、相关配件及服务的价格，并且不差于任何第三方的优惠价格，向甲方提供备品、备件及维修服务。</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8、乙方不履行或拖延履行质保义务、售后服务义务的，甲方有权直接聘请第三方提供，因此而造成的费用、损失风险由乙方承担，甲方可在货款或履约保证金中直接予以扣除。</w:t>
      </w:r>
      <w:r/>
    </w:p>
    <w:p>
      <w:pPr>
        <w:pStyle w:val="1038"/>
        <w:numPr>
          <w:ilvl w:val="0"/>
          <w:numId w:val="9"/>
        </w:numPr>
        <w:spacing w:before="120" w:after="120" w:line="440" w:lineRule="exact"/>
        <w:rPr>
          <w:rFonts w:hint="default" w:ascii="Times New Roman" w:hAnsi="Times New Roman" w:cs="Times New Roman"/>
          <w:b/>
          <w:bCs/>
        </w:rPr>
      </w:pPr>
      <w:r>
        <w:rPr>
          <w:rFonts w:hint="default" w:ascii="Times New Roman" w:hAnsi="Times New Roman" w:cs="Times New Roman"/>
          <w:b/>
          <w:bCs/>
        </w:rPr>
        <w:t xml:space="preserve">履约保证金</w:t>
      </w:r>
      <w:r/>
    </w:p>
    <w:p>
      <w:pPr>
        <w:ind w:firstLine="447"/>
        <w:spacing w:line="400" w:lineRule="exact"/>
        <w:tabs>
          <w:tab w:val="left" w:pos="142" w:leader="none"/>
          <w:tab w:val="left" w:pos="600" w:leader="none"/>
        </w:tabs>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1、☑不要求提交履约保证金</w:t>
      </w:r>
      <w:r/>
    </w:p>
    <w:p>
      <w:pPr>
        <w:ind w:firstLine="447"/>
        <w:spacing w:line="400" w:lineRule="exact"/>
        <w:tabs>
          <w:tab w:val="left" w:pos="142" w:leader="none"/>
          <w:tab w:val="left" w:pos="600" w:leader="none"/>
        </w:tabs>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2、□要求提交履约保证金：乙方交纳合同金额的%（不得超过合同金额的10%），即人民币_________元，作为本合同的履约保证金。在签订合同前，中标人应当以支票、汇票、本票或者金融机构、担保机构出具的保函等非现金形式提交。联合体中标的，其履约保证金以联合体各方或者联合体中牵头人的名义提交。</w:t>
      </w:r>
      <w:r/>
    </w:p>
    <w:p>
      <w:pPr>
        <w:ind w:firstLine="447"/>
        <w:spacing w:line="400" w:lineRule="exact"/>
        <w:tabs>
          <w:tab w:val="left" w:pos="142" w:leader="none"/>
          <w:tab w:val="left" w:pos="600" w:leader="none"/>
        </w:tabs>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3、合同履行结束后，甲方应及时退还交纳的履约保证金。采购人逾期退还的，应当根据实际逾期期限向中标供应商支付逾期利息，逾期利率：。</w:t>
      </w:r>
      <w:r/>
    </w:p>
    <w:p>
      <w:pPr>
        <w:ind w:firstLine="447"/>
        <w:spacing w:line="400" w:lineRule="exact"/>
        <w:tabs>
          <w:tab w:val="left" w:pos="142" w:leader="none"/>
          <w:tab w:val="left" w:pos="600" w:leader="none"/>
        </w:tabs>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4、履约保证金退还条件：</w:t>
      </w:r>
      <w:r/>
    </w:p>
    <w:p>
      <w:pPr>
        <w:ind w:firstLine="447"/>
        <w:spacing w:line="400" w:lineRule="exact"/>
        <w:tabs>
          <w:tab w:val="left" w:pos="142" w:leader="none"/>
          <w:tab w:val="left" w:pos="600" w:leader="none"/>
        </w:tabs>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5、履约保证金退还时间：</w:t>
      </w:r>
      <w:r/>
    </w:p>
    <w:p>
      <w:pPr>
        <w:ind w:firstLine="447"/>
        <w:spacing w:line="400" w:lineRule="exact"/>
        <w:tabs>
          <w:tab w:val="left" w:pos="142" w:leader="none"/>
          <w:tab w:val="left" w:pos="600" w:leader="none"/>
        </w:tabs>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6、履约保证金退还方式：</w:t>
      </w:r>
      <w:r/>
    </w:p>
    <w:p>
      <w:pPr>
        <w:ind w:firstLine="447"/>
        <w:spacing w:line="400" w:lineRule="exact"/>
        <w:tabs>
          <w:tab w:val="left" w:pos="142" w:leader="none"/>
          <w:tab w:val="left" w:pos="600" w:leader="none"/>
        </w:tabs>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7、履约保证金不予退还的情形：</w:t>
      </w:r>
      <w:r/>
    </w:p>
    <w:p>
      <w:pPr>
        <w:ind w:firstLine="447"/>
        <w:spacing w:line="400" w:lineRule="exact"/>
        <w:tabs>
          <w:tab w:val="left" w:pos="142" w:leader="none"/>
          <w:tab w:val="left" w:pos="600" w:leader="none"/>
        </w:tabs>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8、其他：中标人无故拖延或拒不提交履约保证金的，视为拒绝与采购人签订合同。</w:t>
      </w:r>
      <w:r/>
    </w:p>
    <w:p>
      <w:pPr>
        <w:ind w:firstLine="447"/>
        <w:spacing w:line="400" w:lineRule="exact"/>
        <w:tabs>
          <w:tab w:val="left" w:pos="142" w:leader="none"/>
          <w:tab w:val="left" w:pos="600" w:leader="none"/>
        </w:tabs>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9、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pStyle w:val="1038"/>
        <w:numPr>
          <w:ilvl w:val="0"/>
          <w:numId w:val="9"/>
        </w:numPr>
        <w:spacing w:before="120" w:after="120" w:line="440" w:lineRule="exact"/>
        <w:rPr>
          <w:rFonts w:hint="default" w:ascii="Times New Roman" w:hAnsi="Times New Roman" w:cs="Times New Roman"/>
          <w:b/>
          <w:bCs/>
        </w:rPr>
      </w:pPr>
      <w:r>
        <w:rPr>
          <w:rFonts w:hint="default" w:ascii="Times New Roman" w:hAnsi="Times New Roman" w:cs="Times New Roman"/>
          <w:b/>
          <w:bCs/>
        </w:rPr>
        <w:t xml:space="preserve">违约责任</w:t>
      </w:r>
      <w:r/>
    </w:p>
    <w:p>
      <w:pPr>
        <w:jc w:val="left"/>
        <w:spacing w:line="360" w:lineRule="auto"/>
        <w:rPr>
          <w:rFonts w:hint="default" w:ascii="Times New Roman" w:hAnsi="Times New Roman" w:cs="Times New Roman"/>
          <w:szCs w:val="20"/>
        </w:rPr>
      </w:pPr>
      <w:r>
        <w:rPr>
          <w:rFonts w:hint="default" w:ascii="Times New Roman" w:hAnsi="Times New Roman" w:cs="Times New Roman"/>
        </w:rPr>
        <w:t xml:space="preserve">1、若乙方未如期按照合同约定交付合同货物或提供服务，或乙方未能履行合同规定的任何其他义务时，甲方有权直接向乙方发出违约通知书，乙方应按照甲方选择的下列一种或多种方式承担赔偿责任及违约责任：</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1）乙方每迟延交付合同货物或提供服务一日，乙方应按照本合同总金额的万分之五向甲方支付违约金，同时甲方有权解除本合同。如甲方未选择解除合同的，乙方仍应在甲方要求的期限内履行约定的义务，并承担由此给甲方造成的损失及甲方因此产生的对第三方的责任。</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2）在甲方规定的时间内，用符合合同规定的规格、质量和性能要求的新零件、部件或货物来更换有缺陷的零件、部件和货物，或修补缺陷部分以达到合同规定的要求，乙方应承担由此发生的相关费用并承担由此给甲方造成的损失及甲方因此产生的对第三方的责任。此时，相关货物的质量保修期也应相应延长。</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3）根据货物、服务低劣程度、损坏程度以及使甲方所遭受的损失及甲方因此产生的对第三方的责任，经双方商定降低货物、服务的价格或赔偿甲方所遭受的损失及甲方因此产生的对第三方的责任。</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4）按合同规定的同种货币将甲方所退货物已支付的货款全部退还给甲方，并承担由此发生的损失和相关费用及甲方因此产生的对第三方的责任。</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5）甲方有权部分或全部解除合同，并要求乙方赔偿由此造成的损失及甲方因此产生的对第三方的责任。此时甲方可采取必要的补救措施，相关费用由乙方承担。</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6）甲方为采取必要的补救措施或因防止损失扩大而支出的合理费用应由乙方承担。</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2、如果乙方在收到甲方的违约通知书</w:t>
      </w:r>
      <w:r>
        <w:rPr>
          <w:rFonts w:hint="default" w:ascii="Times New Roman" w:hAnsi="Times New Roman" w:cs="Times New Roman"/>
          <w:szCs w:val="21"/>
          <w:u w:val="single"/>
        </w:rPr>
        <w:t xml:space="preserve">7</w:t>
      </w:r>
      <w:r>
        <w:rPr>
          <w:rFonts w:hint="default" w:ascii="Times New Roman" w:hAnsi="Times New Roman" w:cs="Times New Roman"/>
          <w:szCs w:val="21"/>
        </w:rPr>
        <w:t xml:space="preserve">日</w:t>
      </w:r>
      <w:r>
        <w:rPr>
          <w:rFonts w:hint="default" w:ascii="Times New Roman" w:hAnsi="Times New Roman" w:cs="Times New Roman"/>
        </w:rPr>
        <w:t xml:space="preserve">内未作答复也没有按照甲方选择的方式承担违约责任，则甲方有权从尚未支付的合同价款或保证金中扣回相当于甲方选择的方式计算的索赔金额。如果前述金额不足以补偿，甲方有权向乙方提出不足部分的赔偿要求。</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3、当违约行为给对方造成损失时，违约方还应当赔偿对方因此所受全部损失。当构成严重违约致使不能实现合同目的时，守约方可以单方面决定解除合同，违约方同时还应当承担违约责任。</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4、因乙方违约导致合同解除的，乙方应当全额退还甲方已经支付的货款，自行取回货物，并向甲方支付合同总金额20%的违约金并承担所有费用。</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5、如果出现政府采购监管部门在处理投诉事项期间，通知甲方暂停采购活动的情形，或者询问或质疑事项可能影响最终中标结果的，导致甲方中止履行合同的情形，均不视为甲方违约。</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6、甲方无故逾期支付货款的应按照逾期付款金额的每天万分之四支付逾期付款违约金。</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7、甲方违反合同规定，无故拒绝接收乙方交付的合格货物，应当承担乙方由此造成的损失。</w:t>
      </w:r>
      <w:r/>
    </w:p>
    <w:p>
      <w:pPr>
        <w:pStyle w:val="1038"/>
        <w:numPr>
          <w:ilvl w:val="0"/>
          <w:numId w:val="9"/>
        </w:numPr>
        <w:spacing w:before="120" w:after="120" w:line="440" w:lineRule="exact"/>
        <w:rPr>
          <w:rFonts w:hint="default" w:ascii="Times New Roman" w:hAnsi="Times New Roman" w:cs="Times New Roman"/>
          <w:b/>
          <w:bCs/>
        </w:rPr>
      </w:pPr>
      <w:r>
        <w:rPr>
          <w:rFonts w:hint="default" w:ascii="Times New Roman" w:hAnsi="Times New Roman" w:cs="Times New Roman"/>
          <w:b/>
          <w:bCs/>
        </w:rPr>
        <w:t xml:space="preserve">合同的解除和转让</w:t>
      </w:r>
      <w:r/>
    </w:p>
    <w:p>
      <w:pPr>
        <w:jc w:val="left"/>
        <w:spacing w:line="360" w:lineRule="auto"/>
        <w:rPr>
          <w:rFonts w:hint="default" w:ascii="Times New Roman" w:hAnsi="Times New Roman" w:cs="Times New Roman"/>
          <w:szCs w:val="20"/>
        </w:rPr>
      </w:pPr>
      <w:r>
        <w:rPr>
          <w:rFonts w:hint="default" w:ascii="Times New Roman" w:hAnsi="Times New Roman" w:cs="Times New Roman"/>
        </w:rPr>
        <w:t xml:space="preserve">1、有下列情形之一，合同一方可以解除合同：</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（1）因不可抗力致使不能实现合同目的，未受不可抗力影响的一方有权解除合同；</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（2）因一方违约导致合同不能履行，另一方有权解除合同。</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（3）一方明确表示不履行或实质上已停止履行合同或发生丧失履约能力的情形时，另一方有权解除合同。</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2、政府采购合同继续履行将损害国家利益和社会公共利益，甲方有权变更、中止或者终止、解除合同。</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3、小型、微型企业不得分包或转包给大型、中型企业，中型企业不得分包或转包给大型企业，否则甲方有权单方解除合同。</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4、合同的部分和全部都不得转让，否则视为违约，甲方有权单方解除合同。</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5、有权解除合同的一方，应当在其知道或者应当知道解除事由之日起【一年】内书面通知对方提出解除合同；另一方如有异议，应当在解除合同通知到达之日起【7】日内提出异议，否则视为无异议，合同自异议期满之次日起即告解除。</w:t>
      </w:r>
      <w:r/>
    </w:p>
    <w:p>
      <w:pPr>
        <w:pStyle w:val="1038"/>
        <w:numPr>
          <w:ilvl w:val="0"/>
          <w:numId w:val="9"/>
        </w:numPr>
        <w:spacing w:before="120" w:after="120" w:line="440" w:lineRule="exact"/>
        <w:rPr>
          <w:rFonts w:hint="default" w:ascii="Times New Roman" w:hAnsi="Times New Roman" w:cs="Times New Roman"/>
          <w:b/>
          <w:bCs/>
        </w:rPr>
      </w:pPr>
      <w:r>
        <w:rPr>
          <w:rFonts w:hint="default" w:ascii="Times New Roman" w:hAnsi="Times New Roman" w:cs="Times New Roman"/>
          <w:b/>
          <w:bCs/>
        </w:rPr>
        <w:t xml:space="preserve">不可抗力</w:t>
      </w:r>
      <w:r/>
    </w:p>
    <w:p>
      <w:pPr>
        <w:jc w:val="left"/>
        <w:spacing w:line="360" w:lineRule="auto"/>
        <w:rPr>
          <w:rFonts w:hint="default" w:ascii="Times New Roman" w:hAnsi="Times New Roman" w:cs="Times New Roman"/>
          <w:szCs w:val="20"/>
        </w:rPr>
      </w:pPr>
      <w:r>
        <w:rPr>
          <w:rFonts w:hint="default" w:ascii="Times New Roman" w:hAnsi="Times New Roman" w:cs="Times New Roman"/>
        </w:rPr>
        <w:t xml:space="preserve">1、不可抗力指下列事件：战争、动乱、瘟疫、严重火灾、洪水、地震、风暴或其他自然灾害，以及本合同各方不可预见、不可防止并不能避免或克服的一切其他因素及事件。</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2、任何一方因不可抗力不能履行本合同规定的全部或部分义务，该方应尽快通知另一方，并须在不可抗力发生后三日内以书面形式向另一方提供详细情况报告及不可抗力对履行本合同的影响程度的说明。就上述不可抗力的发生须由受到不可抗力影响的一方负责同时提供由公证机关做出的公证证明。</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4、合同各方应根据不可抗力对本合同履行的影响程度，协商确定是否终止本合同，或是继续履行本合同。</w:t>
      </w:r>
      <w:r/>
    </w:p>
    <w:p>
      <w:pPr>
        <w:pStyle w:val="1038"/>
        <w:numPr>
          <w:ilvl w:val="0"/>
          <w:numId w:val="9"/>
        </w:numPr>
        <w:spacing w:before="120" w:after="120" w:line="440" w:lineRule="exact"/>
        <w:rPr>
          <w:rFonts w:hint="default" w:ascii="Times New Roman" w:hAnsi="Times New Roman" w:cs="Times New Roman"/>
          <w:b/>
          <w:bCs/>
        </w:rPr>
      </w:pPr>
      <w:r>
        <w:rPr>
          <w:rFonts w:hint="default" w:ascii="Times New Roman" w:hAnsi="Times New Roman" w:cs="Times New Roman"/>
          <w:b/>
          <w:bCs/>
        </w:rPr>
        <w:t xml:space="preserve">保密条款</w:t>
      </w:r>
      <w:r/>
    </w:p>
    <w:p>
      <w:pPr>
        <w:jc w:val="left"/>
        <w:spacing w:line="360" w:lineRule="auto"/>
        <w:rPr>
          <w:rFonts w:hint="default" w:ascii="Times New Roman" w:hAnsi="Times New Roman" w:cs="Times New Roman"/>
          <w:szCs w:val="20"/>
        </w:rPr>
      </w:pPr>
      <w:r>
        <w:rPr>
          <w:rFonts w:hint="default" w:ascii="Times New Roman" w:hAnsi="Times New Roman" w:cs="Times New Roman"/>
        </w:rPr>
        <w:t xml:space="preserve">1、任何一方对其获知的本合同及附件中其他各方的商业秘密和国家秘密等非公开信息负有保密义务。</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2、在下列情形下：当国家机关调查、审查、审计时，以及其他符合法律规定的情形下，无须事先征求乙方同意而可以披露关于采购过程、合同文本、签署情况的资料、乙方的名称及地址、采购内容的有关信息以及补充条款等，但应当在合理的必要范围内。对任何已经公布过的内容或与之内容相同的资料，以及乙方已经泄露或公开的，无须再承担保密责任。</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3、此外的其他情形下，除非法律、法规另有规定或得到本合同之其他各方的书面许可，任何一方不得向第三人泄露前款规定的商业秘密和国家秘密等非公开信息。保密期限自任何一方获知该商业秘密和国家秘密等非公开信息之日起至本条规定的秘密成为公开信息之日止。</w:t>
      </w:r>
      <w:r/>
    </w:p>
    <w:p>
      <w:pPr>
        <w:pStyle w:val="1038"/>
        <w:numPr>
          <w:ilvl w:val="0"/>
          <w:numId w:val="9"/>
        </w:numPr>
        <w:spacing w:before="120" w:after="120" w:line="440" w:lineRule="exact"/>
        <w:rPr>
          <w:rFonts w:hint="default" w:ascii="Times New Roman" w:hAnsi="Times New Roman" w:cs="Times New Roman"/>
          <w:b/>
          <w:bCs/>
        </w:rPr>
      </w:pPr>
      <w:r>
        <w:rPr>
          <w:rFonts w:hint="default" w:ascii="Times New Roman" w:hAnsi="Times New Roman" w:cs="Times New Roman"/>
          <w:b/>
          <w:bCs/>
        </w:rPr>
        <w:t xml:space="preserve">联系方式</w:t>
      </w:r>
      <w:r/>
    </w:p>
    <w:p>
      <w:pPr>
        <w:jc w:val="left"/>
        <w:spacing w:line="360" w:lineRule="auto"/>
        <w:rPr>
          <w:rFonts w:hint="default" w:ascii="Times New Roman" w:hAnsi="Times New Roman" w:cs="Times New Roman"/>
          <w:szCs w:val="20"/>
        </w:rPr>
      </w:pPr>
      <w:r>
        <w:rPr>
          <w:rFonts w:hint="default" w:ascii="Times New Roman" w:hAnsi="Times New Roman" w:cs="Times New Roman"/>
        </w:rPr>
        <w:t xml:space="preserve">1、合同双方发出与本合同有关的通知或回复，应以专人送递、传真、特快专递、邮件或其他双方在签订合同时确认的方式发出；如果以专人送递或特快专递发送，以送达至对方的住所地或通讯联络地为送达；如果以传真方式发送，发件人在收到传真报告后视为送达；如果采用电子邮件的方式，则应在发送后由对方以书面方式予以确认。</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2、合同双方发出的与本合同有关的通知或回复均应发至本合同签订时确认的通讯地址，一方变更通讯地址，应自变更之日起3个工作日内，将变更后的地址通知对方。变更方不履行通知义务的，应对此造成的一切后果承担法律责任。</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3、上述发出通知、回复的费用由发出一方承担。</w:t>
      </w:r>
      <w:r/>
    </w:p>
    <w:p>
      <w:pPr>
        <w:pStyle w:val="1038"/>
        <w:numPr>
          <w:ilvl w:val="0"/>
          <w:numId w:val="9"/>
        </w:numPr>
        <w:spacing w:before="120" w:after="120" w:line="440" w:lineRule="exact"/>
        <w:rPr>
          <w:rFonts w:hint="default" w:ascii="Times New Roman" w:hAnsi="Times New Roman" w:cs="Times New Roman"/>
          <w:b/>
          <w:bCs/>
        </w:rPr>
      </w:pPr>
      <w:r>
        <w:rPr>
          <w:rFonts w:hint="default" w:ascii="Times New Roman" w:hAnsi="Times New Roman" w:cs="Times New Roman"/>
          <w:b/>
          <w:bCs/>
        </w:rPr>
        <w:t xml:space="preserve">争议的解决 </w:t>
      </w:r>
      <w:r/>
    </w:p>
    <w:p>
      <w:pPr>
        <w:jc w:val="left"/>
        <w:spacing w:line="360" w:lineRule="auto"/>
        <w:rPr>
          <w:rFonts w:hint="default" w:ascii="Times New Roman" w:hAnsi="Times New Roman" w:cs="Times New Roman"/>
          <w:szCs w:val="20"/>
        </w:rPr>
      </w:pPr>
      <w:r>
        <w:rPr>
          <w:rFonts w:hint="default" w:ascii="Times New Roman" w:hAnsi="Times New Roman" w:cs="Times New Roman"/>
        </w:rPr>
        <w:t xml:space="preserve">与本合同有关的一切争议，双方应通过友好协商解决。如果经协商不能达成协议，可以向甲方所在地有管辖权的人民法院起诉。</w:t>
      </w:r>
      <w:r/>
    </w:p>
    <w:p>
      <w:pPr>
        <w:pStyle w:val="1038"/>
        <w:numPr>
          <w:ilvl w:val="0"/>
          <w:numId w:val="9"/>
        </w:numPr>
        <w:spacing w:before="120" w:after="120" w:line="440" w:lineRule="exact"/>
        <w:rPr>
          <w:rFonts w:hint="default" w:ascii="Times New Roman" w:hAnsi="Times New Roman" w:cs="Times New Roman"/>
          <w:b/>
          <w:bCs/>
        </w:rPr>
      </w:pPr>
      <w:r>
        <w:rPr>
          <w:rFonts w:hint="default" w:ascii="Times New Roman" w:hAnsi="Times New Roman" w:cs="Times New Roman"/>
          <w:b/>
          <w:bCs/>
        </w:rPr>
        <w:t xml:space="preserve">合同生效及其他</w:t>
      </w:r>
      <w:r/>
    </w:p>
    <w:p>
      <w:pPr>
        <w:jc w:val="left"/>
        <w:spacing w:line="360" w:lineRule="auto"/>
        <w:rPr>
          <w:rFonts w:hint="default" w:ascii="Times New Roman" w:hAnsi="Times New Roman" w:cs="Times New Roman"/>
          <w:szCs w:val="20"/>
        </w:rPr>
      </w:pPr>
      <w:r>
        <w:rPr>
          <w:rFonts w:hint="default" w:ascii="Times New Roman" w:hAnsi="Times New Roman" w:cs="Times New Roman"/>
        </w:rPr>
        <w:t xml:space="preserve">1、如甲乙双方通过“苏采云”系统线上签订电子合同的，则本合同自双方在“苏采云”系统中加盖电子印章之日起生效。如甲乙双方签订纸质合同的，则本合同自甲乙双方签章之日起生效。</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2、如签署纸质合同，壹式肆份，甲乙双方各执贰份，具有同等法律效力。</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3、本合同系指本文件及其附件中的所有部分，采购文件、中标的投标（响应）文件、中标（成交）通知书、中标（成交）人在招标（采购）过程中的澄清和承诺等为本合同不可缺少的组成部分。本合同履行过程中发生相关修改内容，须符合《中华人民共和国政府采购法》和相关法律法规规定；补充协议作为本合同不可分割的一部分。</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4、本合同应按照中华人民共和国的现行法律进行解释。</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5、合同附件</w:t>
      </w:r>
      <w:r/>
    </w:p>
    <w:p>
      <w:pPr>
        <w:jc w:val="left"/>
        <w:spacing w:line="360" w:lineRule="auto"/>
        <w:rPr>
          <w:rFonts w:hint="default" w:ascii="Times New Roman" w:hAnsi="Times New Roman" w:cs="Times New Roman"/>
        </w:rPr>
      </w:pPr>
      <w:r>
        <w:rPr>
          <w:rFonts w:hint="default" w:ascii="Times New Roman" w:hAnsi="Times New Roman" w:cs="Times New Roman"/>
        </w:rPr>
      </w:r>
      <w:r/>
    </w:p>
    <w:p>
      <w:pPr>
        <w:jc w:val="left"/>
        <w:spacing w:line="360" w:lineRule="auto"/>
        <w:rPr>
          <w:rFonts w:hint="default" w:ascii="Times New Roman" w:hAnsi="Times New Roman" w:cs="Times New Roman"/>
        </w:rPr>
      </w:pPr>
      <w:r>
        <w:rPr>
          <w:rFonts w:hint="default" w:ascii="Times New Roman" w:hAnsi="Times New Roman" w:cs="Times New Roman"/>
        </w:rPr>
        <w:t xml:space="preserve">甲方：                                         乙方：</w:t>
      </w:r>
      <w:r/>
    </w:p>
    <w:p>
      <w:pPr>
        <w:jc w:val="left"/>
        <w:spacing w:line="360" w:lineRule="auto"/>
        <w:rPr>
          <w:rFonts w:hint="default" w:ascii="Times New Roman" w:hAnsi="Times New Roman" w:cs="Times New Roman"/>
        </w:rPr>
      </w:pPr>
      <w:r>
        <w:rPr>
          <w:rFonts w:hint="default" w:ascii="Times New Roman" w:hAnsi="Times New Roman" w:cs="Times New Roman"/>
        </w:rPr>
      </w:r>
      <w:r/>
    </w:p>
    <w:p>
      <w:pPr>
        <w:jc w:val="left"/>
        <w:spacing w:line="360" w:lineRule="auto"/>
        <w:rPr>
          <w:rFonts w:hint="default" w:ascii="Times New Roman" w:hAnsi="Times New Roman" w:cs="Times New Roman"/>
        </w:rPr>
      </w:pPr>
      <w:r>
        <w:rPr>
          <w:rFonts w:hint="default" w:ascii="Times New Roman" w:hAnsi="Times New Roman" w:cs="Times New Roman"/>
        </w:rPr>
        <w:t xml:space="preserve">名称(公章)：                                   名称(公章)：</w:t>
      </w:r>
      <w:r/>
    </w:p>
    <w:p>
      <w:pPr>
        <w:jc w:val="left"/>
        <w:spacing w:line="360" w:lineRule="auto"/>
        <w:rPr>
          <w:rFonts w:hint="default" w:ascii="Times New Roman" w:hAnsi="Times New Roman" w:cs="Times New Roman"/>
        </w:rPr>
      </w:pPr>
      <w:r>
        <w:rPr>
          <w:rFonts w:hint="default" w:ascii="Times New Roman" w:hAnsi="Times New Roman" w:cs="Times New Roman"/>
        </w:rPr>
      </w:r>
      <w:r/>
    </w:p>
    <w:p>
      <w:pPr>
        <w:jc w:val="left"/>
        <w:spacing w:line="360" w:lineRule="auto"/>
        <w:rPr>
          <w:rFonts w:hint="default" w:ascii="Times New Roman" w:hAnsi="Times New Roman" w:cs="Times New Roman"/>
        </w:rPr>
      </w:pPr>
      <w:r>
        <w:rPr>
          <w:rFonts w:hint="default" w:ascii="Times New Roman" w:hAnsi="Times New Roman" w:cs="Times New Roman"/>
        </w:rPr>
      </w:r>
      <w:r/>
    </w:p>
    <w:p>
      <w:pPr>
        <w:jc w:val="left"/>
        <w:rPr>
          <w:rFonts w:hint="default" w:ascii="Times New Roman" w:hAnsi="Times New Roman" w:cs="Times New Roman"/>
          <w:b/>
          <w:bCs/>
        </w:rPr>
      </w:pPr>
      <w:r>
        <w:rPr>
          <w:rFonts w:hint="default" w:ascii="Times New Roman" w:hAnsi="Times New Roman" w:cs="Times New Roman"/>
        </w:rPr>
        <w:t xml:space="preserve">签订日期：                                    签订日期：</w:t>
      </w:r>
      <w:r>
        <w:rPr>
          <w:rFonts w:hint="default" w:ascii="Times New Roman" w:hAnsi="Times New Roman" w:cs="Times New Roman"/>
          <w:b/>
          <w:bCs/>
        </w:rPr>
        <w:br w:type="page" w:clear="all"/>
      </w:r>
      <w:r/>
    </w:p>
    <w:p>
      <w:pPr>
        <w:jc w:val="left"/>
        <w:spacing w:line="360" w:lineRule="auto"/>
        <w:rPr>
          <w:rFonts w:hint="default" w:ascii="Times New Roman" w:hAnsi="Times New Roman" w:cs="Times New Roman"/>
          <w:b/>
          <w:bCs/>
        </w:rPr>
      </w:pPr>
      <w:r>
        <w:rPr>
          <w:rFonts w:hint="default" w:ascii="Times New Roman" w:hAnsi="Times New Roman" w:cs="Times New Roman"/>
          <w:b/>
          <w:bCs/>
        </w:rPr>
        <w:t xml:space="preserve">附件1：</w:t>
      </w:r>
      <w:r/>
    </w:p>
    <w:p>
      <w:pPr>
        <w:jc w:val="center"/>
        <w:spacing w:line="360" w:lineRule="auto"/>
        <w:rPr>
          <w:rFonts w:hint="default" w:ascii="Times New Roman" w:hAnsi="Times New Roman" w:cs="Times New Roman"/>
          <w:b/>
          <w:sz w:val="36"/>
        </w:rPr>
      </w:pPr>
      <w:r>
        <w:rPr>
          <w:rFonts w:hint="default" w:ascii="Times New Roman" w:hAnsi="Times New Roman" w:cs="Times New Roman"/>
          <w:b/>
          <w:sz w:val="36"/>
        </w:rPr>
        <w:t xml:space="preserve">货物类项目履约验收方案</w:t>
      </w:r>
      <w:r/>
    </w:p>
    <w:p>
      <w:pPr>
        <w:jc w:val="left"/>
        <w:spacing w:line="360" w:lineRule="auto"/>
        <w:rPr>
          <w:rFonts w:hint="default" w:ascii="Times New Roman" w:hAnsi="Times New Roman" w:cs="Times New Roman"/>
          <w:b/>
        </w:rPr>
      </w:pPr>
      <w:r>
        <w:rPr>
          <w:rFonts w:hint="default" w:ascii="Times New Roman" w:hAnsi="Times New Roman" w:cs="Times New Roman"/>
          <w:b/>
        </w:rPr>
        <w:t xml:space="preserve">一、项目概况</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项目编号：</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项目名称：</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供应商名称：</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合同金额：</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验收主体：</w:t>
      </w:r>
      <w:r/>
    </w:p>
    <w:p>
      <w:pPr>
        <w:jc w:val="left"/>
        <w:spacing w:line="360" w:lineRule="auto"/>
        <w:rPr>
          <w:rFonts w:hint="default" w:ascii="Times New Roman" w:hAnsi="Times New Roman" w:cs="Times New Roman"/>
        </w:rPr>
      </w:pPr>
      <w:r>
        <w:rPr>
          <w:rFonts w:hint="default" w:ascii="Times New Roman" w:hAnsi="Times New Roman" w:cs="Times New Roman"/>
          <w:b/>
        </w:rPr>
        <w:t xml:space="preserve">二、验收目的</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jc w:val="left"/>
        <w:spacing w:line="360" w:lineRule="auto"/>
        <w:rPr>
          <w:rFonts w:hint="default" w:ascii="Times New Roman" w:hAnsi="Times New Roman" w:cs="Times New Roman"/>
          <w:b/>
        </w:rPr>
      </w:pPr>
      <w:r>
        <w:rPr>
          <w:rFonts w:hint="default" w:ascii="Times New Roman" w:hAnsi="Times New Roman" w:cs="Times New Roman"/>
          <w:b/>
        </w:rPr>
        <w:t xml:space="preserve">三、验收依据</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苏州工业园区采购人通过政府采购方式和程序确定供应商的货物和服务类政府采购项目应当执行《苏州工业园区政府采购履约验收管理暂行办法》。政府采购文件、供应商投标（响应）文件、政府采购合同是履约验收工作的基本依据。</w:t>
      </w:r>
      <w:r/>
    </w:p>
    <w:p>
      <w:pPr>
        <w:numPr>
          <w:ilvl w:val="0"/>
          <w:numId w:val="10"/>
        </w:numPr>
        <w:jc w:val="left"/>
        <w:spacing w:line="360" w:lineRule="auto"/>
        <w:widowControl/>
        <w:rPr>
          <w:rFonts w:hint="default" w:ascii="Times New Roman" w:hAnsi="Times New Roman" w:cs="Times New Roman"/>
          <w:b/>
          <w:bCs/>
        </w:rPr>
      </w:pPr>
      <w:r>
        <w:rPr>
          <w:rFonts w:hint="default" w:ascii="Times New Roman" w:hAnsi="Times New Roman" w:cs="Times New Roman"/>
          <w:b/>
        </w:rPr>
        <w:t xml:space="preserve">验收</w:t>
      </w:r>
      <w:r>
        <w:rPr>
          <w:rFonts w:hint="default" w:ascii="Times New Roman" w:hAnsi="Times New Roman" w:cs="Times New Roman"/>
          <w:b/>
          <w:bCs/>
        </w:rPr>
        <w:t xml:space="preserve">责任主体</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jc w:val="left"/>
        <w:spacing w:line="360" w:lineRule="auto"/>
        <w:rPr>
          <w:rFonts w:hint="default" w:ascii="Times New Roman" w:hAnsi="Times New Roman" w:cs="Times New Roman"/>
          <w:b/>
        </w:rPr>
      </w:pPr>
      <w:r>
        <w:rPr>
          <w:rFonts w:hint="default" w:ascii="Times New Roman" w:hAnsi="Times New Roman" w:cs="Times New Roman"/>
          <w:b/>
        </w:rPr>
        <w:t xml:space="preserve">五、验收方式及验收内容</w:t>
      </w:r>
      <w:r/>
    </w:p>
    <w:p>
      <w:pPr>
        <w:jc w:val="left"/>
        <w:spacing w:line="360" w:lineRule="auto"/>
        <w:rPr>
          <w:rFonts w:hint="default" w:ascii="Times New Roman" w:hAnsi="Times New Roman" w:cs="Times New Roman"/>
          <w:b/>
        </w:rPr>
      </w:pPr>
      <w:r>
        <w:rPr>
          <w:rFonts w:hint="default" w:ascii="Times New Roman" w:hAnsi="Times New Roman" w:cs="Times New Roman"/>
          <w:b/>
        </w:rPr>
        <w:t xml:space="preserve"> 5.1日常考核</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采购人有权不定期对采购货物的生产原料，生产设备，生产过程、工艺、环保状况、质量保证体系、最终产品数量、外包装完整性、保障运输防范措施等环节实施全程抽查。在抽查中若发现生产企业不符，原材料不符，生产设备不适用生产需要，生产过程、工艺、环保不达标，质量管理体系缺失等与政府采购文件、供应商投标（响应）文件、政府采购合同违背的情况，</w:t>
      </w:r>
      <w:r>
        <w:rPr>
          <w:rFonts w:hint="default" w:ascii="Times New Roman" w:hAnsi="Times New Roman" w:cs="Times New Roman"/>
          <w:b/>
          <w:bCs/>
        </w:rPr>
        <w:t xml:space="preserve">采购人书面要求供应商限期整改，由此造成的一切损失由供应商承担。</w:t>
      </w:r>
      <w:r/>
    </w:p>
    <w:p>
      <w:pPr>
        <w:jc w:val="left"/>
        <w:spacing w:line="360" w:lineRule="auto"/>
        <w:rPr>
          <w:rFonts w:hint="default" w:ascii="Times New Roman" w:hAnsi="Times New Roman" w:cs="Times New Roman"/>
          <w:b/>
          <w:bCs/>
        </w:rPr>
      </w:pPr>
      <w:r>
        <w:rPr>
          <w:rFonts w:hint="default" w:ascii="Times New Roman" w:hAnsi="Times New Roman" w:cs="Times New Roman"/>
          <w:b/>
          <w:bCs/>
        </w:rPr>
        <w:t xml:space="preserve">5.2检测(检验)验收</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5.2.1 采购文件中设置检测报告相关要求的，应由采购人聘请有资质的检测机构实施检验、出具检测报告，且检测机构、检测标准、检测内容等应与采购文件中的要求一致或相关，</w:t>
      </w:r>
      <w:r>
        <w:rPr>
          <w:rFonts w:hint="default" w:ascii="Times New Roman" w:hAnsi="Times New Roman" w:cs="Times New Roman"/>
          <w:b/>
          <w:bCs/>
        </w:rPr>
        <w:t xml:space="preserve">相关费用由供应商承担。</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5.2.2货物组织抽样检验当日，采购人与供应商应同时到场配合抽样。双方代表在抽样封条上共同签字，检验机构对被指定产品进行封样，抽样数量应满足检验需求，抽样时应同时抽取检样、备样，备样封存在采购项目现场，备样在验收完成前不得使用；抽样结束后，双方应当共同配合检验机构办理检验相关手续。若供应商未按通知参加，检验或验收可正常进行，供应商应接受检验结果。</w:t>
      </w:r>
      <w:r>
        <w:rPr>
          <w:rFonts w:hint="default" w:ascii="Times New Roman" w:hAnsi="Times New Roman" w:cs="Times New Roman"/>
          <w:b/>
          <w:bCs/>
        </w:rPr>
        <w:t xml:space="preserve">供应商拒不配合抽样送检的，其所移交货物作不合格处理。</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5.2.3当某一产品检验不合格时，认定该类产品均不合格，采购人书面通知供应商限期进行整改，供应商应在限期完成不合格产品的更换，若供应商未按时完成整改或整改后再次抽检仍不合格的，</w:t>
      </w:r>
      <w:r>
        <w:rPr>
          <w:rFonts w:hint="default" w:ascii="Times New Roman" w:hAnsi="Times New Roman" w:cs="Times New Roman"/>
          <w:b/>
          <w:bCs/>
        </w:rPr>
        <w:t xml:space="preserve">则采购人有权终止合同，重新采购，由此造成的一切损失由供应商承担。</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5.2.4对检验结果存在异议时，启用备样检验，</w:t>
      </w:r>
      <w:r>
        <w:rPr>
          <w:rFonts w:hint="default" w:ascii="Times New Roman" w:hAnsi="Times New Roman" w:cs="Times New Roman"/>
          <w:b/>
          <w:bCs/>
        </w:rPr>
        <w:t xml:space="preserve">相关费用由异议提出方承担。</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5.2.5实施检验检测所造成的产品损坏、损耗，</w:t>
      </w:r>
      <w:r>
        <w:rPr>
          <w:rFonts w:hint="default" w:ascii="Times New Roman" w:hAnsi="Times New Roman" w:cs="Times New Roman"/>
          <w:b/>
          <w:bCs/>
        </w:rPr>
        <w:t xml:space="preserve">其替换补充或维修费用由供应商承担。</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5.2.6除上述5.2.1 条检测要求以外，采购人有权指定有资质的检验检测机构对整体货物按</w:t>
      </w:r>
      <w:r>
        <w:rPr>
          <w:rFonts w:hint="default" w:ascii="Times New Roman" w:hAnsi="Times New Roman" w:cs="Times New Roman"/>
          <w:b/>
          <w:bCs/>
        </w:rPr>
        <w:t xml:space="preserve">不超过合同金额5%</w:t>
      </w:r>
      <w:r>
        <w:rPr>
          <w:rFonts w:hint="default" w:ascii="Times New Roman" w:hAnsi="Times New Roman" w:cs="Times New Roman"/>
        </w:rPr>
        <w:t xml:space="preserve">的比例进行随机抽检，检验依据现行有效的国家或行业标准。</w:t>
      </w:r>
      <w:r>
        <w:rPr>
          <w:rFonts w:hint="default" w:ascii="Times New Roman" w:hAnsi="Times New Roman" w:cs="Times New Roman"/>
          <w:b/>
          <w:bCs/>
        </w:rPr>
        <w:t xml:space="preserve">若检测合格由采购人支付检测费用，检测不合格由供应商支付，</w:t>
      </w:r>
      <w:r>
        <w:rPr>
          <w:rFonts w:hint="default" w:ascii="Times New Roman" w:hAnsi="Times New Roman" w:cs="Times New Roman"/>
        </w:rPr>
        <w:t xml:space="preserve">且采购人书面通知供应商限期进行整改。若供应商未按时完成整改或整改后再次抽检仍不合格的，</w:t>
      </w:r>
      <w:r>
        <w:rPr>
          <w:rFonts w:hint="default" w:ascii="Times New Roman" w:hAnsi="Times New Roman" w:cs="Times New Roman"/>
          <w:b/>
          <w:bCs/>
        </w:rPr>
        <w:t xml:space="preserve">则采购人有权终止合同，重新采购，由此造成的一切损失由供应商承担。</w:t>
      </w:r>
      <w:r/>
    </w:p>
    <w:p>
      <w:pPr>
        <w:jc w:val="left"/>
        <w:spacing w:line="360" w:lineRule="auto"/>
        <w:rPr>
          <w:rFonts w:hint="default" w:ascii="Times New Roman" w:hAnsi="Times New Roman" w:cs="Times New Roman"/>
          <w:b/>
          <w:bCs/>
        </w:rPr>
      </w:pPr>
      <w:r>
        <w:rPr>
          <w:rFonts w:hint="default" w:ascii="Times New Roman" w:hAnsi="Times New Roman" w:cs="Times New Roman"/>
          <w:b/>
          <w:bCs/>
        </w:rPr>
        <w:t xml:space="preserve">5.3最终验收</w:t>
      </w:r>
      <w:r/>
    </w:p>
    <w:p>
      <w:pPr>
        <w:jc w:val="left"/>
        <w:spacing w:line="360" w:lineRule="auto"/>
        <w:rPr>
          <w:rFonts w:hint="default" w:ascii="Times New Roman" w:hAnsi="Times New Roman" w:cs="Times New Roman"/>
          <w:b/>
          <w:bCs/>
        </w:rPr>
      </w:pPr>
      <w:r>
        <w:rPr>
          <w:rFonts w:hint="default" w:ascii="Times New Roman" w:hAnsi="Times New Roman" w:cs="Times New Roman"/>
          <w:b/>
          <w:bCs/>
        </w:rPr>
        <w:t xml:space="preserve">5.3.1验收准备</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5.3.1.1合同履行达到采购文件明确的验收条件时，供应商应向采购人发出项目验收申请，确定验收时间、地点及有关事项。供应商未及时履约或发出验收申请的，采购人应及时书面催告，提出履约验收要求。</w:t>
      </w:r>
      <w:r>
        <w:rPr>
          <w:rFonts w:hint="default" w:ascii="Times New Roman" w:hAnsi="Times New Roman" w:cs="Times New Roman"/>
          <w:b/>
          <w:bCs/>
        </w:rPr>
        <w:t xml:space="preserve">供应商在收到催告后五个工作日内拒不配合的，采购人应依照合同约定追究其责任。</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5.3.1.2供应商应当配合采购人、采购代理机构做好项目验收工作，及时提供与项目验收相关的生产、技术、服务、数量、质量、安全、合格证明及验收所必须具备的其他材料。</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5.3.1.3采购人应及时全面准备验收，自收到验收申请之日起</w:t>
      </w:r>
      <w:r>
        <w:rPr>
          <w:rFonts w:hint="default" w:ascii="Times New Roman" w:hAnsi="Times New Roman" w:cs="Times New Roman"/>
          <w:b/>
        </w:rPr>
        <w:t xml:space="preserve">五个工作日</w:t>
      </w:r>
      <w:r>
        <w:rPr>
          <w:rFonts w:hint="default" w:ascii="Times New Roman" w:hAnsi="Times New Roman" w:cs="Times New Roman"/>
        </w:rPr>
        <w:t xml:space="preserve">内做好通水、通电、准备验收工具等必要的验收准备工作、启动项目验收、通知供应商。</w:t>
      </w:r>
      <w:r/>
    </w:p>
    <w:p>
      <w:pPr>
        <w:jc w:val="left"/>
        <w:spacing w:line="360" w:lineRule="auto"/>
        <w:rPr>
          <w:rFonts w:hint="default" w:ascii="Times New Roman" w:hAnsi="Times New Roman" w:cs="Times New Roman"/>
          <w:b/>
          <w:bCs/>
        </w:rPr>
      </w:pPr>
      <w:r>
        <w:rPr>
          <w:rFonts w:hint="default" w:ascii="Times New Roman" w:hAnsi="Times New Roman" w:cs="Times New Roman"/>
          <w:b/>
          <w:bCs/>
        </w:rPr>
        <w:t xml:space="preserve">5.3.2验收小组</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5.3.2.1</w:t>
      </w:r>
      <w:r>
        <w:rPr>
          <w:rFonts w:hint="default" w:ascii="Times New Roman" w:hAnsi="Times New Roman" w:cs="Times New Roman"/>
          <w:b/>
          <w:bCs/>
        </w:rPr>
        <w:t xml:space="preserve">采购人应当组织成立验收小组</w:t>
      </w:r>
      <w:r>
        <w:rPr>
          <w:rFonts w:hint="default" w:ascii="Times New Roman" w:hAnsi="Times New Roman" w:cs="Times New Roman"/>
        </w:rPr>
        <w:t xml:space="preserve">，验收小组负责实施项目验收工作，其成员构成、人员数量以及负责人由采购人确定，</w:t>
      </w:r>
      <w:r>
        <w:rPr>
          <w:rFonts w:hint="default" w:ascii="Times New Roman" w:hAnsi="Times New Roman" w:cs="Times New Roman"/>
          <w:b/>
          <w:bCs/>
        </w:rPr>
        <w:t xml:space="preserve">劳务报酬等费用由采购人承担</w:t>
      </w:r>
      <w:r>
        <w:rPr>
          <w:rFonts w:hint="default" w:ascii="Times New Roman" w:hAnsi="Times New Roman" w:cs="Times New Roman"/>
        </w:rPr>
        <w:t xml:space="preserve">。验收小组应由采购人指定的具有相关专业能力或从事相关领域工作的 3 人以上单数人员组成，其中至少包含 1 名采购人的工作人员，若经办采购的人员与采购需求人员分属不同部门，二者应当同时参与验收。</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5.3.2.2采购人可以委托同领域其他单位或者第三方专业机构人员，该人员不得同时作为《苏州工业园区政府采购履约验收管理暂行办法》第二十八条规定的参与验收人员。</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5.3.2.3采取代建方式进行采购的，结合代建协议内容按照前款5.3.2.1、5.3.2.2成立验收小组。日常考核、分段验收小组成员的组成不受5.3.2.1、5.3.2.2规定约束，但采购人的工作人员必须参与最终验收。</w:t>
      </w:r>
      <w:r/>
    </w:p>
    <w:p>
      <w:pPr>
        <w:jc w:val="left"/>
        <w:spacing w:line="360" w:lineRule="auto"/>
        <w:rPr>
          <w:rFonts w:hint="default" w:ascii="Times New Roman" w:hAnsi="Times New Roman" w:cs="Times New Roman"/>
          <w:b/>
          <w:bCs/>
        </w:rPr>
      </w:pPr>
      <w:r>
        <w:rPr>
          <w:rFonts w:hint="default" w:ascii="Times New Roman" w:hAnsi="Times New Roman" w:cs="Times New Roman"/>
          <w:b/>
          <w:bCs/>
        </w:rPr>
        <w:t xml:space="preserve">5.3.3参与验收人员</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5.3.3.1对于采购人和使用人分离的采购项目，采购人应当邀请实际使用人参与验收。政府向社会公众提供的公共服务项目，验收时应当邀请服务对象参与，且验收结果应当向社会公布。</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5.3.3.2采购人可以邀请参加本项目的其他供应商、专家、第三方专业机构参与验收。若采购项目受到参与该项目投标（响应）的其他供应商的投诉，且投诉事项是针对中标结果中的型号、参数等与履约验收相关问题的，可以重点邀请前述供应商参与验收</w:t>
      </w:r>
      <w:r/>
    </w:p>
    <w:p>
      <w:pPr>
        <w:jc w:val="left"/>
        <w:spacing w:line="360" w:lineRule="auto"/>
        <w:rPr>
          <w:rFonts w:hint="default" w:ascii="Times New Roman" w:hAnsi="Times New Roman" w:cs="Times New Roman"/>
          <w:b/>
          <w:bCs/>
        </w:rPr>
      </w:pPr>
      <w:r>
        <w:rPr>
          <w:rFonts w:hint="default" w:ascii="Times New Roman" w:hAnsi="Times New Roman" w:cs="Times New Roman"/>
          <w:b/>
          <w:bCs/>
        </w:rPr>
        <w:t xml:space="preserve">5.3.4验收内容</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5.3.4.1验收时，验收小组应与供应商一起验货，如发现货物短缺、质次、损坏、产地和规格不符等问题，应作详细记录由双方进行签字确认，</w:t>
      </w:r>
      <w:r>
        <w:rPr>
          <w:rFonts w:hint="default" w:ascii="Times New Roman" w:hAnsi="Times New Roman" w:cs="Times New Roman"/>
          <w:b/>
          <w:bCs/>
        </w:rPr>
        <w:t xml:space="preserve">供应商立即无条件地在合同约定期限内调换或补齐，由此造成的一切损失由供应商承担。</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5.3.4.2交付验收标准适用标准为：</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①按照现行国家标准执行，无国家标准的，按行业标准执行，无国家和行业标准的，按企业标准执行，并且应符合相关法律、法规规定的要求；</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②采购文件所列的各项要求、采购合同、供应商在投标（响应）文件中承诺的质量技术指标。</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项目验收应当按上述标准核对品牌、规格、型号、配置、零部件编号、制造商名称、数量、价格；检查是否有检验证（出厂、到货、安装、调试检验）、合格证、保修证、说明书及原始装箱配置清单并加盖制造商供货专用章；核实供应商售后服务、安全标准等合同约定内容；需现场进行安装调试的，检验设备运行状况。</w:t>
      </w:r>
      <w:r/>
    </w:p>
    <w:p>
      <w:pPr>
        <w:jc w:val="left"/>
        <w:spacing w:line="360" w:lineRule="auto"/>
        <w:rPr>
          <w:rFonts w:hint="default" w:ascii="Times New Roman" w:hAnsi="Times New Roman" w:cs="Times New Roman"/>
        </w:rPr>
      </w:pPr>
      <w:r>
        <w:rPr>
          <w:rFonts w:hint="default" w:ascii="Times New Roman" w:hAnsi="Times New Roman" w:cs="Times New Roman"/>
          <w:b/>
          <w:bCs/>
        </w:rPr>
        <w:t xml:space="preserve">5.3.5验收记录</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5.3.5.1验收小组应当要求参与验收的供应商、专业机构、专家和服务对象等出具书面意见，作为验收书的重要组成部分。</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5.3.5.2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5.3.5.3验收结束后，验收小组应在验收书中作出最终验收意见，验收小组成员对验收意见有异议的，应当在验收意见栏签署不同意见并说明理由，否则视为同意验收意见。验收意见由供应商盖章确认后报采购人。</w:t>
      </w:r>
      <w:r/>
    </w:p>
    <w:p>
      <w:pPr>
        <w:jc w:val="left"/>
        <w:spacing w:line="360" w:lineRule="auto"/>
        <w:rPr>
          <w:rFonts w:hint="default" w:ascii="Times New Roman" w:hAnsi="Times New Roman" w:cs="Times New Roman"/>
          <w:b/>
        </w:rPr>
      </w:pPr>
      <w:r>
        <w:rPr>
          <w:rFonts w:hint="default" w:ascii="Times New Roman" w:hAnsi="Times New Roman" w:cs="Times New Roman"/>
          <w:b/>
        </w:rPr>
        <w:t xml:space="preserve">六、验收结果</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6.1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6.2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6.3</w:t>
      </w:r>
      <w:r>
        <w:rPr>
          <w:rFonts w:hint="default" w:ascii="Times New Roman" w:hAnsi="Times New Roman" w:cs="Times New Roman"/>
          <w:b/>
          <w:bCs/>
        </w:rPr>
        <w:t xml:space="preserve">《政府采购履约验收书》（见下表1）、合同是申请支付政府采购合同价款的必备资料。</w:t>
      </w:r>
      <w:r>
        <w:rPr>
          <w:rFonts w:hint="default" w:ascii="Times New Roman" w:hAnsi="Times New Roman" w:cs="Times New Roman"/>
        </w:rPr>
        <w:t xml:space="preserve">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jc w:val="left"/>
        <w:spacing w:line="360" w:lineRule="auto"/>
        <w:rPr>
          <w:rFonts w:hint="default" w:ascii="Times New Roman" w:hAnsi="Times New Roman" w:cs="Times New Roman"/>
        </w:rPr>
      </w:pPr>
      <w:r>
        <w:rPr>
          <w:rFonts w:hint="default" w:ascii="Times New Roman" w:hAnsi="Times New Roman" w:cs="Times New Roman"/>
          <w:b/>
        </w:rPr>
        <w:t xml:space="preserve">七、验收资料归档</w:t>
      </w:r>
      <w:r/>
    </w:p>
    <w:p>
      <w:pPr>
        <w:jc w:val="left"/>
        <w:spacing w:line="360" w:lineRule="auto"/>
        <w:rPr>
          <w:rFonts w:hint="default" w:ascii="Times New Roman" w:hAnsi="Times New Roman" w:cs="Times New Roman"/>
        </w:rPr>
      </w:pPr>
      <w:r>
        <w:rPr>
          <w:rFonts w:hint="default" w:ascii="Times New Roman" w:hAnsi="Times New Roman" w:cs="Times New Roman"/>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p>
    <w:p>
      <w:pPr>
        <w:rPr>
          <w:rFonts w:hint="default" w:ascii="Times New Roman" w:hAnsi="Times New Roman" w:cs="Times New Roman"/>
        </w:rPr>
      </w:pPr>
      <w:r>
        <w:rPr>
          <w:rFonts w:hint="default" w:ascii="Times New Roman" w:hAnsi="Times New Roman" w:cs="Times New Roman"/>
        </w:rPr>
        <w:br w:type="page" w:clear="all"/>
      </w:r>
      <w:r/>
    </w:p>
    <w:tbl>
      <w:tblPr>
        <w:tblStyle w:val="858"/>
        <w:tblpPr w:horzAnchor="page" w:tblpX="996" w:vertAnchor="text" w:tblpY="-181" w:leftFromText="180" w:topFromText="0" w:rightFromText="180" w:bottomFromText="0"/>
        <w:tblW w:w="5127" w:type="pct"/>
        <w:tblInd w:w="0" w:type="dxa"/>
        <w:tblLayout w:type="fixed"/>
        <w:tblCellMar>
          <w:left w:w="108" w:type="dxa"/>
          <w:top w:w="0" w:type="dxa"/>
          <w:right w:w="108" w:type="dxa"/>
          <w:bottom w:w="0" w:type="dxa"/>
        </w:tblCellMar>
        <w:tblLook w:val="04A0" w:firstRow="1" w:lastRow="0" w:firstColumn="1" w:lastColumn="0" w:noHBand="0" w:noVBand="1"/>
      </w:tblPr>
      <w:tblGrid>
        <w:gridCol w:w="1594"/>
        <w:gridCol w:w="1448"/>
        <w:gridCol w:w="3387"/>
        <w:gridCol w:w="1391"/>
        <w:gridCol w:w="1446"/>
        <w:gridCol w:w="1304"/>
      </w:tblGrid>
      <w:tr>
        <w:trPr>
          <w:trHeight w:val="600"/>
        </w:trPr>
        <w:tc>
          <w:tcPr>
            <w:gridSpan w:val="6"/>
            <w:shd w:val="clear" w:color="auto" w:fill="auto"/>
            <w:tcW w:w="5000" w:type="pct"/>
            <w:vAlign w:val="center"/>
            <w:textDirection w:val="lrTb"/>
            <w:noWrap/>
          </w:tcPr>
          <w:p>
            <w:pPr>
              <w:jc w:val="center"/>
              <w:spacing w:line="480" w:lineRule="auto"/>
              <w:rPr>
                <w:rFonts w:hint="default" w:ascii="Times New Roman" w:hAnsi="Times New Roman" w:cs="Times New Roman"/>
                <w:b/>
                <w:bCs/>
                <w:color w:val="000000"/>
                <w:szCs w:val="21"/>
              </w:rPr>
            </w:pPr>
            <w:r>
              <w:rPr>
                <w:rFonts w:hint="default" w:ascii="Times New Roman" w:hAnsi="Times New Roman" w:eastAsia="等线" w:cs="Times New Roman"/>
                <w:b/>
                <w:bCs/>
                <w:color w:val="000000"/>
                <w:sz w:val="24"/>
                <w:szCs w:val="24"/>
              </w:rPr>
              <w:t xml:space="preserve">表1</w:t>
            </w:r>
            <w:r>
              <w:rPr>
                <w:rFonts w:hint="default" w:ascii="Times New Roman" w:hAnsi="Times New Roman" w:cs="Times New Roman"/>
                <w:b/>
                <w:bCs/>
                <w:color w:val="000000"/>
                <w:sz w:val="24"/>
                <w:szCs w:val="24"/>
              </w:rPr>
              <w:t xml:space="preserve">：政府采购履约验收书（货物类）</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 xml:space="preserve">采购人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7" w:type="pct"/>
            <w:vAlign w:val="center"/>
            <w:textDirection w:val="lrTb"/>
            <w:noWrap/>
          </w:tcPr>
          <w:p>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 xml:space="preserve">供应商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tcPr>
          <w:p>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 xml:space="preserve">（姓名+职务+单位）</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 xml:space="preserve">采购代理机构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7" w:type="pct"/>
            <w:vAlign w:val="center"/>
            <w:textDirection w:val="lrTb"/>
            <w:noWrap/>
          </w:tcPr>
          <w:p>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 xml:space="preserve">验收日期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tcPr>
          <w:p>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 xml:space="preserve">合同金额</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7" w:type="pct"/>
            <w:vAlign w:val="center"/>
            <w:textDirection w:val="lrTb"/>
            <w:noWrap/>
          </w:tcPr>
          <w:p>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 xml:space="preserve">采购方式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tcPr>
          <w:p>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 xml:space="preserve">项目名称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945" w:type="pct"/>
            <w:vAlign w:val="center"/>
            <w:textDirection w:val="lrTb"/>
            <w:noWrap/>
          </w:tcPr>
          <w:p>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 xml:space="preserve">项目编号</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tcPr>
          <w:p>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 xml:space="preserve">验收组织形式</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246" w:type="pct"/>
            <w:vAlign w:val="center"/>
            <w:textDirection w:val="lrTb"/>
            <w:noWrap w:val="false"/>
          </w:tcPr>
          <w:p>
            <w:pPr>
              <w:rPr>
                <w:rFonts w:hint="default" w:ascii="Times New Roman" w:hAnsi="Times New Roman" w:cs="Times New Roman"/>
                <w:color w:val="000000"/>
                <w:szCs w:val="21"/>
              </w:rPr>
            </w:pPr>
            <w:r>
              <w:rPr>
                <w:rFonts w:hint="default" w:ascii="Times New Roman" w:hAnsi="Times New Roman" w:cs="Times New Roman"/>
                <w:color w:val="000000"/>
                <w:szCs w:val="21"/>
              </w:rPr>
              <w:t xml:space="preserve">□采购人自行组织验收          □委托代理机构验收</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 xml:space="preserve">是否日常考核/分段验收</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left"/>
              <w:rPr>
                <w:rFonts w:hint="default" w:ascii="Times New Roman" w:hAnsi="Times New Roman" w:cs="Times New Roman"/>
                <w:color w:val="000000"/>
                <w:szCs w:val="21"/>
              </w:rPr>
            </w:pPr>
            <w:r>
              <w:rPr>
                <w:rFonts w:hint="default" w:ascii="Times New Roman" w:hAnsi="Times New Roman" w:cs="Times New Roman"/>
                <w:color w:val="000000"/>
                <w:szCs w:val="21"/>
              </w:rPr>
              <w:t xml:space="preserve">□是        □否</w:t>
            </w:r>
            <w:r/>
          </w:p>
        </w:tc>
        <w:tc>
          <w:tcPr>
            <w:shd w:val="clear" w:color="auto" w:fill="auto"/>
            <w:tcBorders>
              <w:top w:val="single" w:color="000000" w:sz="4" w:space="0"/>
              <w:left w:val="single" w:color="000000" w:sz="4" w:space="0"/>
              <w:bottom w:val="none" w:color="000000" w:sz="4" w:space="0"/>
              <w:right w:val="single" w:color="000000" w:sz="4" w:space="0"/>
            </w:tcBorders>
            <w:tcW w:w="1602" w:type="pct"/>
            <w:vAlign w:val="center"/>
            <w:textDirection w:val="lrTb"/>
            <w:noWrap/>
          </w:tcPr>
          <w:p>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 xml:space="preserve">日常考核/分段验收情况</w:t>
            </w:r>
            <w:r/>
          </w:p>
        </w:tc>
        <w:tc>
          <w:tcPr>
            <w:gridSpan w:val="3"/>
            <w:shd w:val="clear" w:color="auto" w:fill="auto"/>
            <w:tcBorders>
              <w:top w:val="single" w:color="000000" w:sz="4" w:space="0"/>
              <w:left w:val="none" w:color="000000" w:sz="4" w:space="0"/>
              <w:bottom w:val="none" w:color="000000" w:sz="4" w:space="0"/>
              <w:right w:val="single" w:color="000000" w:sz="4" w:space="0"/>
            </w:tcBorders>
            <w:tcW w:w="1959" w:type="pct"/>
            <w:vAlign w:val="center"/>
            <w:textDirection w:val="lrTb"/>
            <w:noWrap w:val="false"/>
          </w:tcPr>
          <w:p>
            <w:pPr>
              <w:jc w:val="left"/>
              <w:rPr>
                <w:rFonts w:hint="default" w:ascii="Times New Roman" w:hAnsi="Times New Roman" w:cs="Times New Roman"/>
                <w:color w:val="000000"/>
                <w:szCs w:val="21"/>
              </w:rPr>
            </w:pPr>
            <w:r>
              <w:rPr>
                <w:rFonts w:hint="default" w:ascii="Times New Roman" w:hAnsi="Times New Roman" w:cs="Times New Roman"/>
                <w:color w:val="000000"/>
                <w:szCs w:val="21"/>
              </w:rPr>
              <w:t xml:space="preserve">本项目验收共分        期，本次为第        期</w:t>
            </w:r>
            <w:r/>
          </w:p>
        </w:tc>
      </w:tr>
      <w:tr>
        <w:trPr>
          <w:trHeight w:val="500"/>
        </w:trPr>
        <w:tc>
          <w:tcPr>
            <w:gridSpan w:val="2"/>
            <w:shd w:val="clear" w:color="auto" w:fill="auto"/>
            <w:tcBorders>
              <w:top w:val="single" w:color="000000" w:sz="4" w:space="0"/>
              <w:left w:val="single" w:color="000000" w:sz="4" w:space="0"/>
              <w:bottom w:val="single" w:color="000000" w:sz="4" w:space="0"/>
              <w:right w:val="single" w:color="000000" w:sz="4" w:space="0"/>
            </w:tcBorders>
            <w:tcW w:w="1439" w:type="pct"/>
            <w:vAlign w:val="center"/>
            <w:textDirection w:val="lrTb"/>
            <w:noWrap/>
          </w:tcPr>
          <w:p>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 xml:space="preserve">验收人员</w:t>
            </w:r>
            <w:r/>
          </w:p>
        </w:tc>
        <w:tc>
          <w:tcPr>
            <w:shd w:val="clear" w:color="auto" w:fill="auto"/>
            <w:tcBorders>
              <w:top w:val="single" w:color="000000" w:sz="4" w:space="0"/>
              <w:left w:val="single" w:color="000000" w:sz="4" w:space="0"/>
              <w:bottom w:val="single" w:color="000000" w:sz="4" w:space="0"/>
              <w:right w:val="single" w:color="000000" w:sz="4" w:space="0"/>
            </w:tcBorders>
            <w:tcW w:w="1602" w:type="pct"/>
            <w:vAlign w:val="center"/>
            <w:textDirection w:val="lrTb"/>
            <w:noWrap/>
          </w:tcPr>
          <w:p>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 xml:space="preserve">验收方式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 xml:space="preserve">验收依据和过程（可附附件）</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 xml:space="preserve">验收意见</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vMerge w:val="restart"/>
            <w:textDirection w:val="lrTb"/>
            <w:noWrap/>
          </w:tcPr>
          <w:p>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 xml:space="preserve">验收小组成员</w:t>
            </w:r>
            <w:r/>
          </w:p>
        </w:tc>
        <w:tc>
          <w:tcPr>
            <w:shd w:val="clear" w:color="auto" w:fill="auto"/>
            <w:tcBorders>
              <w:top w:val="single" w:color="000000" w:sz="4" w:space="0"/>
              <w:left w:val="single" w:color="000000" w:sz="4" w:space="0"/>
              <w:bottom w:val="single" w:color="000000" w:sz="4" w:space="0"/>
              <w:right w:val="single" w:color="000000" w:sz="4" w:space="0"/>
            </w:tcBorders>
            <w:tcW w:w="685" w:type="pct"/>
            <w:textDirection w:val="lrTb"/>
            <w:noWrap w:val="false"/>
          </w:tcPr>
          <w:p>
            <w:pPr>
              <w:jc w:val="left"/>
              <w:rPr>
                <w:rFonts w:hint="default" w:ascii="Times New Roman" w:hAnsi="Times New Roman" w:cs="Times New Roman"/>
                <w:color w:val="000000"/>
                <w:szCs w:val="21"/>
              </w:rPr>
            </w:pPr>
            <w:r>
              <w:rPr>
                <w:rFonts w:hint="default" w:ascii="Times New Roman" w:hAnsi="Times New Roman" w:cs="Times New Roman"/>
                <w:color w:val="000000"/>
                <w:szCs w:val="21"/>
              </w:rPr>
              <w:t xml:space="preserve">□采购人：</w:t>
            </w:r>
            <w:r/>
          </w:p>
          <w:p>
            <w:pPr>
              <w:jc w:val="left"/>
              <w:rPr>
                <w:rFonts w:hint="default" w:ascii="Times New Roman" w:hAnsi="Times New Roman" w:cs="Times New Roman"/>
                <w:color w:val="000000"/>
                <w:szCs w:val="21"/>
              </w:rPr>
            </w:pPr>
            <w:r>
              <w:rPr>
                <w:rFonts w:hint="default" w:ascii="Times New Roman" w:hAnsi="Times New Roman" w:cs="Times New Roman"/>
                <w:color w:val="000000"/>
                <w:szCs w:val="21"/>
              </w:rPr>
              <w:t xml:space="preserve">（非日常考核/分段验收时必选）</w:t>
            </w:r>
            <w:r/>
          </w:p>
          <w:p>
            <w:pPr>
              <w:jc w:val="left"/>
              <w:rPr>
                <w:rFonts w:hint="default" w:ascii="Times New Roman" w:hAnsi="Times New Roman" w:cs="Times New Roman"/>
                <w:color w:val="000000"/>
                <w:szCs w:val="21"/>
              </w:rPr>
            </w:pPr>
            <w:r>
              <w:rPr>
                <w:rFonts w:hint="default" w:ascii="Times New Roman" w:hAnsi="Times New Roman" w:cs="Times New Roman"/>
                <w:color w:val="000000"/>
                <w:szCs w:val="21"/>
              </w:rPr>
              <w:t xml:space="preserve">（姓名+所属部门）</w:t>
            </w:r>
            <w:r/>
          </w:p>
        </w:tc>
        <w:tc>
          <w:tcPr>
            <w:shd w:val="clear" w:color="auto" w:fill="auto"/>
            <w:tcBorders>
              <w:top w:val="single" w:color="000000" w:sz="4" w:space="0"/>
              <w:left w:val="single" w:color="000000" w:sz="4" w:space="0"/>
              <w:bottom w:val="single" w:color="000000" w:sz="4" w:space="0"/>
              <w:right w:val="single" w:color="000000" w:sz="4" w:space="0"/>
            </w:tcBorders>
            <w:tcW w:w="1602" w:type="pct"/>
            <w:vAlign w:val="center"/>
            <w:vMerge w:val="restart"/>
            <w:textDirection w:val="lrTb"/>
            <w:noWrap w:val="false"/>
          </w:tcPr>
          <w:p>
            <w:pPr>
              <w:jc w:val="left"/>
              <w:rPr>
                <w:rFonts w:hint="default" w:ascii="Times New Roman" w:hAnsi="Times New Roman" w:cs="Times New Roman"/>
                <w:color w:val="000000"/>
                <w:szCs w:val="21"/>
              </w:rPr>
            </w:pPr>
            <w:r>
              <w:rPr>
                <w:rFonts w:hint="default" w:ascii="Times New Roman" w:hAnsi="Times New Roman" w:cs="Times New Roman"/>
                <w:color w:val="000000"/>
                <w:szCs w:val="21"/>
              </w:rPr>
              <w:t xml:space="preserve">□外包装检查</w:t>
            </w:r>
            <w:r/>
          </w:p>
          <w:p>
            <w:pPr>
              <w:jc w:val="left"/>
              <w:rPr>
                <w:rFonts w:hint="default" w:ascii="Times New Roman" w:hAnsi="Times New Roman" w:cs="Times New Roman"/>
                <w:color w:val="000000"/>
                <w:szCs w:val="21"/>
              </w:rPr>
            </w:pPr>
            <w:r>
              <w:rPr>
                <w:rFonts w:hint="default" w:ascii="Times New Roman" w:hAnsi="Times New Roman" w:cs="Times New Roman"/>
                <w:color w:val="000000"/>
                <w:szCs w:val="21"/>
              </w:rPr>
            </w:r>
            <w:r/>
          </w:p>
          <w:p>
            <w:pPr>
              <w:jc w:val="left"/>
              <w:rPr>
                <w:rFonts w:hint="default" w:ascii="Times New Roman" w:hAnsi="Times New Roman" w:cs="Times New Roman"/>
                <w:color w:val="000000"/>
                <w:szCs w:val="21"/>
              </w:rPr>
            </w:pPr>
            <w:r>
              <w:rPr>
                <w:rFonts w:hint="default" w:ascii="Times New Roman" w:hAnsi="Times New Roman" w:cs="Times New Roman"/>
                <w:color w:val="000000"/>
                <w:szCs w:val="21"/>
              </w:rPr>
              <w:t xml:space="preserve">□核对规格参数和数量</w:t>
            </w:r>
            <w:r/>
          </w:p>
          <w:p>
            <w:pPr>
              <w:jc w:val="left"/>
              <w:rPr>
                <w:rFonts w:hint="default" w:ascii="Times New Roman" w:hAnsi="Times New Roman" w:cs="Times New Roman"/>
                <w:color w:val="000000"/>
                <w:szCs w:val="21"/>
              </w:rPr>
            </w:pPr>
            <w:r>
              <w:rPr>
                <w:rFonts w:hint="default" w:ascii="Times New Roman" w:hAnsi="Times New Roman" w:cs="Times New Roman"/>
                <w:color w:val="000000"/>
                <w:szCs w:val="21"/>
              </w:rPr>
            </w:r>
            <w:r/>
          </w:p>
          <w:p>
            <w:pPr>
              <w:jc w:val="left"/>
              <w:rPr>
                <w:rFonts w:hint="default" w:ascii="Times New Roman" w:hAnsi="Times New Roman" w:cs="Times New Roman"/>
                <w:color w:val="000000"/>
                <w:szCs w:val="21"/>
              </w:rPr>
            </w:pPr>
            <w:r>
              <w:rPr>
                <w:rFonts w:hint="default" w:ascii="Times New Roman" w:hAnsi="Times New Roman" w:cs="Times New Roman"/>
                <w:color w:val="000000"/>
                <w:szCs w:val="21"/>
              </w:rPr>
              <w:t xml:space="preserve">□检查标的物合格证、说明书等证明信息</w:t>
            </w:r>
            <w:r/>
          </w:p>
          <w:p>
            <w:pPr>
              <w:jc w:val="left"/>
              <w:rPr>
                <w:rFonts w:hint="default" w:ascii="Times New Roman" w:hAnsi="Times New Roman" w:cs="Times New Roman"/>
                <w:color w:val="000000"/>
                <w:szCs w:val="21"/>
              </w:rPr>
            </w:pPr>
            <w:r>
              <w:rPr>
                <w:rFonts w:hint="default" w:ascii="Times New Roman" w:hAnsi="Times New Roman" w:cs="Times New Roman"/>
                <w:color w:val="000000"/>
                <w:szCs w:val="21"/>
              </w:rPr>
            </w:r>
            <w:r/>
          </w:p>
          <w:p>
            <w:pPr>
              <w:jc w:val="left"/>
              <w:rPr>
                <w:rFonts w:hint="default" w:ascii="Times New Roman" w:hAnsi="Times New Roman" w:cs="Times New Roman"/>
                <w:color w:val="000000"/>
                <w:szCs w:val="21"/>
              </w:rPr>
            </w:pPr>
            <w:r>
              <w:rPr>
                <w:rFonts w:hint="default" w:ascii="Times New Roman" w:hAnsi="Times New Roman" w:cs="Times New Roman"/>
                <w:color w:val="000000"/>
                <w:szCs w:val="21"/>
              </w:rPr>
              <w:t xml:space="preserve">□安装调试</w:t>
            </w:r>
            <w:r/>
          </w:p>
          <w:p>
            <w:pPr>
              <w:jc w:val="left"/>
              <w:rPr>
                <w:rFonts w:hint="default" w:ascii="Times New Roman" w:hAnsi="Times New Roman" w:cs="Times New Roman"/>
                <w:color w:val="000000"/>
                <w:szCs w:val="21"/>
              </w:rPr>
            </w:pPr>
            <w:r>
              <w:rPr>
                <w:rFonts w:hint="default" w:ascii="Times New Roman" w:hAnsi="Times New Roman" w:cs="Times New Roman"/>
                <w:color w:val="000000"/>
                <w:szCs w:val="21"/>
              </w:rPr>
            </w:r>
            <w:r/>
          </w:p>
          <w:p>
            <w:pPr>
              <w:jc w:val="left"/>
              <w:rPr>
                <w:rFonts w:hint="default" w:ascii="Times New Roman" w:hAnsi="Times New Roman" w:cs="Times New Roman"/>
                <w:color w:val="000000"/>
                <w:szCs w:val="21"/>
              </w:rPr>
            </w:pPr>
            <w:r>
              <w:rPr>
                <w:rFonts w:hint="default" w:ascii="Times New Roman" w:hAnsi="Times New Roman" w:cs="Times New Roman"/>
                <w:color w:val="000000"/>
                <w:szCs w:val="21"/>
              </w:rPr>
              <w:t xml:space="preserve">□核实供应商售后服务等在响应文件中承诺的内容</w:t>
            </w:r>
            <w:r/>
          </w:p>
          <w:p>
            <w:pPr>
              <w:jc w:val="left"/>
              <w:rPr>
                <w:rFonts w:hint="default" w:ascii="Times New Roman" w:hAnsi="Times New Roman" w:cs="Times New Roman"/>
                <w:color w:val="000000"/>
                <w:szCs w:val="21"/>
              </w:rPr>
            </w:pPr>
            <w:r>
              <w:rPr>
                <w:rFonts w:hint="default" w:ascii="Times New Roman" w:hAnsi="Times New Roman" w:cs="Times New Roman"/>
                <w:color w:val="000000"/>
                <w:szCs w:val="21"/>
              </w:rPr>
            </w:r>
            <w:r/>
          </w:p>
          <w:p>
            <w:pPr>
              <w:jc w:val="left"/>
              <w:rPr>
                <w:rFonts w:hint="default" w:ascii="Times New Roman" w:hAnsi="Times New Roman" w:cs="Times New Roman"/>
                <w:color w:val="000000"/>
                <w:szCs w:val="21"/>
              </w:rPr>
            </w:pPr>
            <w:r>
              <w:rPr>
                <w:rFonts w:hint="default" w:ascii="Times New Roman" w:hAnsi="Times New Roman" w:cs="Times New Roman"/>
                <w:color w:val="000000"/>
                <w:szCs w:val="21"/>
              </w:rPr>
              <w:t xml:space="preserve">□对照采购文件中检测机构、检测标准、检测内容对相应标的物进行抽查检验（采购文件中设置相关要求时必选）</w:t>
            </w:r>
            <w:r/>
          </w:p>
          <w:p>
            <w:pPr>
              <w:jc w:val="left"/>
              <w:rPr>
                <w:rFonts w:hint="default" w:ascii="Times New Roman" w:hAnsi="Times New Roman" w:cs="Times New Roman"/>
                <w:color w:val="000000"/>
                <w:szCs w:val="21"/>
              </w:rPr>
            </w:pPr>
            <w:r>
              <w:rPr>
                <w:rFonts w:hint="default" w:ascii="Times New Roman" w:hAnsi="Times New Roman" w:cs="Times New Roman"/>
                <w:color w:val="000000"/>
                <w:szCs w:val="21"/>
              </w:rPr>
            </w:r>
            <w:r/>
          </w:p>
          <w:p>
            <w:pPr>
              <w:jc w:val="left"/>
              <w:rPr>
                <w:rFonts w:hint="default" w:ascii="Times New Roman" w:hAnsi="Times New Roman" w:cs="Times New Roman"/>
                <w:color w:val="000000"/>
                <w:szCs w:val="21"/>
              </w:rPr>
            </w:pPr>
            <w:r>
              <w:rPr>
                <w:rFonts w:hint="default" w:ascii="Times New Roman" w:hAnsi="Times New Roman" w:cs="Times New Roman"/>
                <w:color w:val="000000"/>
                <w:szCs w:val="21"/>
              </w:rPr>
              <w:t xml:space="preserve">□对照采购人需求，对标的物中涉及专业领域的部分进行复核</w:t>
            </w:r>
            <w:r/>
          </w:p>
          <w:p>
            <w:pPr>
              <w:jc w:val="left"/>
              <w:rPr>
                <w:rFonts w:hint="default" w:ascii="Times New Roman" w:hAnsi="Times New Roman" w:cs="Times New Roman"/>
                <w:color w:val="000000"/>
                <w:szCs w:val="21"/>
              </w:rPr>
            </w:pPr>
            <w:r>
              <w:rPr>
                <w:rFonts w:hint="default" w:ascii="Times New Roman" w:hAnsi="Times New Roman" w:cs="Times New Roman"/>
                <w:color w:val="000000"/>
                <w:szCs w:val="21"/>
              </w:rPr>
              <w:t xml:space="preserve">□其他：</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42" w:type="pct"/>
            <w:vAlign w:val="center"/>
            <w:vMerge w:val="restart"/>
            <w:textDirection w:val="lrTb"/>
            <w:noWrap w:val="false"/>
          </w:tcPr>
          <w:p>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rPr>
                <w:rFonts w:hint="default" w:ascii="Times New Roman" w:hAnsi="Times New Roman" w:cs="Times New Roman"/>
                <w:color w:val="000000"/>
                <w:szCs w:val="21"/>
              </w:rPr>
            </w:pPr>
            <w:r>
              <w:rPr>
                <w:rFonts w:hint="default" w:ascii="Times New Roman" w:hAnsi="Times New Roman" w:cs="Times New Roman"/>
                <w:color w:val="000000"/>
                <w:szCs w:val="21"/>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vMerge w:val="continue"/>
            <w:textDirection w:val="lrTb"/>
            <w:noWrap/>
          </w:tcPr>
          <w:p>
            <w:pPr>
              <w:rPr>
                <w:rFonts w:hint="default" w:ascii="Times New Roman" w:hAnsi="Times New Roman" w:eastAsia="等线" w:cs="Times New Roman"/>
              </w:rPr>
            </w:pPr>
            <w:r>
              <w:rPr>
                <w:rFonts w:hint="default" w:ascii="Times New Roman" w:hAnsi="Times New Roman" w:eastAsia="等线"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textDirection w:val="lrTb"/>
            <w:noWrap w:val="false"/>
          </w:tcPr>
          <w:p>
            <w:pPr>
              <w:jc w:val="left"/>
              <w:rPr>
                <w:rFonts w:hint="default" w:ascii="Times New Roman" w:hAnsi="Times New Roman" w:cs="Times New Roman"/>
                <w:color w:val="000000"/>
                <w:szCs w:val="21"/>
              </w:rPr>
            </w:pPr>
            <w:r>
              <w:rPr>
                <w:rFonts w:hint="default" w:ascii="Times New Roman" w:hAnsi="Times New Roman" w:cs="Times New Roman"/>
                <w:color w:val="000000"/>
                <w:szCs w:val="21"/>
              </w:rPr>
              <w:t xml:space="preserve">□代建单位：</w:t>
            </w:r>
            <w:r/>
          </w:p>
          <w:p>
            <w:pPr>
              <w:jc w:val="left"/>
              <w:rPr>
                <w:rFonts w:hint="default" w:ascii="Times New Roman" w:hAnsi="Times New Roman" w:cs="Times New Roman"/>
                <w:color w:val="000000"/>
                <w:szCs w:val="21"/>
              </w:rPr>
            </w:pPr>
            <w:r>
              <w:rPr>
                <w:rFonts w:hint="default" w:ascii="Times New Roman" w:hAnsi="Times New Roman" w:cs="Times New Roman"/>
                <w:color w:val="000000"/>
                <w:szCs w:val="21"/>
              </w:rPr>
              <w:t xml:space="preserve">（姓名+单位+所属部门）</w:t>
            </w:r>
            <w:r/>
          </w:p>
        </w:tc>
        <w:tc>
          <w:tcPr>
            <w:shd w:val="clear" w:color="auto" w:fill="auto"/>
            <w:tcBorders>
              <w:top w:val="single" w:color="000000" w:sz="4" w:space="0"/>
              <w:left w:val="single" w:color="000000" w:sz="4" w:space="0"/>
              <w:bottom w:val="single" w:color="000000" w:sz="4" w:space="0"/>
              <w:right w:val="single" w:color="000000" w:sz="4" w:space="0"/>
            </w:tcBorders>
            <w:tcW w:w="1602" w:type="pct"/>
            <w:vAlign w:val="center"/>
            <w:vMerge w:val="continue"/>
            <w:textDirection w:val="lrTb"/>
            <w:noWrap w:val="false"/>
          </w:tcPr>
          <w:p>
            <w:pPr>
              <w:rPr>
                <w:rFonts w:hint="default" w:ascii="Times New Roman" w:hAnsi="Times New Roman" w:eastAsia="等线" w:cs="Times New Roman"/>
              </w:rPr>
            </w:pPr>
            <w:r>
              <w:rPr>
                <w:rFonts w:hint="default" w:ascii="Times New Roman" w:hAnsi="Times New Roman" w:eastAsia="等线" w:cs="Times New Roma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42" w:type="pct"/>
            <w:vAlign w:val="center"/>
            <w:vMerge w:val="continue"/>
            <w:textDirection w:val="lrTb"/>
            <w:noWrap w:val="false"/>
          </w:tcPr>
          <w:p>
            <w:pPr>
              <w:rPr>
                <w:rFonts w:hint="default" w:ascii="Times New Roman" w:hAnsi="Times New Roman" w:eastAsia="等线" w:cs="Times New Roman"/>
              </w:rPr>
            </w:pPr>
            <w:r>
              <w:rPr>
                <w:rFonts w:hint="default" w:ascii="Times New Roman" w:hAnsi="Times New Roman" w:eastAsia="等线"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rPr>
                <w:rFonts w:hint="default" w:ascii="Times New Roman" w:hAnsi="Times New Roman" w:cs="Times New Roman"/>
                <w:color w:val="000000"/>
                <w:szCs w:val="21"/>
              </w:rPr>
            </w:pPr>
            <w:r>
              <w:rPr>
                <w:rFonts w:hint="default" w:ascii="Times New Roman" w:hAnsi="Times New Roman" w:cs="Times New Roman"/>
                <w:color w:val="000000"/>
                <w:szCs w:val="21"/>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vMerge w:val="continue"/>
            <w:textDirection w:val="lrTb"/>
            <w:noWrap/>
          </w:tcPr>
          <w:p>
            <w:pPr>
              <w:rPr>
                <w:rFonts w:hint="default" w:ascii="Times New Roman" w:hAnsi="Times New Roman" w:eastAsia="等线" w:cs="Times New Roman"/>
              </w:rPr>
            </w:pPr>
            <w:r>
              <w:rPr>
                <w:rFonts w:hint="default" w:ascii="Times New Roman" w:hAnsi="Times New Roman" w:eastAsia="等线" w:cs="Times New Roman"/>
              </w:rPr>
            </w:r>
            <w:r/>
          </w:p>
        </w:tc>
        <w:tc>
          <w:tcPr>
            <w:shd w:val="clear" w:color="auto" w:fill="auto"/>
            <w:tcBorders>
              <w:top w:val="single" w:color="000000" w:sz="4" w:space="0"/>
              <w:left w:val="single" w:color="000000" w:sz="4" w:space="0"/>
              <w:bottom w:val="single" w:color="000000" w:sz="4" w:space="0"/>
              <w:right w:val="none" w:color="000000" w:sz="4" w:space="0"/>
            </w:tcBorders>
            <w:tcW w:w="685" w:type="pct"/>
            <w:textDirection w:val="lrTb"/>
            <w:noWrap w:val="false"/>
          </w:tcPr>
          <w:p>
            <w:pPr>
              <w:jc w:val="left"/>
              <w:rPr>
                <w:rFonts w:hint="default" w:ascii="Times New Roman" w:hAnsi="Times New Roman" w:cs="Times New Roman"/>
                <w:color w:val="000000"/>
                <w:szCs w:val="21"/>
              </w:rPr>
            </w:pPr>
            <w:r>
              <w:rPr>
                <w:rFonts w:hint="default" w:ascii="Times New Roman" w:hAnsi="Times New Roman" w:cs="Times New Roman"/>
                <w:color w:val="000000"/>
                <w:szCs w:val="21"/>
              </w:rPr>
              <w:t xml:space="preserve">□受采购人委托的代理机构：</w:t>
            </w:r>
            <w:r/>
          </w:p>
          <w:p>
            <w:pPr>
              <w:jc w:val="left"/>
              <w:rPr>
                <w:rFonts w:hint="default" w:ascii="Times New Roman" w:hAnsi="Times New Roman" w:cs="Times New Roman"/>
                <w:color w:val="000000"/>
                <w:szCs w:val="21"/>
              </w:rPr>
            </w:pPr>
            <w:r>
              <w:rPr>
                <w:rFonts w:hint="default" w:ascii="Times New Roman" w:hAnsi="Times New Roman" w:cs="Times New Roman"/>
                <w:color w:val="000000"/>
                <w:szCs w:val="21"/>
              </w:rPr>
              <w:t xml:space="preserve">(姓名）</w:t>
            </w:r>
            <w:r/>
          </w:p>
        </w:tc>
        <w:tc>
          <w:tcPr>
            <w:shd w:val="clear" w:color="auto" w:fill="auto"/>
            <w:tcBorders>
              <w:top w:val="single" w:color="000000" w:sz="4" w:space="0"/>
              <w:left w:val="single" w:color="000000" w:sz="4" w:space="0"/>
              <w:bottom w:val="single" w:color="000000" w:sz="4" w:space="0"/>
              <w:right w:val="single" w:color="000000" w:sz="4" w:space="0"/>
            </w:tcBorders>
            <w:tcW w:w="1602" w:type="pct"/>
            <w:vAlign w:val="center"/>
            <w:vMerge w:val="continue"/>
            <w:textDirection w:val="lrTb"/>
            <w:noWrap w:val="false"/>
          </w:tcPr>
          <w:p>
            <w:pPr>
              <w:rPr>
                <w:rFonts w:hint="default" w:ascii="Times New Roman" w:hAnsi="Times New Roman" w:eastAsia="等线" w:cs="Times New Roman"/>
              </w:rPr>
            </w:pPr>
            <w:r>
              <w:rPr>
                <w:rFonts w:hint="default" w:ascii="Times New Roman" w:hAnsi="Times New Roman" w:eastAsia="等线" w:cs="Times New Roma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42" w:type="pct"/>
            <w:vAlign w:val="center"/>
            <w:vMerge w:val="continue"/>
            <w:textDirection w:val="lrTb"/>
            <w:noWrap w:val="false"/>
          </w:tcPr>
          <w:p>
            <w:pPr>
              <w:rPr>
                <w:rFonts w:hint="default" w:ascii="Times New Roman" w:hAnsi="Times New Roman" w:eastAsia="等线" w:cs="Times New Roman"/>
              </w:rPr>
            </w:pPr>
            <w:r>
              <w:rPr>
                <w:rFonts w:hint="default" w:ascii="Times New Roman" w:hAnsi="Times New Roman" w:eastAsia="等线"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left"/>
              <w:rPr>
                <w:rFonts w:hint="default" w:ascii="Times New Roman" w:hAnsi="Times New Roman" w:cs="Times New Roman"/>
                <w:color w:val="000000"/>
                <w:szCs w:val="21"/>
              </w:rPr>
            </w:pPr>
            <w:r>
              <w:rPr>
                <w:rFonts w:hint="default" w:ascii="Times New Roman" w:hAnsi="Times New Roman" w:cs="Times New Roman"/>
                <w:color w:val="000000"/>
                <w:szCs w:val="21"/>
              </w:rPr>
            </w:r>
            <w:r/>
          </w:p>
        </w:tc>
      </w:tr>
      <w:tr>
        <w:trPr>
          <w:trHeight w:val="774"/>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vMerge w:val="continue"/>
            <w:textDirection w:val="lrTb"/>
            <w:noWrap/>
          </w:tcPr>
          <w:p>
            <w:pPr>
              <w:rPr>
                <w:rFonts w:hint="default" w:ascii="Times New Roman" w:hAnsi="Times New Roman" w:eastAsia="等线" w:cs="Times New Roman"/>
              </w:rPr>
            </w:pPr>
            <w:r>
              <w:rPr>
                <w:rFonts w:hint="default" w:ascii="Times New Roman" w:hAnsi="Times New Roman" w:eastAsia="等线" w:cs="Times New Roman"/>
              </w:rPr>
            </w:r>
            <w:r/>
          </w:p>
        </w:tc>
        <w:tc>
          <w:tcPr>
            <w:shd w:val="clear" w:color="auto" w:fill="auto"/>
            <w:tcBorders>
              <w:top w:val="single" w:color="000000" w:sz="4" w:space="0"/>
              <w:left w:val="single" w:color="000000" w:sz="4" w:space="0"/>
              <w:bottom w:val="single" w:color="000000" w:sz="4" w:space="0"/>
              <w:right w:val="none" w:color="000000" w:sz="4" w:space="0"/>
            </w:tcBorders>
            <w:tcW w:w="685" w:type="pct"/>
            <w:textDirection w:val="lrTb"/>
            <w:noWrap w:val="false"/>
          </w:tcPr>
          <w:p>
            <w:pPr>
              <w:jc w:val="left"/>
              <w:rPr>
                <w:rFonts w:hint="default" w:ascii="Times New Roman" w:hAnsi="Times New Roman" w:cs="Times New Roman"/>
                <w:color w:val="000000"/>
                <w:szCs w:val="21"/>
              </w:rPr>
            </w:pPr>
            <w:r>
              <w:rPr>
                <w:rFonts w:hint="default" w:ascii="Times New Roman" w:hAnsi="Times New Roman" w:cs="Times New Roman"/>
                <w:color w:val="000000"/>
                <w:szCs w:val="21"/>
              </w:rPr>
              <w:t xml:space="preserve">□采购人委托的同领域其他单位人员或第三方专业机构的专家：</w:t>
            </w:r>
            <w:r/>
          </w:p>
          <w:p>
            <w:pPr>
              <w:jc w:val="left"/>
              <w:rPr>
                <w:rFonts w:hint="default" w:ascii="Times New Roman" w:hAnsi="Times New Roman" w:cs="Times New Roman"/>
                <w:color w:val="000000"/>
                <w:szCs w:val="21"/>
              </w:rPr>
            </w:pPr>
            <w:r>
              <w:rPr>
                <w:rFonts w:hint="default" w:ascii="Times New Roman" w:hAnsi="Times New Roman" w:cs="Times New Roman"/>
                <w:color w:val="000000"/>
                <w:szCs w:val="21"/>
              </w:rPr>
              <w:t xml:space="preserve">（姓名+单位）</w:t>
            </w:r>
            <w:r/>
          </w:p>
        </w:tc>
        <w:tc>
          <w:tcPr>
            <w:shd w:val="clear" w:color="auto" w:fill="auto"/>
            <w:tcBorders>
              <w:top w:val="single" w:color="000000" w:sz="4" w:space="0"/>
              <w:left w:val="single" w:color="000000" w:sz="4" w:space="0"/>
              <w:bottom w:val="single" w:color="000000" w:sz="4" w:space="0"/>
              <w:right w:val="single" w:color="000000" w:sz="4" w:space="0"/>
            </w:tcBorders>
            <w:tcW w:w="1602" w:type="pct"/>
            <w:vAlign w:val="center"/>
            <w:vMerge w:val="continue"/>
            <w:textDirection w:val="lrTb"/>
            <w:noWrap w:val="false"/>
          </w:tcPr>
          <w:p>
            <w:pPr>
              <w:rPr>
                <w:rFonts w:hint="default" w:ascii="Times New Roman" w:hAnsi="Times New Roman" w:eastAsia="等线" w:cs="Times New Roman"/>
              </w:rPr>
            </w:pPr>
            <w:r>
              <w:rPr>
                <w:rFonts w:hint="default" w:ascii="Times New Roman" w:hAnsi="Times New Roman" w:eastAsia="等线" w:cs="Times New Roma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42" w:type="pct"/>
            <w:vAlign w:val="center"/>
            <w:vMerge w:val="continue"/>
            <w:textDirection w:val="lrTb"/>
            <w:noWrap w:val="false"/>
          </w:tcPr>
          <w:p>
            <w:pPr>
              <w:rPr>
                <w:rFonts w:hint="default" w:ascii="Times New Roman" w:hAnsi="Times New Roman" w:eastAsia="等线" w:cs="Times New Roman"/>
              </w:rPr>
            </w:pPr>
            <w:r>
              <w:rPr>
                <w:rFonts w:hint="default" w:ascii="Times New Roman" w:hAnsi="Times New Roman" w:eastAsia="等线"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left"/>
              <w:rPr>
                <w:rFonts w:hint="default" w:ascii="Times New Roman" w:hAnsi="Times New Roman" w:cs="Times New Roman"/>
                <w:color w:val="000000"/>
                <w:szCs w:val="21"/>
              </w:rPr>
            </w:pPr>
            <w:r>
              <w:rPr>
                <w:rFonts w:hint="default" w:ascii="Times New Roman" w:hAnsi="Times New Roman" w:cs="Times New Roman"/>
                <w:color w:val="000000"/>
                <w:szCs w:val="21"/>
              </w:rPr>
            </w:r>
            <w:r/>
          </w:p>
        </w:tc>
      </w:tr>
      <w:tr>
        <w:trPr>
          <w:trHeight w:val="1283"/>
        </w:trPr>
        <w:tc>
          <w:tcPr>
            <w:shd w:val="clear" w:color="auto" w:fill="auto"/>
            <w:tcBorders>
              <w:top w:val="single" w:color="000000" w:sz="4" w:space="0"/>
              <w:left w:val="single" w:color="000000" w:sz="4" w:space="0"/>
              <w:bottom w:val="none" w:color="000000" w:sz="4" w:space="0"/>
              <w:right w:val="single" w:color="000000" w:sz="4" w:space="0"/>
            </w:tcBorders>
            <w:tcW w:w="754" w:type="pct"/>
            <w:vAlign w:val="center"/>
            <w:vMerge w:val="restart"/>
            <w:textDirection w:val="lrTb"/>
            <w:noWrap/>
          </w:tcPr>
          <w:p>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 xml:space="preserve">验收参与人员</w:t>
            </w:r>
            <w:r/>
          </w:p>
        </w:tc>
        <w:tc>
          <w:tcPr>
            <w:shd w:val="clear" w:color="auto" w:fill="auto"/>
            <w:tcBorders>
              <w:top w:val="single" w:color="000000" w:sz="4" w:space="0"/>
              <w:left w:val="single" w:color="000000" w:sz="4" w:space="0"/>
              <w:bottom w:val="single" w:color="000000" w:sz="4" w:space="0"/>
              <w:right w:val="none" w:color="000000" w:sz="4" w:space="0"/>
            </w:tcBorders>
            <w:tcW w:w="685" w:type="pct"/>
            <w:textDirection w:val="lrTb"/>
            <w:noWrap w:val="false"/>
          </w:tcPr>
          <w:p>
            <w:pPr>
              <w:jc w:val="left"/>
              <w:rPr>
                <w:rFonts w:hint="default" w:ascii="Times New Roman" w:hAnsi="Times New Roman" w:cs="Times New Roman"/>
                <w:color w:val="000000"/>
                <w:szCs w:val="21"/>
              </w:rPr>
            </w:pPr>
            <w:r>
              <w:rPr>
                <w:rFonts w:hint="default" w:ascii="Times New Roman" w:hAnsi="Times New Roman" w:cs="Times New Roman"/>
                <w:color w:val="000000"/>
                <w:szCs w:val="21"/>
              </w:rPr>
              <w:t xml:space="preserve">□实际使用人（符合本办法第二十六条规定情形时必选）：</w:t>
            </w:r>
            <w:r/>
          </w:p>
        </w:tc>
        <w:tc>
          <w:tcPr>
            <w:shd w:val="clear" w:color="auto" w:fill="auto"/>
            <w:tcBorders>
              <w:top w:val="single" w:color="000000" w:sz="4" w:space="0"/>
              <w:left w:val="single" w:color="000000" w:sz="4" w:space="0"/>
              <w:bottom w:val="single" w:color="000000" w:sz="4" w:space="0"/>
              <w:right w:val="single" w:color="000000" w:sz="4" w:space="0"/>
            </w:tcBorders>
            <w:tcW w:w="1602" w:type="pct"/>
            <w:vAlign w:val="center"/>
            <w:textDirection w:val="lrTb"/>
            <w:noWrap w:val="false"/>
          </w:tcPr>
          <w:p>
            <w:pPr>
              <w:jc w:val="left"/>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left"/>
              <w:rPr>
                <w:rFonts w:hint="default" w:ascii="Times New Roman" w:hAnsi="Times New Roman" w:cs="Times New Roman"/>
                <w:color w:val="000000"/>
                <w:szCs w:val="21"/>
              </w:rPr>
            </w:pPr>
            <w:r>
              <w:rPr>
                <w:rFonts w:hint="default" w:ascii="Times New Roman" w:hAnsi="Times New Roman" w:cs="Times New Roman"/>
                <w:color w:val="000000"/>
                <w:szCs w:val="21"/>
              </w:rPr>
            </w:r>
            <w:r/>
          </w:p>
        </w:tc>
      </w:tr>
      <w:tr>
        <w:trPr>
          <w:trHeight w:val="1417"/>
        </w:trPr>
        <w:tc>
          <w:tcPr>
            <w:shd w:val="clear" w:color="auto" w:fill="auto"/>
            <w:tcBorders>
              <w:top w:val="single" w:color="000000" w:sz="4" w:space="0"/>
              <w:left w:val="single" w:color="000000" w:sz="4" w:space="0"/>
              <w:bottom w:val="none" w:color="000000" w:sz="4" w:space="0"/>
              <w:right w:val="single" w:color="000000" w:sz="4" w:space="0"/>
            </w:tcBorders>
            <w:tcW w:w="754" w:type="pct"/>
            <w:vAlign w:val="center"/>
            <w:vMerge w:val="continue"/>
            <w:textDirection w:val="lrTb"/>
            <w:noWrap/>
          </w:tcPr>
          <w:p>
            <w:pPr>
              <w:rPr>
                <w:rFonts w:hint="default" w:ascii="Times New Roman" w:hAnsi="Times New Roman" w:eastAsia="等线" w:cs="Times New Roman"/>
              </w:rPr>
            </w:pPr>
            <w:r>
              <w:rPr>
                <w:rFonts w:hint="default" w:ascii="Times New Roman" w:hAnsi="Times New Roman" w:eastAsia="等线" w:cs="Times New Roman"/>
              </w:rPr>
            </w:r>
            <w:r/>
          </w:p>
        </w:tc>
        <w:tc>
          <w:tcPr>
            <w:shd w:val="clear" w:color="auto" w:fill="auto"/>
            <w:tcBorders>
              <w:top w:val="single" w:color="000000" w:sz="4" w:space="0"/>
              <w:left w:val="single" w:color="000000" w:sz="4" w:space="0"/>
              <w:bottom w:val="single" w:color="000000" w:sz="4" w:space="0"/>
              <w:right w:val="none" w:color="000000" w:sz="4" w:space="0"/>
            </w:tcBorders>
            <w:tcW w:w="685" w:type="pct"/>
            <w:textDirection w:val="lrTb"/>
            <w:noWrap w:val="false"/>
          </w:tcPr>
          <w:p>
            <w:pPr>
              <w:jc w:val="left"/>
              <w:rPr>
                <w:rFonts w:hint="default" w:ascii="Times New Roman" w:hAnsi="Times New Roman" w:cs="Times New Roman"/>
                <w:color w:val="000000"/>
                <w:szCs w:val="21"/>
              </w:rPr>
            </w:pPr>
            <w:r>
              <w:rPr>
                <w:rFonts w:hint="default" w:ascii="Times New Roman" w:hAnsi="Times New Roman" w:cs="Times New Roman"/>
                <w:color w:val="000000"/>
                <w:szCs w:val="21"/>
              </w:rPr>
              <w:t xml:space="preserve">□第三方专业机构（本办法第二十七条第一款、第二十八条规定情形）：</w:t>
            </w:r>
            <w:r/>
          </w:p>
        </w:tc>
        <w:tc>
          <w:tcPr>
            <w:shd w:val="clear" w:color="auto" w:fill="auto"/>
            <w:tcBorders>
              <w:top w:val="single" w:color="000000" w:sz="4" w:space="0"/>
              <w:left w:val="single" w:color="000000" w:sz="4" w:space="0"/>
              <w:bottom w:val="single" w:color="000000" w:sz="4" w:space="0"/>
              <w:right w:val="single" w:color="000000" w:sz="4" w:space="0"/>
            </w:tcBorders>
            <w:tcW w:w="1602" w:type="pct"/>
            <w:vAlign w:val="center"/>
            <w:textDirection w:val="lrTb"/>
            <w:noWrap w:val="false"/>
          </w:tcPr>
          <w:p>
            <w:pPr>
              <w:jc w:val="left"/>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left"/>
              <w:rPr>
                <w:rFonts w:hint="default" w:ascii="Times New Roman" w:hAnsi="Times New Roman" w:cs="Times New Roman"/>
                <w:color w:val="000000"/>
                <w:szCs w:val="21"/>
              </w:rPr>
            </w:pPr>
            <w:r>
              <w:rPr>
                <w:rFonts w:hint="default" w:ascii="Times New Roman" w:hAnsi="Times New Roman" w:cs="Times New Roman"/>
                <w:color w:val="000000"/>
                <w:szCs w:val="21"/>
              </w:rPr>
            </w:r>
            <w:r/>
          </w:p>
        </w:tc>
      </w:tr>
      <w:tr>
        <w:trPr>
          <w:trHeight w:val="1059"/>
        </w:trPr>
        <w:tc>
          <w:tcPr>
            <w:shd w:val="clear" w:color="auto" w:fill="auto"/>
            <w:tcBorders>
              <w:top w:val="single" w:color="000000" w:sz="4" w:space="0"/>
              <w:left w:val="single" w:color="000000" w:sz="4" w:space="0"/>
              <w:bottom w:val="none" w:color="000000" w:sz="4" w:space="0"/>
              <w:right w:val="single" w:color="000000" w:sz="4" w:space="0"/>
            </w:tcBorders>
            <w:tcW w:w="754" w:type="pct"/>
            <w:vAlign w:val="center"/>
            <w:vMerge w:val="restart"/>
            <w:textDirection w:val="lrTb"/>
            <w:noWrap/>
          </w:tcPr>
          <w:p>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shd w:val="clear" w:color="auto" w:fill="auto"/>
            <w:tcBorders>
              <w:top w:val="single" w:color="000000" w:sz="4" w:space="0"/>
              <w:left w:val="single" w:color="000000" w:sz="4" w:space="0"/>
              <w:bottom w:val="single" w:color="000000" w:sz="4" w:space="0"/>
              <w:right w:val="none" w:color="000000" w:sz="4" w:space="0"/>
            </w:tcBorders>
            <w:tcW w:w="685" w:type="pct"/>
            <w:textDirection w:val="lrTb"/>
            <w:noWrap w:val="false"/>
          </w:tcPr>
          <w:p>
            <w:pPr>
              <w:jc w:val="left"/>
              <w:rPr>
                <w:rFonts w:hint="default" w:ascii="Times New Roman" w:hAnsi="Times New Roman" w:cs="Times New Roman"/>
                <w:color w:val="000000"/>
                <w:szCs w:val="21"/>
              </w:rPr>
            </w:pPr>
            <w:r>
              <w:rPr>
                <w:rFonts w:hint="default" w:ascii="Times New Roman" w:hAnsi="Times New Roman" w:cs="Times New Roman"/>
                <w:color w:val="000000"/>
                <w:szCs w:val="21"/>
              </w:rPr>
              <w:t xml:space="preserve">□专家（本办法第二十八条规定情形）：</w:t>
            </w:r>
            <w:r/>
          </w:p>
        </w:tc>
        <w:tc>
          <w:tcPr>
            <w:shd w:val="clear" w:color="auto" w:fill="auto"/>
            <w:tcBorders>
              <w:top w:val="single" w:color="000000" w:sz="4" w:space="0"/>
              <w:left w:val="single" w:color="000000" w:sz="4" w:space="0"/>
              <w:bottom w:val="single" w:color="000000" w:sz="4" w:space="0"/>
              <w:right w:val="single" w:color="000000" w:sz="4" w:space="0"/>
            </w:tcBorders>
            <w:tcW w:w="1602" w:type="pct"/>
            <w:vAlign w:val="center"/>
            <w:textDirection w:val="lrTb"/>
            <w:noWrap w:val="false"/>
          </w:tcPr>
          <w:p>
            <w:pPr>
              <w:jc w:val="left"/>
              <w:rPr>
                <w:rFonts w:hint="default" w:ascii="Times New Roman" w:hAnsi="Times New Roman" w:cs="Times New Roman"/>
                <w:color w:val="000000"/>
                <w:szCs w:val="21"/>
              </w:rPr>
            </w:pPr>
            <w:r>
              <w:rPr>
                <w:rFonts w:hint="default" w:ascii="Times New Roman" w:hAnsi="Times New Roman" w:cs="Times New Roman"/>
                <w:color w:val="000000"/>
                <w:szCs w:val="21"/>
              </w:rPr>
              <w:t xml:space="preserve">出具书面意见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left"/>
              <w:rPr>
                <w:rFonts w:hint="default" w:ascii="Times New Roman" w:hAnsi="Times New Roman" w:cs="Times New Roman"/>
                <w:color w:val="000000"/>
                <w:szCs w:val="21"/>
              </w:rPr>
            </w:pPr>
            <w:r>
              <w:rPr>
                <w:rFonts w:hint="default" w:ascii="Times New Roman" w:hAnsi="Times New Roman" w:cs="Times New Roman"/>
                <w:color w:val="000000"/>
                <w:szCs w:val="21"/>
              </w:rPr>
            </w:r>
            <w:r/>
          </w:p>
        </w:tc>
      </w:tr>
      <w:tr>
        <w:trPr>
          <w:trHeight w:val="1092"/>
        </w:trPr>
        <w:tc>
          <w:tcPr>
            <w:shd w:val="clear" w:color="auto" w:fill="auto"/>
            <w:tcBorders>
              <w:top w:val="single" w:color="000000" w:sz="4" w:space="0"/>
              <w:left w:val="single" w:color="000000" w:sz="4" w:space="0"/>
              <w:bottom w:val="none" w:color="000000" w:sz="4" w:space="0"/>
              <w:right w:val="single" w:color="000000" w:sz="4" w:space="0"/>
            </w:tcBorders>
            <w:tcW w:w="754" w:type="pct"/>
            <w:vAlign w:val="center"/>
            <w:vMerge w:val="continue"/>
            <w:textDirection w:val="lrTb"/>
            <w:noWrap/>
          </w:tcPr>
          <w:p>
            <w:pPr>
              <w:rPr>
                <w:rFonts w:hint="default" w:ascii="Times New Roman" w:hAnsi="Times New Roman" w:eastAsia="等线" w:cs="Times New Roman"/>
              </w:rPr>
            </w:pPr>
            <w:r>
              <w:rPr>
                <w:rFonts w:hint="default" w:ascii="Times New Roman" w:hAnsi="Times New Roman" w:eastAsia="等线" w:cs="Times New Roman"/>
              </w:rPr>
            </w:r>
            <w:r/>
          </w:p>
        </w:tc>
        <w:tc>
          <w:tcPr>
            <w:shd w:val="clear" w:color="auto" w:fill="auto"/>
            <w:tcBorders>
              <w:top w:val="single" w:color="000000" w:sz="4" w:space="0"/>
              <w:left w:val="single" w:color="000000" w:sz="4" w:space="0"/>
              <w:bottom w:val="single" w:color="000000" w:sz="4" w:space="0"/>
              <w:right w:val="none" w:color="000000" w:sz="4" w:space="0"/>
            </w:tcBorders>
            <w:tcW w:w="685" w:type="pct"/>
            <w:textDirection w:val="lrTb"/>
            <w:noWrap w:val="false"/>
          </w:tcPr>
          <w:p>
            <w:pPr>
              <w:jc w:val="left"/>
              <w:rPr>
                <w:rFonts w:hint="default" w:ascii="Times New Roman" w:hAnsi="Times New Roman" w:cs="Times New Roman"/>
                <w:color w:val="000000"/>
                <w:szCs w:val="21"/>
              </w:rPr>
            </w:pPr>
            <w:r>
              <w:rPr>
                <w:rFonts w:hint="default" w:ascii="Times New Roman" w:hAnsi="Times New Roman" w:cs="Times New Roman"/>
                <w:color w:val="000000"/>
                <w:szCs w:val="21"/>
              </w:rPr>
              <w:t xml:space="preserve">□参加本项目的其他供应商（本办法第二十八条规定情形）：</w:t>
            </w:r>
            <w:r/>
          </w:p>
        </w:tc>
        <w:tc>
          <w:tcPr>
            <w:shd w:val="clear" w:color="auto" w:fill="auto"/>
            <w:tcBorders>
              <w:top w:val="single" w:color="000000" w:sz="4" w:space="0"/>
              <w:left w:val="single" w:color="000000" w:sz="4" w:space="0"/>
              <w:bottom w:val="single" w:color="000000" w:sz="4" w:space="0"/>
              <w:right w:val="single" w:color="000000" w:sz="4" w:space="0"/>
            </w:tcBorders>
            <w:tcW w:w="1602" w:type="pct"/>
            <w:vAlign w:val="center"/>
            <w:textDirection w:val="lrTb"/>
            <w:noWrap w:val="false"/>
          </w:tcPr>
          <w:p>
            <w:pPr>
              <w:jc w:val="left"/>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left"/>
              <w:rPr>
                <w:rFonts w:hint="default" w:ascii="Times New Roman" w:hAnsi="Times New Roman" w:cs="Times New Roman"/>
                <w:color w:val="000000"/>
                <w:szCs w:val="21"/>
              </w:rPr>
            </w:pPr>
            <w:r>
              <w:rPr>
                <w:rFonts w:hint="default" w:ascii="Times New Roman" w:hAnsi="Times New Roman" w:cs="Times New Roman"/>
                <w:color w:val="000000"/>
                <w:szCs w:val="21"/>
              </w:rPr>
            </w:r>
            <w:r/>
          </w:p>
        </w:tc>
      </w:tr>
      <w:tr>
        <w:trPr>
          <w:trHeight w:val="1530"/>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 xml:space="preserve">验收意见</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246" w:type="pct"/>
            <w:vAlign w:val="bottom"/>
            <w:textDirection w:val="lrTb"/>
            <w:noWrap w:val="false"/>
          </w:tcPr>
          <w:p>
            <w:pPr>
              <w:jc w:val="left"/>
              <w:rPr>
                <w:rFonts w:hint="default" w:ascii="Times New Roman" w:hAnsi="Times New Roman" w:cs="Times New Roman"/>
                <w:b/>
                <w:bCs/>
                <w:color w:val="ff0000"/>
                <w:szCs w:val="21"/>
              </w:rPr>
            </w:pPr>
            <w:r>
              <w:rPr>
                <w:rFonts w:hint="default" w:ascii="Times New Roman" w:hAnsi="Times New Roman" w:cs="Times New Roman"/>
                <w:b/>
                <w:bCs/>
                <w:color w:val="ff0000"/>
                <w:szCs w:val="21"/>
              </w:rPr>
              <w:t xml:space="preserve">（如意见一致，请全体验收小组成员分别签名，如有异议，请分别签署意见并签名）</w:t>
            </w:r>
            <w:r/>
          </w:p>
          <w:p>
            <w:pPr>
              <w:jc w:val="left"/>
              <w:rPr>
                <w:rFonts w:hint="default" w:ascii="Times New Roman" w:hAnsi="Times New Roman" w:cs="Times New Roman"/>
                <w:color w:val="000000"/>
                <w:szCs w:val="21"/>
              </w:rPr>
            </w:pPr>
            <w:r>
              <w:rPr>
                <w:rFonts w:hint="default" w:ascii="Times New Roman" w:hAnsi="Times New Roman" w:cs="Times New Roman"/>
                <w:color w:val="000000"/>
                <w:szCs w:val="21"/>
              </w:rPr>
              <w:t xml:space="preserve">验收小组成员对上述验收结论：□无异议 </w:t>
            </w:r>
            <w:r/>
          </w:p>
          <w:p>
            <w:pPr>
              <w:jc w:val="left"/>
              <w:rPr>
                <w:rFonts w:hint="default" w:ascii="Times New Roman" w:hAnsi="Times New Roman" w:cs="Times New Roman"/>
                <w:color w:val="000000"/>
                <w:szCs w:val="21"/>
              </w:rPr>
            </w:pPr>
            <w:r>
              <w:rPr>
                <w:rFonts w:hint="default" w:ascii="Times New Roman" w:hAnsi="Times New Roman" w:cs="Times New Roman"/>
                <w:color w:val="000000"/>
                <w:szCs w:val="21"/>
              </w:rPr>
            </w:r>
            <w:r/>
          </w:p>
          <w:p>
            <w:pPr>
              <w:jc w:val="left"/>
              <w:rPr>
                <w:rFonts w:hint="default" w:ascii="Times New Roman" w:hAnsi="Times New Roman" w:cs="Times New Roman"/>
                <w:color w:val="000000"/>
                <w:szCs w:val="21"/>
              </w:rPr>
            </w:pPr>
            <w:r>
              <w:rPr>
                <w:rFonts w:hint="default" w:ascii="Times New Roman" w:hAnsi="Times New Roman" w:cs="Times New Roman"/>
                <w:color w:val="000000"/>
                <w:szCs w:val="21"/>
              </w:rPr>
            </w:r>
            <w:r/>
          </w:p>
          <w:p>
            <w:pPr>
              <w:jc w:val="left"/>
              <w:rPr>
                <w:rFonts w:hint="default" w:ascii="Times New Roman" w:hAnsi="Times New Roman" w:cs="Times New Roman"/>
                <w:color w:val="000000"/>
                <w:szCs w:val="21"/>
              </w:rPr>
            </w:pPr>
            <w:r>
              <w:rPr>
                <w:rFonts w:hint="default" w:ascii="Times New Roman" w:hAnsi="Times New Roman" w:cs="Times New Roman"/>
                <w:color w:val="000000"/>
                <w:szCs w:val="21"/>
              </w:rPr>
              <w:t xml:space="preserve">验收小组成员签字： </w:t>
            </w:r>
            <w:r/>
          </w:p>
          <w:p>
            <w:pPr>
              <w:jc w:val="left"/>
              <w:rPr>
                <w:rFonts w:hint="default" w:ascii="Times New Roman" w:hAnsi="Times New Roman" w:cs="Times New Roman"/>
                <w:color w:val="000000"/>
                <w:szCs w:val="21"/>
              </w:rPr>
            </w:pPr>
            <w:r>
              <w:rPr>
                <w:rFonts w:hint="default" w:ascii="Times New Roman" w:hAnsi="Times New Roman" w:cs="Times New Roman"/>
                <w:color w:val="000000"/>
                <w:szCs w:val="21"/>
              </w:rPr>
            </w:r>
            <w:r/>
          </w:p>
          <w:p>
            <w:pPr>
              <w:jc w:val="left"/>
              <w:rPr>
                <w:rFonts w:hint="default" w:ascii="Times New Roman" w:hAnsi="Times New Roman" w:cs="Times New Roman"/>
                <w:color w:val="000000"/>
                <w:szCs w:val="21"/>
              </w:rPr>
            </w:pPr>
            <w:r>
              <w:rPr>
                <w:rFonts w:hint="default" w:ascii="Times New Roman" w:hAnsi="Times New Roman" w:cs="Times New Roman"/>
                <w:color w:val="000000"/>
                <w:szCs w:val="21"/>
              </w:rPr>
            </w:r>
            <w:r/>
          </w:p>
          <w:p>
            <w:pPr>
              <w:jc w:val="left"/>
              <w:rPr>
                <w:rFonts w:hint="default" w:ascii="Times New Roman" w:hAnsi="Times New Roman" w:cs="Times New Roman"/>
                <w:color w:val="000000"/>
                <w:szCs w:val="21"/>
              </w:rPr>
            </w:pPr>
            <w:r>
              <w:rPr>
                <w:rFonts w:hint="default" w:ascii="Times New Roman" w:hAnsi="Times New Roman" w:cs="Times New Roman"/>
                <w:color w:val="000000"/>
                <w:szCs w:val="21"/>
              </w:rPr>
              <w:t xml:space="preserve">□有异议，单独提供验收意见</w:t>
            </w:r>
            <w:r/>
          </w:p>
          <w:p>
            <w:pPr>
              <w:jc w:val="left"/>
              <w:rPr>
                <w:rFonts w:hint="default" w:ascii="Times New Roman" w:hAnsi="Times New Roman" w:cs="Times New Roman"/>
                <w:color w:val="000000"/>
                <w:szCs w:val="21"/>
              </w:rPr>
            </w:pPr>
            <w:r>
              <w:rPr>
                <w:rFonts w:hint="default" w:ascii="Times New Roman" w:hAnsi="Times New Roman" w:cs="Times New Roman"/>
                <w:color w:val="000000"/>
                <w:szCs w:val="21"/>
              </w:rPr>
            </w:r>
            <w:r/>
          </w:p>
          <w:p>
            <w:pPr>
              <w:jc w:val="left"/>
              <w:rPr>
                <w:rFonts w:hint="default" w:ascii="Times New Roman" w:hAnsi="Times New Roman" w:cs="Times New Roman"/>
                <w:color w:val="000000"/>
                <w:szCs w:val="21"/>
              </w:rPr>
            </w:pPr>
            <w:r>
              <w:rPr>
                <w:rFonts w:hint="default" w:ascii="Times New Roman" w:hAnsi="Times New Roman" w:cs="Times New Roman"/>
                <w:color w:val="000000"/>
                <w:szCs w:val="21"/>
              </w:rPr>
            </w:r>
            <w:r/>
          </w:p>
          <w:p>
            <w:pPr>
              <w:jc w:val="left"/>
              <w:rPr>
                <w:rFonts w:hint="default" w:ascii="Times New Roman" w:hAnsi="Times New Roman" w:cs="Times New Roman"/>
                <w:color w:val="000000"/>
                <w:szCs w:val="21"/>
              </w:rPr>
            </w:pPr>
            <w:r>
              <w:rPr>
                <w:rFonts w:hint="default" w:ascii="Times New Roman" w:hAnsi="Times New Roman" w:cs="Times New Roman"/>
                <w:color w:val="000000"/>
                <w:szCs w:val="21"/>
              </w:rPr>
              <w:t xml:space="preserve">验收小组成员签字：  </w:t>
            </w:r>
            <w:r/>
          </w:p>
          <w:p>
            <w:pPr>
              <w:jc w:val="left"/>
              <w:rPr>
                <w:rFonts w:hint="default" w:ascii="Times New Roman" w:hAnsi="Times New Roman" w:cs="Times New Roman"/>
                <w:color w:val="000000"/>
                <w:szCs w:val="21"/>
              </w:rPr>
            </w:pPr>
            <w:r>
              <w:rPr>
                <w:rFonts w:hint="default" w:ascii="Times New Roman" w:hAnsi="Times New Roman" w:cs="Times New Roman"/>
                <w:color w:val="000000"/>
                <w:szCs w:val="21"/>
              </w:rPr>
            </w:r>
            <w:r/>
          </w:p>
          <w:p>
            <w:pPr>
              <w:jc w:val="left"/>
              <w:rPr>
                <w:rFonts w:hint="default" w:ascii="Times New Roman" w:hAnsi="Times New Roman" w:cs="Times New Roman"/>
                <w:color w:val="000000"/>
                <w:szCs w:val="21"/>
              </w:rPr>
            </w:pPr>
            <w:r>
              <w:rPr>
                <w:rFonts w:hint="default" w:ascii="Times New Roman" w:hAnsi="Times New Roman" w:cs="Times New Roman"/>
                <w:color w:val="000000"/>
                <w:szCs w:val="21"/>
              </w:rPr>
            </w:r>
            <w:r/>
          </w:p>
          <w:p>
            <w:pPr>
              <w:jc w:val="left"/>
              <w:rPr>
                <w:rFonts w:hint="default" w:ascii="Times New Roman" w:hAnsi="Times New Roman" w:cs="Times New Roman"/>
                <w:color w:val="000000"/>
                <w:szCs w:val="21"/>
              </w:rPr>
            </w:pPr>
            <w:r>
              <w:rPr>
                <w:rFonts w:hint="default" w:ascii="Times New Roman" w:hAnsi="Times New Roman" w:cs="Times New Roman"/>
                <w:color w:val="000000"/>
                <w:szCs w:val="21"/>
              </w:rPr>
              <w:t xml:space="preserve">供应商签字：</w:t>
            </w:r>
            <w:r/>
          </w:p>
        </w:tc>
      </w:tr>
      <w:tr>
        <w:trPr>
          <w:trHeight w:val="1966"/>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 xml:space="preserve">异议复核</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246" w:type="pct"/>
            <w:vAlign w:val="center"/>
            <w:textDirection w:val="lrTb"/>
            <w:noWrap w:val="false"/>
          </w:tcPr>
          <w:p>
            <w:pPr>
              <w:jc w:val="left"/>
              <w:rPr>
                <w:rFonts w:hint="default" w:ascii="Times New Roman" w:hAnsi="Times New Roman" w:cs="Times New Roman"/>
                <w:color w:val="000000"/>
                <w:szCs w:val="21"/>
              </w:rPr>
            </w:pPr>
            <w:r>
              <w:rPr>
                <w:rFonts w:hint="default" w:ascii="Times New Roman" w:hAnsi="Times New Roman" w:cs="Times New Roman"/>
                <w:color w:val="000000"/>
                <w:szCs w:val="21"/>
              </w:rPr>
              <w:t xml:space="preserve">异议事项：</w:t>
            </w:r>
            <w:r/>
          </w:p>
          <w:p>
            <w:pPr>
              <w:jc w:val="left"/>
              <w:rPr>
                <w:rFonts w:hint="default" w:ascii="Times New Roman" w:hAnsi="Times New Roman" w:cs="Times New Roman"/>
                <w:color w:val="000000"/>
                <w:szCs w:val="21"/>
              </w:rPr>
            </w:pPr>
            <w:r>
              <w:rPr>
                <w:rFonts w:hint="default" w:ascii="Times New Roman" w:hAnsi="Times New Roman" w:cs="Times New Roman"/>
                <w:color w:val="000000"/>
                <w:szCs w:val="21"/>
              </w:rPr>
            </w:r>
            <w:r/>
          </w:p>
          <w:p>
            <w:pPr>
              <w:jc w:val="left"/>
              <w:rPr>
                <w:rFonts w:hint="default" w:ascii="Times New Roman" w:hAnsi="Times New Roman" w:cs="Times New Roman"/>
                <w:color w:val="000000"/>
                <w:szCs w:val="21"/>
              </w:rPr>
            </w:pPr>
            <w:r>
              <w:rPr>
                <w:rFonts w:hint="default" w:ascii="Times New Roman" w:hAnsi="Times New Roman" w:cs="Times New Roman"/>
                <w:color w:val="000000"/>
                <w:szCs w:val="21"/>
              </w:rPr>
              <w:t xml:space="preserve">复核意见：</w:t>
            </w:r>
            <w:r/>
          </w:p>
          <w:p>
            <w:pPr>
              <w:jc w:val="left"/>
              <w:rPr>
                <w:rFonts w:hint="default" w:ascii="Times New Roman" w:hAnsi="Times New Roman" w:cs="Times New Roman"/>
                <w:color w:val="000000"/>
                <w:szCs w:val="21"/>
              </w:rPr>
            </w:pPr>
            <w:r>
              <w:rPr>
                <w:rFonts w:hint="default" w:ascii="Times New Roman" w:hAnsi="Times New Roman" w:cs="Times New Roman"/>
                <w:color w:val="000000"/>
                <w:szCs w:val="21"/>
              </w:rPr>
            </w:r>
            <w:r/>
          </w:p>
          <w:p>
            <w:pPr>
              <w:jc w:val="left"/>
              <w:rPr>
                <w:rFonts w:hint="default" w:ascii="Times New Roman" w:hAnsi="Times New Roman" w:cs="Times New Roman"/>
                <w:color w:val="000000"/>
                <w:szCs w:val="21"/>
              </w:rPr>
            </w:pPr>
            <w:r>
              <w:rPr>
                <w:rFonts w:hint="default" w:ascii="Times New Roman" w:hAnsi="Times New Roman" w:cs="Times New Roman"/>
                <w:color w:val="000000"/>
                <w:szCs w:val="21"/>
              </w:rPr>
              <w:t xml:space="preserve">签字：</w: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 xml:space="preserve">验收结论</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246" w:type="pct"/>
            <w:vAlign w:val="center"/>
            <w:textDirection w:val="lrTb"/>
            <w:noWrap/>
          </w:tcPr>
          <w:p>
            <w:pPr>
              <w:jc w:val="left"/>
              <w:rPr>
                <w:rFonts w:hint="default" w:ascii="Times New Roman" w:hAnsi="Times New Roman" w:cs="Times New Roman"/>
                <w:color w:val="000000"/>
                <w:szCs w:val="21"/>
              </w:rPr>
            </w:pPr>
            <w:r>
              <w:rPr>
                <w:rFonts w:hint="default" w:ascii="Times New Roman" w:hAnsi="Times New Roman" w:cs="Times New Roman"/>
                <w:color w:val="000000"/>
                <w:szCs w:val="21"/>
              </w:rPr>
              <w:t xml:space="preserve">（采购人签署验收意见并盖章）</w:t>
            </w:r>
            <w:r/>
          </w:p>
        </w:tc>
      </w:tr>
    </w:tbl>
    <w:p>
      <w:pPr>
        <w:jc w:val="left"/>
        <w:spacing w:line="360" w:lineRule="auto"/>
        <w:rPr>
          <w:rFonts w:hint="default" w:ascii="Times New Roman" w:hAnsi="Times New Roman" w:cs="Times New Roman"/>
        </w:rPr>
      </w:pPr>
      <w:r>
        <w:rPr>
          <w:rFonts w:hint="default" w:ascii="Times New Roman" w:hAnsi="Times New Roman" w:cs="Times New Roman"/>
        </w:rPr>
      </w:r>
      <w:r/>
    </w:p>
    <w:p>
      <w:pPr>
        <w:jc w:val="left"/>
        <w:widowControl/>
        <w:rPr>
          <w:rFonts w:hint="default" w:ascii="Times New Roman" w:hAnsi="Times New Roman" w:cs="Times New Roman"/>
          <w:b/>
          <w:szCs w:val="21"/>
        </w:rPr>
      </w:pPr>
      <w:r>
        <w:rPr>
          <w:rFonts w:hint="default" w:ascii="Times New Roman" w:hAnsi="Times New Roman" w:cs="Times New Roman"/>
          <w:b/>
          <w:szCs w:val="21"/>
        </w:rPr>
        <w:br w:type="page" w:clear="all"/>
      </w:r>
      <w:r/>
    </w:p>
    <w:p>
      <w:pPr>
        <w:jc w:val="center"/>
        <w:rPr>
          <w:rFonts w:hint="default" w:ascii="Times New Roman" w:hAnsi="Times New Roman" w:cs="Times New Roman"/>
          <w:b/>
          <w:szCs w:val="21"/>
        </w:rPr>
      </w:pPr>
      <w:r>
        <w:rPr>
          <w:rFonts w:hint="default" w:ascii="Times New Roman" w:hAnsi="Times New Roman" w:cs="Times New Roman"/>
          <w:b/>
          <w:szCs w:val="21"/>
        </w:rPr>
      </w:r>
      <w:r/>
    </w:p>
    <w:p>
      <w:pPr>
        <w:jc w:val="center"/>
        <w:spacing w:line="360" w:lineRule="auto"/>
        <w:rPr>
          <w:rFonts w:hint="default" w:ascii="Times New Roman" w:hAnsi="Times New Roman" w:cs="Times New Roman" w:eastAsiaTheme="minorEastAsia"/>
          <w:bCs/>
          <w:sz w:val="44"/>
          <w:szCs w:val="44"/>
        </w:rPr>
      </w:pPr>
      <w:r>
        <w:rPr>
          <w:rFonts w:hint="default" w:ascii="Times New Roman" w:hAnsi="Times New Roman" w:cs="Times New Roman" w:eastAsiaTheme="minorEastAsia"/>
          <w:bCs/>
          <w:sz w:val="44"/>
          <w:szCs w:val="44"/>
        </w:rPr>
        <w:t xml:space="preserve">第六章 </w:t>
      </w:r>
      <w:bookmarkStart w:id="70" w:name="评分要点"/>
      <w:r>
        <w:rPr>
          <w:rFonts w:hint="default" w:ascii="Times New Roman" w:hAnsi="Times New Roman" w:cs="Times New Roman" w:eastAsiaTheme="minorEastAsia"/>
          <w:bCs/>
          <w:sz w:val="44"/>
          <w:szCs w:val="44"/>
        </w:rPr>
        <w:t xml:space="preserve">评</w:t>
      </w:r>
      <w:bookmarkEnd w:id="70"/>
      <w:r>
        <w:rPr>
          <w:rFonts w:hint="default" w:ascii="Times New Roman" w:hAnsi="Times New Roman" w:cs="Times New Roman" w:eastAsiaTheme="minorEastAsia"/>
          <w:bCs/>
          <w:sz w:val="44"/>
          <w:szCs w:val="44"/>
        </w:rPr>
        <w:t xml:space="preserve">标办法及评分标准</w:t>
      </w:r>
      <w:r/>
    </w:p>
    <w:p>
      <w:pPr>
        <w:spacing w:line="360" w:lineRule="auto"/>
        <w:rPr>
          <w:rFonts w:hint="default" w:ascii="Times New Roman" w:hAnsi="Times New Roman" w:cs="Times New Roman" w:eastAsiaTheme="minorEastAsia"/>
          <w:b/>
          <w:bCs/>
          <w:szCs w:val="21"/>
        </w:rPr>
      </w:pPr>
      <w:r>
        <w:rPr>
          <w:rFonts w:hint="default" w:ascii="Times New Roman" w:hAnsi="Times New Roman" w:cs="Times New Roman" w:eastAsiaTheme="minorEastAsia"/>
          <w:b/>
          <w:bCs/>
          <w:szCs w:val="21"/>
        </w:rPr>
        <w:t xml:space="preserve">一、评标办法</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1.评标办法采用综合评分法。评标结果按评审后得分由高到低顺序排列，推荐3名中标候选人。得分相同的，按投标报价由低到高顺序排列。投标文件满足招标文件全部实质性要求，且按照评审因素的量化指标评审得分最高的投标人为排名第一的中标候选人。得分且投标报价相同的，提供优先采购产品证书更多的投标人优先成交（如属优先采购产品），否</w:t>
      </w:r>
      <w:r>
        <w:rPr>
          <w:rFonts w:hint="default" w:ascii="Times New Roman" w:hAnsi="Times New Roman" w:cs="Times New Roman"/>
          <w:szCs w:val="21"/>
        </w:rPr>
        <w:t xml:space="preserve">则由采购代理机构组织抽签确定排序。</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2.评标时，评标委员会成员按照招标文件规定的评分标准，独立对每个投标人的投标文件进行评价，得出每位评委对每个投标人的得分。每个投标人的最终得分按算术平均法汇总所有评委的得分得出。报价得分按文件规定的计算公式直接计算取得。所有得分保留小数点后两位，第三位四舍五入。评委评审得分和投标报价得分相加为投标人的综合评分。</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3.提供相同品牌产品且通过资格审查、符合性审查的不同投标人参加同一合同项下投标的，按一家投标人计算，评审后得分最高的同品牌投标人获得中标人推荐资格；评审得分相同的，由投标报价最低的同品牌投标人获得中标人推荐资格；如得分且投标报价相同，提供优先采购产品证书更多的投标人获得中标人推荐资格（如属优先采购产品），否则由采购代理机构组织采取随机抽取方式确定，其他同品牌投标人不作为中标候选人。多家投标人提供的核心产品品牌相同的，按上述规定处理。</w:t>
      </w:r>
      <w:r/>
    </w:p>
    <w:p>
      <w:pPr>
        <w:spacing w:line="360" w:lineRule="auto"/>
        <w:tabs>
          <w:tab w:val="left" w:pos="2667" w:leader="none"/>
        </w:tabs>
        <w:rPr>
          <w:rFonts w:hint="default" w:ascii="Times New Roman" w:hAnsi="Times New Roman" w:cs="Times New Roman" w:eastAsiaTheme="minorEastAsia"/>
          <w:b/>
          <w:bCs/>
          <w:szCs w:val="21"/>
        </w:rPr>
      </w:pPr>
      <w:r>
        <w:rPr>
          <w:rFonts w:hint="default" w:ascii="Times New Roman" w:hAnsi="Times New Roman" w:cs="Times New Roman" w:eastAsiaTheme="minorEastAsia"/>
          <w:b/>
          <w:bCs/>
          <w:szCs w:val="21"/>
        </w:rPr>
        <w:t xml:space="preserve">二、评分标准</w:t>
      </w:r>
      <w:r/>
    </w:p>
    <w:p>
      <w:pPr>
        <w:jc w:val="left"/>
        <w:spacing w:before="240" w:line="360" w:lineRule="auto"/>
        <w:widowControl/>
        <w:rPr>
          <w:rFonts w:hint="default" w:ascii="Times New Roman" w:hAnsi="Times New Roman" w:cs="Times New Roman" w:eastAsiaTheme="majorEastAsia"/>
          <w:b/>
          <w:spacing w:val="12"/>
          <w:sz w:val="22"/>
          <w:szCs w:val="21"/>
        </w:rPr>
      </w:pPr>
      <w:r>
        <w:rPr>
          <w:rFonts w:hint="default" w:ascii="Times New Roman" w:hAnsi="Times New Roman" w:cs="Times New Roman" w:eastAsiaTheme="majorEastAsia"/>
          <w:b/>
          <w:spacing w:val="12"/>
          <w:sz w:val="22"/>
          <w:szCs w:val="21"/>
        </w:rPr>
        <w:t xml:space="preserve">(一)价格分：45分</w:t>
      </w:r>
      <w:r/>
    </w:p>
    <w:p>
      <w:pPr>
        <w:pStyle w:val="869"/>
        <w:spacing w:after="0" w:line="360" w:lineRule="auto"/>
        <w:rPr>
          <w:rFonts w:hint="default" w:ascii="Times New Roman" w:hAnsi="Times New Roman" w:cs="Times New Roman"/>
        </w:rPr>
      </w:pPr>
      <w:r>
        <w:rPr>
          <w:rFonts w:hint="default" w:ascii="Times New Roman" w:hAnsi="Times New Roman" w:cs="Times New Roman"/>
        </w:rPr>
        <w:t xml:space="preserve">第一步：未被认定投标无效的投标报价为有效投标报价。</w:t>
      </w:r>
      <w:r/>
    </w:p>
    <w:p>
      <w:pPr>
        <w:pStyle w:val="869"/>
        <w:spacing w:after="0" w:line="360" w:lineRule="auto"/>
        <w:rPr>
          <w:rFonts w:hint="default" w:ascii="Times New Roman" w:hAnsi="Times New Roman" w:cs="Times New Roman"/>
        </w:rPr>
      </w:pPr>
      <w:r>
        <w:rPr>
          <w:rFonts w:hint="default" w:ascii="Times New Roman" w:hAnsi="Times New Roman" w:cs="Times New Roman"/>
        </w:rPr>
        <w:t xml:space="preserve">第二步：在所有有效投标报价中选择报价最低的确定为评标基准价。</w:t>
      </w:r>
      <w:r/>
    </w:p>
    <w:p>
      <w:pPr>
        <w:pStyle w:val="869"/>
        <w:spacing w:after="0" w:line="360" w:lineRule="auto"/>
        <w:rPr>
          <w:rFonts w:hint="default" w:ascii="Times New Roman" w:hAnsi="Times New Roman" w:cs="Times New Roman"/>
        </w:rPr>
      </w:pPr>
      <w:r>
        <w:rPr>
          <w:rFonts w:hint="default" w:ascii="Times New Roman" w:hAnsi="Times New Roman" w:cs="Times New Roman"/>
        </w:rPr>
        <w:t xml:space="preserve">第三步：将所有有效投标报价与评标基准价相比较：等于评标基准价的得45分，其他投标人的价格分按照下列公式计算（计算结果四舍五入保留两位小数）：</w:t>
      </w:r>
      <w:r/>
    </w:p>
    <w:p>
      <w:pPr>
        <w:pStyle w:val="869"/>
        <w:spacing w:after="0" w:line="360" w:lineRule="auto"/>
        <w:rPr>
          <w:rFonts w:hint="default" w:ascii="Times New Roman" w:hAnsi="Times New Roman" w:cs="Times New Roman"/>
        </w:rPr>
      </w:pPr>
      <w:r>
        <w:rPr>
          <w:rFonts w:hint="default" w:ascii="Times New Roman" w:hAnsi="Times New Roman" w:cs="Times New Roman"/>
        </w:rPr>
        <w:t xml:space="preserve">投标报价得分＝（评标基准价/投标报价）×45％×100</w:t>
      </w:r>
      <w:r/>
    </w:p>
    <w:p>
      <w:pPr>
        <w:spacing w:line="360" w:lineRule="auto"/>
        <w:rPr>
          <w:rFonts w:hint="default" w:ascii="Times New Roman" w:hAnsi="Times New Roman" w:cs="Times New Roman"/>
          <w:b/>
          <w:bCs/>
        </w:rPr>
      </w:pPr>
      <w:r>
        <w:rPr>
          <w:rFonts w:hint="default" w:ascii="Times New Roman" w:hAnsi="Times New Roman" w:cs="Times New Roman"/>
          <w:b/>
          <w:bCs/>
        </w:rPr>
        <w:t xml:space="preserve">（二）</w:t>
      </w:r>
      <w:r>
        <w:rPr>
          <w:rFonts w:hint="default" w:ascii="Times New Roman" w:hAnsi="Times New Roman" w:cs="Times New Roman"/>
          <w:szCs w:val="21"/>
        </w:rPr>
        <w:t xml:space="preserve">▲</w:t>
      </w:r>
      <w:r>
        <w:rPr>
          <w:rFonts w:hint="default" w:ascii="Times New Roman" w:hAnsi="Times New Roman" w:cs="Times New Roman"/>
          <w:b/>
          <w:bCs/>
        </w:rPr>
        <w:t xml:space="preserve">产品原材料检测报告（5分）</w:t>
      </w:r>
      <w:r/>
    </w:p>
    <w:p>
      <w:pPr>
        <w:ind w:firstLine="420"/>
        <w:spacing w:line="360" w:lineRule="auto"/>
        <w:rPr>
          <w:rFonts w:hint="default" w:ascii="Times New Roman" w:hAnsi="Times New Roman" w:cs="Times New Roman"/>
          <w:b/>
          <w:color w:val="000000"/>
          <w:szCs w:val="21"/>
        </w:rPr>
      </w:pPr>
      <w:r>
        <w:rPr>
          <w:rFonts w:hint="default" w:ascii="Times New Roman" w:hAnsi="Times New Roman" w:cs="Times New Roman"/>
          <w:color w:val="000000"/>
          <w:szCs w:val="21"/>
        </w:rPr>
        <w:t xml:space="preserve">提供下表中检测产品的检测报告扫描件（如报告内容不全导致无法确认报告的各项要求的，或字迹模糊不清无法辨认的都视为未提供），</w:t>
      </w:r>
      <w:r>
        <w:rPr>
          <w:rFonts w:hint="default" w:ascii="Times New Roman" w:hAnsi="Times New Roman" w:cs="Times New Roman"/>
          <w:b/>
          <w:color w:val="ff0000"/>
          <w:szCs w:val="21"/>
        </w:rPr>
        <w:t xml:space="preserve">中标后将对排名第一的中标候选人的投标文件中检测报告进行核查（第一中标候选人接到采购人或集采中心通知后需立即将检测报告官方网址、书面函询联系方式与地址发送至项目联系人邮箱供参考）</w:t>
      </w:r>
      <w:r>
        <w:rPr>
          <w:rFonts w:hint="default" w:ascii="Times New Roman" w:hAnsi="Times New Roman" w:cs="Times New Roman"/>
          <w:b/>
          <w:color w:val="000000"/>
          <w:szCs w:val="21"/>
        </w:rPr>
        <w:t xml:space="preserve">。提供的检测报告必须同时符合以下所有要求，否则不得分</w:t>
      </w:r>
      <w:r>
        <w:rPr>
          <w:rFonts w:hint="default" w:ascii="Times New Roman" w:hAnsi="Times New Roman" w:cs="Times New Roman"/>
          <w:b/>
          <w:color w:val="ff0000"/>
          <w:szCs w:val="21"/>
        </w:rPr>
        <w:t xml:space="preserve">（中标人履约时，将按以下要求由专业检测机构对用于本项目产品进行检测验收）</w:t>
      </w:r>
      <w:r>
        <w:rPr>
          <w:rFonts w:hint="default" w:ascii="Times New Roman" w:hAnsi="Times New Roman" w:cs="Times New Roman"/>
          <w:b/>
          <w:color w:val="000000"/>
          <w:szCs w:val="21"/>
        </w:rPr>
        <w:t xml:space="preserve">。</w:t>
      </w:r>
      <w:r>
        <w:rPr>
          <w:rFonts w:hint="default" w:ascii="Times New Roman" w:hAnsi="Times New Roman" w:cs="Times New Roman"/>
          <w:b/>
          <w:bCs/>
          <w:szCs w:val="21"/>
        </w:rPr>
        <w:t xml:space="preserve">（每份检测报告1分、共5分）</w:t>
      </w:r>
      <w:r/>
    </w:p>
    <w:p>
      <w:pPr>
        <w:ind w:firstLine="420"/>
        <w:spacing w:line="360" w:lineRule="auto"/>
        <w:widowControl/>
        <w:rPr>
          <w:rFonts w:hint="default" w:ascii="Times New Roman" w:hAnsi="Times New Roman" w:cs="Times New Roman"/>
          <w:color w:val="000000"/>
          <w:szCs w:val="21"/>
        </w:rPr>
      </w:pPr>
      <w:r>
        <w:rPr>
          <w:rFonts w:hint="default" w:ascii="Times New Roman" w:hAnsi="Times New Roman" w:cs="Times New Roman"/>
          <w:color w:val="000000"/>
          <w:szCs w:val="21"/>
        </w:rPr>
        <w:t xml:space="preserve">1、检测报告应为具有检验检测资质的检测机构出具，检测机构应通过相应的CMA认证，检测报告页面必须有CMA认证标志；</w:t>
      </w:r>
      <w:r/>
    </w:p>
    <w:p>
      <w:pPr>
        <w:ind w:firstLine="420"/>
        <w:spacing w:line="360" w:lineRule="auto"/>
        <w:widowControl/>
        <w:rPr>
          <w:rFonts w:hint="default" w:ascii="Times New Roman" w:hAnsi="Times New Roman" w:cs="Times New Roman"/>
          <w:color w:val="000000"/>
          <w:szCs w:val="21"/>
        </w:rPr>
      </w:pPr>
      <w:r>
        <w:rPr>
          <w:rFonts w:hint="default" w:ascii="Times New Roman" w:hAnsi="Times New Roman" w:cs="Times New Roman"/>
          <w:color w:val="000000"/>
          <w:szCs w:val="21"/>
        </w:rPr>
        <w:t xml:space="preserve">2、检测报告中的检测（判定）依据必须为下表所列检测标准或其它现行国家（或行业）标准；</w:t>
      </w:r>
      <w:r/>
    </w:p>
    <w:p>
      <w:pPr>
        <w:ind w:firstLine="420"/>
        <w:spacing w:line="360" w:lineRule="auto"/>
        <w:widowControl/>
        <w:rPr>
          <w:rFonts w:hint="default" w:ascii="Times New Roman" w:hAnsi="Times New Roman" w:cs="Times New Roman"/>
          <w:color w:val="000000"/>
          <w:szCs w:val="21"/>
        </w:rPr>
      </w:pPr>
      <w:r>
        <w:rPr>
          <w:rFonts w:hint="default" w:ascii="Times New Roman" w:hAnsi="Times New Roman" w:cs="Times New Roman"/>
          <w:color w:val="000000"/>
          <w:szCs w:val="21"/>
        </w:rPr>
        <w:t xml:space="preserve">3、检测报告中下表所列必须包含的检测项目检测结果应为合格。</w:t>
      </w:r>
      <w:r/>
    </w:p>
    <w:tbl>
      <w:tblPr>
        <w:tblStyle w:val="858"/>
        <w:tblW w:w="104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88"/>
        <w:gridCol w:w="4050"/>
        <w:gridCol w:w="4383"/>
      </w:tblGrid>
      <w:tr>
        <w:trPr>
          <w:jc w:val="center"/>
          <w:trHeight w:val="572"/>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default" w:ascii="Times New Roman" w:hAnsi="Times New Roman" w:cs="Times New Roman"/>
                <w:b/>
                <w:sz w:val="20"/>
                <w:szCs w:val="20"/>
              </w:rPr>
            </w:pPr>
            <w:r>
              <w:rPr>
                <w:rFonts w:hint="default" w:ascii="Times New Roman" w:hAnsi="Times New Roman" w:cs="Times New Roman"/>
                <w:b/>
                <w:sz w:val="20"/>
                <w:szCs w:val="20"/>
              </w:rPr>
              <w:t xml:space="preserve">序号</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rPr>
                <w:rFonts w:hint="default" w:ascii="Times New Roman" w:hAnsi="Times New Roman" w:cs="Times New Roman"/>
                <w:b/>
                <w:sz w:val="20"/>
                <w:szCs w:val="20"/>
              </w:rPr>
            </w:pPr>
            <w:r>
              <w:rPr>
                <w:rFonts w:hint="default" w:ascii="Times New Roman" w:hAnsi="Times New Roman" w:cs="Times New Roman"/>
                <w:b/>
                <w:sz w:val="20"/>
                <w:szCs w:val="20"/>
              </w:rPr>
              <w:t xml:space="preserve">检测产品</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center"/>
              <w:rPr>
                <w:rFonts w:hint="default" w:ascii="Times New Roman" w:hAnsi="Times New Roman" w:cs="Times New Roman"/>
                <w:b/>
                <w:sz w:val="20"/>
                <w:szCs w:val="20"/>
              </w:rPr>
            </w:pPr>
            <w:r>
              <w:rPr>
                <w:rFonts w:hint="default" w:ascii="Times New Roman" w:hAnsi="Times New Roman" w:cs="Times New Roman"/>
                <w:b/>
                <w:sz w:val="20"/>
                <w:szCs w:val="20"/>
              </w:rPr>
              <w:t xml:space="preserve">检测标准</w:t>
            </w:r>
            <w:r/>
          </w:p>
        </w:tc>
        <w:tc>
          <w:tcPr>
            <w:tcBorders>
              <w:top w:val="single" w:color="000000" w:sz="4" w:space="0"/>
              <w:left w:val="single" w:color="000000" w:sz="4" w:space="0"/>
              <w:bottom w:val="single" w:color="000000" w:sz="4" w:space="0"/>
              <w:right w:val="single" w:color="000000" w:sz="4" w:space="0"/>
            </w:tcBorders>
            <w:tcW w:w="4383" w:type="dxa"/>
            <w:vAlign w:val="center"/>
            <w:textDirection w:val="lrTb"/>
            <w:noWrap w:val="false"/>
          </w:tcPr>
          <w:p>
            <w:pPr>
              <w:jc w:val="center"/>
              <w:rPr>
                <w:rFonts w:hint="default" w:ascii="Times New Roman" w:hAnsi="Times New Roman" w:cs="Times New Roman"/>
                <w:b/>
                <w:sz w:val="20"/>
                <w:szCs w:val="20"/>
              </w:rPr>
            </w:pPr>
            <w:r>
              <w:rPr>
                <w:rFonts w:hint="default" w:ascii="Times New Roman" w:hAnsi="Times New Roman" w:cs="Times New Roman"/>
                <w:b/>
                <w:sz w:val="20"/>
                <w:szCs w:val="20"/>
              </w:rPr>
              <w:t xml:space="preserve">检测（检验）报告</w:t>
            </w:r>
            <w:r>
              <w:rPr>
                <w:rFonts w:hint="default" w:ascii="Times New Roman" w:hAnsi="Times New Roman" w:cs="Times New Roman"/>
                <w:b/>
                <w:spacing w:val="-2"/>
                <w:sz w:val="20"/>
                <w:szCs w:val="20"/>
              </w:rPr>
              <w:t xml:space="preserve">必</w:t>
            </w:r>
            <w:r>
              <w:rPr>
                <w:rFonts w:hint="default" w:ascii="Times New Roman" w:hAnsi="Times New Roman" w:cs="Times New Roman"/>
                <w:b/>
                <w:sz w:val="20"/>
                <w:szCs w:val="20"/>
              </w:rPr>
              <w:t xml:space="preserve">须</w:t>
            </w:r>
            <w:r>
              <w:rPr>
                <w:rFonts w:hint="default" w:ascii="Times New Roman" w:hAnsi="Times New Roman" w:cs="Times New Roman"/>
                <w:b/>
                <w:spacing w:val="-2"/>
                <w:sz w:val="20"/>
                <w:szCs w:val="20"/>
              </w:rPr>
              <w:t xml:space="preserve">包</w:t>
            </w:r>
            <w:r>
              <w:rPr>
                <w:rFonts w:hint="default" w:ascii="Times New Roman" w:hAnsi="Times New Roman" w:cs="Times New Roman"/>
                <w:b/>
                <w:sz w:val="20"/>
                <w:szCs w:val="20"/>
              </w:rPr>
              <w:t xml:space="preserve">含的检测项目要求</w:t>
            </w:r>
            <w:r/>
          </w:p>
        </w:tc>
      </w:tr>
      <w:tr>
        <w:trPr>
          <w:jc w:val="center"/>
          <w:trHeight w:val="682"/>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default" w:ascii="Times New Roman" w:hAnsi="Times New Roman" w:cs="Times New Roman"/>
                <w:color w:val="000000"/>
                <w:sz w:val="20"/>
                <w:szCs w:val="20"/>
              </w:rPr>
            </w:pPr>
            <w:r>
              <w:rPr>
                <w:rFonts w:hint="default" w:ascii="Times New Roman" w:hAnsi="Times New Roman" w:cs="Times New Roman"/>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rPr>
                <w:rFonts w:hint="default" w:ascii="Times New Roman" w:hAnsi="Times New Roman" w:cs="Times New Roman"/>
                <w:b/>
                <w:sz w:val="20"/>
                <w:szCs w:val="20"/>
              </w:rPr>
            </w:pPr>
            <w:r>
              <w:rPr>
                <w:rFonts w:hint="default" w:ascii="Times New Roman" w:hAnsi="Times New Roman" w:cs="Times New Roman"/>
                <w:color w:val="000000"/>
                <w:sz w:val="20"/>
                <w:szCs w:val="20"/>
              </w:rPr>
              <w:t xml:space="preserve">橡胶木</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rPr>
                <w:rFonts w:hint="default" w:ascii="Times New Roman" w:hAnsi="Times New Roman" w:cs="Times New Roman" w:eastAsiaTheme="minorEastAsia"/>
                <w:sz w:val="20"/>
                <w:szCs w:val="20"/>
              </w:rPr>
            </w:pPr>
            <w:r>
              <w:rPr>
                <w:rFonts w:hint="default" w:ascii="Times New Roman" w:hAnsi="Times New Roman" w:cs="Times New Roman" w:eastAsiaTheme="minorEastAsia"/>
                <w:sz w:val="20"/>
                <w:szCs w:val="20"/>
              </w:rPr>
              <w:t xml:space="preserve">GB/T 3324-2017《木家具通用技术条件》</w:t>
            </w:r>
            <w:r/>
          </w:p>
        </w:tc>
        <w:tc>
          <w:tcPr>
            <w:tcBorders>
              <w:top w:val="single" w:color="000000" w:sz="4" w:space="0"/>
              <w:left w:val="single" w:color="000000" w:sz="4" w:space="0"/>
              <w:bottom w:val="single" w:color="000000" w:sz="4" w:space="0"/>
              <w:right w:val="single" w:color="000000" w:sz="4" w:space="0"/>
            </w:tcBorders>
            <w:tcW w:w="4383" w:type="dxa"/>
            <w:vAlign w:val="center"/>
            <w:textDirection w:val="lrTb"/>
            <w:noWrap w:val="false"/>
          </w:tcPr>
          <w:p>
            <w:pPr>
              <w:jc w:val="left"/>
              <w:rPr>
                <w:rFonts w:hint="default" w:ascii="Times New Roman" w:hAnsi="Times New Roman" w:cs="Times New Roman" w:eastAsiaTheme="minorEastAsia"/>
                <w:sz w:val="20"/>
                <w:szCs w:val="20"/>
              </w:rPr>
            </w:pPr>
            <w:r>
              <w:rPr>
                <w:rFonts w:hint="default" w:ascii="Times New Roman" w:hAnsi="Times New Roman" w:cs="Times New Roman" w:eastAsiaTheme="minorEastAsia"/>
                <w:sz w:val="20"/>
                <w:szCs w:val="20"/>
              </w:rPr>
              <w:t xml:space="preserve">材料要求（木材含水率）</w:t>
            </w:r>
            <w:r/>
          </w:p>
          <w:p>
            <w:pPr>
              <w:jc w:val="left"/>
              <w:rPr>
                <w:rFonts w:hint="default" w:ascii="Times New Roman" w:hAnsi="Times New Roman" w:cs="Times New Roman"/>
                <w:b/>
                <w:sz w:val="20"/>
                <w:szCs w:val="20"/>
              </w:rPr>
            </w:pPr>
            <w:r>
              <w:rPr>
                <w:rFonts w:hint="default" w:ascii="Times New Roman" w:hAnsi="Times New Roman" w:cs="Times New Roman" w:eastAsiaTheme="minorEastAsia"/>
                <w:sz w:val="20"/>
                <w:szCs w:val="20"/>
              </w:rPr>
              <w:t xml:space="preserve">外观要求（木制件外观：贯通裂缝、虫蛀、腐朽材、树脂囊、节子、死节、孔洞、夹皮和树脂道、树胶道、其他轻微材质缺陷）</w:t>
            </w:r>
            <w:r/>
          </w:p>
        </w:tc>
      </w:tr>
      <w:tr>
        <w:trPr>
          <w:jc w:val="center"/>
          <w:trHeight w:val="602"/>
        </w:trPr>
        <w:tc>
          <w:tcPr>
            <w:tcBorders>
              <w:top w:val="single" w:color="000000" w:sz="4" w:space="0"/>
              <w:left w:val="single" w:color="000000" w:sz="4" w:space="0"/>
              <w:right w:val="single" w:color="000000" w:sz="4" w:space="0"/>
            </w:tcBorders>
            <w:tcW w:w="704" w:type="dxa"/>
            <w:vAlign w:val="center"/>
            <w:vMerge w:val="restart"/>
            <w:textDirection w:val="lrTb"/>
            <w:noWrap w:val="false"/>
          </w:tcPr>
          <w:p>
            <w:pPr>
              <w:jc w:val="center"/>
              <w:rPr>
                <w:rFonts w:hint="default" w:ascii="Times New Roman" w:hAnsi="Times New Roman" w:cs="Times New Roman"/>
                <w:color w:val="000000"/>
                <w:sz w:val="20"/>
                <w:szCs w:val="20"/>
              </w:rPr>
            </w:pPr>
            <w:r>
              <w:rPr>
                <w:rFonts w:hint="default" w:ascii="Times New Roman" w:hAnsi="Times New Roman" w:cs="Times New Roman"/>
                <w:color w:val="000000"/>
                <w:sz w:val="20"/>
                <w:szCs w:val="20"/>
              </w:rPr>
              <w:t xml:space="preserve">2</w:t>
            </w:r>
            <w:r/>
          </w:p>
        </w:tc>
        <w:tc>
          <w:tcPr>
            <w:tcBorders>
              <w:top w:val="single" w:color="000000" w:sz="4" w:space="0"/>
              <w:left w:val="single" w:color="000000" w:sz="4" w:space="0"/>
              <w:right w:val="single" w:color="000000" w:sz="4" w:space="0"/>
            </w:tcBorders>
            <w:tcW w:w="1288" w:type="dxa"/>
            <w:vAlign w:val="center"/>
            <w:vMerge w:val="restart"/>
            <w:textDirection w:val="lrTb"/>
            <w:noWrap w:val="false"/>
          </w:tcPr>
          <w:p>
            <w:pPr>
              <w:jc w:val="center"/>
              <w:rPr>
                <w:rFonts w:hint="default" w:ascii="Times New Roman" w:hAnsi="Times New Roman" w:cs="Times New Roman"/>
                <w:b/>
                <w:sz w:val="20"/>
                <w:szCs w:val="20"/>
              </w:rPr>
            </w:pPr>
            <w:r>
              <w:rPr>
                <w:rFonts w:hint="default" w:ascii="Times New Roman" w:hAnsi="Times New Roman" w:cs="Times New Roman" w:eastAsiaTheme="minorEastAsia"/>
                <w:sz w:val="20"/>
                <w:szCs w:val="20"/>
              </w:rPr>
              <w:t xml:space="preserve">浸渍胶膜纸饰面刨花板</w:t>
            </w:r>
            <w:r/>
          </w:p>
        </w:tc>
        <w:tc>
          <w:tcPr>
            <w:tcBorders>
              <w:top w:val="single" w:color="000000" w:sz="4" w:space="0"/>
              <w:left w:val="single" w:color="000000" w:sz="4" w:space="0"/>
              <w:right w:val="single" w:color="000000" w:sz="4" w:space="0"/>
            </w:tcBorders>
            <w:tcW w:w="4050" w:type="dxa"/>
            <w:vAlign w:val="center"/>
            <w:textDirection w:val="lrTb"/>
            <w:noWrap w:val="false"/>
          </w:tcPr>
          <w:p>
            <w:pPr>
              <w:jc w:val="left"/>
              <w:rPr>
                <w:rFonts w:hint="default" w:ascii="Times New Roman" w:hAnsi="Times New Roman" w:cs="Times New Roman" w:eastAsiaTheme="minorEastAsia"/>
                <w:sz w:val="20"/>
                <w:szCs w:val="20"/>
              </w:rPr>
            </w:pPr>
            <w:r>
              <w:rPr>
                <w:rFonts w:hint="default" w:ascii="Times New Roman" w:hAnsi="Times New Roman" w:cs="Times New Roman" w:eastAsiaTheme="minorEastAsia"/>
                <w:sz w:val="20"/>
                <w:szCs w:val="20"/>
              </w:rPr>
              <w:t xml:space="preserve">GB/T 15102-2017《浸渍胶膜纸饰面纤维板和刨花板》</w:t>
            </w:r>
            <w:r/>
          </w:p>
          <w:p>
            <w:pPr>
              <w:jc w:val="left"/>
              <w:rPr>
                <w:rFonts w:hint="default" w:ascii="Times New Roman" w:hAnsi="Times New Roman" w:cs="Times New Roman" w:eastAsiaTheme="minorEastAsia"/>
                <w:sz w:val="20"/>
                <w:szCs w:val="20"/>
              </w:rPr>
            </w:pPr>
            <w:r>
              <w:rPr>
                <w:rFonts w:hint="default" w:ascii="Times New Roman" w:hAnsi="Times New Roman" w:cs="Times New Roman" w:eastAsiaTheme="minorEastAsia"/>
                <w:sz w:val="20"/>
                <w:szCs w:val="20"/>
              </w:rPr>
              <w:t xml:space="preserve">GB/T 17657-2013《人造板及饰面人造板理化性能试验方法》</w:t>
            </w:r>
            <w:r/>
          </w:p>
        </w:tc>
        <w:tc>
          <w:tcPr>
            <w:tcBorders>
              <w:top w:val="single" w:color="000000" w:sz="4" w:space="0"/>
              <w:left w:val="single" w:color="000000" w:sz="4" w:space="0"/>
              <w:bottom w:val="single" w:color="000000" w:sz="4" w:space="0"/>
              <w:right w:val="single" w:color="000000" w:sz="4" w:space="0"/>
            </w:tcBorders>
            <w:tcW w:w="4383" w:type="dxa"/>
            <w:vAlign w:val="center"/>
            <w:textDirection w:val="lrTb"/>
            <w:noWrap w:val="false"/>
          </w:tcPr>
          <w:p>
            <w:pPr>
              <w:jc w:val="left"/>
              <w:rPr>
                <w:rFonts w:hint="default" w:ascii="Times New Roman" w:hAnsi="Times New Roman" w:cs="Times New Roman" w:eastAsiaTheme="minorEastAsia"/>
                <w:sz w:val="20"/>
                <w:szCs w:val="20"/>
              </w:rPr>
            </w:pPr>
            <w:r>
              <w:rPr>
                <w:rFonts w:hint="default" w:ascii="Times New Roman" w:hAnsi="Times New Roman" w:cs="Times New Roman" w:eastAsiaTheme="minorEastAsia"/>
                <w:sz w:val="20"/>
                <w:szCs w:val="20"/>
              </w:rPr>
              <w:t xml:space="preserve">理化性能：含水率、密度、握钉力、表面耐冷热循环、表面耐划痕、表面耐香烟灼烧、表面耐污染腐蚀、表面耐龟裂、表面耐水蒸气；</w:t>
            </w:r>
            <w:r/>
          </w:p>
        </w:tc>
      </w:tr>
      <w:tr>
        <w:trPr>
          <w:jc w:val="center"/>
          <w:trHeight w:val="537"/>
        </w:trPr>
        <w:tc>
          <w:tcPr>
            <w:tcBorders>
              <w:left w:val="single" w:color="000000" w:sz="4" w:space="0"/>
              <w:right w:val="single" w:color="000000" w:sz="4" w:space="0"/>
            </w:tcBorders>
            <w:tcW w:w="704" w:type="dxa"/>
            <w:vAlign w:val="center"/>
            <w:vMerge w:val="continue"/>
            <w:textDirection w:val="lrTb"/>
            <w:noWrap w:val="false"/>
          </w:tcPr>
          <w:p>
            <w:pPr>
              <w:jc w:val="center"/>
              <w:rPr>
                <w:rFonts w:hint="default" w:ascii="Times New Roman" w:hAnsi="Times New Roman" w:cs="Times New Roman"/>
                <w:color w:val="000000"/>
                <w:sz w:val="20"/>
                <w:szCs w:val="20"/>
              </w:rPr>
            </w:pPr>
            <w:r>
              <w:rPr>
                <w:rFonts w:hint="default" w:ascii="Times New Roman" w:hAnsi="Times New Roman" w:cs="Times New Roman"/>
                <w:color w:val="000000"/>
                <w:sz w:val="20"/>
                <w:szCs w:val="20"/>
              </w:rPr>
            </w:r>
            <w:r/>
          </w:p>
        </w:tc>
        <w:tc>
          <w:tcPr>
            <w:tcBorders>
              <w:left w:val="single" w:color="000000" w:sz="4" w:space="0"/>
              <w:right w:val="single" w:color="000000" w:sz="4" w:space="0"/>
            </w:tcBorders>
            <w:tcW w:w="1288" w:type="dxa"/>
            <w:vAlign w:val="center"/>
            <w:vMerge w:val="continue"/>
            <w:textDirection w:val="lrTb"/>
            <w:noWrap w:val="false"/>
          </w:tcPr>
          <w:p>
            <w:pPr>
              <w:jc w:val="center"/>
              <w:rPr>
                <w:rFonts w:hint="default" w:ascii="Times New Roman" w:hAnsi="Times New Roman" w:cs="Times New Roman" w:eastAsiaTheme="minorEastAsia"/>
                <w:sz w:val="20"/>
                <w:szCs w:val="20"/>
              </w:rPr>
            </w:pPr>
            <w:r>
              <w:rPr>
                <w:rFonts w:hint="default" w:ascii="Times New Roman" w:hAnsi="Times New Roman" w:cs="Times New Roman" w:eastAsiaTheme="minorEastAsia"/>
                <w:sz w:val="20"/>
                <w:szCs w:val="20"/>
              </w:rPr>
            </w:r>
            <w:r/>
          </w:p>
        </w:tc>
        <w:tc>
          <w:tcPr>
            <w:tcBorders>
              <w:left w:val="single" w:color="000000" w:sz="4" w:space="0"/>
              <w:right w:val="single" w:color="000000" w:sz="4" w:space="0"/>
            </w:tcBorders>
            <w:tcW w:w="4050" w:type="dxa"/>
            <w:vAlign w:val="center"/>
            <w:textDirection w:val="lrTb"/>
            <w:noWrap w:val="false"/>
          </w:tcPr>
          <w:p>
            <w:pPr>
              <w:jc w:val="left"/>
              <w:rPr>
                <w:rFonts w:hint="default" w:ascii="Times New Roman" w:hAnsi="Times New Roman" w:cs="Times New Roman" w:eastAsiaTheme="minorEastAsia"/>
                <w:sz w:val="20"/>
                <w:szCs w:val="20"/>
              </w:rPr>
            </w:pPr>
            <w:r>
              <w:rPr>
                <w:rFonts w:hint="default" w:ascii="Times New Roman" w:hAnsi="Times New Roman" w:cs="Times New Roman" w:eastAsiaTheme="minorEastAsia"/>
                <w:sz w:val="20"/>
                <w:szCs w:val="20"/>
              </w:rPr>
              <w:t xml:space="preserve">GB 8624-2012《建筑材料及制品燃烧性能分级》</w:t>
            </w:r>
            <w:r/>
          </w:p>
        </w:tc>
        <w:tc>
          <w:tcPr>
            <w:tcBorders>
              <w:top w:val="single" w:color="000000" w:sz="4" w:space="0"/>
              <w:left w:val="single" w:color="000000" w:sz="4" w:space="0"/>
              <w:bottom w:val="single" w:color="000000" w:sz="4" w:space="0"/>
              <w:right w:val="single" w:color="000000" w:sz="4" w:space="0"/>
            </w:tcBorders>
            <w:tcW w:w="4383" w:type="dxa"/>
            <w:vAlign w:val="center"/>
            <w:textDirection w:val="lrTb"/>
            <w:noWrap w:val="false"/>
          </w:tcPr>
          <w:p>
            <w:pPr>
              <w:jc w:val="left"/>
              <w:rPr>
                <w:rFonts w:hint="default" w:ascii="Times New Roman" w:hAnsi="Times New Roman" w:cs="Times New Roman" w:eastAsiaTheme="minorEastAsia"/>
                <w:sz w:val="20"/>
                <w:szCs w:val="20"/>
              </w:rPr>
            </w:pPr>
            <w:r>
              <w:rPr>
                <w:rFonts w:hint="default" w:ascii="Times New Roman" w:hAnsi="Times New Roman" w:cs="Times New Roman" w:eastAsiaTheme="minorEastAsia"/>
                <w:sz w:val="20"/>
                <w:szCs w:val="20"/>
              </w:rPr>
              <w:t xml:space="preserve">平板状建筑材料及制品的燃烧性能B1</w:t>
            </w:r>
            <w:r/>
          </w:p>
        </w:tc>
      </w:tr>
      <w:tr>
        <w:trPr>
          <w:jc w:val="center"/>
          <w:trHeight w:val="623"/>
        </w:trPr>
        <w:tc>
          <w:tcPr>
            <w:tcBorders>
              <w:left w:val="single" w:color="000000" w:sz="4" w:space="0"/>
              <w:right w:val="single" w:color="000000" w:sz="4" w:space="0"/>
            </w:tcBorders>
            <w:tcW w:w="704" w:type="dxa"/>
            <w:vAlign w:val="center"/>
            <w:vMerge w:val="continue"/>
            <w:textDirection w:val="lrTb"/>
            <w:noWrap w:val="false"/>
          </w:tcPr>
          <w:p>
            <w:pPr>
              <w:jc w:val="center"/>
              <w:rPr>
                <w:rFonts w:hint="default" w:ascii="Times New Roman" w:hAnsi="Times New Roman" w:cs="Times New Roman"/>
                <w:color w:val="000000"/>
                <w:sz w:val="20"/>
                <w:szCs w:val="20"/>
              </w:rPr>
            </w:pPr>
            <w:r>
              <w:rPr>
                <w:rFonts w:hint="default" w:ascii="Times New Roman" w:hAnsi="Times New Roman" w:cs="Times New Roman"/>
                <w:color w:val="000000"/>
                <w:sz w:val="20"/>
                <w:szCs w:val="20"/>
              </w:rPr>
            </w:r>
            <w:r/>
          </w:p>
        </w:tc>
        <w:tc>
          <w:tcPr>
            <w:tcBorders>
              <w:left w:val="single" w:color="000000" w:sz="4" w:space="0"/>
              <w:right w:val="single" w:color="000000" w:sz="4" w:space="0"/>
            </w:tcBorders>
            <w:tcW w:w="1288" w:type="dxa"/>
            <w:vAlign w:val="center"/>
            <w:vMerge w:val="continue"/>
            <w:textDirection w:val="lrTb"/>
            <w:noWrap w:val="false"/>
          </w:tcPr>
          <w:p>
            <w:pPr>
              <w:jc w:val="center"/>
              <w:rPr>
                <w:rFonts w:hint="default" w:ascii="Times New Roman" w:hAnsi="Times New Roman" w:cs="Times New Roman" w:eastAsiaTheme="minorEastAsia"/>
                <w:sz w:val="20"/>
                <w:szCs w:val="20"/>
              </w:rPr>
            </w:pPr>
            <w:r>
              <w:rPr>
                <w:rFonts w:hint="default" w:ascii="Times New Roman" w:hAnsi="Times New Roman" w:cs="Times New Roman" w:eastAsiaTheme="minorEastAsia"/>
                <w:sz w:val="20"/>
                <w:szCs w:val="20"/>
              </w:rPr>
            </w:r>
            <w:r/>
          </w:p>
        </w:tc>
        <w:tc>
          <w:tcPr>
            <w:tcBorders>
              <w:left w:val="single" w:color="000000" w:sz="4" w:space="0"/>
              <w:right w:val="single" w:color="000000" w:sz="4" w:space="0"/>
            </w:tcBorders>
            <w:tcW w:w="4050" w:type="dxa"/>
            <w:vAlign w:val="center"/>
            <w:textDirection w:val="lrTb"/>
            <w:noWrap w:val="false"/>
          </w:tcPr>
          <w:p>
            <w:pPr>
              <w:jc w:val="left"/>
              <w:rPr>
                <w:rFonts w:hint="default" w:ascii="Times New Roman" w:hAnsi="Times New Roman" w:cs="Times New Roman" w:eastAsiaTheme="minorEastAsia"/>
                <w:sz w:val="20"/>
                <w:szCs w:val="20"/>
              </w:rPr>
            </w:pPr>
            <w:r>
              <w:rPr>
                <w:rFonts w:hint="default" w:ascii="Times New Roman" w:hAnsi="Times New Roman" w:cs="Times New Roman" w:eastAsiaTheme="minorEastAsia"/>
                <w:sz w:val="20"/>
                <w:szCs w:val="20"/>
              </w:rPr>
              <w:t xml:space="preserve">GB/T 35601-2017《绿色产品评价 人造板和木质地板》</w:t>
            </w:r>
            <w:r/>
          </w:p>
          <w:p>
            <w:pPr>
              <w:jc w:val="left"/>
              <w:rPr>
                <w:rFonts w:hint="default" w:ascii="Times New Roman" w:hAnsi="Times New Roman" w:cs="Times New Roman" w:eastAsiaTheme="minorEastAsia"/>
                <w:sz w:val="20"/>
                <w:szCs w:val="20"/>
              </w:rPr>
            </w:pPr>
            <w:r>
              <w:rPr>
                <w:rFonts w:hint="default" w:ascii="Times New Roman" w:hAnsi="Times New Roman" w:cs="Times New Roman" w:eastAsiaTheme="minorEastAsia"/>
                <w:sz w:val="20"/>
                <w:szCs w:val="20"/>
              </w:rPr>
              <w:t xml:space="preserve">HJ 571-2010《环境标志产品技术要求 人造板及其制品》</w:t>
            </w:r>
            <w:r/>
          </w:p>
        </w:tc>
        <w:tc>
          <w:tcPr>
            <w:tcBorders>
              <w:top w:val="single" w:color="000000" w:sz="4" w:space="0"/>
              <w:left w:val="single" w:color="000000" w:sz="4" w:space="0"/>
              <w:bottom w:val="single" w:color="000000" w:sz="4" w:space="0"/>
              <w:right w:val="single" w:color="000000" w:sz="4" w:space="0"/>
            </w:tcBorders>
            <w:tcW w:w="4383" w:type="dxa"/>
            <w:vAlign w:val="center"/>
            <w:textDirection w:val="lrTb"/>
            <w:noWrap w:val="false"/>
          </w:tcPr>
          <w:p>
            <w:pPr>
              <w:jc w:val="left"/>
              <w:rPr>
                <w:rFonts w:hint="default" w:ascii="Times New Roman" w:hAnsi="Times New Roman" w:cs="Times New Roman" w:eastAsiaTheme="minorEastAsia"/>
                <w:sz w:val="20"/>
                <w:szCs w:val="20"/>
              </w:rPr>
            </w:pPr>
            <w:r>
              <w:rPr>
                <w:rFonts w:hint="default" w:ascii="Times New Roman" w:hAnsi="Times New Roman" w:cs="Times New Roman" w:eastAsiaTheme="minorEastAsia"/>
                <w:sz w:val="20"/>
                <w:szCs w:val="20"/>
              </w:rPr>
              <w:t xml:space="preserve">挥发性有机化合物(72h)：苯、甲苯、二甲苯、总挥发性有机化合物(TVOC)（72h）</w:t>
            </w:r>
            <w:r/>
          </w:p>
        </w:tc>
      </w:tr>
      <w:tr>
        <w:trPr>
          <w:jc w:val="center"/>
          <w:trHeight w:val="608"/>
        </w:trPr>
        <w:tc>
          <w:tcPr>
            <w:tcBorders>
              <w:left w:val="single" w:color="000000" w:sz="4" w:space="0"/>
              <w:right w:val="single" w:color="000000" w:sz="4" w:space="0"/>
            </w:tcBorders>
            <w:tcW w:w="704" w:type="dxa"/>
            <w:vAlign w:val="center"/>
            <w:vMerge w:val="continue"/>
            <w:textDirection w:val="lrTb"/>
            <w:noWrap w:val="false"/>
          </w:tcPr>
          <w:p>
            <w:pPr>
              <w:jc w:val="center"/>
              <w:rPr>
                <w:rFonts w:hint="default" w:ascii="Times New Roman" w:hAnsi="Times New Roman" w:cs="Times New Roman"/>
                <w:color w:val="000000"/>
                <w:sz w:val="20"/>
                <w:szCs w:val="20"/>
              </w:rPr>
            </w:pPr>
            <w:r>
              <w:rPr>
                <w:rFonts w:hint="default" w:ascii="Times New Roman" w:hAnsi="Times New Roman" w:cs="Times New Roman"/>
                <w:color w:val="000000"/>
                <w:sz w:val="20"/>
                <w:szCs w:val="20"/>
              </w:rPr>
            </w:r>
            <w:r/>
          </w:p>
        </w:tc>
        <w:tc>
          <w:tcPr>
            <w:tcBorders>
              <w:left w:val="single" w:color="000000" w:sz="4" w:space="0"/>
              <w:right w:val="single" w:color="000000" w:sz="4" w:space="0"/>
            </w:tcBorders>
            <w:tcW w:w="1288" w:type="dxa"/>
            <w:vAlign w:val="center"/>
            <w:vMerge w:val="continue"/>
            <w:textDirection w:val="lrTb"/>
            <w:noWrap w:val="false"/>
          </w:tcPr>
          <w:p>
            <w:pPr>
              <w:jc w:val="center"/>
              <w:rPr>
                <w:rFonts w:hint="default" w:ascii="Times New Roman" w:hAnsi="Times New Roman" w:cs="Times New Roman" w:eastAsiaTheme="minorEastAsia"/>
                <w:sz w:val="20"/>
                <w:szCs w:val="20"/>
              </w:rPr>
            </w:pPr>
            <w:r>
              <w:rPr>
                <w:rFonts w:hint="default" w:ascii="Times New Roman" w:hAnsi="Times New Roman" w:cs="Times New Roman" w:eastAsiaTheme="minorEastAsia"/>
                <w:sz w:val="20"/>
                <w:szCs w:val="20"/>
              </w:rPr>
            </w:r>
            <w:r/>
          </w:p>
        </w:tc>
        <w:tc>
          <w:tcPr>
            <w:tcBorders>
              <w:left w:val="single" w:color="000000" w:sz="4" w:space="0"/>
              <w:right w:val="single" w:color="000000" w:sz="4" w:space="0"/>
            </w:tcBorders>
            <w:tcW w:w="4050" w:type="dxa"/>
            <w:vAlign w:val="center"/>
            <w:textDirection w:val="lrTb"/>
            <w:noWrap w:val="false"/>
          </w:tcPr>
          <w:p>
            <w:pPr>
              <w:jc w:val="left"/>
              <w:rPr>
                <w:rFonts w:hint="default" w:ascii="Times New Roman" w:hAnsi="Times New Roman" w:cs="Times New Roman" w:eastAsiaTheme="minorEastAsia"/>
                <w:sz w:val="20"/>
                <w:szCs w:val="20"/>
              </w:rPr>
            </w:pPr>
            <w:r>
              <w:rPr>
                <w:rFonts w:hint="default" w:ascii="Times New Roman" w:hAnsi="Times New Roman" w:cs="Times New Roman" w:eastAsiaTheme="minorEastAsia"/>
                <w:sz w:val="20"/>
                <w:szCs w:val="20"/>
              </w:rPr>
              <w:t xml:space="preserve">GB/T 39600-2021《人造板及其制品甲醛释放量分级》</w:t>
            </w:r>
            <w:r/>
          </w:p>
        </w:tc>
        <w:tc>
          <w:tcPr>
            <w:tcBorders>
              <w:top w:val="single" w:color="000000" w:sz="4" w:space="0"/>
              <w:left w:val="single" w:color="000000" w:sz="4" w:space="0"/>
              <w:bottom w:val="single" w:color="000000" w:sz="4" w:space="0"/>
              <w:right w:val="single" w:color="000000" w:sz="4" w:space="0"/>
            </w:tcBorders>
            <w:tcW w:w="4383" w:type="dxa"/>
            <w:vAlign w:val="center"/>
            <w:textDirection w:val="lrTb"/>
            <w:noWrap w:val="false"/>
          </w:tcPr>
          <w:p>
            <w:pPr>
              <w:jc w:val="left"/>
              <w:rPr>
                <w:rFonts w:hint="default" w:ascii="Times New Roman" w:hAnsi="Times New Roman" w:cs="Times New Roman" w:eastAsiaTheme="minorEastAsia"/>
                <w:sz w:val="20"/>
                <w:szCs w:val="20"/>
              </w:rPr>
            </w:pPr>
            <w:r>
              <w:rPr>
                <w:rFonts w:hint="default" w:ascii="Times New Roman" w:hAnsi="Times New Roman" w:cs="Times New Roman" w:eastAsiaTheme="minorEastAsia"/>
                <w:sz w:val="20"/>
                <w:szCs w:val="20"/>
              </w:rPr>
              <w:t xml:space="preserve">甲醛释放量（气候箱法）（mg/m³）≤0.025，达到ENF级；</w:t>
            </w:r>
            <w:r/>
          </w:p>
        </w:tc>
      </w:tr>
      <w:tr>
        <w:trPr>
          <w:jc w:val="center"/>
          <w:trHeight w:val="2089"/>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rPr>
                <w:rFonts w:hint="default" w:ascii="Times New Roman" w:hAnsi="Times New Roman" w:cs="Times New Roman"/>
                <w:color w:val="000000"/>
                <w:sz w:val="20"/>
                <w:szCs w:val="20"/>
              </w:rPr>
            </w:pPr>
            <w:r>
              <w:rPr>
                <w:rFonts w:hint="default" w:ascii="Times New Roman" w:hAnsi="Times New Roman" w:cs="Times New Roman"/>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288" w:type="dxa"/>
            <w:vAlign w:val="center"/>
            <w:vMerge w:val="restart"/>
            <w:textDirection w:val="lrTb"/>
            <w:noWrap w:val="false"/>
          </w:tcPr>
          <w:p>
            <w:pPr>
              <w:jc w:val="center"/>
              <w:rPr>
                <w:rFonts w:hint="default" w:ascii="Times New Roman" w:hAnsi="Times New Roman" w:cs="Times New Roman"/>
                <w:b/>
                <w:sz w:val="20"/>
                <w:szCs w:val="20"/>
              </w:rPr>
            </w:pPr>
            <w:r>
              <w:rPr>
                <w:rFonts w:hint="default" w:ascii="Times New Roman" w:hAnsi="Times New Roman" w:cs="Times New Roman" w:eastAsiaTheme="minorEastAsia"/>
                <w:sz w:val="20"/>
                <w:szCs w:val="20"/>
              </w:rPr>
              <w:t xml:space="preserve">（阻燃）海绵</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rPr>
                <w:rFonts w:hint="default" w:ascii="Times New Roman" w:hAnsi="Times New Roman" w:cs="Times New Roman"/>
                <w:b/>
                <w:sz w:val="20"/>
                <w:szCs w:val="20"/>
              </w:rPr>
            </w:pPr>
            <w:r>
              <w:rPr>
                <w:rFonts w:hint="default" w:ascii="Times New Roman" w:hAnsi="Times New Roman" w:cs="Times New Roman" w:eastAsiaTheme="minorEastAsia"/>
                <w:sz w:val="20"/>
                <w:szCs w:val="20"/>
              </w:rPr>
              <w:t xml:space="preserve">GB/T 10802-2023《通用软质聚氨酯泡沫塑料》</w:t>
            </w:r>
            <w:r/>
          </w:p>
        </w:tc>
        <w:tc>
          <w:tcPr>
            <w:tcBorders>
              <w:top w:val="single" w:color="000000" w:sz="4" w:space="0"/>
              <w:left w:val="single" w:color="000000" w:sz="4" w:space="0"/>
              <w:bottom w:val="single" w:color="000000" w:sz="4" w:space="0"/>
              <w:right w:val="single" w:color="000000" w:sz="4" w:space="0"/>
            </w:tcBorders>
            <w:tcW w:w="4383" w:type="dxa"/>
            <w:vAlign w:val="center"/>
            <w:textDirection w:val="lrTb"/>
            <w:noWrap w:val="false"/>
          </w:tcPr>
          <w:p>
            <w:pPr>
              <w:jc w:val="left"/>
              <w:rPr>
                <w:rFonts w:hint="default" w:ascii="Times New Roman" w:hAnsi="Times New Roman" w:cs="Times New Roman" w:eastAsiaTheme="minorEastAsia"/>
                <w:sz w:val="20"/>
                <w:szCs w:val="20"/>
              </w:rPr>
            </w:pPr>
            <w:r>
              <w:rPr>
                <w:rFonts w:hint="default" w:ascii="Times New Roman" w:hAnsi="Times New Roman" w:cs="Times New Roman" w:eastAsiaTheme="minorEastAsia"/>
                <w:sz w:val="20"/>
                <w:szCs w:val="20"/>
              </w:rPr>
              <w:t xml:space="preserve">长度极限偏差、宽度极限偏差、厚度极限偏差、外观（色泽、气孔、污渍）</w:t>
            </w:r>
            <w:r/>
          </w:p>
          <w:p>
            <w:pPr>
              <w:jc w:val="left"/>
              <w:rPr>
                <w:rFonts w:hint="default" w:ascii="Times New Roman" w:hAnsi="Times New Roman" w:cs="Times New Roman"/>
                <w:b/>
                <w:sz w:val="20"/>
                <w:szCs w:val="20"/>
              </w:rPr>
            </w:pPr>
            <w:r>
              <w:rPr>
                <w:rFonts w:hint="default" w:ascii="Times New Roman" w:hAnsi="Times New Roman" w:cs="Times New Roman" w:eastAsiaTheme="minorEastAsia"/>
                <w:sz w:val="20"/>
                <w:szCs w:val="20"/>
              </w:rPr>
              <w:t xml:space="preserve">性能要求（回弹率、75%压缩永久变形、65%/25%压陷比、气味等级、拉伸强度、伸长率、撕裂强度、干热老化后拉伸强度、干热老化后拉伸强度变化率、湿热老化后拉伸强度、湿热老化后拉伸强度变化率、恒定负荷反复压陷疲劳后的40%压陷硬度损失值、甲醛散发）产品类别为S类</w:t>
            </w:r>
            <w:r/>
          </w:p>
        </w:tc>
      </w:tr>
      <w:tr>
        <w:trPr>
          <w:jc w:val="center"/>
          <w:trHeight w:val="682"/>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rPr>
                <w:rFonts w:hint="default" w:ascii="Times New Roman" w:hAnsi="Times New Roman" w:cs="Times New Roman"/>
                <w:color w:val="000000"/>
                <w:sz w:val="20"/>
                <w:szCs w:val="20"/>
              </w:rPr>
            </w:pPr>
            <w:r>
              <w:rPr>
                <w:rFonts w:hint="default" w:ascii="Times New Roman" w:hAnsi="Times New Roman" w:cs="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jc w:val="center"/>
              <w:rPr>
                <w:rFonts w:hint="default" w:ascii="Times New Roman" w:hAnsi="Times New Roman" w:cs="Times New Roman"/>
                <w:b/>
                <w:sz w:val="20"/>
                <w:szCs w:val="20"/>
              </w:rPr>
            </w:pPr>
            <w:r>
              <w:rPr>
                <w:rFonts w:hint="default" w:ascii="Times New Roman" w:hAnsi="Times New Roman" w:cs="Times New Roman"/>
                <w:b/>
                <w:sz w:val="20"/>
                <w:szCs w:val="20"/>
              </w:rPr>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rPr>
                <w:rFonts w:hint="default" w:ascii="Times New Roman" w:hAnsi="Times New Roman" w:cs="Times New Roman"/>
                <w:b/>
                <w:sz w:val="20"/>
                <w:szCs w:val="20"/>
              </w:rPr>
            </w:pPr>
            <w:r>
              <w:rPr>
                <w:rFonts w:hint="default" w:ascii="Times New Roman" w:hAnsi="Times New Roman" w:cs="Times New Roman" w:eastAsiaTheme="minorEastAsia"/>
                <w:sz w:val="20"/>
                <w:szCs w:val="20"/>
              </w:rPr>
              <w:t xml:space="preserve">GB 8624-2012《建筑材料及制品燃烧性能分级》</w:t>
            </w:r>
            <w:r/>
          </w:p>
        </w:tc>
        <w:tc>
          <w:tcPr>
            <w:tcBorders>
              <w:top w:val="single" w:color="000000" w:sz="4" w:space="0"/>
              <w:left w:val="single" w:color="000000" w:sz="4" w:space="0"/>
              <w:bottom w:val="single" w:color="000000" w:sz="4" w:space="0"/>
              <w:right w:val="single" w:color="000000" w:sz="4" w:space="0"/>
            </w:tcBorders>
            <w:tcW w:w="4383" w:type="dxa"/>
            <w:vAlign w:val="center"/>
            <w:textDirection w:val="lrTb"/>
            <w:noWrap w:val="false"/>
          </w:tcPr>
          <w:p>
            <w:pPr>
              <w:jc w:val="left"/>
              <w:rPr>
                <w:rFonts w:hint="default" w:ascii="Times New Roman" w:hAnsi="Times New Roman" w:cs="Times New Roman" w:eastAsiaTheme="minorEastAsia"/>
                <w:sz w:val="20"/>
                <w:szCs w:val="20"/>
              </w:rPr>
            </w:pPr>
            <w:r>
              <w:rPr>
                <w:rFonts w:hint="default" w:ascii="Times New Roman" w:hAnsi="Times New Roman" w:cs="Times New Roman" w:eastAsiaTheme="minorEastAsia"/>
                <w:sz w:val="20"/>
                <w:szCs w:val="20"/>
              </w:rPr>
              <w:t xml:space="preserve">燃烧性能B</w:t>
            </w:r>
            <w:r>
              <w:rPr>
                <w:rFonts w:hint="default" w:ascii="Times New Roman" w:hAnsi="Times New Roman" w:cs="Times New Roman" w:eastAsiaTheme="minorEastAsia"/>
                <w:sz w:val="20"/>
                <w:szCs w:val="20"/>
                <w:vertAlign w:val="subscript"/>
              </w:rPr>
              <w:t xml:space="preserve">1</w:t>
            </w:r>
            <w:r>
              <w:rPr>
                <w:rFonts w:hint="default" w:ascii="Times New Roman" w:hAnsi="Times New Roman" w:cs="Times New Roman" w:eastAsiaTheme="minorEastAsia"/>
                <w:sz w:val="20"/>
                <w:szCs w:val="20"/>
              </w:rPr>
              <w:t xml:space="preserve">级（单体燃烧试验，包含单位面积热释放速率峰值、平均燃烧时间、平均燃烧高度）；</w:t>
            </w:r>
            <w:r/>
          </w:p>
        </w:tc>
      </w:tr>
      <w:tr>
        <w:trPr>
          <w:jc w:val="center"/>
          <w:trHeight w:val="682"/>
        </w:trPr>
        <w:tc>
          <w:tcPr>
            <w:tcBorders>
              <w:top w:val="single" w:color="000000" w:sz="4" w:space="0"/>
              <w:left w:val="single" w:color="000000" w:sz="4" w:space="0"/>
              <w:right w:val="single" w:color="000000" w:sz="4" w:space="0"/>
            </w:tcBorders>
            <w:tcW w:w="704" w:type="dxa"/>
            <w:vAlign w:val="center"/>
            <w:vMerge w:val="restart"/>
            <w:textDirection w:val="lrTb"/>
            <w:noWrap w:val="false"/>
          </w:tcPr>
          <w:p>
            <w:pPr>
              <w:jc w:val="center"/>
              <w:rPr>
                <w:rFonts w:hint="default" w:ascii="Times New Roman" w:hAnsi="Times New Roman" w:cs="Times New Roman"/>
                <w:color w:val="000000"/>
                <w:sz w:val="20"/>
                <w:szCs w:val="20"/>
              </w:rPr>
            </w:pPr>
            <w:r>
              <w:rPr>
                <w:rFonts w:hint="default" w:ascii="Times New Roman" w:hAnsi="Times New Roman" w:cs="Times New Roman"/>
                <w:color w:val="000000"/>
                <w:sz w:val="20"/>
                <w:szCs w:val="20"/>
              </w:rPr>
              <w:t xml:space="preserve">4</w:t>
            </w:r>
            <w:r/>
          </w:p>
        </w:tc>
        <w:tc>
          <w:tcPr>
            <w:tcBorders>
              <w:top w:val="single" w:color="000000" w:sz="4" w:space="0"/>
              <w:left w:val="single" w:color="000000" w:sz="4" w:space="0"/>
              <w:right w:val="single" w:color="000000" w:sz="4" w:space="0"/>
            </w:tcBorders>
            <w:tcW w:w="1288" w:type="dxa"/>
            <w:vAlign w:val="center"/>
            <w:vMerge w:val="restart"/>
            <w:textDirection w:val="lrTb"/>
            <w:noWrap w:val="false"/>
          </w:tcPr>
          <w:p>
            <w:pPr>
              <w:jc w:val="center"/>
              <w:rPr>
                <w:rFonts w:hint="default" w:ascii="Times New Roman" w:hAnsi="Times New Roman" w:cs="Times New Roman"/>
                <w:b/>
                <w:sz w:val="20"/>
                <w:szCs w:val="20"/>
              </w:rPr>
            </w:pPr>
            <w:r>
              <w:rPr>
                <w:rFonts w:hint="default" w:ascii="Times New Roman" w:hAnsi="Times New Roman" w:cs="Times New Roman" w:eastAsiaTheme="minorEastAsia"/>
                <w:sz w:val="20"/>
                <w:szCs w:val="20"/>
              </w:rPr>
              <w:t xml:space="preserve">（阻燃）布</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rPr>
                <w:rFonts w:hint="default" w:ascii="Times New Roman" w:hAnsi="Times New Roman" w:cs="Times New Roman" w:eastAsiaTheme="minorEastAsia"/>
                <w:sz w:val="20"/>
                <w:szCs w:val="20"/>
              </w:rPr>
            </w:pPr>
            <w:r>
              <w:rPr>
                <w:rFonts w:hint="default" w:ascii="Times New Roman" w:hAnsi="Times New Roman" w:cs="Times New Roman" w:eastAsiaTheme="minorEastAsia"/>
                <w:sz w:val="20"/>
                <w:szCs w:val="20"/>
              </w:rPr>
              <w:t xml:space="preserve">GB 18401-2010 《国家纺织产品基本安全技术规范》</w:t>
            </w:r>
            <w:r/>
          </w:p>
        </w:tc>
        <w:tc>
          <w:tcPr>
            <w:tcBorders>
              <w:top w:val="single" w:color="000000" w:sz="4" w:space="0"/>
              <w:left w:val="single" w:color="000000" w:sz="4" w:space="0"/>
              <w:bottom w:val="single" w:color="000000" w:sz="4" w:space="0"/>
              <w:right w:val="single" w:color="000000" w:sz="4" w:space="0"/>
            </w:tcBorders>
            <w:tcW w:w="4383" w:type="dxa"/>
            <w:vAlign w:val="center"/>
            <w:textDirection w:val="lrTb"/>
            <w:noWrap w:val="false"/>
          </w:tcPr>
          <w:p>
            <w:pPr>
              <w:jc w:val="left"/>
              <w:rPr>
                <w:rFonts w:hint="default" w:ascii="Times New Roman" w:hAnsi="Times New Roman" w:cs="Times New Roman" w:eastAsiaTheme="minorEastAsia"/>
                <w:sz w:val="20"/>
                <w:szCs w:val="20"/>
              </w:rPr>
            </w:pPr>
            <w:r>
              <w:rPr>
                <w:rFonts w:hint="default" w:ascii="Times New Roman" w:hAnsi="Times New Roman" w:cs="Times New Roman" w:eastAsiaTheme="minorEastAsia"/>
                <w:sz w:val="20"/>
                <w:szCs w:val="20"/>
              </w:rPr>
              <w:t xml:space="preserve">检测产品为纺织品C类</w:t>
            </w:r>
            <w:r/>
          </w:p>
          <w:p>
            <w:pPr>
              <w:jc w:val="left"/>
              <w:rPr>
                <w:rFonts w:hint="default" w:ascii="Times New Roman" w:hAnsi="Times New Roman" w:cs="Times New Roman" w:eastAsiaTheme="minorEastAsia"/>
                <w:sz w:val="20"/>
                <w:szCs w:val="20"/>
              </w:rPr>
            </w:pPr>
            <w:r>
              <w:rPr>
                <w:rFonts w:hint="default" w:ascii="Times New Roman" w:hAnsi="Times New Roman" w:cs="Times New Roman" w:eastAsiaTheme="minorEastAsia"/>
                <w:sz w:val="20"/>
                <w:szCs w:val="20"/>
              </w:rPr>
              <w:t xml:space="preserve">甲醛含量、pH值、染色牢度（耐干摩擦）、可分解致癌芳香胺染料</w:t>
            </w:r>
            <w:r/>
          </w:p>
        </w:tc>
      </w:tr>
      <w:tr>
        <w:trPr>
          <w:jc w:val="center"/>
          <w:trHeight w:val="589"/>
        </w:trPr>
        <w:tc>
          <w:tcPr>
            <w:tcBorders>
              <w:left w:val="single" w:color="000000" w:sz="4" w:space="0"/>
              <w:right w:val="single" w:color="000000" w:sz="4" w:space="0"/>
            </w:tcBorders>
            <w:tcW w:w="704" w:type="dxa"/>
            <w:vAlign w:val="center"/>
            <w:vMerge w:val="continue"/>
            <w:textDirection w:val="lrTb"/>
            <w:noWrap w:val="false"/>
          </w:tcPr>
          <w:p>
            <w:pPr>
              <w:jc w:val="center"/>
              <w:rPr>
                <w:rFonts w:hint="default" w:ascii="Times New Roman" w:hAnsi="Times New Roman" w:cs="Times New Roman"/>
                <w:color w:val="000000"/>
                <w:sz w:val="20"/>
                <w:szCs w:val="20"/>
              </w:rPr>
            </w:pPr>
            <w:r>
              <w:rPr>
                <w:rFonts w:hint="default" w:ascii="Times New Roman" w:hAnsi="Times New Roman" w:cs="Times New Roman"/>
                <w:color w:val="000000"/>
                <w:sz w:val="20"/>
                <w:szCs w:val="20"/>
              </w:rPr>
            </w:r>
            <w:r/>
          </w:p>
        </w:tc>
        <w:tc>
          <w:tcPr>
            <w:tcBorders>
              <w:left w:val="single" w:color="000000" w:sz="4" w:space="0"/>
              <w:right w:val="single" w:color="000000" w:sz="4" w:space="0"/>
            </w:tcBorders>
            <w:tcW w:w="1288" w:type="dxa"/>
            <w:vAlign w:val="center"/>
            <w:vMerge w:val="continue"/>
            <w:textDirection w:val="lrTb"/>
            <w:noWrap w:val="false"/>
          </w:tcPr>
          <w:p>
            <w:pPr>
              <w:jc w:val="center"/>
              <w:rPr>
                <w:rFonts w:hint="default" w:ascii="Times New Roman" w:hAnsi="Times New Roman" w:cs="Times New Roman" w:eastAsiaTheme="minorEastAsia"/>
                <w:sz w:val="20"/>
                <w:szCs w:val="20"/>
              </w:rPr>
            </w:pPr>
            <w:r>
              <w:rPr>
                <w:rFonts w:hint="default" w:ascii="Times New Roman" w:hAnsi="Times New Roman" w:cs="Times New Roman"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rPr>
                <w:rFonts w:hint="default" w:ascii="Times New Roman" w:hAnsi="Times New Roman" w:cs="Times New Roman" w:eastAsiaTheme="minorEastAsia"/>
                <w:sz w:val="20"/>
                <w:szCs w:val="20"/>
              </w:rPr>
            </w:pPr>
            <w:r>
              <w:rPr>
                <w:rFonts w:hint="default" w:ascii="Times New Roman" w:hAnsi="Times New Roman" w:cs="Times New Roman" w:eastAsiaTheme="minorEastAsia"/>
                <w:sz w:val="20"/>
                <w:szCs w:val="20"/>
              </w:rPr>
              <w:t xml:space="preserve">GB 8624-2012《建筑材料及制品燃烧性能分级》</w:t>
            </w:r>
            <w:r/>
          </w:p>
        </w:tc>
        <w:tc>
          <w:tcPr>
            <w:tcBorders>
              <w:top w:val="single" w:color="000000" w:sz="4" w:space="0"/>
              <w:left w:val="single" w:color="000000" w:sz="4" w:space="0"/>
              <w:bottom w:val="single" w:color="000000" w:sz="4" w:space="0"/>
              <w:right w:val="single" w:color="000000" w:sz="4" w:space="0"/>
            </w:tcBorders>
            <w:tcW w:w="4383" w:type="dxa"/>
            <w:vAlign w:val="center"/>
            <w:textDirection w:val="lrTb"/>
            <w:noWrap w:val="false"/>
          </w:tcPr>
          <w:p>
            <w:pPr>
              <w:jc w:val="left"/>
              <w:rPr>
                <w:rFonts w:hint="default" w:ascii="Times New Roman" w:hAnsi="Times New Roman" w:cs="Times New Roman" w:eastAsiaTheme="minorEastAsia"/>
                <w:sz w:val="20"/>
                <w:szCs w:val="20"/>
              </w:rPr>
            </w:pPr>
            <w:r>
              <w:rPr>
                <w:rFonts w:hint="default" w:ascii="Times New Roman" w:hAnsi="Times New Roman" w:cs="Times New Roman" w:eastAsiaTheme="minorEastAsia"/>
                <w:sz w:val="20"/>
                <w:szCs w:val="20"/>
              </w:rPr>
              <w:t xml:space="preserve">燃烧性能B</w:t>
            </w:r>
            <w:r>
              <w:rPr>
                <w:rFonts w:hint="default" w:ascii="Times New Roman" w:hAnsi="Times New Roman" w:cs="Times New Roman" w:eastAsiaTheme="minorEastAsia"/>
                <w:sz w:val="20"/>
                <w:szCs w:val="20"/>
                <w:vertAlign w:val="subscript"/>
              </w:rPr>
              <w:t xml:space="preserve">1</w:t>
            </w:r>
            <w:r>
              <w:rPr>
                <w:rFonts w:hint="default" w:ascii="Times New Roman" w:hAnsi="Times New Roman" w:cs="Times New Roman" w:eastAsiaTheme="minorEastAsia"/>
                <w:sz w:val="20"/>
                <w:szCs w:val="20"/>
              </w:rPr>
              <w:t xml:space="preserve">级（单体燃烧试验）：氧指数、损毁长度、续燃时间、阴燃时间</w:t>
            </w:r>
            <w:r/>
          </w:p>
        </w:tc>
      </w:tr>
      <w:tr>
        <w:trPr>
          <w:jc w:val="center"/>
          <w:trHeight w:val="557"/>
        </w:trPr>
        <w:tc>
          <w:tcPr>
            <w:tcBorders>
              <w:left w:val="single" w:color="000000" w:sz="4" w:space="0"/>
              <w:right w:val="single" w:color="000000" w:sz="4" w:space="0"/>
            </w:tcBorders>
            <w:tcW w:w="704" w:type="dxa"/>
            <w:vAlign w:val="center"/>
            <w:vMerge w:val="continue"/>
            <w:textDirection w:val="lrTb"/>
            <w:noWrap w:val="false"/>
          </w:tcPr>
          <w:p>
            <w:pPr>
              <w:jc w:val="center"/>
              <w:rPr>
                <w:rFonts w:hint="default" w:ascii="Times New Roman" w:hAnsi="Times New Roman" w:cs="Times New Roman"/>
                <w:color w:val="000000"/>
                <w:sz w:val="20"/>
                <w:szCs w:val="20"/>
              </w:rPr>
            </w:pPr>
            <w:r>
              <w:rPr>
                <w:rFonts w:hint="default" w:ascii="Times New Roman" w:hAnsi="Times New Roman" w:cs="Times New Roman"/>
                <w:color w:val="000000"/>
                <w:sz w:val="20"/>
                <w:szCs w:val="20"/>
              </w:rPr>
            </w:r>
            <w:r/>
          </w:p>
        </w:tc>
        <w:tc>
          <w:tcPr>
            <w:tcBorders>
              <w:left w:val="single" w:color="000000" w:sz="4" w:space="0"/>
              <w:right w:val="single" w:color="000000" w:sz="4" w:space="0"/>
            </w:tcBorders>
            <w:tcW w:w="1288" w:type="dxa"/>
            <w:vAlign w:val="center"/>
            <w:vMerge w:val="continue"/>
            <w:textDirection w:val="lrTb"/>
            <w:noWrap w:val="false"/>
          </w:tcPr>
          <w:p>
            <w:pPr>
              <w:jc w:val="center"/>
              <w:rPr>
                <w:rFonts w:hint="default" w:ascii="Times New Roman" w:hAnsi="Times New Roman" w:cs="Times New Roman" w:eastAsiaTheme="minorEastAsia"/>
                <w:sz w:val="20"/>
                <w:szCs w:val="20"/>
              </w:rPr>
            </w:pPr>
            <w:r>
              <w:rPr>
                <w:rFonts w:hint="default" w:ascii="Times New Roman" w:hAnsi="Times New Roman" w:cs="Times New Roman" w:eastAsiaTheme="minorEastAsia"/>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rPr>
                <w:rFonts w:hint="default" w:ascii="Times New Roman" w:hAnsi="Times New Roman" w:cs="Times New Roman" w:eastAsiaTheme="minorEastAsia"/>
                <w:sz w:val="20"/>
                <w:szCs w:val="20"/>
              </w:rPr>
            </w:pPr>
            <w:r>
              <w:rPr>
                <w:rFonts w:hint="default" w:ascii="Times New Roman" w:hAnsi="Times New Roman" w:cs="Times New Roman" w:eastAsiaTheme="minorEastAsia"/>
                <w:sz w:val="20"/>
                <w:szCs w:val="20"/>
              </w:rPr>
              <w:t xml:space="preserve">GB/T 18885-2020《生态纺织品技术要求》</w:t>
            </w:r>
            <w:r/>
          </w:p>
        </w:tc>
        <w:tc>
          <w:tcPr>
            <w:shd w:val="clear" w:color="auto" w:fill="auto"/>
            <w:tcBorders>
              <w:top w:val="single" w:color="000000" w:sz="4" w:space="0"/>
              <w:left w:val="single" w:color="000000" w:sz="4" w:space="0"/>
              <w:bottom w:val="single" w:color="000000" w:sz="4" w:space="0"/>
              <w:right w:val="single" w:color="000000" w:sz="4" w:space="0"/>
            </w:tcBorders>
            <w:tcW w:w="4383" w:type="dxa"/>
            <w:vAlign w:val="center"/>
            <w:textDirection w:val="lrTb"/>
            <w:noWrap w:val="false"/>
          </w:tcPr>
          <w:p>
            <w:pPr>
              <w:jc w:val="left"/>
              <w:rPr>
                <w:rFonts w:hint="default" w:ascii="Times New Roman" w:hAnsi="Times New Roman" w:cs="Times New Roman" w:eastAsiaTheme="minorEastAsia"/>
                <w:sz w:val="20"/>
                <w:szCs w:val="20"/>
              </w:rPr>
            </w:pPr>
            <w:r>
              <w:rPr>
                <w:rFonts w:hint="default" w:ascii="Times New Roman" w:hAnsi="Times New Roman" w:cs="Times New Roman" w:eastAsiaTheme="minorEastAsia"/>
                <w:sz w:val="20"/>
                <w:szCs w:val="20"/>
                <w:lang w:val="en-US" w:eastAsia="zh-CN"/>
              </w:rPr>
              <w:t xml:space="preserve">总</w:t>
            </w:r>
            <w:r>
              <w:rPr>
                <w:rFonts w:hint="default" w:ascii="Times New Roman" w:hAnsi="Times New Roman" w:cs="Times New Roman" w:eastAsiaTheme="minorEastAsia"/>
                <w:sz w:val="20"/>
                <w:szCs w:val="20"/>
              </w:rPr>
              <w:t xml:space="preserve">铅、</w:t>
            </w:r>
            <w:r>
              <w:rPr>
                <w:rFonts w:hint="default" w:ascii="Times New Roman" w:hAnsi="Times New Roman" w:cs="Times New Roman" w:eastAsiaTheme="minorEastAsia"/>
                <w:sz w:val="20"/>
                <w:szCs w:val="20"/>
                <w:lang w:val="en-US" w:eastAsia="zh-CN"/>
              </w:rPr>
              <w:t xml:space="preserve">总</w:t>
            </w:r>
            <w:r>
              <w:rPr>
                <w:rFonts w:hint="default" w:ascii="Times New Roman" w:hAnsi="Times New Roman" w:cs="Times New Roman" w:eastAsiaTheme="minorEastAsia"/>
                <w:sz w:val="20"/>
                <w:szCs w:val="20"/>
              </w:rPr>
              <w:t xml:space="preserve">镉</w:t>
            </w:r>
            <w:r>
              <w:rPr>
                <w:rFonts w:hint="eastAsia" w:ascii="Times New Roman" w:hAnsi="Times New Roman" w:cs="Times New Roman" w:eastAsiaTheme="minorEastAsia"/>
                <w:sz w:val="20"/>
                <w:szCs w:val="20"/>
                <w:lang w:eastAsia="zh-CN"/>
              </w:rPr>
              <w:t xml:space="preserve">（</w:t>
            </w:r>
            <w:r>
              <w:rPr>
                <w:rFonts w:hint="default" w:ascii="Times New Roman" w:hAnsi="Times New Roman" w:cs="Times New Roman" w:eastAsiaTheme="minorEastAsia"/>
                <w:sz w:val="20"/>
                <w:szCs w:val="20"/>
              </w:rPr>
              <w:t xml:space="preserve">非直接接触皮肤用品</w:t>
            </w:r>
            <w:r>
              <w:rPr>
                <w:rFonts w:hint="eastAsia" w:ascii="Times New Roman" w:hAnsi="Times New Roman" w:cs="Times New Roman" w:eastAsiaTheme="minorEastAsia"/>
                <w:sz w:val="20"/>
                <w:szCs w:val="20"/>
                <w:lang w:eastAsia="zh-CN"/>
              </w:rPr>
              <w:t xml:space="preserve">）</w:t>
            </w:r>
            <w:r/>
          </w:p>
        </w:tc>
      </w:tr>
      <w:tr>
        <w:trPr>
          <w:jc w:val="center"/>
          <w:trHeight w:val="557"/>
        </w:trPr>
        <w:tc>
          <w:tcPr>
            <w:tcBorders>
              <w:left w:val="single" w:color="000000" w:sz="4" w:space="0"/>
              <w:right w:val="single" w:color="000000" w:sz="4" w:space="0"/>
            </w:tcBorders>
            <w:tcW w:w="704" w:type="dxa"/>
            <w:vAlign w:val="center"/>
            <w:vMerge w:val="continue"/>
            <w:textDirection w:val="lrTb"/>
            <w:noWrap w:val="false"/>
          </w:tcPr>
          <w:p>
            <w:pPr>
              <w:jc w:val="center"/>
              <w:rPr>
                <w:rFonts w:hint="default" w:ascii="Times New Roman" w:hAnsi="Times New Roman" w:cs="Times New Roman"/>
                <w:color w:val="000000"/>
                <w:sz w:val="20"/>
                <w:szCs w:val="20"/>
              </w:rPr>
            </w:pPr>
            <w:r>
              <w:rPr>
                <w:rFonts w:hint="default" w:ascii="Times New Roman" w:hAnsi="Times New Roman" w:cs="Times New Roman"/>
                <w:color w:val="000000"/>
                <w:sz w:val="20"/>
                <w:szCs w:val="20"/>
              </w:rPr>
            </w:r>
            <w:r/>
          </w:p>
        </w:tc>
        <w:tc>
          <w:tcPr>
            <w:tcBorders>
              <w:left w:val="single" w:color="000000" w:sz="4" w:space="0"/>
              <w:right w:val="single" w:color="000000" w:sz="4" w:space="0"/>
            </w:tcBorders>
            <w:tcW w:w="1288" w:type="dxa"/>
            <w:vAlign w:val="center"/>
            <w:vMerge w:val="continue"/>
            <w:textDirection w:val="lrTb"/>
            <w:noWrap w:val="false"/>
          </w:tcPr>
          <w:p>
            <w:pPr>
              <w:jc w:val="center"/>
              <w:rPr>
                <w:rFonts w:hint="default" w:ascii="Times New Roman" w:hAnsi="Times New Roman" w:cs="Times New Roman" w:eastAsiaTheme="minorEastAsia"/>
                <w:sz w:val="20"/>
                <w:szCs w:val="20"/>
              </w:rPr>
            </w:pPr>
            <w:r>
              <w:rPr>
                <w:rFonts w:hint="default" w:ascii="Times New Roman" w:hAnsi="Times New Roman" w:cs="Times New Roman" w:eastAsiaTheme="minorEastAsia"/>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rPr>
                <w:rFonts w:hint="default" w:ascii="Times New Roman" w:hAnsi="Times New Roman" w:cs="Times New Roman" w:eastAsiaTheme="minorEastAsia"/>
                <w:sz w:val="20"/>
                <w:szCs w:val="20"/>
              </w:rPr>
            </w:pPr>
            <w:r>
              <w:rPr>
                <w:rFonts w:hint="default" w:ascii="Times New Roman" w:hAnsi="Times New Roman" w:cs="Times New Roman" w:eastAsiaTheme="minorEastAsia"/>
                <w:sz w:val="20"/>
                <w:szCs w:val="20"/>
              </w:rPr>
              <w:t xml:space="preserve">GB/T 24253-2009《纺织品 防螨性能的评价》</w:t>
            </w:r>
            <w:r/>
          </w:p>
        </w:tc>
        <w:tc>
          <w:tcPr>
            <w:shd w:val="clear" w:color="auto" w:fill="auto"/>
            <w:tcBorders>
              <w:top w:val="single" w:color="000000" w:sz="4" w:space="0"/>
              <w:left w:val="single" w:color="000000" w:sz="4" w:space="0"/>
              <w:bottom w:val="single" w:color="000000" w:sz="4" w:space="0"/>
              <w:right w:val="single" w:color="000000" w:sz="4" w:space="0"/>
            </w:tcBorders>
            <w:tcW w:w="4383" w:type="dxa"/>
            <w:vAlign w:val="center"/>
            <w:textDirection w:val="lrTb"/>
            <w:noWrap w:val="false"/>
          </w:tcPr>
          <w:p>
            <w:pPr>
              <w:jc w:val="left"/>
              <w:rPr>
                <w:rFonts w:hint="default" w:ascii="Times New Roman" w:hAnsi="Times New Roman" w:cs="Times New Roman" w:eastAsiaTheme="minorEastAsia"/>
                <w:sz w:val="20"/>
                <w:szCs w:val="20"/>
              </w:rPr>
            </w:pPr>
            <w:r>
              <w:rPr>
                <w:rFonts w:hint="default" w:ascii="Times New Roman" w:hAnsi="Times New Roman" w:cs="Times New Roman" w:eastAsiaTheme="minorEastAsia"/>
                <w:sz w:val="20"/>
                <w:szCs w:val="20"/>
              </w:rPr>
              <w:t xml:space="preserve">防螨性能（抑制率）≥80%</w:t>
            </w:r>
            <w:r/>
          </w:p>
        </w:tc>
      </w:tr>
      <w:tr>
        <w:trPr>
          <w:jc w:val="center"/>
          <w:trHeight w:val="682"/>
        </w:trPr>
        <w:tc>
          <w:tcPr>
            <w:tcBorders>
              <w:top w:val="single" w:color="000000" w:sz="4" w:space="0"/>
              <w:left w:val="single" w:color="000000" w:sz="4" w:space="0"/>
              <w:right w:val="single" w:color="000000" w:sz="4" w:space="0"/>
            </w:tcBorders>
            <w:tcW w:w="704" w:type="dxa"/>
            <w:vAlign w:val="center"/>
            <w:vMerge w:val="restart"/>
            <w:textDirection w:val="lrTb"/>
            <w:noWrap w:val="false"/>
          </w:tcPr>
          <w:p>
            <w:pPr>
              <w:jc w:val="center"/>
              <w:rPr>
                <w:rFonts w:hint="default" w:ascii="Times New Roman" w:hAnsi="Times New Roman" w:cs="Times New Roman"/>
                <w:color w:val="000000"/>
                <w:sz w:val="20"/>
                <w:szCs w:val="20"/>
              </w:rPr>
            </w:pPr>
            <w:r>
              <w:rPr>
                <w:rFonts w:hint="default" w:ascii="Times New Roman" w:hAnsi="Times New Roman" w:cs="Times New Roman"/>
                <w:color w:val="000000"/>
                <w:sz w:val="20"/>
                <w:szCs w:val="20"/>
              </w:rPr>
              <w:t xml:space="preserve">5</w:t>
            </w:r>
            <w:r/>
          </w:p>
        </w:tc>
        <w:tc>
          <w:tcPr>
            <w:tcBorders>
              <w:top w:val="single" w:color="000000" w:sz="4" w:space="0"/>
              <w:left w:val="single" w:color="000000" w:sz="4" w:space="0"/>
              <w:right w:val="single" w:color="000000" w:sz="4" w:space="0"/>
            </w:tcBorders>
            <w:tcW w:w="1288" w:type="dxa"/>
            <w:vAlign w:val="center"/>
            <w:vMerge w:val="restart"/>
            <w:textDirection w:val="lrTb"/>
            <w:noWrap w:val="false"/>
          </w:tcPr>
          <w:p>
            <w:pPr>
              <w:jc w:val="center"/>
              <w:spacing w:before="264"/>
              <w:rPr>
                <w:rFonts w:hint="default" w:ascii="Times New Roman" w:hAnsi="Times New Roman" w:cs="Times New Roman" w:eastAsiaTheme="minorEastAsia"/>
                <w:sz w:val="20"/>
                <w:szCs w:val="20"/>
              </w:rPr>
            </w:pPr>
            <w:r>
              <w:rPr>
                <w:rFonts w:hint="default" w:ascii="Times New Roman" w:hAnsi="Times New Roman" w:cs="Times New Roman" w:eastAsiaTheme="minorEastAsia"/>
                <w:sz w:val="20"/>
                <w:szCs w:val="20"/>
              </w:rPr>
              <w:t xml:space="preserve">（防腐抗菌</w:t>
            </w:r>
            <w:r>
              <w:rPr>
                <w:rFonts w:hint="default" w:ascii="Times New Roman" w:hAnsi="Times New Roman" w:cs="Times New Roman" w:eastAsiaTheme="minorEastAsia"/>
                <w:sz w:val="20"/>
                <w:szCs w:val="20"/>
                <w:lang w:eastAsia="zh-CN"/>
              </w:rPr>
              <w:t xml:space="preserve">）</w:t>
            </w:r>
            <w:r>
              <w:rPr>
                <w:rFonts w:hint="default" w:ascii="Times New Roman" w:hAnsi="Times New Roman" w:cs="Times New Roman" w:eastAsiaTheme="minorEastAsia"/>
                <w:sz w:val="20"/>
                <w:szCs w:val="20"/>
              </w:rPr>
              <w:t xml:space="preserve">喷涂粉末</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ind w:left="16" w:right="20"/>
              <w:jc w:val="left"/>
              <w:spacing w:before="73"/>
              <w:rPr>
                <w:rFonts w:hint="default" w:ascii="Times New Roman" w:hAnsi="Times New Roman" w:cs="Times New Roman" w:eastAsiaTheme="minorEastAsia"/>
                <w:sz w:val="20"/>
                <w:szCs w:val="20"/>
              </w:rPr>
            </w:pPr>
            <w:r>
              <w:rPr>
                <w:rFonts w:hint="default" w:ascii="Times New Roman" w:hAnsi="Times New Roman" w:cs="Times New Roman" w:eastAsiaTheme="minorEastAsia"/>
                <w:sz w:val="20"/>
                <w:szCs w:val="20"/>
              </w:rPr>
              <w:t xml:space="preserve">HG/T 2006-2022《热固性和热塑性粉末涂料》</w:t>
            </w:r>
            <w:r/>
          </w:p>
        </w:tc>
        <w:tc>
          <w:tcPr>
            <w:tcBorders>
              <w:top w:val="single" w:color="000000" w:sz="4" w:space="0"/>
              <w:left w:val="single" w:color="000000" w:sz="4" w:space="0"/>
              <w:bottom w:val="single" w:color="000000" w:sz="4" w:space="0"/>
              <w:right w:val="single" w:color="000000" w:sz="4" w:space="0"/>
            </w:tcBorders>
            <w:tcW w:w="4383" w:type="dxa"/>
            <w:vAlign w:val="center"/>
            <w:textDirection w:val="lrTb"/>
            <w:noWrap w:val="false"/>
          </w:tcPr>
          <w:p>
            <w:pPr>
              <w:ind w:left="21" w:right="14"/>
              <w:jc w:val="left"/>
              <w:spacing w:before="73"/>
              <w:rPr>
                <w:rFonts w:hint="default" w:ascii="Times New Roman" w:hAnsi="Times New Roman" w:cs="Times New Roman" w:eastAsiaTheme="minorEastAsia"/>
                <w:sz w:val="20"/>
                <w:szCs w:val="20"/>
              </w:rPr>
            </w:pPr>
            <w:r>
              <w:rPr>
                <w:rFonts w:hint="default" w:ascii="Times New Roman" w:hAnsi="Times New Roman" w:cs="Times New Roman" w:eastAsiaTheme="minorEastAsia"/>
                <w:sz w:val="20"/>
                <w:szCs w:val="20"/>
              </w:rPr>
              <w:t xml:space="preserve">I型1类热固性粉末涂料的要求-筛余物(125μm)、附着力(干附着力、沸水附着力、湿附着力)、铅笔硬度(内聚破坏中擦伤)、耐冲击性(正向冲击)、弯曲试验、耐酸性、耐碱性、耐沸水性</w:t>
            </w:r>
            <w:r/>
          </w:p>
        </w:tc>
      </w:tr>
      <w:tr>
        <w:trPr>
          <w:jc w:val="center"/>
          <w:trHeight w:val="535"/>
        </w:trPr>
        <w:tc>
          <w:tcPr>
            <w:tcBorders>
              <w:left w:val="single" w:color="000000" w:sz="4" w:space="0"/>
              <w:right w:val="single" w:color="000000" w:sz="4" w:space="0"/>
            </w:tcBorders>
            <w:tcW w:w="704" w:type="dxa"/>
            <w:vAlign w:val="center"/>
            <w:vMerge w:val="continue"/>
            <w:textDirection w:val="lrTb"/>
            <w:noWrap w:val="false"/>
          </w:tcPr>
          <w:p>
            <w:pPr>
              <w:jc w:val="center"/>
              <w:rPr>
                <w:rFonts w:hint="default" w:ascii="Times New Roman" w:hAnsi="Times New Roman" w:cs="Times New Roman"/>
                <w:color w:val="000000"/>
                <w:sz w:val="20"/>
                <w:szCs w:val="20"/>
              </w:rPr>
            </w:pPr>
            <w:r>
              <w:rPr>
                <w:rFonts w:hint="default" w:ascii="Times New Roman" w:hAnsi="Times New Roman" w:cs="Times New Roman"/>
                <w:color w:val="000000"/>
                <w:sz w:val="20"/>
                <w:szCs w:val="20"/>
              </w:rPr>
            </w:r>
            <w:r/>
          </w:p>
        </w:tc>
        <w:tc>
          <w:tcPr>
            <w:tcBorders>
              <w:left w:val="single" w:color="000000" w:sz="4" w:space="0"/>
              <w:right w:val="single" w:color="000000" w:sz="4" w:space="0"/>
            </w:tcBorders>
            <w:tcW w:w="1288" w:type="dxa"/>
            <w:vAlign w:val="center"/>
            <w:vMerge w:val="continue"/>
            <w:textDirection w:val="lrTb"/>
            <w:noWrap w:val="false"/>
          </w:tcPr>
          <w:p>
            <w:pPr>
              <w:jc w:val="center"/>
              <w:spacing w:before="264"/>
              <w:rPr>
                <w:rFonts w:hint="default" w:ascii="Times New Roman" w:hAnsi="Times New Roman" w:cs="Times New Roman" w:eastAsiaTheme="minorEastAsia"/>
                <w:sz w:val="20"/>
                <w:szCs w:val="20"/>
              </w:rPr>
            </w:pPr>
            <w:r>
              <w:rPr>
                <w:rFonts w:hint="default" w:ascii="Times New Roman" w:hAnsi="Times New Roman" w:cs="Times New Roman"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ind w:left="16" w:right="20"/>
              <w:jc w:val="left"/>
              <w:spacing w:before="73"/>
              <w:rPr>
                <w:rFonts w:hint="default" w:ascii="Times New Roman" w:hAnsi="Times New Roman" w:cs="Times New Roman" w:eastAsiaTheme="minorEastAsia"/>
                <w:sz w:val="20"/>
                <w:szCs w:val="20"/>
              </w:rPr>
            </w:pPr>
            <w:r>
              <w:rPr>
                <w:rFonts w:hint="default" w:ascii="Times New Roman" w:hAnsi="Times New Roman" w:cs="Times New Roman" w:eastAsiaTheme="minorEastAsia"/>
                <w:sz w:val="20"/>
                <w:szCs w:val="20"/>
              </w:rPr>
              <w:t xml:space="preserve">GB/T 35607-2017《绿色产品评价 家具》</w:t>
            </w:r>
            <w:r/>
          </w:p>
        </w:tc>
        <w:tc>
          <w:tcPr>
            <w:tcBorders>
              <w:top w:val="single" w:color="000000" w:sz="4" w:space="0"/>
              <w:left w:val="single" w:color="000000" w:sz="4" w:space="0"/>
              <w:bottom w:val="single" w:color="000000" w:sz="4" w:space="0"/>
              <w:right w:val="single" w:color="000000" w:sz="4" w:space="0"/>
            </w:tcBorders>
            <w:tcW w:w="4383" w:type="dxa"/>
            <w:vAlign w:val="center"/>
            <w:textDirection w:val="lrTb"/>
            <w:noWrap w:val="false"/>
          </w:tcPr>
          <w:p>
            <w:pPr>
              <w:ind w:left="21" w:right="14"/>
              <w:jc w:val="left"/>
              <w:spacing w:before="73"/>
              <w:rPr>
                <w:rFonts w:hint="default" w:ascii="Times New Roman" w:hAnsi="Times New Roman" w:cs="Times New Roman" w:eastAsiaTheme="minorEastAsia"/>
                <w:sz w:val="20"/>
                <w:szCs w:val="20"/>
              </w:rPr>
            </w:pPr>
            <w:r>
              <w:rPr>
                <w:rFonts w:hint="default" w:ascii="Times New Roman" w:hAnsi="Times New Roman" w:cs="Times New Roman" w:eastAsiaTheme="minorEastAsia"/>
                <w:sz w:val="20"/>
                <w:szCs w:val="20"/>
              </w:rPr>
              <w:t xml:space="preserve">产品有害物质（铅 Pb、镉 Cd、铬 Cr、汞 Hg、锑 Sb、钡 Ba、硒 Se、砷 As）</w:t>
            </w:r>
            <w:r/>
          </w:p>
        </w:tc>
      </w:tr>
    </w:tbl>
    <w:p>
      <w:pPr>
        <w:jc w:val="center"/>
        <w:rPr>
          <w:rFonts w:hint="default" w:ascii="Times New Roman" w:hAnsi="Times New Roman" w:cs="Times New Roman"/>
          <w:b/>
          <w:szCs w:val="21"/>
        </w:rPr>
      </w:pPr>
      <w:r>
        <w:rPr>
          <w:rFonts w:hint="default" w:ascii="Times New Roman" w:hAnsi="Times New Roman" w:cs="Times New Roman"/>
          <w:b/>
          <w:szCs w:val="21"/>
        </w:rPr>
      </w:r>
      <w:r/>
    </w:p>
    <w:p>
      <w:pPr>
        <w:spacing w:line="360" w:lineRule="auto"/>
        <w:rPr>
          <w:rFonts w:hint="default" w:ascii="Times New Roman" w:hAnsi="Times New Roman" w:cs="Times New Roman"/>
        </w:rPr>
      </w:pPr>
      <w:r>
        <w:rPr>
          <w:rFonts w:hint="default" w:ascii="Times New Roman" w:hAnsi="Times New Roman" w:cs="Times New Roman"/>
          <w:b/>
          <w:bCs/>
          <w:color w:val="000000" w:themeColor="text1"/>
          <w14:textFill>
            <w14:solidFill>
              <w14:schemeClr w14:val="tx1"/>
            </w14:solidFill>
          </w14:textFill>
        </w:rPr>
        <w:t xml:space="preserve">（三）</w:t>
      </w:r>
      <w:r>
        <w:rPr>
          <w:rFonts w:hint="default" w:ascii="Times New Roman" w:hAnsi="Times New Roman" w:cs="Times New Roman"/>
          <w:b/>
          <w:bCs/>
          <w:szCs w:val="20"/>
        </w:rPr>
        <w:t xml:space="preserve">产品平面布局图及三维立体彩色效果图比较</w:t>
      </w:r>
      <w:r>
        <w:rPr>
          <w:rFonts w:hint="default" w:ascii="Times New Roman" w:hAnsi="Times New Roman" w:cs="Times New Roman"/>
          <w:b/>
          <w:bCs/>
          <w:color w:val="000000" w:themeColor="text1"/>
          <w:szCs w:val="20"/>
          <w14:textFill>
            <w14:solidFill>
              <w14:schemeClr w14:val="tx1"/>
            </w14:solidFill>
          </w14:textFill>
        </w:rPr>
        <w:t xml:space="preserve">（各区域平面图及区域内产品清单见附件1）</w:t>
      </w:r>
      <w:r>
        <w:rPr>
          <w:rFonts w:hint="default" w:ascii="Times New Roman" w:hAnsi="Times New Roman" w:cs="Times New Roman"/>
          <w:b/>
          <w:bCs/>
          <w:szCs w:val="20"/>
        </w:rPr>
        <w:t xml:space="preserve">（16分）</w:t>
      </w:r>
      <w:r/>
    </w:p>
    <w:p>
      <w:pPr>
        <w:pStyle w:val="1020"/>
        <w:numPr>
          <w:ilvl w:val="0"/>
          <w:numId w:val="11"/>
        </w:numPr>
        <w:ind w:left="0" w:firstLine="420"/>
        <w:spacing w:before="0"/>
        <w:rPr>
          <w:rFonts w:hint="default" w:ascii="Times New Roman" w:hAnsi="Times New Roman" w:cs="Times New Roman"/>
          <w:sz w:val="21"/>
          <w:szCs w:val="21"/>
        </w:rPr>
      </w:pPr>
      <w:r>
        <w:rPr>
          <w:rFonts w:hint="default" w:ascii="Times New Roman" w:hAnsi="Times New Roman" w:cs="Times New Roman"/>
          <w:sz w:val="21"/>
          <w:szCs w:val="21"/>
        </w:rPr>
        <w:t xml:space="preserve">投标人提据使用方提供的平面布局图及清单提供“</w:t>
      </w:r>
      <w:r>
        <w:rPr>
          <w:rFonts w:hint="default" w:ascii="Times New Roman" w:hAnsi="Times New Roman" w:cs="Times New Roman"/>
          <w:b/>
          <w:bCs/>
          <w:szCs w:val="21"/>
        </w:rPr>
        <w:t xml:space="preserve">唯亭街道区域性养老服务中心养老楼一楼大厅</w:t>
      </w:r>
      <w:r>
        <w:rPr>
          <w:rFonts w:hint="default" w:ascii="Times New Roman" w:hAnsi="Times New Roman" w:cs="Times New Roman"/>
          <w:sz w:val="21"/>
          <w:szCs w:val="21"/>
        </w:rPr>
        <w:t xml:space="preserve">”布置图和效果图，图纸科学合理，整体效果</w:t>
      </w:r>
      <w:r>
        <w:rPr>
          <w:rFonts w:hint="default" w:ascii="Times New Roman" w:hAnsi="Times New Roman" w:eastAsia="Arial" w:cs="Times New Roman"/>
          <w:sz w:val="21"/>
          <w:szCs w:val="21"/>
        </w:rPr>
        <w:t xml:space="preserve">美观</w:t>
      </w:r>
      <w:r>
        <w:rPr>
          <w:rFonts w:hint="default" w:ascii="Times New Roman" w:hAnsi="Times New Roman" w:cs="Times New Roman"/>
          <w:sz w:val="21"/>
          <w:szCs w:val="21"/>
        </w:rPr>
        <w:t xml:space="preserve">，</w:t>
      </w:r>
      <w:r>
        <w:rPr>
          <w:rFonts w:hint="default" w:ascii="Times New Roman" w:hAnsi="Times New Roman" w:cs="Times New Roman"/>
          <w:sz w:val="21"/>
          <w:szCs w:val="21"/>
        </w:rPr>
        <w:t xml:space="preserve">细节描述完整准确得4分；图纸方案较为合理，整体效果较</w:t>
      </w:r>
      <w:r>
        <w:rPr>
          <w:rFonts w:hint="default" w:ascii="Times New Roman" w:hAnsi="Times New Roman" w:eastAsia="Arial" w:cs="Times New Roman"/>
          <w:sz w:val="21"/>
          <w:szCs w:val="21"/>
        </w:rPr>
        <w:t xml:space="preserve">美观</w:t>
      </w:r>
      <w:r>
        <w:rPr>
          <w:rFonts w:hint="default" w:ascii="Times New Roman" w:hAnsi="Times New Roman" w:cs="Times New Roman"/>
          <w:sz w:val="21"/>
          <w:szCs w:val="21"/>
        </w:rPr>
        <w:t xml:space="preserve">，</w:t>
      </w:r>
      <w:r>
        <w:rPr>
          <w:rFonts w:hint="default" w:ascii="Times New Roman" w:hAnsi="Times New Roman" w:cs="Times New Roman"/>
          <w:sz w:val="21"/>
          <w:szCs w:val="21"/>
        </w:rPr>
        <w:t xml:space="preserve">细节描述较为完整的得2分；图纸方案不够准确，整体效果</w:t>
      </w:r>
      <w:r>
        <w:rPr>
          <w:rFonts w:hint="default" w:ascii="Times New Roman" w:hAnsi="Times New Roman" w:eastAsia="Arial" w:cs="Times New Roman"/>
          <w:sz w:val="21"/>
          <w:szCs w:val="21"/>
        </w:rPr>
        <w:t xml:space="preserve">美观度较低</w:t>
      </w:r>
      <w:r>
        <w:rPr>
          <w:rFonts w:hint="default" w:ascii="Times New Roman" w:hAnsi="Times New Roman" w:cs="Times New Roman"/>
          <w:sz w:val="21"/>
          <w:szCs w:val="21"/>
        </w:rPr>
        <w:t xml:space="preserve">，</w:t>
      </w:r>
      <w:r>
        <w:rPr>
          <w:rFonts w:hint="default" w:ascii="Times New Roman" w:hAnsi="Times New Roman" w:cs="Times New Roman"/>
          <w:sz w:val="21"/>
          <w:szCs w:val="21"/>
        </w:rPr>
        <w:t xml:space="preserve">细节描述不完整得1分，不提供不得分。</w:t>
      </w:r>
      <w:r/>
    </w:p>
    <w:p>
      <w:pPr>
        <w:pStyle w:val="1020"/>
        <w:ind w:left="0" w:firstLine="420"/>
        <w:spacing w:before="0"/>
        <w:rPr>
          <w:rFonts w:hint="default" w:ascii="Times New Roman" w:hAnsi="Times New Roman" w:cs="Times New Roman"/>
          <w:sz w:val="21"/>
          <w:szCs w:val="21"/>
        </w:rPr>
      </w:pPr>
      <w:r>
        <w:rPr>
          <w:rFonts w:hint="default" w:ascii="Times New Roman" w:hAnsi="Times New Roman" w:cs="Times New Roman"/>
          <w:sz w:val="21"/>
          <w:szCs w:val="21"/>
        </w:rPr>
        <w:t xml:space="preserve">2、投标人提据使用方提供的平面布局图及清单提供“</w:t>
      </w:r>
      <w:r>
        <w:rPr>
          <w:rFonts w:hint="default" w:ascii="Times New Roman" w:hAnsi="Times New Roman" w:cs="Times New Roman"/>
          <w:b/>
          <w:bCs/>
          <w:szCs w:val="21"/>
        </w:rPr>
        <w:t xml:space="preserve">唯亭街道区域性养老服务中心护理楼三人间</w:t>
      </w:r>
      <w:r>
        <w:rPr>
          <w:rFonts w:hint="default" w:ascii="Times New Roman" w:hAnsi="Times New Roman" w:cs="Times New Roman"/>
          <w:sz w:val="21"/>
          <w:szCs w:val="21"/>
        </w:rPr>
        <w:t xml:space="preserve">”布置图和效果图，图纸科学合理，整体效果</w:t>
      </w:r>
      <w:r>
        <w:rPr>
          <w:rFonts w:hint="default" w:ascii="Times New Roman" w:hAnsi="Times New Roman" w:eastAsia="Arial" w:cs="Times New Roman"/>
          <w:sz w:val="21"/>
          <w:szCs w:val="21"/>
        </w:rPr>
        <w:t xml:space="preserve">美观</w:t>
      </w:r>
      <w:r>
        <w:rPr>
          <w:rFonts w:hint="default" w:ascii="Times New Roman" w:hAnsi="Times New Roman" w:cs="Times New Roman"/>
          <w:sz w:val="21"/>
          <w:szCs w:val="21"/>
        </w:rPr>
        <w:t xml:space="preserve">，</w:t>
      </w:r>
      <w:r>
        <w:rPr>
          <w:rFonts w:hint="default" w:ascii="Times New Roman" w:hAnsi="Times New Roman" w:cs="Times New Roman"/>
          <w:sz w:val="21"/>
          <w:szCs w:val="21"/>
        </w:rPr>
        <w:t xml:space="preserve">细节描述完整准确得4分；图纸方案较为合理，整体效果较</w:t>
      </w:r>
      <w:r>
        <w:rPr>
          <w:rFonts w:hint="default" w:ascii="Times New Roman" w:hAnsi="Times New Roman" w:eastAsia="Arial" w:cs="Times New Roman"/>
          <w:sz w:val="21"/>
          <w:szCs w:val="21"/>
        </w:rPr>
        <w:t xml:space="preserve">美观</w:t>
      </w:r>
      <w:r>
        <w:rPr>
          <w:rFonts w:hint="default" w:ascii="Times New Roman" w:hAnsi="Times New Roman" w:cs="Times New Roman"/>
          <w:sz w:val="21"/>
          <w:szCs w:val="21"/>
        </w:rPr>
        <w:t xml:space="preserve">，</w:t>
      </w:r>
      <w:r>
        <w:rPr>
          <w:rFonts w:hint="default" w:ascii="Times New Roman" w:hAnsi="Times New Roman" w:cs="Times New Roman"/>
          <w:sz w:val="21"/>
          <w:szCs w:val="21"/>
        </w:rPr>
        <w:t xml:space="preserve">细节描述较为完整的得2分；图纸方案不够准确，整体效果</w:t>
      </w:r>
      <w:r>
        <w:rPr>
          <w:rFonts w:hint="default" w:ascii="Times New Roman" w:hAnsi="Times New Roman" w:eastAsia="Arial" w:cs="Times New Roman"/>
          <w:sz w:val="21"/>
          <w:szCs w:val="21"/>
        </w:rPr>
        <w:t xml:space="preserve">美观度较低</w:t>
      </w:r>
      <w:r>
        <w:rPr>
          <w:rFonts w:hint="default" w:ascii="Times New Roman" w:hAnsi="Times New Roman" w:cs="Times New Roman"/>
          <w:sz w:val="21"/>
          <w:szCs w:val="21"/>
        </w:rPr>
        <w:t xml:space="preserve">，</w:t>
      </w:r>
      <w:r>
        <w:rPr>
          <w:rFonts w:hint="default" w:ascii="Times New Roman" w:hAnsi="Times New Roman" w:cs="Times New Roman"/>
          <w:sz w:val="21"/>
          <w:szCs w:val="21"/>
        </w:rPr>
        <w:t xml:space="preserve">细节描述不完整得1分，不提供不得分。</w:t>
      </w:r>
      <w:r/>
    </w:p>
    <w:p>
      <w:pPr>
        <w:pStyle w:val="1020"/>
        <w:ind w:left="0" w:firstLine="420"/>
        <w:spacing w:before="0"/>
        <w:rPr>
          <w:rFonts w:hint="default" w:ascii="Times New Roman" w:hAnsi="Times New Roman" w:cs="Times New Roman"/>
          <w:sz w:val="21"/>
          <w:szCs w:val="21"/>
        </w:rPr>
      </w:pPr>
      <w:r>
        <w:rPr>
          <w:rFonts w:hint="default" w:ascii="Times New Roman" w:hAnsi="Times New Roman" w:cs="Times New Roman"/>
          <w:sz w:val="21"/>
          <w:szCs w:val="21"/>
        </w:rPr>
        <w:t xml:space="preserve">3、</w:t>
      </w:r>
      <w:bookmarkStart w:id="71" w:name="_Hlk172815300"/>
      <w:r>
        <w:rPr>
          <w:rFonts w:hint="default" w:ascii="Times New Roman" w:hAnsi="Times New Roman" w:cs="Times New Roman"/>
          <w:sz w:val="21"/>
          <w:szCs w:val="21"/>
        </w:rPr>
        <w:t xml:space="preserve">投标人提据使用方提供的平面布局图及清单提供“</w:t>
      </w:r>
      <w:r>
        <w:rPr>
          <w:rFonts w:hint="default" w:ascii="Times New Roman" w:hAnsi="Times New Roman" w:cs="Times New Roman"/>
          <w:b/>
          <w:bCs/>
          <w:szCs w:val="21"/>
        </w:rPr>
        <w:t xml:space="preserve">唯亭街道区域性养老服务中心养老楼单人间</w:t>
      </w:r>
      <w:r>
        <w:rPr>
          <w:rFonts w:hint="default" w:ascii="Times New Roman" w:hAnsi="Times New Roman" w:cs="Times New Roman"/>
          <w:sz w:val="21"/>
          <w:szCs w:val="21"/>
        </w:rPr>
        <w:t xml:space="preserve">”布置图和效果图，图纸科学合理，整体效果</w:t>
      </w:r>
      <w:r>
        <w:rPr>
          <w:rFonts w:hint="default" w:ascii="Times New Roman" w:hAnsi="Times New Roman" w:eastAsia="Arial" w:cs="Times New Roman"/>
          <w:sz w:val="21"/>
          <w:szCs w:val="21"/>
        </w:rPr>
        <w:t xml:space="preserve">美观</w:t>
      </w:r>
      <w:r>
        <w:rPr>
          <w:rFonts w:hint="default" w:ascii="Times New Roman" w:hAnsi="Times New Roman" w:cs="Times New Roman"/>
          <w:sz w:val="21"/>
          <w:szCs w:val="21"/>
        </w:rPr>
        <w:t xml:space="preserve">，</w:t>
      </w:r>
      <w:r>
        <w:rPr>
          <w:rFonts w:hint="default" w:ascii="Times New Roman" w:hAnsi="Times New Roman" w:cs="Times New Roman"/>
          <w:sz w:val="21"/>
          <w:szCs w:val="21"/>
        </w:rPr>
        <w:t xml:space="preserve">细节描述完整准确得4分；图纸方案较为合理，整体效果较</w:t>
      </w:r>
      <w:r>
        <w:rPr>
          <w:rFonts w:hint="default" w:ascii="Times New Roman" w:hAnsi="Times New Roman" w:eastAsia="Arial" w:cs="Times New Roman"/>
          <w:sz w:val="21"/>
          <w:szCs w:val="21"/>
        </w:rPr>
        <w:t xml:space="preserve">美观</w:t>
      </w:r>
      <w:r>
        <w:rPr>
          <w:rFonts w:hint="default" w:ascii="Times New Roman" w:hAnsi="Times New Roman" w:cs="Times New Roman"/>
          <w:sz w:val="21"/>
          <w:szCs w:val="21"/>
        </w:rPr>
        <w:t xml:space="preserve">，</w:t>
      </w:r>
      <w:r>
        <w:rPr>
          <w:rFonts w:hint="default" w:ascii="Times New Roman" w:hAnsi="Times New Roman" w:cs="Times New Roman"/>
          <w:sz w:val="21"/>
          <w:szCs w:val="21"/>
        </w:rPr>
        <w:t xml:space="preserve">细节描述较为完整的得2分；图纸方案不够准确，整体效果</w:t>
      </w:r>
      <w:r>
        <w:rPr>
          <w:rFonts w:hint="default" w:ascii="Times New Roman" w:hAnsi="Times New Roman" w:eastAsia="Arial" w:cs="Times New Roman"/>
          <w:sz w:val="21"/>
          <w:szCs w:val="21"/>
        </w:rPr>
        <w:t xml:space="preserve">美观度较低</w:t>
      </w:r>
      <w:r>
        <w:rPr>
          <w:rFonts w:hint="default" w:ascii="Times New Roman" w:hAnsi="Times New Roman" w:cs="Times New Roman"/>
          <w:sz w:val="21"/>
          <w:szCs w:val="21"/>
        </w:rPr>
        <w:t xml:space="preserve">，</w:t>
      </w:r>
      <w:r>
        <w:rPr>
          <w:rFonts w:hint="default" w:ascii="Times New Roman" w:hAnsi="Times New Roman" w:cs="Times New Roman"/>
          <w:sz w:val="21"/>
          <w:szCs w:val="21"/>
        </w:rPr>
        <w:t xml:space="preserve">细节描述不完整得1分，不提供不得分。</w:t>
      </w:r>
      <w:bookmarkEnd w:id="71"/>
      <w:r/>
      <w:r/>
    </w:p>
    <w:p>
      <w:pPr>
        <w:pStyle w:val="1020"/>
        <w:ind w:left="0" w:firstLine="420"/>
        <w:spacing w:before="0"/>
        <w:rPr>
          <w:rFonts w:hint="default" w:ascii="Times New Roman" w:hAnsi="Times New Roman" w:cs="Times New Roman"/>
          <w:sz w:val="21"/>
          <w:szCs w:val="21"/>
        </w:rPr>
      </w:pPr>
      <w:r>
        <w:rPr>
          <w:rFonts w:hint="default" w:ascii="Times New Roman" w:hAnsi="Times New Roman" w:cs="Times New Roman"/>
          <w:sz w:val="21"/>
          <w:szCs w:val="21"/>
        </w:rPr>
        <w:t xml:space="preserve">4、投标人提据使用方提供的平面布局图及清单提供“</w:t>
      </w:r>
      <w:r>
        <w:rPr>
          <w:rFonts w:hint="default" w:ascii="Times New Roman" w:hAnsi="Times New Roman" w:cs="Times New Roman"/>
          <w:b/>
          <w:bCs/>
          <w:szCs w:val="21"/>
        </w:rPr>
        <w:t xml:space="preserve">胜浦街道医养项目一楼大厅</w:t>
      </w:r>
      <w:r>
        <w:rPr>
          <w:rFonts w:hint="default" w:ascii="Times New Roman" w:hAnsi="Times New Roman" w:cs="Times New Roman"/>
          <w:sz w:val="21"/>
          <w:szCs w:val="21"/>
        </w:rPr>
        <w:t xml:space="preserve">”布置图和效果图，图纸科学合理，整体效果美观，细节描述完整准确得4分；图纸方案较为合理，整体效果较美观，细节描述较为完整的得2分；图纸方案不够准确，整体效果美观度较低，细节描述不完整得1分，不提供不得分。</w:t>
      </w:r>
      <w:r/>
    </w:p>
    <w:p>
      <w:pPr>
        <w:jc w:val="left"/>
        <w:spacing w:line="360" w:lineRule="auto"/>
        <w:rPr>
          <w:rFonts w:hint="default" w:ascii="Times New Roman" w:hAnsi="Times New Roman" w:cs="Times New Roman"/>
          <w:b/>
          <w:bCs/>
          <w:szCs w:val="21"/>
        </w:rPr>
      </w:pPr>
      <w:r>
        <w:rPr>
          <w:rFonts w:hint="default" w:ascii="Times New Roman" w:hAnsi="Times New Roman" w:cs="Times New Roman"/>
          <w:b/>
          <w:bCs/>
          <w:szCs w:val="21"/>
        </w:rPr>
        <w:t xml:space="preserve">（四）</w:t>
      </w:r>
      <w:r>
        <w:rPr>
          <w:rFonts w:hint="default" w:ascii="Times New Roman" w:hAnsi="Times New Roman" w:cs="Times New Roman"/>
          <w:b/>
          <w:bCs/>
        </w:rPr>
        <w:t xml:space="preserve">产品生产工艺结构图、装配图比较（20分）</w:t>
      </w:r>
      <w:r/>
    </w:p>
    <w:p>
      <w:pPr>
        <w:ind w:firstLine="632"/>
        <w:spacing w:line="360" w:lineRule="auto"/>
        <w:rPr>
          <w:rFonts w:hint="default" w:ascii="Times New Roman" w:hAnsi="Times New Roman" w:cs="Times New Roman"/>
          <w:b/>
          <w:bCs/>
          <w:szCs w:val="21"/>
        </w:rPr>
      </w:pPr>
      <w:r>
        <w:rPr>
          <w:rFonts w:hint="default" w:ascii="Times New Roman" w:hAnsi="Times New Roman" w:cs="Times New Roman"/>
          <w:b/>
          <w:bCs/>
          <w:szCs w:val="21"/>
        </w:rPr>
        <w:t xml:space="preserve">提供下述产品三面以上角度彩色效果图、生产工艺图、装配施工图</w:t>
      </w:r>
      <w:r>
        <w:rPr>
          <w:rStyle w:val="909"/>
          <w:rFonts w:hint="default" w:ascii="Times New Roman" w:hAnsi="Times New Roman" w:cs="Times New Roman"/>
          <w:lang w:eastAsia="zh-CN"/>
        </w:rPr>
        <w:t xml:space="preserve">、</w:t>
      </w:r>
      <w:r>
        <w:rPr>
          <w:rFonts w:hint="default" w:ascii="Times New Roman" w:hAnsi="Times New Roman" w:cs="Times New Roman"/>
          <w:b/>
          <w:bCs/>
          <w:szCs w:val="21"/>
          <w:lang w:val="en-US" w:eastAsia="zh-CN"/>
        </w:rPr>
        <w:t xml:space="preserve">材料清单</w:t>
      </w:r>
      <w:r>
        <w:rPr>
          <w:rFonts w:hint="default" w:ascii="Times New Roman" w:hAnsi="Times New Roman" w:cs="Times New Roman"/>
          <w:b/>
          <w:bCs/>
          <w:szCs w:val="21"/>
        </w:rPr>
        <w:t xml:space="preserve">。评委根据生产工艺图体现的工艺水平先进性、适老功能齐全性；装配施工图体现的结构合理性、安全性</w:t>
      </w:r>
      <w:r>
        <w:rPr>
          <w:rFonts w:hint="default" w:ascii="Times New Roman" w:hAnsi="Times New Roman" w:cs="Times New Roman"/>
          <w:b/>
          <w:bCs/>
          <w:szCs w:val="21"/>
          <w:lang w:eastAsia="zh-CN"/>
        </w:rPr>
        <w:t xml:space="preserve">；</w:t>
      </w:r>
      <w:r>
        <w:rPr>
          <w:rFonts w:hint="default" w:ascii="Times New Roman" w:hAnsi="Times New Roman" w:cs="Times New Roman"/>
          <w:b/>
          <w:bCs/>
          <w:szCs w:val="21"/>
          <w:lang w:val="en-US" w:eastAsia="zh-CN"/>
        </w:rPr>
        <w:t xml:space="preserve">材料清单的齐全性；</w:t>
      </w:r>
      <w:r>
        <w:rPr>
          <w:rFonts w:hint="default" w:ascii="Times New Roman" w:hAnsi="Times New Roman" w:cs="Times New Roman"/>
          <w:b/>
          <w:bCs/>
          <w:szCs w:val="21"/>
        </w:rPr>
        <w:t xml:space="preserve">彩色效果图体现的美观度等方面综合比较打分。</w:t>
      </w:r>
      <w:r/>
    </w:p>
    <w:p>
      <w:pPr>
        <w:ind w:firstLine="422"/>
        <w:jc w:val="left"/>
        <w:spacing w:line="360" w:lineRule="auto"/>
        <w:widowControl/>
        <w:rPr>
          <w:rFonts w:hint="default" w:ascii="Times New Roman" w:hAnsi="Times New Roman" w:eastAsia="Arial" w:cs="Times New Roman"/>
          <w:szCs w:val="21"/>
        </w:rPr>
      </w:pPr>
      <w:r>
        <w:rPr>
          <w:rFonts w:hint="default" w:ascii="Times New Roman" w:hAnsi="Times New Roman" w:cs="Times New Roman"/>
          <w:b/>
          <w:bCs/>
          <w:szCs w:val="21"/>
        </w:rPr>
        <w:t xml:space="preserve">①提供</w:t>
      </w:r>
      <w:r>
        <w:rPr>
          <w:rFonts w:hint="default" w:ascii="Times New Roman" w:hAnsi="Times New Roman" w:eastAsia="Arial" w:cs="Times New Roman"/>
          <w:b/>
          <w:bCs/>
          <w:szCs w:val="21"/>
        </w:rPr>
        <w:t xml:space="preserve">适老桌（方形）</w:t>
      </w:r>
      <w:r>
        <w:rPr>
          <w:rFonts w:hint="default" w:ascii="Times New Roman" w:hAnsi="Times New Roman" w:cs="Times New Roman"/>
          <w:b/>
          <w:bCs/>
          <w:lang w:val="en-US" w:eastAsia="zh-CN"/>
        </w:rPr>
        <w:t xml:space="preserve">（唯亭街道：序号10、序号60、胜浦街道：序号3）</w:t>
      </w:r>
      <w:r>
        <w:rPr>
          <w:rFonts w:hint="default" w:ascii="Times New Roman" w:hAnsi="Times New Roman" w:cs="Times New Roman"/>
          <w:szCs w:val="21"/>
        </w:rPr>
        <w:t xml:space="preserve">：</w:t>
      </w:r>
      <w:r>
        <w:rPr>
          <w:rFonts w:hint="default" w:ascii="Times New Roman" w:hAnsi="Times New Roman" w:eastAsia="Arial" w:cs="Times New Roman"/>
          <w:szCs w:val="21"/>
        </w:rPr>
        <w:t xml:space="preserve">按上述要求提供结构合理、</w:t>
      </w:r>
      <w:r>
        <w:rPr>
          <w:rFonts w:hint="default" w:ascii="Times New Roman" w:hAnsi="Times New Roman" w:eastAsia="宋体" w:cs="Times New Roman"/>
          <w:szCs w:val="21"/>
          <w:lang w:val="en-US" w:eastAsia="zh-CN"/>
        </w:rPr>
        <w:t xml:space="preserve">材料清单完整、</w:t>
      </w:r>
      <w:r>
        <w:rPr>
          <w:rFonts w:hint="default" w:ascii="Times New Roman" w:hAnsi="Times New Roman" w:eastAsia="Arial" w:cs="Times New Roman"/>
          <w:szCs w:val="21"/>
        </w:rPr>
        <w:t xml:space="preserve">工艺先进、适老功能齐全、安全性很强、外观美观的得</w:t>
      </w:r>
      <w:r>
        <w:rPr>
          <w:rFonts w:hint="default" w:ascii="Times New Roman" w:hAnsi="Times New Roman" w:cs="Times New Roman"/>
          <w:szCs w:val="21"/>
        </w:rPr>
        <w:t xml:space="preserve">5</w:t>
      </w:r>
      <w:r>
        <w:rPr>
          <w:rFonts w:hint="default" w:ascii="Times New Roman" w:hAnsi="Times New Roman" w:eastAsia="Arial" w:cs="Times New Roman"/>
          <w:szCs w:val="21"/>
        </w:rPr>
        <w:t xml:space="preserve">分；提供结构较合理、</w:t>
      </w:r>
      <w:r>
        <w:rPr>
          <w:rFonts w:hint="default" w:ascii="Times New Roman" w:hAnsi="Times New Roman" w:eastAsia="宋体" w:cs="Times New Roman"/>
          <w:szCs w:val="21"/>
          <w:lang w:val="en-US" w:eastAsia="zh-CN"/>
        </w:rPr>
        <w:t xml:space="preserve">材料清单</w:t>
      </w:r>
      <w:r>
        <w:rPr>
          <w:rFonts w:hint="default" w:ascii="Times New Roman" w:hAnsi="Times New Roman" w:eastAsia="Arial" w:cs="Times New Roman"/>
          <w:szCs w:val="21"/>
        </w:rPr>
        <w:t xml:space="preserve">较</w:t>
      </w:r>
      <w:r>
        <w:rPr>
          <w:rFonts w:hint="default" w:ascii="Times New Roman" w:hAnsi="Times New Roman" w:eastAsia="宋体" w:cs="Times New Roman"/>
          <w:szCs w:val="21"/>
          <w:lang w:val="en-US" w:eastAsia="zh-CN"/>
        </w:rPr>
        <w:t xml:space="preserve">完整、</w:t>
      </w:r>
      <w:r>
        <w:rPr>
          <w:rFonts w:hint="default" w:ascii="Times New Roman" w:hAnsi="Times New Roman" w:eastAsia="Arial" w:cs="Times New Roman"/>
          <w:szCs w:val="21"/>
        </w:rPr>
        <w:t xml:space="preserve">工艺较好</w:t>
      </w:r>
      <w:r>
        <w:rPr>
          <w:rFonts w:hint="default" w:ascii="Times New Roman" w:hAnsi="Times New Roman" w:cs="Times New Roman"/>
          <w:szCs w:val="21"/>
        </w:rPr>
        <w:t xml:space="preserve">、适</w:t>
      </w:r>
      <w:r>
        <w:rPr>
          <w:rFonts w:hint="default" w:ascii="Times New Roman" w:hAnsi="Times New Roman" w:eastAsia="Arial" w:cs="Times New Roman"/>
          <w:szCs w:val="21"/>
        </w:rPr>
        <w:t xml:space="preserve">老功能</w:t>
      </w:r>
      <w:r>
        <w:rPr>
          <w:rFonts w:hint="default" w:ascii="Times New Roman" w:hAnsi="Times New Roman" w:cs="Times New Roman"/>
          <w:szCs w:val="21"/>
        </w:rPr>
        <w:t xml:space="preserve">较</w:t>
      </w:r>
      <w:r>
        <w:rPr>
          <w:rFonts w:hint="default" w:ascii="Times New Roman" w:hAnsi="Times New Roman" w:eastAsia="Arial" w:cs="Times New Roman"/>
          <w:szCs w:val="21"/>
        </w:rPr>
        <w:t xml:space="preserve">齐全</w:t>
      </w:r>
      <w:r>
        <w:rPr>
          <w:rFonts w:hint="default" w:ascii="Times New Roman" w:hAnsi="Times New Roman" w:cs="Times New Roman"/>
          <w:szCs w:val="21"/>
        </w:rPr>
        <w:t xml:space="preserve">、</w:t>
      </w:r>
      <w:r>
        <w:rPr>
          <w:rFonts w:hint="default" w:ascii="Times New Roman" w:hAnsi="Times New Roman" w:eastAsia="Arial" w:cs="Times New Roman"/>
          <w:szCs w:val="21"/>
        </w:rPr>
        <w:t xml:space="preserve">安全性较好、较美观实用的得</w:t>
      </w:r>
      <w:r>
        <w:rPr>
          <w:rFonts w:hint="default" w:ascii="Times New Roman" w:hAnsi="Times New Roman" w:cs="Times New Roman"/>
          <w:szCs w:val="21"/>
        </w:rPr>
        <w:t xml:space="preserve">2</w:t>
      </w:r>
      <w:r>
        <w:rPr>
          <w:rFonts w:hint="default" w:ascii="Times New Roman" w:hAnsi="Times New Roman" w:eastAsia="Arial" w:cs="Times New Roman"/>
          <w:szCs w:val="21"/>
        </w:rPr>
        <w:t xml:space="preserve">分；结构简单、</w:t>
      </w:r>
      <w:r>
        <w:rPr>
          <w:rFonts w:hint="default" w:ascii="Times New Roman" w:hAnsi="Times New Roman" w:eastAsia="宋体" w:cs="Times New Roman"/>
          <w:szCs w:val="21"/>
          <w:lang w:val="en-US" w:eastAsia="zh-CN"/>
        </w:rPr>
        <w:t xml:space="preserve">材料清单</w:t>
      </w:r>
      <w:r>
        <w:rPr>
          <w:rFonts w:hint="default" w:ascii="Times New Roman" w:hAnsi="Times New Roman" w:cs="Times New Roman"/>
          <w:szCs w:val="21"/>
          <w:lang w:val="en-US" w:eastAsia="zh-CN"/>
        </w:rPr>
        <w:t xml:space="preserve">较少、</w:t>
      </w:r>
      <w:r>
        <w:rPr>
          <w:rFonts w:hint="default" w:ascii="Times New Roman" w:hAnsi="Times New Roman" w:eastAsia="Arial" w:cs="Times New Roman"/>
          <w:szCs w:val="21"/>
        </w:rPr>
        <w:t xml:space="preserve">工艺简单、</w:t>
      </w:r>
      <w:r>
        <w:rPr>
          <w:rFonts w:hint="default" w:ascii="Times New Roman" w:hAnsi="Times New Roman" w:cs="Times New Roman"/>
          <w:szCs w:val="21"/>
        </w:rPr>
        <w:t xml:space="preserve">适</w:t>
      </w:r>
      <w:r>
        <w:rPr>
          <w:rFonts w:hint="default" w:ascii="Times New Roman" w:hAnsi="Times New Roman" w:eastAsia="Arial" w:cs="Times New Roman"/>
          <w:szCs w:val="21"/>
        </w:rPr>
        <w:t xml:space="preserve">老功能较低</w:t>
      </w:r>
      <w:r>
        <w:rPr>
          <w:rFonts w:hint="default" w:ascii="Times New Roman" w:hAnsi="Times New Roman" w:cs="Times New Roman"/>
          <w:szCs w:val="21"/>
        </w:rPr>
        <w:t xml:space="preserve">、</w:t>
      </w:r>
      <w:r>
        <w:rPr>
          <w:rFonts w:hint="default" w:ascii="Times New Roman" w:hAnsi="Times New Roman" w:eastAsia="Arial" w:cs="Times New Roman"/>
          <w:szCs w:val="21"/>
        </w:rPr>
        <w:t xml:space="preserve">安全性较低、美观度较低的得1分；提供结构特别少、</w:t>
      </w:r>
      <w:r>
        <w:rPr>
          <w:rFonts w:hint="default" w:ascii="Times New Roman" w:hAnsi="Times New Roman" w:eastAsia="宋体" w:cs="Times New Roman"/>
          <w:szCs w:val="21"/>
          <w:lang w:val="en-US" w:eastAsia="zh-CN"/>
        </w:rPr>
        <w:t xml:space="preserve">材料清单</w:t>
      </w:r>
      <w:r>
        <w:rPr>
          <w:rFonts w:hint="default" w:ascii="Times New Roman" w:hAnsi="Times New Roman" w:cs="Times New Roman"/>
          <w:szCs w:val="21"/>
          <w:lang w:val="en-US" w:eastAsia="zh-CN"/>
        </w:rPr>
        <w:t xml:space="preserve">特别少、</w:t>
      </w:r>
      <w:r>
        <w:rPr>
          <w:rFonts w:hint="default" w:ascii="Times New Roman" w:hAnsi="Times New Roman" w:eastAsia="Arial" w:cs="Times New Roman"/>
          <w:szCs w:val="21"/>
        </w:rPr>
        <w:t xml:space="preserve">工艺及安全性低</w:t>
      </w:r>
      <w:r>
        <w:rPr>
          <w:rFonts w:hint="default" w:ascii="Times New Roman" w:hAnsi="Times New Roman" w:cs="Times New Roman"/>
          <w:szCs w:val="21"/>
        </w:rPr>
        <w:t xml:space="preserve">、适</w:t>
      </w:r>
      <w:r>
        <w:rPr>
          <w:rFonts w:hint="default" w:ascii="Times New Roman" w:hAnsi="Times New Roman" w:eastAsia="Arial" w:cs="Times New Roman"/>
          <w:szCs w:val="21"/>
        </w:rPr>
        <w:t xml:space="preserve">老功能</w:t>
      </w:r>
      <w:r>
        <w:rPr>
          <w:rFonts w:hint="default" w:ascii="Times New Roman" w:hAnsi="Times New Roman" w:cs="Times New Roman"/>
          <w:szCs w:val="21"/>
        </w:rPr>
        <w:t xml:space="preserve">低</w:t>
      </w:r>
      <w:r>
        <w:rPr>
          <w:rFonts w:hint="default" w:ascii="Times New Roman" w:hAnsi="Times New Roman" w:eastAsia="Arial" w:cs="Times New Roman"/>
          <w:szCs w:val="21"/>
        </w:rPr>
        <w:t xml:space="preserve">或不提供不得分。</w:t>
      </w:r>
      <w:r>
        <w:rPr>
          <w:rFonts w:hint="default" w:ascii="Times New Roman" w:hAnsi="Times New Roman" w:eastAsia="Arial" w:cs="Times New Roman"/>
          <w:b/>
          <w:bCs/>
          <w:szCs w:val="21"/>
        </w:rPr>
        <w:t xml:space="preserve">最高</w:t>
      </w:r>
      <w:r>
        <w:rPr>
          <w:rFonts w:hint="default" w:ascii="Times New Roman" w:hAnsi="Times New Roman" w:cs="Times New Roman"/>
          <w:b/>
          <w:bCs/>
          <w:szCs w:val="21"/>
        </w:rPr>
        <w:t xml:space="preserve">5</w:t>
      </w:r>
      <w:r>
        <w:rPr>
          <w:rFonts w:hint="default" w:ascii="Times New Roman" w:hAnsi="Times New Roman" w:eastAsia="Arial" w:cs="Times New Roman"/>
          <w:b/>
          <w:bCs/>
          <w:szCs w:val="21"/>
        </w:rPr>
        <w:t xml:space="preserve">分</w:t>
      </w:r>
      <w:r/>
    </w:p>
    <w:p>
      <w:pPr>
        <w:ind w:firstLine="422"/>
        <w:jc w:val="left"/>
        <w:spacing w:line="360" w:lineRule="auto"/>
        <w:widowControl/>
        <w:rPr>
          <w:rFonts w:hint="default" w:ascii="Times New Roman" w:hAnsi="Times New Roman" w:eastAsia="Arial" w:cs="Times New Roman"/>
          <w:szCs w:val="21"/>
        </w:rPr>
      </w:pPr>
      <w:r>
        <w:rPr>
          <w:rFonts w:hint="default" w:ascii="Times New Roman" w:hAnsi="Times New Roman" w:cs="Times New Roman"/>
          <w:b/>
          <w:bCs/>
          <w:szCs w:val="21"/>
        </w:rPr>
        <w:t xml:space="preserve">②提供</w:t>
      </w:r>
      <w:r>
        <w:rPr>
          <w:rFonts w:hint="default" w:ascii="Times New Roman" w:hAnsi="Times New Roman" w:eastAsia="Arial" w:cs="Times New Roman"/>
          <w:b/>
          <w:bCs/>
          <w:szCs w:val="21"/>
        </w:rPr>
        <w:t xml:space="preserve">适老椅</w:t>
      </w:r>
      <w:r>
        <w:rPr>
          <w:rFonts w:hint="default" w:ascii="Times New Roman" w:hAnsi="Times New Roman" w:cs="Times New Roman"/>
          <w:b/>
          <w:bCs/>
          <w:lang w:val="en-US" w:eastAsia="zh-CN"/>
        </w:rPr>
        <w:t xml:space="preserve">（唯亭街道：序号13、序号63、胜浦街道：序号6</w:t>
      </w:r>
      <w:r>
        <w:rPr>
          <w:rStyle w:val="909"/>
          <w:rFonts w:hint="default" w:ascii="Times New Roman" w:hAnsi="Times New Roman" w:cs="Times New Roman"/>
          <w:lang w:eastAsia="zh-CN"/>
        </w:rPr>
        <w:t xml:space="preserve">）</w:t>
      </w:r>
      <w:r>
        <w:rPr>
          <w:rFonts w:hint="default" w:ascii="Times New Roman" w:hAnsi="Times New Roman" w:cs="Times New Roman"/>
          <w:szCs w:val="21"/>
        </w:rPr>
        <w:t xml:space="preserve">：</w:t>
      </w:r>
      <w:r>
        <w:rPr>
          <w:rFonts w:hint="default" w:ascii="Times New Roman" w:hAnsi="Times New Roman" w:eastAsia="Arial" w:cs="Times New Roman"/>
          <w:szCs w:val="21"/>
        </w:rPr>
        <w:t xml:space="preserve">按上述要求提供结构合理、</w:t>
      </w:r>
      <w:r>
        <w:rPr>
          <w:rFonts w:hint="default" w:ascii="Times New Roman" w:hAnsi="Times New Roman" w:eastAsia="宋体" w:cs="Times New Roman"/>
          <w:szCs w:val="21"/>
          <w:lang w:val="en-US" w:eastAsia="zh-CN"/>
        </w:rPr>
        <w:t xml:space="preserve">材料清单完整、</w:t>
      </w:r>
      <w:r>
        <w:rPr>
          <w:rFonts w:hint="default" w:ascii="Times New Roman" w:hAnsi="Times New Roman" w:eastAsia="Arial" w:cs="Times New Roman"/>
          <w:szCs w:val="21"/>
        </w:rPr>
        <w:t xml:space="preserve">工艺先进、适老功能齐全、安全性很强、外观美观的得</w:t>
      </w:r>
      <w:r>
        <w:rPr>
          <w:rFonts w:hint="default" w:ascii="Times New Roman" w:hAnsi="Times New Roman" w:cs="Times New Roman"/>
          <w:szCs w:val="21"/>
        </w:rPr>
        <w:t xml:space="preserve">5</w:t>
      </w:r>
      <w:r>
        <w:rPr>
          <w:rFonts w:hint="default" w:ascii="Times New Roman" w:hAnsi="Times New Roman" w:eastAsia="Arial" w:cs="Times New Roman"/>
          <w:szCs w:val="21"/>
        </w:rPr>
        <w:t xml:space="preserve">分；提供结构较合理、</w:t>
      </w:r>
      <w:r>
        <w:rPr>
          <w:rFonts w:hint="default" w:ascii="Times New Roman" w:hAnsi="Times New Roman" w:eastAsia="宋体" w:cs="Times New Roman"/>
          <w:szCs w:val="21"/>
          <w:lang w:val="en-US" w:eastAsia="zh-CN"/>
        </w:rPr>
        <w:t xml:space="preserve">材料清单</w:t>
      </w:r>
      <w:r>
        <w:rPr>
          <w:rFonts w:hint="default" w:ascii="Times New Roman" w:hAnsi="Times New Roman" w:eastAsia="Arial" w:cs="Times New Roman"/>
          <w:szCs w:val="21"/>
        </w:rPr>
        <w:t xml:space="preserve">较</w:t>
      </w:r>
      <w:r>
        <w:rPr>
          <w:rFonts w:hint="default" w:ascii="Times New Roman" w:hAnsi="Times New Roman" w:eastAsia="宋体" w:cs="Times New Roman"/>
          <w:szCs w:val="21"/>
          <w:lang w:val="en-US" w:eastAsia="zh-CN"/>
        </w:rPr>
        <w:t xml:space="preserve">完整、</w:t>
      </w:r>
      <w:r>
        <w:rPr>
          <w:rFonts w:hint="default" w:ascii="Times New Roman" w:hAnsi="Times New Roman" w:eastAsia="Arial" w:cs="Times New Roman"/>
          <w:szCs w:val="21"/>
        </w:rPr>
        <w:t xml:space="preserve">工艺较好</w:t>
      </w:r>
      <w:r>
        <w:rPr>
          <w:rFonts w:hint="default" w:ascii="Times New Roman" w:hAnsi="Times New Roman" w:cs="Times New Roman"/>
          <w:szCs w:val="21"/>
        </w:rPr>
        <w:t xml:space="preserve">、适</w:t>
      </w:r>
      <w:r>
        <w:rPr>
          <w:rFonts w:hint="default" w:ascii="Times New Roman" w:hAnsi="Times New Roman" w:eastAsia="Arial" w:cs="Times New Roman"/>
          <w:szCs w:val="21"/>
        </w:rPr>
        <w:t xml:space="preserve">老功能</w:t>
      </w:r>
      <w:r>
        <w:rPr>
          <w:rFonts w:hint="default" w:ascii="Times New Roman" w:hAnsi="Times New Roman" w:cs="Times New Roman"/>
          <w:szCs w:val="21"/>
        </w:rPr>
        <w:t xml:space="preserve">较</w:t>
      </w:r>
      <w:r>
        <w:rPr>
          <w:rFonts w:hint="default" w:ascii="Times New Roman" w:hAnsi="Times New Roman" w:eastAsia="Arial" w:cs="Times New Roman"/>
          <w:szCs w:val="21"/>
        </w:rPr>
        <w:t xml:space="preserve">齐全</w:t>
      </w:r>
      <w:r>
        <w:rPr>
          <w:rFonts w:hint="default" w:ascii="Times New Roman" w:hAnsi="Times New Roman" w:cs="Times New Roman"/>
          <w:szCs w:val="21"/>
        </w:rPr>
        <w:t xml:space="preserve">、</w:t>
      </w:r>
      <w:r>
        <w:rPr>
          <w:rFonts w:hint="default" w:ascii="Times New Roman" w:hAnsi="Times New Roman" w:eastAsia="Arial" w:cs="Times New Roman"/>
          <w:szCs w:val="21"/>
        </w:rPr>
        <w:t xml:space="preserve">安全性较好、较美观实用的得</w:t>
      </w:r>
      <w:r>
        <w:rPr>
          <w:rFonts w:hint="default" w:ascii="Times New Roman" w:hAnsi="Times New Roman" w:cs="Times New Roman"/>
          <w:szCs w:val="21"/>
        </w:rPr>
        <w:t xml:space="preserve">2</w:t>
      </w:r>
      <w:r>
        <w:rPr>
          <w:rFonts w:hint="default" w:ascii="Times New Roman" w:hAnsi="Times New Roman" w:eastAsia="Arial" w:cs="Times New Roman"/>
          <w:szCs w:val="21"/>
        </w:rPr>
        <w:t xml:space="preserve">分；结构简单、</w:t>
      </w:r>
      <w:r>
        <w:rPr>
          <w:rFonts w:hint="default" w:ascii="Times New Roman" w:hAnsi="Times New Roman" w:eastAsia="宋体" w:cs="Times New Roman"/>
          <w:szCs w:val="21"/>
          <w:lang w:val="en-US" w:eastAsia="zh-CN"/>
        </w:rPr>
        <w:t xml:space="preserve">材料清单</w:t>
      </w:r>
      <w:r>
        <w:rPr>
          <w:rFonts w:hint="default" w:ascii="Times New Roman" w:hAnsi="Times New Roman" w:cs="Times New Roman"/>
          <w:szCs w:val="21"/>
          <w:lang w:val="en-US" w:eastAsia="zh-CN"/>
        </w:rPr>
        <w:t xml:space="preserve">较少、</w:t>
      </w:r>
      <w:r>
        <w:rPr>
          <w:rFonts w:hint="default" w:ascii="Times New Roman" w:hAnsi="Times New Roman" w:eastAsia="Arial" w:cs="Times New Roman"/>
          <w:szCs w:val="21"/>
        </w:rPr>
        <w:t xml:space="preserve">工艺简单、</w:t>
      </w:r>
      <w:r>
        <w:rPr>
          <w:rFonts w:hint="default" w:ascii="Times New Roman" w:hAnsi="Times New Roman" w:cs="Times New Roman"/>
          <w:szCs w:val="21"/>
        </w:rPr>
        <w:t xml:space="preserve">适</w:t>
      </w:r>
      <w:r>
        <w:rPr>
          <w:rFonts w:hint="default" w:ascii="Times New Roman" w:hAnsi="Times New Roman" w:eastAsia="Arial" w:cs="Times New Roman"/>
          <w:szCs w:val="21"/>
        </w:rPr>
        <w:t xml:space="preserve">老功能较低</w:t>
      </w:r>
      <w:r>
        <w:rPr>
          <w:rFonts w:hint="default" w:ascii="Times New Roman" w:hAnsi="Times New Roman" w:cs="Times New Roman"/>
          <w:szCs w:val="21"/>
        </w:rPr>
        <w:t xml:space="preserve">、</w:t>
      </w:r>
      <w:r>
        <w:rPr>
          <w:rFonts w:hint="default" w:ascii="Times New Roman" w:hAnsi="Times New Roman" w:eastAsia="Arial" w:cs="Times New Roman"/>
          <w:szCs w:val="21"/>
        </w:rPr>
        <w:t xml:space="preserve">安全性较低、美观度较低的得1分；提供结构特别少、</w:t>
      </w:r>
      <w:r>
        <w:rPr>
          <w:rFonts w:hint="default" w:ascii="Times New Roman" w:hAnsi="Times New Roman" w:eastAsia="宋体" w:cs="Times New Roman"/>
          <w:szCs w:val="21"/>
          <w:lang w:val="en-US" w:eastAsia="zh-CN"/>
        </w:rPr>
        <w:t xml:space="preserve">材料清单</w:t>
      </w:r>
      <w:r>
        <w:rPr>
          <w:rFonts w:hint="default" w:ascii="Times New Roman" w:hAnsi="Times New Roman" w:cs="Times New Roman"/>
          <w:szCs w:val="21"/>
          <w:lang w:val="en-US" w:eastAsia="zh-CN"/>
        </w:rPr>
        <w:t xml:space="preserve">特别少、</w:t>
      </w:r>
      <w:r>
        <w:rPr>
          <w:rFonts w:hint="default" w:ascii="Times New Roman" w:hAnsi="Times New Roman" w:eastAsia="Arial" w:cs="Times New Roman"/>
          <w:szCs w:val="21"/>
        </w:rPr>
        <w:t xml:space="preserve">工艺及安全性低</w:t>
      </w:r>
      <w:r>
        <w:rPr>
          <w:rFonts w:hint="default" w:ascii="Times New Roman" w:hAnsi="Times New Roman" w:cs="Times New Roman"/>
          <w:szCs w:val="21"/>
        </w:rPr>
        <w:t xml:space="preserve">、适</w:t>
      </w:r>
      <w:r>
        <w:rPr>
          <w:rFonts w:hint="default" w:ascii="Times New Roman" w:hAnsi="Times New Roman" w:eastAsia="Arial" w:cs="Times New Roman"/>
          <w:szCs w:val="21"/>
        </w:rPr>
        <w:t xml:space="preserve">老功能</w:t>
      </w:r>
      <w:r>
        <w:rPr>
          <w:rFonts w:hint="default" w:ascii="Times New Roman" w:hAnsi="Times New Roman" w:cs="Times New Roman"/>
          <w:szCs w:val="21"/>
        </w:rPr>
        <w:t xml:space="preserve">低</w:t>
      </w:r>
      <w:r>
        <w:rPr>
          <w:rFonts w:hint="default" w:ascii="Times New Roman" w:hAnsi="Times New Roman" w:eastAsia="Arial" w:cs="Times New Roman"/>
          <w:szCs w:val="21"/>
        </w:rPr>
        <w:t xml:space="preserve">或不提供不得分。</w:t>
      </w:r>
      <w:r>
        <w:rPr>
          <w:rFonts w:hint="default" w:ascii="Times New Roman" w:hAnsi="Times New Roman" w:eastAsia="Arial" w:cs="Times New Roman"/>
          <w:b/>
          <w:bCs/>
          <w:szCs w:val="21"/>
        </w:rPr>
        <w:t xml:space="preserve">最高</w:t>
      </w:r>
      <w:r>
        <w:rPr>
          <w:rFonts w:hint="default" w:ascii="Times New Roman" w:hAnsi="Times New Roman" w:cs="Times New Roman"/>
          <w:b/>
          <w:bCs/>
          <w:szCs w:val="21"/>
        </w:rPr>
        <w:t xml:space="preserve">5</w:t>
      </w:r>
      <w:r>
        <w:rPr>
          <w:rFonts w:hint="default" w:ascii="Times New Roman" w:hAnsi="Times New Roman" w:eastAsia="Arial" w:cs="Times New Roman"/>
          <w:b/>
          <w:bCs/>
          <w:szCs w:val="21"/>
        </w:rPr>
        <w:t xml:space="preserve">分</w:t>
      </w:r>
      <w:r/>
    </w:p>
    <w:p>
      <w:pPr>
        <w:ind w:firstLine="422"/>
        <w:jc w:val="left"/>
        <w:spacing w:line="360" w:lineRule="auto"/>
        <w:widowControl/>
        <w:rPr>
          <w:rFonts w:hint="default" w:ascii="Times New Roman" w:hAnsi="Times New Roman" w:eastAsia="Arial" w:cs="Times New Roman"/>
          <w:szCs w:val="21"/>
        </w:rPr>
      </w:pPr>
      <w:r>
        <w:rPr>
          <w:rFonts w:hint="default" w:ascii="Times New Roman" w:hAnsi="Times New Roman" w:cs="Times New Roman"/>
          <w:b/>
          <w:bCs/>
          <w:szCs w:val="21"/>
        </w:rPr>
        <w:t xml:space="preserve">③提供</w:t>
      </w:r>
      <w:r>
        <w:rPr>
          <w:rFonts w:hint="default" w:ascii="Times New Roman" w:hAnsi="Times New Roman" w:eastAsia="Arial" w:cs="Times New Roman"/>
          <w:b/>
          <w:bCs/>
          <w:szCs w:val="21"/>
        </w:rPr>
        <w:t xml:space="preserve">休闲沙发（双人位）</w:t>
      </w:r>
      <w:r>
        <w:rPr>
          <w:rFonts w:hint="default" w:ascii="Times New Roman" w:hAnsi="Times New Roman" w:cs="Times New Roman"/>
          <w:b/>
          <w:bCs/>
          <w:lang w:val="en-US" w:eastAsia="zh-CN"/>
        </w:rPr>
        <w:t xml:space="preserve">（唯亭街道：序号15、序号56、序号65、胜浦街道：序号8）</w:t>
      </w:r>
      <w:r>
        <w:rPr>
          <w:rFonts w:hint="default" w:ascii="Times New Roman" w:hAnsi="Times New Roman" w:cs="Times New Roman"/>
          <w:szCs w:val="21"/>
        </w:rPr>
        <w:t xml:space="preserve">：</w:t>
      </w:r>
      <w:r>
        <w:rPr>
          <w:rFonts w:hint="default" w:ascii="Times New Roman" w:hAnsi="Times New Roman" w:eastAsia="Arial" w:cs="Times New Roman"/>
          <w:szCs w:val="21"/>
        </w:rPr>
        <w:t xml:space="preserve">按上述要求提供结构合理、</w:t>
      </w:r>
      <w:r>
        <w:rPr>
          <w:rFonts w:hint="default" w:ascii="Times New Roman" w:hAnsi="Times New Roman" w:eastAsia="宋体" w:cs="Times New Roman"/>
          <w:szCs w:val="21"/>
          <w:lang w:val="en-US" w:eastAsia="zh-CN"/>
        </w:rPr>
        <w:t xml:space="preserve">材料清单完整、</w:t>
      </w:r>
      <w:r>
        <w:rPr>
          <w:rFonts w:hint="default" w:ascii="Times New Roman" w:hAnsi="Times New Roman" w:eastAsia="Arial" w:cs="Times New Roman"/>
          <w:szCs w:val="21"/>
        </w:rPr>
        <w:t xml:space="preserve">工艺先进、适老功能齐全、安全性很强、外观美观的得</w:t>
      </w:r>
      <w:r>
        <w:rPr>
          <w:rFonts w:hint="default" w:ascii="Times New Roman" w:hAnsi="Times New Roman" w:cs="Times New Roman"/>
          <w:szCs w:val="21"/>
        </w:rPr>
        <w:t xml:space="preserve">5</w:t>
      </w:r>
      <w:r>
        <w:rPr>
          <w:rFonts w:hint="default" w:ascii="Times New Roman" w:hAnsi="Times New Roman" w:eastAsia="Arial" w:cs="Times New Roman"/>
          <w:szCs w:val="21"/>
        </w:rPr>
        <w:t xml:space="preserve">分；提供结构较合理、</w:t>
      </w:r>
      <w:r>
        <w:rPr>
          <w:rFonts w:hint="default" w:ascii="Times New Roman" w:hAnsi="Times New Roman" w:eastAsia="宋体" w:cs="Times New Roman"/>
          <w:szCs w:val="21"/>
          <w:lang w:val="en-US" w:eastAsia="zh-CN"/>
        </w:rPr>
        <w:t xml:space="preserve">材料清单</w:t>
      </w:r>
      <w:r>
        <w:rPr>
          <w:rFonts w:hint="default" w:ascii="Times New Roman" w:hAnsi="Times New Roman" w:eastAsia="Arial" w:cs="Times New Roman"/>
          <w:szCs w:val="21"/>
        </w:rPr>
        <w:t xml:space="preserve">较</w:t>
      </w:r>
      <w:r>
        <w:rPr>
          <w:rFonts w:hint="default" w:ascii="Times New Roman" w:hAnsi="Times New Roman" w:eastAsia="宋体" w:cs="Times New Roman"/>
          <w:szCs w:val="21"/>
          <w:lang w:val="en-US" w:eastAsia="zh-CN"/>
        </w:rPr>
        <w:t xml:space="preserve">完整、</w:t>
      </w:r>
      <w:r>
        <w:rPr>
          <w:rFonts w:hint="default" w:ascii="Times New Roman" w:hAnsi="Times New Roman" w:eastAsia="Arial" w:cs="Times New Roman"/>
          <w:szCs w:val="21"/>
        </w:rPr>
        <w:t xml:space="preserve">工艺较好</w:t>
      </w:r>
      <w:r>
        <w:rPr>
          <w:rFonts w:hint="default" w:ascii="Times New Roman" w:hAnsi="Times New Roman" w:cs="Times New Roman"/>
          <w:szCs w:val="21"/>
        </w:rPr>
        <w:t xml:space="preserve">、适</w:t>
      </w:r>
      <w:r>
        <w:rPr>
          <w:rFonts w:hint="default" w:ascii="Times New Roman" w:hAnsi="Times New Roman" w:eastAsia="Arial" w:cs="Times New Roman"/>
          <w:szCs w:val="21"/>
        </w:rPr>
        <w:t xml:space="preserve">老功能</w:t>
      </w:r>
      <w:r>
        <w:rPr>
          <w:rFonts w:hint="default" w:ascii="Times New Roman" w:hAnsi="Times New Roman" w:cs="Times New Roman"/>
          <w:szCs w:val="21"/>
        </w:rPr>
        <w:t xml:space="preserve">较</w:t>
      </w:r>
      <w:r>
        <w:rPr>
          <w:rFonts w:hint="default" w:ascii="Times New Roman" w:hAnsi="Times New Roman" w:eastAsia="Arial" w:cs="Times New Roman"/>
          <w:szCs w:val="21"/>
        </w:rPr>
        <w:t xml:space="preserve">齐全</w:t>
      </w:r>
      <w:r>
        <w:rPr>
          <w:rFonts w:hint="default" w:ascii="Times New Roman" w:hAnsi="Times New Roman" w:cs="Times New Roman"/>
          <w:szCs w:val="21"/>
        </w:rPr>
        <w:t xml:space="preserve">、</w:t>
      </w:r>
      <w:r>
        <w:rPr>
          <w:rFonts w:hint="default" w:ascii="Times New Roman" w:hAnsi="Times New Roman" w:eastAsia="Arial" w:cs="Times New Roman"/>
          <w:szCs w:val="21"/>
        </w:rPr>
        <w:t xml:space="preserve">安全性较好、较美观实用的得</w:t>
      </w:r>
      <w:r>
        <w:rPr>
          <w:rFonts w:hint="default" w:ascii="Times New Roman" w:hAnsi="Times New Roman" w:cs="Times New Roman"/>
          <w:szCs w:val="21"/>
        </w:rPr>
        <w:t xml:space="preserve">2</w:t>
      </w:r>
      <w:r>
        <w:rPr>
          <w:rFonts w:hint="default" w:ascii="Times New Roman" w:hAnsi="Times New Roman" w:eastAsia="Arial" w:cs="Times New Roman"/>
          <w:szCs w:val="21"/>
        </w:rPr>
        <w:t xml:space="preserve">分；结构简单、</w:t>
      </w:r>
      <w:r>
        <w:rPr>
          <w:rFonts w:hint="default" w:ascii="Times New Roman" w:hAnsi="Times New Roman" w:eastAsia="宋体" w:cs="Times New Roman"/>
          <w:szCs w:val="21"/>
          <w:lang w:val="en-US" w:eastAsia="zh-CN"/>
        </w:rPr>
        <w:t xml:space="preserve">材料清单</w:t>
      </w:r>
      <w:r>
        <w:rPr>
          <w:rFonts w:hint="default" w:ascii="Times New Roman" w:hAnsi="Times New Roman" w:cs="Times New Roman"/>
          <w:szCs w:val="21"/>
          <w:lang w:val="en-US" w:eastAsia="zh-CN"/>
        </w:rPr>
        <w:t xml:space="preserve">较少、</w:t>
      </w:r>
      <w:r>
        <w:rPr>
          <w:rFonts w:hint="default" w:ascii="Times New Roman" w:hAnsi="Times New Roman" w:eastAsia="Arial" w:cs="Times New Roman"/>
          <w:szCs w:val="21"/>
        </w:rPr>
        <w:t xml:space="preserve">工艺简单、</w:t>
      </w:r>
      <w:r>
        <w:rPr>
          <w:rFonts w:hint="default" w:ascii="Times New Roman" w:hAnsi="Times New Roman" w:cs="Times New Roman"/>
          <w:szCs w:val="21"/>
        </w:rPr>
        <w:t xml:space="preserve">适</w:t>
      </w:r>
      <w:r>
        <w:rPr>
          <w:rFonts w:hint="default" w:ascii="Times New Roman" w:hAnsi="Times New Roman" w:eastAsia="Arial" w:cs="Times New Roman"/>
          <w:szCs w:val="21"/>
        </w:rPr>
        <w:t xml:space="preserve">老功能较低</w:t>
      </w:r>
      <w:r>
        <w:rPr>
          <w:rFonts w:hint="default" w:ascii="Times New Roman" w:hAnsi="Times New Roman" w:cs="Times New Roman"/>
          <w:szCs w:val="21"/>
        </w:rPr>
        <w:t xml:space="preserve">、</w:t>
      </w:r>
      <w:r>
        <w:rPr>
          <w:rFonts w:hint="default" w:ascii="Times New Roman" w:hAnsi="Times New Roman" w:eastAsia="Arial" w:cs="Times New Roman"/>
          <w:szCs w:val="21"/>
        </w:rPr>
        <w:t xml:space="preserve">安全性较低、美观度较低的得1分；提供结构特别少、</w:t>
      </w:r>
      <w:r>
        <w:rPr>
          <w:rFonts w:hint="default" w:ascii="Times New Roman" w:hAnsi="Times New Roman" w:eastAsia="宋体" w:cs="Times New Roman"/>
          <w:szCs w:val="21"/>
          <w:lang w:val="en-US" w:eastAsia="zh-CN"/>
        </w:rPr>
        <w:t xml:space="preserve">材料清单</w:t>
      </w:r>
      <w:r>
        <w:rPr>
          <w:rFonts w:hint="default" w:ascii="Times New Roman" w:hAnsi="Times New Roman" w:cs="Times New Roman"/>
          <w:szCs w:val="21"/>
          <w:lang w:val="en-US" w:eastAsia="zh-CN"/>
        </w:rPr>
        <w:t xml:space="preserve">特别少、</w:t>
      </w:r>
      <w:r>
        <w:rPr>
          <w:rFonts w:hint="default" w:ascii="Times New Roman" w:hAnsi="Times New Roman" w:eastAsia="Arial" w:cs="Times New Roman"/>
          <w:szCs w:val="21"/>
        </w:rPr>
        <w:t xml:space="preserve">工艺及安全性低</w:t>
      </w:r>
      <w:r>
        <w:rPr>
          <w:rFonts w:hint="default" w:ascii="Times New Roman" w:hAnsi="Times New Roman" w:cs="Times New Roman"/>
          <w:szCs w:val="21"/>
        </w:rPr>
        <w:t xml:space="preserve">、适</w:t>
      </w:r>
      <w:r>
        <w:rPr>
          <w:rFonts w:hint="default" w:ascii="Times New Roman" w:hAnsi="Times New Roman" w:eastAsia="Arial" w:cs="Times New Roman"/>
          <w:szCs w:val="21"/>
        </w:rPr>
        <w:t xml:space="preserve">老功能</w:t>
      </w:r>
      <w:r>
        <w:rPr>
          <w:rFonts w:hint="default" w:ascii="Times New Roman" w:hAnsi="Times New Roman" w:cs="Times New Roman"/>
          <w:szCs w:val="21"/>
        </w:rPr>
        <w:t xml:space="preserve">低</w:t>
      </w:r>
      <w:r>
        <w:rPr>
          <w:rFonts w:hint="default" w:ascii="Times New Roman" w:hAnsi="Times New Roman" w:eastAsia="Arial" w:cs="Times New Roman"/>
          <w:szCs w:val="21"/>
        </w:rPr>
        <w:t xml:space="preserve">或不提供不得分。</w:t>
      </w:r>
      <w:r>
        <w:rPr>
          <w:rFonts w:hint="default" w:ascii="Times New Roman" w:hAnsi="Times New Roman" w:eastAsia="Arial" w:cs="Times New Roman"/>
          <w:b/>
          <w:bCs/>
          <w:szCs w:val="21"/>
        </w:rPr>
        <w:t xml:space="preserve">最高</w:t>
      </w:r>
      <w:r>
        <w:rPr>
          <w:rFonts w:hint="default" w:ascii="Times New Roman" w:hAnsi="Times New Roman" w:cs="Times New Roman"/>
          <w:b/>
          <w:bCs/>
          <w:szCs w:val="21"/>
        </w:rPr>
        <w:t xml:space="preserve">5</w:t>
      </w:r>
      <w:r>
        <w:rPr>
          <w:rFonts w:hint="default" w:ascii="Times New Roman" w:hAnsi="Times New Roman" w:eastAsia="Arial" w:cs="Times New Roman"/>
          <w:b/>
          <w:bCs/>
          <w:szCs w:val="21"/>
        </w:rPr>
        <w:t xml:space="preserve">分</w:t>
      </w:r>
      <w:r/>
    </w:p>
    <w:p>
      <w:pPr>
        <w:ind w:firstLine="422"/>
        <w:jc w:val="left"/>
        <w:spacing w:line="360" w:lineRule="auto"/>
        <w:widowControl/>
        <w:rPr>
          <w:rFonts w:hint="default" w:ascii="Times New Roman" w:hAnsi="Times New Roman" w:eastAsia="Arial" w:cs="Times New Roman"/>
          <w:b/>
          <w:bCs/>
          <w:szCs w:val="21"/>
        </w:rPr>
      </w:pPr>
      <w:r>
        <w:rPr>
          <w:rFonts w:hint="default" w:ascii="Times New Roman" w:hAnsi="Times New Roman" w:cs="Times New Roman"/>
          <w:b/>
          <w:bCs/>
          <w:szCs w:val="21"/>
        </w:rPr>
        <w:t xml:space="preserve">④提供适老床（电动护理）</w:t>
      </w:r>
      <w:r>
        <w:rPr>
          <w:rFonts w:hint="default" w:ascii="Times New Roman" w:hAnsi="Times New Roman" w:cs="Times New Roman"/>
          <w:b/>
          <w:bCs/>
          <w:lang w:val="en-US" w:eastAsia="zh-CN"/>
        </w:rPr>
        <w:t xml:space="preserve">（唯亭街道：序号52、胜浦街道：序号1）</w:t>
      </w:r>
      <w:r>
        <w:rPr>
          <w:rFonts w:hint="default" w:ascii="Times New Roman" w:hAnsi="Times New Roman" w:cs="Times New Roman"/>
          <w:szCs w:val="21"/>
        </w:rPr>
        <w:t xml:space="preserve">：</w:t>
      </w:r>
      <w:r>
        <w:rPr>
          <w:rFonts w:hint="default" w:ascii="Times New Roman" w:hAnsi="Times New Roman" w:eastAsia="Arial" w:cs="Times New Roman"/>
          <w:szCs w:val="21"/>
        </w:rPr>
        <w:t xml:space="preserve">按上述要求提供结构合理、</w:t>
      </w:r>
      <w:r>
        <w:rPr>
          <w:rFonts w:hint="default" w:ascii="Times New Roman" w:hAnsi="Times New Roman" w:eastAsia="宋体" w:cs="Times New Roman"/>
          <w:szCs w:val="21"/>
          <w:lang w:val="en-US" w:eastAsia="zh-CN"/>
        </w:rPr>
        <w:t xml:space="preserve">材料清单完整、</w:t>
      </w:r>
      <w:r>
        <w:rPr>
          <w:rFonts w:hint="default" w:ascii="Times New Roman" w:hAnsi="Times New Roman" w:eastAsia="Arial" w:cs="Times New Roman"/>
          <w:szCs w:val="21"/>
        </w:rPr>
        <w:t xml:space="preserve">工艺先进、适老功能齐全、安全性很强、外观美观的得</w:t>
      </w:r>
      <w:r>
        <w:rPr>
          <w:rFonts w:hint="default" w:ascii="Times New Roman" w:hAnsi="Times New Roman" w:cs="Times New Roman"/>
          <w:szCs w:val="21"/>
        </w:rPr>
        <w:t xml:space="preserve">5</w:t>
      </w:r>
      <w:r>
        <w:rPr>
          <w:rFonts w:hint="default" w:ascii="Times New Roman" w:hAnsi="Times New Roman" w:eastAsia="Arial" w:cs="Times New Roman"/>
          <w:szCs w:val="21"/>
        </w:rPr>
        <w:t xml:space="preserve">分；提供结构较合理、</w:t>
      </w:r>
      <w:r>
        <w:rPr>
          <w:rFonts w:hint="default" w:ascii="Times New Roman" w:hAnsi="Times New Roman" w:eastAsia="宋体" w:cs="Times New Roman"/>
          <w:szCs w:val="21"/>
          <w:lang w:val="en-US" w:eastAsia="zh-CN"/>
        </w:rPr>
        <w:t xml:space="preserve">材料清单</w:t>
      </w:r>
      <w:r>
        <w:rPr>
          <w:rFonts w:hint="default" w:ascii="Times New Roman" w:hAnsi="Times New Roman" w:eastAsia="Arial" w:cs="Times New Roman"/>
          <w:szCs w:val="21"/>
        </w:rPr>
        <w:t xml:space="preserve">较</w:t>
      </w:r>
      <w:r>
        <w:rPr>
          <w:rFonts w:hint="default" w:ascii="Times New Roman" w:hAnsi="Times New Roman" w:eastAsia="宋体" w:cs="Times New Roman"/>
          <w:szCs w:val="21"/>
          <w:lang w:val="en-US" w:eastAsia="zh-CN"/>
        </w:rPr>
        <w:t xml:space="preserve">完整、</w:t>
      </w:r>
      <w:r>
        <w:rPr>
          <w:rFonts w:hint="default" w:ascii="Times New Roman" w:hAnsi="Times New Roman" w:eastAsia="Arial" w:cs="Times New Roman"/>
          <w:szCs w:val="21"/>
        </w:rPr>
        <w:t xml:space="preserve">工艺较好</w:t>
      </w:r>
      <w:r>
        <w:rPr>
          <w:rFonts w:hint="default" w:ascii="Times New Roman" w:hAnsi="Times New Roman" w:cs="Times New Roman"/>
          <w:szCs w:val="21"/>
        </w:rPr>
        <w:t xml:space="preserve">、适</w:t>
      </w:r>
      <w:r>
        <w:rPr>
          <w:rFonts w:hint="default" w:ascii="Times New Roman" w:hAnsi="Times New Roman" w:eastAsia="Arial" w:cs="Times New Roman"/>
          <w:szCs w:val="21"/>
        </w:rPr>
        <w:t xml:space="preserve">老功能</w:t>
      </w:r>
      <w:r>
        <w:rPr>
          <w:rFonts w:hint="default" w:ascii="Times New Roman" w:hAnsi="Times New Roman" w:cs="Times New Roman"/>
          <w:szCs w:val="21"/>
        </w:rPr>
        <w:t xml:space="preserve">较</w:t>
      </w:r>
      <w:r>
        <w:rPr>
          <w:rFonts w:hint="default" w:ascii="Times New Roman" w:hAnsi="Times New Roman" w:eastAsia="Arial" w:cs="Times New Roman"/>
          <w:szCs w:val="21"/>
        </w:rPr>
        <w:t xml:space="preserve">齐全</w:t>
      </w:r>
      <w:r>
        <w:rPr>
          <w:rFonts w:hint="default" w:ascii="Times New Roman" w:hAnsi="Times New Roman" w:cs="Times New Roman"/>
          <w:szCs w:val="21"/>
        </w:rPr>
        <w:t xml:space="preserve">、</w:t>
      </w:r>
      <w:r>
        <w:rPr>
          <w:rFonts w:hint="default" w:ascii="Times New Roman" w:hAnsi="Times New Roman" w:eastAsia="Arial" w:cs="Times New Roman"/>
          <w:szCs w:val="21"/>
        </w:rPr>
        <w:t xml:space="preserve">安全性较好、较美观实用的得</w:t>
      </w:r>
      <w:r>
        <w:rPr>
          <w:rFonts w:hint="default" w:ascii="Times New Roman" w:hAnsi="Times New Roman" w:cs="Times New Roman"/>
          <w:szCs w:val="21"/>
        </w:rPr>
        <w:t xml:space="preserve">2</w:t>
      </w:r>
      <w:r>
        <w:rPr>
          <w:rFonts w:hint="default" w:ascii="Times New Roman" w:hAnsi="Times New Roman" w:eastAsia="Arial" w:cs="Times New Roman"/>
          <w:szCs w:val="21"/>
        </w:rPr>
        <w:t xml:space="preserve">分；结构简单、</w:t>
      </w:r>
      <w:r>
        <w:rPr>
          <w:rFonts w:hint="default" w:ascii="Times New Roman" w:hAnsi="Times New Roman" w:eastAsia="宋体" w:cs="Times New Roman"/>
          <w:szCs w:val="21"/>
          <w:lang w:val="en-US" w:eastAsia="zh-CN"/>
        </w:rPr>
        <w:t xml:space="preserve">材料清单</w:t>
      </w:r>
      <w:r>
        <w:rPr>
          <w:rFonts w:hint="default" w:ascii="Times New Roman" w:hAnsi="Times New Roman" w:cs="Times New Roman"/>
          <w:szCs w:val="21"/>
          <w:lang w:val="en-US" w:eastAsia="zh-CN"/>
        </w:rPr>
        <w:t xml:space="preserve">较少、</w:t>
      </w:r>
      <w:r>
        <w:rPr>
          <w:rFonts w:hint="default" w:ascii="Times New Roman" w:hAnsi="Times New Roman" w:eastAsia="Arial" w:cs="Times New Roman"/>
          <w:szCs w:val="21"/>
        </w:rPr>
        <w:t xml:space="preserve">工艺简单、</w:t>
      </w:r>
      <w:r>
        <w:rPr>
          <w:rFonts w:hint="default" w:ascii="Times New Roman" w:hAnsi="Times New Roman" w:cs="Times New Roman"/>
          <w:szCs w:val="21"/>
        </w:rPr>
        <w:t xml:space="preserve">适</w:t>
      </w:r>
      <w:r>
        <w:rPr>
          <w:rFonts w:hint="default" w:ascii="Times New Roman" w:hAnsi="Times New Roman" w:eastAsia="Arial" w:cs="Times New Roman"/>
          <w:szCs w:val="21"/>
        </w:rPr>
        <w:t xml:space="preserve">老功能较低</w:t>
      </w:r>
      <w:r>
        <w:rPr>
          <w:rFonts w:hint="default" w:ascii="Times New Roman" w:hAnsi="Times New Roman" w:cs="Times New Roman"/>
          <w:szCs w:val="21"/>
        </w:rPr>
        <w:t xml:space="preserve">、</w:t>
      </w:r>
      <w:r>
        <w:rPr>
          <w:rFonts w:hint="default" w:ascii="Times New Roman" w:hAnsi="Times New Roman" w:eastAsia="Arial" w:cs="Times New Roman"/>
          <w:szCs w:val="21"/>
        </w:rPr>
        <w:t xml:space="preserve">安全性较低、美观度较低的得1分；提供结构特别少、</w:t>
      </w:r>
      <w:r>
        <w:rPr>
          <w:rFonts w:hint="default" w:ascii="Times New Roman" w:hAnsi="Times New Roman" w:eastAsia="宋体" w:cs="Times New Roman"/>
          <w:szCs w:val="21"/>
          <w:lang w:val="en-US" w:eastAsia="zh-CN"/>
        </w:rPr>
        <w:t xml:space="preserve">材料清单</w:t>
      </w:r>
      <w:r>
        <w:rPr>
          <w:rFonts w:hint="default" w:ascii="Times New Roman" w:hAnsi="Times New Roman" w:cs="Times New Roman"/>
          <w:szCs w:val="21"/>
          <w:lang w:val="en-US" w:eastAsia="zh-CN"/>
        </w:rPr>
        <w:t xml:space="preserve">特别少、</w:t>
      </w:r>
      <w:r>
        <w:rPr>
          <w:rFonts w:hint="default" w:ascii="Times New Roman" w:hAnsi="Times New Roman" w:eastAsia="Arial" w:cs="Times New Roman"/>
          <w:szCs w:val="21"/>
        </w:rPr>
        <w:t xml:space="preserve">工艺及安全性低</w:t>
      </w:r>
      <w:r>
        <w:rPr>
          <w:rFonts w:hint="default" w:ascii="Times New Roman" w:hAnsi="Times New Roman" w:cs="Times New Roman"/>
          <w:szCs w:val="21"/>
        </w:rPr>
        <w:t xml:space="preserve">、适</w:t>
      </w:r>
      <w:r>
        <w:rPr>
          <w:rFonts w:hint="default" w:ascii="Times New Roman" w:hAnsi="Times New Roman" w:eastAsia="Arial" w:cs="Times New Roman"/>
          <w:szCs w:val="21"/>
        </w:rPr>
        <w:t xml:space="preserve">老功能</w:t>
      </w:r>
      <w:r>
        <w:rPr>
          <w:rFonts w:hint="default" w:ascii="Times New Roman" w:hAnsi="Times New Roman" w:cs="Times New Roman"/>
          <w:szCs w:val="21"/>
        </w:rPr>
        <w:t xml:space="preserve">低</w:t>
      </w:r>
      <w:r>
        <w:rPr>
          <w:rFonts w:hint="default" w:ascii="Times New Roman" w:hAnsi="Times New Roman" w:eastAsia="Arial" w:cs="Times New Roman"/>
          <w:szCs w:val="21"/>
        </w:rPr>
        <w:t xml:space="preserve">或不提供不得分。</w:t>
      </w:r>
      <w:r>
        <w:rPr>
          <w:rFonts w:hint="default" w:ascii="Times New Roman" w:hAnsi="Times New Roman" w:eastAsia="Arial" w:cs="Times New Roman"/>
          <w:b/>
          <w:bCs/>
          <w:szCs w:val="21"/>
        </w:rPr>
        <w:t xml:space="preserve">最高</w:t>
      </w:r>
      <w:r>
        <w:rPr>
          <w:rFonts w:hint="default" w:ascii="Times New Roman" w:hAnsi="Times New Roman" w:cs="Times New Roman"/>
          <w:b/>
          <w:bCs/>
          <w:szCs w:val="21"/>
        </w:rPr>
        <w:t xml:space="preserve">5</w:t>
      </w:r>
      <w:r>
        <w:rPr>
          <w:rFonts w:hint="default" w:ascii="Times New Roman" w:hAnsi="Times New Roman" w:eastAsia="Arial" w:cs="Times New Roman"/>
          <w:b/>
          <w:bCs/>
          <w:szCs w:val="21"/>
        </w:rPr>
        <w:t xml:space="preserve">分</w:t>
      </w:r>
      <w:r/>
    </w:p>
    <w:p>
      <w:pPr>
        <w:numPr>
          <w:ilvl w:val="0"/>
          <w:numId w:val="12"/>
        </w:numPr>
        <w:jc w:val="left"/>
        <w:spacing w:line="360" w:lineRule="auto"/>
        <w:rPr>
          <w:rFonts w:hint="default" w:ascii="Times New Roman" w:hAnsi="Times New Roman" w:cs="Times New Roman"/>
          <w:b/>
          <w:bCs/>
          <w:color w:val="000000"/>
          <w:szCs w:val="21"/>
        </w:rPr>
      </w:pPr>
      <w:r>
        <w:rPr>
          <w:rFonts w:hint="default" w:ascii="Times New Roman" w:hAnsi="Times New Roman" w:cs="Times New Roman"/>
          <w:b/>
          <w:bCs/>
          <w:spacing w:val="-3"/>
          <w:szCs w:val="21"/>
        </w:rPr>
        <w:t xml:space="preserve">项目实施及售后服务方案 </w:t>
      </w:r>
      <w:r>
        <w:rPr>
          <w:rFonts w:hint="default" w:ascii="Times New Roman" w:hAnsi="Times New Roman" w:cs="Times New Roman"/>
          <w:b/>
          <w:bCs/>
          <w:color w:val="000000"/>
          <w:szCs w:val="21"/>
        </w:rPr>
        <w:t xml:space="preserve">（</w:t>
      </w:r>
      <w:r>
        <w:rPr>
          <w:rFonts w:hint="default" w:ascii="Times New Roman" w:hAnsi="Times New Roman" w:cs="Times New Roman"/>
          <w:b/>
          <w:bCs/>
          <w:spacing w:val="-3"/>
          <w:szCs w:val="21"/>
        </w:rPr>
        <w:t xml:space="preserve">8分</w:t>
      </w:r>
      <w:r>
        <w:rPr>
          <w:rFonts w:hint="default" w:ascii="Times New Roman" w:hAnsi="Times New Roman" w:cs="Times New Roman"/>
          <w:b/>
          <w:bCs/>
          <w:color w:val="000000"/>
          <w:szCs w:val="21"/>
        </w:rPr>
        <w:t xml:space="preserve">）</w:t>
      </w:r>
      <w:r/>
    </w:p>
    <w:p>
      <w:pPr>
        <w:ind w:firstLine="422"/>
        <w:spacing w:line="360" w:lineRule="auto"/>
        <w:rPr>
          <w:rFonts w:hint="default" w:ascii="Times New Roman" w:hAnsi="Times New Roman" w:cs="Times New Roman"/>
        </w:rPr>
      </w:pPr>
      <w:r>
        <w:rPr>
          <w:rFonts w:hint="default" w:ascii="Times New Roman" w:hAnsi="Times New Roman" w:cs="Times New Roman"/>
          <w:b/>
          <w:bCs/>
          <w:spacing w:val="-3"/>
        </w:rPr>
        <w:t xml:space="preserve">1、项目的实施方案（4分）</w:t>
      </w:r>
      <w:r>
        <w:rPr>
          <w:rFonts w:hint="default" w:ascii="Times New Roman" w:hAnsi="Times New Roman" w:cs="Times New Roman"/>
          <w:b/>
          <w:bCs/>
        </w:rPr>
        <w:tab/>
      </w:r>
      <w:r/>
    </w:p>
    <w:p>
      <w:pPr>
        <w:pStyle w:val="868"/>
        <w:ind w:firstLine="630"/>
        <w:spacing w:line="360" w:lineRule="auto"/>
        <w:rPr>
          <w:rFonts w:hint="default" w:ascii="Times New Roman" w:hAnsi="Times New Roman" w:cs="Times New Roman"/>
          <w:sz w:val="21"/>
          <w:szCs w:val="21"/>
        </w:rPr>
      </w:pPr>
      <w:r>
        <w:rPr>
          <w:rFonts w:hint="default" w:ascii="Times New Roman" w:hAnsi="Times New Roman" w:cs="Times New Roman"/>
          <w:sz w:val="21"/>
          <w:szCs w:val="21"/>
        </w:rPr>
        <w:t xml:space="preserve">根据项目实施方案、管理体系、机械设备配制、劳动力安排（计划）表、质量保证体系及措施、工期进度安排及保证措施、安全生产及文明施工保证措施等方面的完整性进行评审。</w:t>
      </w:r>
      <w:r/>
    </w:p>
    <w:p>
      <w:pPr>
        <w:pStyle w:val="868"/>
        <w:ind w:firstLine="630"/>
        <w:spacing w:line="360" w:lineRule="auto"/>
        <w:rPr>
          <w:rFonts w:hint="default" w:ascii="Times New Roman" w:hAnsi="Times New Roman" w:cs="Times New Roman"/>
          <w:sz w:val="21"/>
          <w:szCs w:val="21"/>
        </w:rPr>
      </w:pPr>
      <w:r>
        <w:rPr>
          <w:rFonts w:hint="default" w:ascii="Times New Roman" w:hAnsi="Times New Roman" w:cs="Times New Roman"/>
          <w:sz w:val="21"/>
          <w:szCs w:val="21"/>
        </w:rPr>
        <w:t xml:space="preserve">叙述详细完整，重点清晰明确，方案考虑先进周全得4分；</w:t>
      </w:r>
      <w:r/>
    </w:p>
    <w:p>
      <w:pPr>
        <w:pStyle w:val="868"/>
        <w:ind w:firstLine="630"/>
        <w:spacing w:line="360" w:lineRule="auto"/>
        <w:rPr>
          <w:rFonts w:hint="default" w:ascii="Times New Roman" w:hAnsi="Times New Roman" w:cs="Times New Roman"/>
          <w:sz w:val="21"/>
          <w:szCs w:val="21"/>
        </w:rPr>
      </w:pPr>
      <w:r>
        <w:rPr>
          <w:rFonts w:hint="default" w:ascii="Times New Roman" w:hAnsi="Times New Roman" w:cs="Times New Roman"/>
          <w:sz w:val="21"/>
          <w:szCs w:val="21"/>
        </w:rPr>
        <w:t xml:space="preserve">叙述较为详细，重点较为明确，满足项目实施需要的得2分； </w:t>
      </w:r>
      <w:r/>
    </w:p>
    <w:p>
      <w:pPr>
        <w:pStyle w:val="868"/>
        <w:ind w:firstLine="630"/>
        <w:spacing w:line="360" w:lineRule="auto"/>
        <w:rPr>
          <w:rFonts w:hint="default" w:ascii="Times New Roman" w:hAnsi="Times New Roman" w:cs="Times New Roman"/>
          <w:sz w:val="21"/>
          <w:szCs w:val="21"/>
        </w:rPr>
      </w:pPr>
      <w:r>
        <w:rPr>
          <w:rFonts w:hint="default" w:ascii="Times New Roman" w:hAnsi="Times New Roman" w:cs="Times New Roman"/>
          <w:sz w:val="21"/>
          <w:szCs w:val="21"/>
        </w:rPr>
        <w:t xml:space="preserve">方案简略，重点未明确，基本满足项目实施需要的得1分；</w:t>
      </w:r>
      <w:r/>
    </w:p>
    <w:p>
      <w:pPr>
        <w:pStyle w:val="868"/>
        <w:ind w:firstLine="630"/>
        <w:spacing w:line="360" w:lineRule="auto"/>
        <w:rPr>
          <w:rFonts w:hint="default" w:ascii="Times New Roman" w:hAnsi="Times New Roman" w:cs="Times New Roman"/>
          <w:sz w:val="21"/>
          <w:szCs w:val="21"/>
        </w:rPr>
      </w:pPr>
      <w:r>
        <w:rPr>
          <w:rFonts w:hint="default" w:ascii="Times New Roman" w:hAnsi="Times New Roman" w:cs="Times New Roman"/>
          <w:sz w:val="21"/>
          <w:szCs w:val="21"/>
        </w:rPr>
        <w:t xml:space="preserve">不提供不得分。</w:t>
      </w:r>
      <w:r/>
    </w:p>
    <w:p>
      <w:pPr>
        <w:ind w:firstLine="422"/>
        <w:spacing w:line="360" w:lineRule="auto"/>
        <w:rPr>
          <w:rFonts w:hint="default" w:ascii="Times New Roman" w:hAnsi="Times New Roman" w:cs="Times New Roman"/>
        </w:rPr>
      </w:pPr>
      <w:r>
        <w:rPr>
          <w:rFonts w:hint="default" w:ascii="Times New Roman" w:hAnsi="Times New Roman" w:cs="Times New Roman"/>
          <w:b/>
          <w:bCs/>
          <w:spacing w:val="-3"/>
        </w:rPr>
        <w:t xml:space="preserve">2、售后服务方案（4分）</w:t>
      </w:r>
      <w:r>
        <w:rPr>
          <w:rFonts w:hint="default" w:ascii="Times New Roman" w:hAnsi="Times New Roman" w:cs="Times New Roman"/>
          <w:b/>
          <w:bCs/>
        </w:rPr>
        <w:tab/>
      </w:r>
      <w:r/>
    </w:p>
    <w:p>
      <w:pPr>
        <w:pStyle w:val="868"/>
        <w:ind w:firstLine="630"/>
        <w:spacing w:line="360" w:lineRule="auto"/>
        <w:rPr>
          <w:rFonts w:hint="default" w:ascii="Times New Roman" w:hAnsi="Times New Roman" w:cs="Times New Roman"/>
          <w:sz w:val="21"/>
          <w:szCs w:val="21"/>
        </w:rPr>
      </w:pPr>
      <w:r>
        <w:rPr>
          <w:rFonts w:hint="default" w:ascii="Times New Roman" w:hAnsi="Times New Roman" w:cs="Times New Roman"/>
          <w:sz w:val="21"/>
          <w:szCs w:val="21"/>
        </w:rPr>
        <w:t xml:space="preserve">根据投标单位对维修、维护服务体系和培训计划、技术支持、售后响应（保修期内、保修期后以及后期维修响应时间）等，根据响应内容合理情况比较进行评审。</w:t>
      </w:r>
      <w:r/>
    </w:p>
    <w:p>
      <w:pPr>
        <w:pStyle w:val="868"/>
        <w:ind w:firstLine="630"/>
        <w:spacing w:line="360" w:lineRule="auto"/>
        <w:rPr>
          <w:rFonts w:hint="default" w:ascii="Times New Roman" w:hAnsi="Times New Roman" w:cs="Times New Roman"/>
          <w:sz w:val="21"/>
          <w:szCs w:val="21"/>
        </w:rPr>
      </w:pPr>
      <w:r>
        <w:rPr>
          <w:rFonts w:hint="default" w:ascii="Times New Roman" w:hAnsi="Times New Roman" w:cs="Times New Roman"/>
          <w:sz w:val="21"/>
          <w:szCs w:val="21"/>
        </w:rPr>
        <w:t xml:space="preserve">服务体系科学完整，技术支持先进、售后响应完善得4分，</w:t>
      </w:r>
      <w:r/>
    </w:p>
    <w:p>
      <w:pPr>
        <w:pStyle w:val="868"/>
        <w:ind w:firstLine="630"/>
        <w:spacing w:line="360" w:lineRule="auto"/>
        <w:rPr>
          <w:rFonts w:hint="default" w:ascii="Times New Roman" w:hAnsi="Times New Roman" w:cs="Times New Roman"/>
          <w:sz w:val="21"/>
          <w:szCs w:val="21"/>
        </w:rPr>
      </w:pPr>
      <w:r>
        <w:rPr>
          <w:rFonts w:hint="default" w:ascii="Times New Roman" w:hAnsi="Times New Roman" w:cs="Times New Roman"/>
          <w:sz w:val="21"/>
          <w:szCs w:val="21"/>
        </w:rPr>
        <w:t xml:space="preserve">服务体系较为完整，技术支持较为合理、售后响应基本完善的得2分，</w:t>
      </w:r>
      <w:r/>
    </w:p>
    <w:p>
      <w:pPr>
        <w:pStyle w:val="868"/>
        <w:ind w:firstLine="630"/>
        <w:spacing w:line="360" w:lineRule="auto"/>
        <w:rPr>
          <w:rFonts w:hint="default" w:ascii="Times New Roman" w:hAnsi="Times New Roman" w:cs="Times New Roman"/>
          <w:sz w:val="21"/>
          <w:szCs w:val="21"/>
        </w:rPr>
      </w:pPr>
      <w:r>
        <w:rPr>
          <w:rFonts w:hint="default" w:ascii="Times New Roman" w:hAnsi="Times New Roman" w:cs="Times New Roman"/>
          <w:sz w:val="21"/>
          <w:szCs w:val="21"/>
        </w:rPr>
        <w:t xml:space="preserve">服务体系简略、技术支持基本合理、售后响应不够完善的得1分。</w:t>
      </w:r>
      <w:r/>
    </w:p>
    <w:p>
      <w:pPr>
        <w:pStyle w:val="868"/>
        <w:ind w:firstLine="630"/>
        <w:spacing w:line="360" w:lineRule="auto"/>
        <w:rPr>
          <w:rFonts w:hint="default" w:ascii="Times New Roman" w:hAnsi="Times New Roman" w:cs="Times New Roman"/>
          <w:sz w:val="21"/>
          <w:szCs w:val="21"/>
        </w:rPr>
      </w:pPr>
      <w:r>
        <w:rPr>
          <w:rFonts w:hint="default" w:ascii="Times New Roman" w:hAnsi="Times New Roman" w:cs="Times New Roman"/>
          <w:sz w:val="21"/>
          <w:szCs w:val="21"/>
        </w:rPr>
        <w:t xml:space="preserve">不提供不得分。</w:t>
      </w:r>
      <w:r/>
    </w:p>
    <w:p>
      <w:pPr>
        <w:jc w:val="left"/>
        <w:spacing w:line="360" w:lineRule="auto"/>
        <w:rPr>
          <w:rFonts w:hint="default" w:ascii="Times New Roman" w:hAnsi="Times New Roman" w:cs="Times New Roman"/>
          <w:b/>
          <w:bCs/>
          <w:szCs w:val="21"/>
        </w:rPr>
      </w:pPr>
      <w:r>
        <w:rPr>
          <w:rFonts w:hint="default" w:ascii="Times New Roman" w:hAnsi="Times New Roman" w:cs="Times New Roman"/>
          <w:b/>
          <w:bCs/>
          <w:szCs w:val="21"/>
        </w:rPr>
        <w:t xml:space="preserve">（六）</w:t>
      </w:r>
      <w:r>
        <w:rPr>
          <w:rFonts w:hint="default" w:ascii="Times New Roman" w:hAnsi="Times New Roman" w:cs="Times New Roman"/>
          <w:b/>
          <w:bCs/>
          <w:spacing w:val="9"/>
          <w:sz w:val="22"/>
        </w:rPr>
        <w:t xml:space="preserve">▲</w:t>
      </w:r>
      <w:r>
        <w:rPr>
          <w:rFonts w:hint="default" w:ascii="Times New Roman" w:hAnsi="Times New Roman" w:cs="Times New Roman"/>
          <w:b/>
          <w:bCs/>
          <w:spacing w:val="-4"/>
          <w:szCs w:val="21"/>
        </w:rPr>
        <w:t xml:space="preserve">综合实力</w:t>
      </w:r>
      <w:r>
        <w:rPr>
          <w:rFonts w:hint="default" w:ascii="Times New Roman" w:hAnsi="Times New Roman" w:cs="Times New Roman"/>
          <w:b/>
          <w:bCs/>
          <w:szCs w:val="21"/>
        </w:rPr>
        <w:t xml:space="preserve">（</w:t>
      </w:r>
      <w:r>
        <w:rPr>
          <w:rFonts w:hint="default" w:ascii="Times New Roman" w:hAnsi="Times New Roman" w:cs="Times New Roman"/>
          <w:b/>
          <w:bCs/>
          <w:spacing w:val="-2"/>
          <w:szCs w:val="21"/>
        </w:rPr>
        <w:t xml:space="preserve">6分</w:t>
      </w:r>
      <w:r>
        <w:rPr>
          <w:rFonts w:hint="default" w:ascii="Times New Roman" w:hAnsi="Times New Roman" w:cs="Times New Roman"/>
          <w:b/>
          <w:bCs/>
          <w:szCs w:val="21"/>
        </w:rPr>
        <w:t xml:space="preserve">）</w:t>
      </w:r>
      <w:r/>
    </w:p>
    <w:p>
      <w:pPr>
        <w:pStyle w:val="868"/>
        <w:ind w:firstLine="660"/>
        <w:rPr>
          <w:rFonts w:hint="default" w:ascii="Times New Roman" w:hAnsi="Times New Roman" w:cs="Times New Roman"/>
          <w:sz w:val="22"/>
          <w:szCs w:val="22"/>
        </w:rPr>
      </w:pPr>
      <w:r>
        <w:rPr>
          <w:rFonts w:hint="default" w:ascii="Times New Roman" w:hAnsi="Times New Roman" w:cs="Times New Roman"/>
          <w:sz w:val="22"/>
          <w:szCs w:val="22"/>
        </w:rPr>
        <w:t xml:space="preserve">1.投标单位或生产厂家具有有效期内的</w:t>
      </w:r>
      <w:r>
        <w:rPr>
          <w:rFonts w:hint="default" w:ascii="Times New Roman" w:hAnsi="Times New Roman" w:cs="Times New Roman"/>
          <w:sz w:val="21"/>
          <w:szCs w:val="21"/>
          <w:highlight w:val="none"/>
        </w:rPr>
        <w:t xml:space="preserve">符</w:t>
      </w:r>
      <w:r>
        <w:rPr>
          <w:rFonts w:hint="default" w:ascii="Times New Roman" w:hAnsi="Times New Roman" w:cs="Times New Roman"/>
          <w:sz w:val="22"/>
          <w:szCs w:val="22"/>
        </w:rPr>
        <w:t xml:space="preserve">合国家标准GB/T27922-2011 售后服务认证证书（证书覆盖范围</w:t>
      </w:r>
      <w:r>
        <w:rPr>
          <w:rFonts w:hint="eastAsia" w:cs="Times New Roman"/>
          <w:sz w:val="22"/>
          <w:szCs w:val="22"/>
          <w:lang w:eastAsia="zh-CN"/>
        </w:rPr>
        <w:t xml:space="preserve">同时包</w:t>
      </w:r>
      <w:r>
        <w:rPr>
          <w:rFonts w:hint="default" w:ascii="Times New Roman" w:hAnsi="Times New Roman" w:cs="Times New Roman"/>
          <w:sz w:val="22"/>
          <w:szCs w:val="22"/>
        </w:rPr>
        <w:t xml:space="preserve">含办公家具、医疗家具、养老家具</w:t>
      </w:r>
      <w:bookmarkStart w:id="72" w:name="_GoBack"/>
      <w:r/>
      <w:bookmarkEnd w:id="72"/>
      <w:r>
        <w:rPr>
          <w:rFonts w:hint="default" w:ascii="Times New Roman" w:hAnsi="Times New Roman" w:cs="Times New Roman"/>
          <w:sz w:val="22"/>
          <w:szCs w:val="22"/>
        </w:rPr>
        <w:t xml:space="preserve">）</w:t>
      </w:r>
      <w:r>
        <w:rPr>
          <w:rFonts w:hint="default" w:ascii="Times New Roman" w:hAnsi="Times New Roman" w:cs="Times New Roman"/>
          <w:sz w:val="22"/>
          <w:szCs w:val="22"/>
          <w:lang w:eastAsia="zh-CN"/>
        </w:rPr>
        <w:t xml:space="preserve">或</w:t>
      </w:r>
      <w:r>
        <w:rPr>
          <w:rFonts w:hint="default" w:ascii="Times New Roman" w:hAnsi="Times New Roman" w:cs="Times New Roman"/>
          <w:sz w:val="22"/>
          <w:szCs w:val="22"/>
        </w:rPr>
        <w:t xml:space="preserve">NECAS全国商品售后服务达标认证证书(证书覆盖范围</w:t>
      </w:r>
      <w:r>
        <w:rPr>
          <w:rFonts w:hint="eastAsia" w:cs="Times New Roman"/>
          <w:sz w:val="22"/>
          <w:szCs w:val="22"/>
          <w:lang w:eastAsia="zh-CN"/>
        </w:rPr>
        <w:t xml:space="preserve">同时包</w:t>
      </w:r>
      <w:r>
        <w:rPr>
          <w:rFonts w:hint="default" w:ascii="Times New Roman" w:hAnsi="Times New Roman" w:cs="Times New Roman"/>
          <w:sz w:val="22"/>
          <w:szCs w:val="22"/>
        </w:rPr>
        <w:t xml:space="preserve">含办公家具、医疗家具、养老家具），五星级得1.5分</w:t>
      </w:r>
      <w:r>
        <w:rPr>
          <w:rFonts w:hint="default" w:ascii="Times New Roman" w:hAnsi="Times New Roman" w:cs="Times New Roman"/>
          <w:sz w:val="22"/>
          <w:szCs w:val="22"/>
          <w:lang w:eastAsia="zh-CN"/>
        </w:rPr>
        <w:t xml:space="preserve">，</w:t>
      </w:r>
      <w:r>
        <w:rPr>
          <w:rFonts w:hint="default" w:ascii="Times New Roman" w:hAnsi="Times New Roman" w:cs="Times New Roman"/>
          <w:sz w:val="22"/>
          <w:szCs w:val="22"/>
        </w:rPr>
        <w:t xml:space="preserve">四星级得1分、</w:t>
      </w:r>
      <w:r>
        <w:rPr>
          <w:rFonts w:hint="default" w:ascii="Times New Roman" w:hAnsi="Times New Roman" w:cs="Times New Roman"/>
          <w:bCs/>
          <w:color w:val="000000" w:themeColor="text1"/>
          <w:sz w:val="21"/>
          <w:szCs w:val="21"/>
          <w:highlight w:val="none"/>
          <w14:textFill>
            <w14:solidFill>
              <w14:schemeClr w14:val="tx1"/>
            </w14:solidFill>
          </w14:textFill>
        </w:rPr>
        <w:t xml:space="preserve">三星级得</w:t>
      </w:r>
      <w:r>
        <w:rPr>
          <w:rFonts w:hint="default" w:ascii="Times New Roman" w:hAnsi="Times New Roman" w:cs="Times New Roman"/>
          <w:bCs/>
          <w:color w:val="000000" w:themeColor="text1"/>
          <w:sz w:val="21"/>
          <w:szCs w:val="21"/>
          <w:highlight w:val="none"/>
          <w:lang w:val="en-US" w:eastAsia="zh-CN"/>
          <w14:textFill>
            <w14:solidFill>
              <w14:schemeClr w14:val="tx1"/>
            </w14:solidFill>
          </w14:textFill>
        </w:rPr>
        <w:t xml:space="preserve">0.5</w:t>
      </w:r>
      <w:r>
        <w:rPr>
          <w:rFonts w:hint="default" w:ascii="Times New Roman" w:hAnsi="Times New Roman" w:cs="Times New Roman"/>
          <w:bCs/>
          <w:color w:val="000000" w:themeColor="text1"/>
          <w:sz w:val="21"/>
          <w:szCs w:val="21"/>
          <w:highlight w:val="none"/>
          <w14:textFill>
            <w14:solidFill>
              <w14:schemeClr w14:val="tx1"/>
            </w14:solidFill>
          </w14:textFill>
        </w:rPr>
        <w:t xml:space="preserve">分</w:t>
      </w:r>
      <w:r>
        <w:rPr>
          <w:rFonts w:hint="default" w:ascii="Times New Roman" w:hAnsi="Times New Roman" w:cs="Times New Roman"/>
          <w:sz w:val="22"/>
          <w:szCs w:val="22"/>
          <w:highlight w:val="none"/>
        </w:rPr>
        <w:t xml:space="preserve">。</w:t>
      </w:r>
      <w:r>
        <w:rPr>
          <w:rFonts w:hint="default" w:ascii="Times New Roman" w:hAnsi="Times New Roman" w:cs="Times New Roman"/>
          <w:b/>
          <w:bCs/>
          <w:sz w:val="22"/>
          <w:szCs w:val="22"/>
          <w:highlight w:val="none"/>
        </w:rPr>
        <w:t xml:space="preserve">（</w:t>
      </w:r>
      <w:r>
        <w:rPr>
          <w:rFonts w:hint="default" w:ascii="Times New Roman" w:hAnsi="Times New Roman" w:cs="Times New Roman"/>
          <w:b/>
          <w:bCs/>
          <w:sz w:val="22"/>
          <w:szCs w:val="22"/>
        </w:rPr>
        <w:t xml:space="preserve">注：投标文件中需提供证书扫描件，证书需在有效期内，同时提供国家认证认可监督管理委员会官网查询页面完整截图，缺失、认证范围不全、失效或不提供者，对应项不得分）</w:t>
      </w:r>
      <w:r/>
    </w:p>
    <w:p>
      <w:pPr>
        <w:pStyle w:val="868"/>
        <w:ind w:firstLine="660"/>
        <w:rPr>
          <w:rFonts w:hint="default" w:ascii="Times New Roman" w:hAnsi="Times New Roman" w:cs="Times New Roman"/>
          <w:b/>
          <w:bCs/>
          <w:sz w:val="22"/>
          <w:szCs w:val="22"/>
        </w:rPr>
      </w:pPr>
      <w:r>
        <w:rPr>
          <w:rFonts w:hint="default" w:ascii="Times New Roman" w:hAnsi="Times New Roman" w:cs="Times New Roman"/>
          <w:sz w:val="22"/>
          <w:szCs w:val="22"/>
        </w:rPr>
        <w:t xml:space="preserve">2.投标单位或生产厂家具有有效期内的ISO9001质量管理体系认证证书（</w:t>
      </w:r>
      <w:r>
        <w:rPr>
          <w:rFonts w:hint="default" w:ascii="Times New Roman" w:hAnsi="Times New Roman" w:cs="Times New Roman"/>
          <w:sz w:val="21"/>
          <w:szCs w:val="21"/>
          <w:highlight w:val="none"/>
        </w:rPr>
        <w:t xml:space="preserve">证书覆盖范围</w:t>
      </w:r>
      <w:r>
        <w:rPr>
          <w:rFonts w:hint="eastAsia" w:cs="Times New Roman"/>
          <w:sz w:val="22"/>
          <w:szCs w:val="22"/>
          <w:lang w:eastAsia="zh-CN"/>
        </w:rPr>
        <w:t xml:space="preserve">同时包</w:t>
      </w:r>
      <w:r>
        <w:rPr>
          <w:rFonts w:hint="default" w:ascii="Times New Roman" w:hAnsi="Times New Roman" w:cs="Times New Roman"/>
          <w:sz w:val="21"/>
          <w:szCs w:val="21"/>
          <w:highlight w:val="none"/>
        </w:rPr>
        <w:t xml:space="preserve">含</w:t>
      </w:r>
      <w:r>
        <w:rPr>
          <w:rFonts w:hint="default" w:ascii="Times New Roman" w:hAnsi="Times New Roman" w:cs="Times New Roman"/>
          <w:sz w:val="22"/>
          <w:szCs w:val="22"/>
        </w:rPr>
        <w:t xml:space="preserve">办公家具、养老家具、医疗家具）、ISO14001环境管理体系认证证书（</w:t>
      </w:r>
      <w:r>
        <w:rPr>
          <w:rFonts w:hint="default" w:ascii="Times New Roman" w:hAnsi="Times New Roman" w:cs="Times New Roman"/>
          <w:sz w:val="21"/>
          <w:szCs w:val="21"/>
          <w:highlight w:val="none"/>
        </w:rPr>
        <w:t xml:space="preserve">证书覆盖范围</w:t>
      </w:r>
      <w:r>
        <w:rPr>
          <w:rFonts w:hint="eastAsia" w:cs="Times New Roman"/>
          <w:sz w:val="22"/>
          <w:szCs w:val="22"/>
          <w:lang w:eastAsia="zh-CN"/>
        </w:rPr>
        <w:t xml:space="preserve">同时包</w:t>
      </w:r>
      <w:r>
        <w:rPr>
          <w:rFonts w:hint="default" w:ascii="Times New Roman" w:hAnsi="Times New Roman" w:cs="Times New Roman"/>
          <w:sz w:val="21"/>
          <w:szCs w:val="21"/>
          <w:highlight w:val="none"/>
        </w:rPr>
        <w:t xml:space="preserve">含</w:t>
      </w:r>
      <w:r>
        <w:rPr>
          <w:rFonts w:hint="default" w:ascii="Times New Roman" w:hAnsi="Times New Roman" w:cs="Times New Roman"/>
          <w:sz w:val="22"/>
          <w:szCs w:val="22"/>
        </w:rPr>
        <w:t xml:space="preserve">办公家具、养老家具、医疗家具）、ISO45001职业健康安全管理体系认证（</w:t>
      </w:r>
      <w:r>
        <w:rPr>
          <w:rFonts w:hint="default" w:ascii="Times New Roman" w:hAnsi="Times New Roman" w:cs="Times New Roman"/>
          <w:sz w:val="21"/>
          <w:szCs w:val="21"/>
          <w:highlight w:val="none"/>
        </w:rPr>
        <w:t xml:space="preserve">证书覆盖范围</w:t>
      </w:r>
      <w:r>
        <w:rPr>
          <w:rFonts w:hint="eastAsia" w:cs="Times New Roman"/>
          <w:sz w:val="22"/>
          <w:szCs w:val="22"/>
          <w:lang w:eastAsia="zh-CN"/>
        </w:rPr>
        <w:t xml:space="preserve">同时包</w:t>
      </w:r>
      <w:r>
        <w:rPr>
          <w:rFonts w:hint="default" w:ascii="Times New Roman" w:hAnsi="Times New Roman" w:cs="Times New Roman"/>
          <w:sz w:val="21"/>
          <w:szCs w:val="21"/>
          <w:highlight w:val="none"/>
        </w:rPr>
        <w:t xml:space="preserve">含</w:t>
      </w:r>
      <w:r>
        <w:rPr>
          <w:rFonts w:hint="default" w:ascii="Times New Roman" w:hAnsi="Times New Roman" w:cs="Times New Roman"/>
          <w:sz w:val="22"/>
          <w:szCs w:val="22"/>
        </w:rPr>
        <w:t xml:space="preserve">办公家具、养老家具、医疗家具），每提供一项得1.5分，最高得4.5分。</w:t>
      </w:r>
      <w:r>
        <w:rPr>
          <w:rFonts w:hint="default" w:ascii="Times New Roman" w:hAnsi="Times New Roman" w:cs="Times New Roman"/>
          <w:b/>
          <w:bCs/>
          <w:sz w:val="22"/>
          <w:szCs w:val="22"/>
        </w:rPr>
        <w:t xml:space="preserve">（注：投标文件中需提供证书扫描件，证书需在有效期内，同时提供国家认证认可监督管理委员会官网查询页面完整截图，缺失、认证范围不全、失效或不提供者，对应项不得分）</w:t>
      </w:r>
      <w:r/>
    </w:p>
    <w:p>
      <w:pPr>
        <w:ind w:firstLine="420"/>
        <w:spacing w:line="360" w:lineRule="auto"/>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 xml:space="preserve">备注：</w:t>
      </w:r>
      <w:r/>
    </w:p>
    <w:p>
      <w:pPr>
        <w:ind w:firstLine="420"/>
        <w:spacing w:line="360" w:lineRule="auto"/>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 xml:space="preserve">1、打“</w:t>
      </w:r>
      <w:r>
        <w:rPr>
          <w:rFonts w:hint="default" w:ascii="Times New Roman" w:hAnsi="Times New Roman" w:cs="Times New Roman"/>
          <w:szCs w:val="21"/>
        </w:rPr>
        <w:t xml:space="preserve">▲</w:t>
      </w:r>
      <w:r>
        <w:rPr>
          <w:rFonts w:hint="default" w:ascii="Times New Roman" w:hAnsi="Times New Roman" w:cs="Times New Roman"/>
          <w:bCs/>
          <w:color w:val="000000" w:themeColor="text1"/>
          <w:szCs w:val="21"/>
          <w14:textFill>
            <w14:solidFill>
              <w14:schemeClr w14:val="tx1"/>
            </w14:solidFill>
          </w14:textFill>
        </w:rPr>
        <w:t xml:space="preserve">”项目为客观分。</w:t>
      </w:r>
      <w:r/>
    </w:p>
    <w:p>
      <w:pPr>
        <w:ind w:firstLine="420"/>
        <w:spacing w:line="360" w:lineRule="auto"/>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 xml:space="preserve">2、</w:t>
      </w:r>
      <w:r>
        <w:rPr>
          <w:rFonts w:hint="default" w:ascii="Times New Roman" w:hAnsi="Times New Roman" w:cs="Times New Roman" w:eastAsiaTheme="minorEastAsia"/>
          <w:b/>
          <w:color w:val="000000" w:themeColor="text1"/>
          <w:szCs w:val="21"/>
          <w14:textFill>
            <w14:solidFill>
              <w14:schemeClr w14:val="tx1"/>
            </w14:solidFill>
          </w14:textFill>
        </w:rPr>
        <w:t xml:space="preserve">针对评分标准中评分的每一条，投标单位在投标文件中均应提供相关资料并作出相应说明供评委评判，不提供相关资料，</w:t>
      </w:r>
      <w:r>
        <w:rPr>
          <w:rFonts w:hint="default" w:ascii="Times New Roman" w:hAnsi="Times New Roman" w:cs="Times New Roman" w:eastAsiaTheme="minorEastAsia"/>
          <w:b/>
          <w:bCs/>
          <w:color w:val="000000" w:themeColor="text1"/>
          <w:szCs w:val="21"/>
          <w14:textFill>
            <w14:solidFill>
              <w14:schemeClr w14:val="tx1"/>
            </w14:solidFill>
          </w14:textFill>
        </w:rPr>
        <w:t xml:space="preserve">提供的材料不全、不符、说明不清晰或不提供的,</w:t>
      </w:r>
      <w:r>
        <w:rPr>
          <w:rFonts w:hint="default" w:ascii="Times New Roman" w:hAnsi="Times New Roman" w:cs="Times New Roman" w:eastAsiaTheme="minorEastAsia"/>
          <w:b/>
          <w:color w:val="000000" w:themeColor="text1"/>
          <w:szCs w:val="21"/>
          <w14:textFill>
            <w14:solidFill>
              <w14:schemeClr w14:val="tx1"/>
            </w14:solidFill>
          </w14:textFill>
        </w:rPr>
        <w:t xml:space="preserve">视为不具备该项得分的条件。</w:t>
      </w:r>
      <w:r/>
    </w:p>
    <w:p>
      <w:pPr>
        <w:ind w:firstLine="420"/>
        <w:spacing w:line="360" w:lineRule="auto"/>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 xml:space="preserve">3、提供的各种证书、资质必须在有效期内，否则不得分。</w:t>
      </w:r>
      <w:r/>
      <w:r>
        <w:rPr>
          <w:rFonts w:hint="default" w:ascii="Times New Roman" w:hAnsi="Times New Roman" w:cs="Times New Roman"/>
          <w:bCs/>
          <w:color w:val="000000" w:themeColor="text1"/>
          <w:szCs w:val="21"/>
          <w14:textFill>
            <w14:solidFill>
              <w14:schemeClr w14:val="tx1"/>
            </w14:solidFill>
          </w14:textFill>
        </w:rPr>
      </w:r>
      <w:r/>
      <w:r>
        <w:rPr>
          <w:rFonts w:hint="default" w:ascii="Times New Roman" w:hAnsi="Times New Roman" w:cs="Times New Roman"/>
          <w:bCs/>
          <w:color w:val="000000" w:themeColor="text1"/>
          <w:szCs w:val="21"/>
          <w14:textFill>
            <w14:solidFill>
              <w14:schemeClr w14:val="tx1"/>
            </w14:solidFill>
          </w14:textFill>
        </w:rPr>
      </w:r>
    </w:p>
    <w:p>
      <w:pPr>
        <w:spacing w:line="360" w:lineRule="auto"/>
        <w:rPr>
          <w:rFonts w:hint="default" w:ascii="Times New Roman" w:hAnsi="Times New Roman" w:cs="Times New Roman"/>
          <w:b/>
          <w:szCs w:val="21"/>
        </w:rPr>
      </w:pPr>
      <w:r>
        <w:rPr>
          <w:rFonts w:hint="default" w:ascii="Times New Roman" w:hAnsi="Times New Roman" w:cs="Times New Roman"/>
          <w:b/>
          <w:szCs w:val="21"/>
        </w:rPr>
        <w:t xml:space="preserve">三、政府采购政策：</w:t>
      </w:r>
      <w:r/>
    </w:p>
    <w:p>
      <w:pPr>
        <w:spacing w:line="360" w:lineRule="auto"/>
        <w:rPr>
          <w:rFonts w:hint="default" w:ascii="Times New Roman" w:hAnsi="Times New Roman" w:cs="Times New Roman"/>
          <w:szCs w:val="21"/>
        </w:rPr>
      </w:pPr>
      <w:r>
        <w:rPr>
          <w:rFonts w:hint="default" w:ascii="Times New Roman" w:hAnsi="Times New Roman" w:cs="Times New Roman"/>
          <w:szCs w:val="21"/>
        </w:rPr>
        <w:t xml:space="preserve">（一）中、小企业</w:t>
      </w:r>
      <w:r/>
    </w:p>
    <w:p>
      <w:pPr>
        <w:spacing w:line="360" w:lineRule="auto"/>
        <w:rPr>
          <w:rFonts w:hint="default" w:ascii="Times New Roman" w:hAnsi="Times New Roman" w:cs="Times New Roman"/>
          <w:szCs w:val="21"/>
        </w:rPr>
      </w:pPr>
      <w:r>
        <w:rPr>
          <w:rFonts w:hint="default" w:ascii="Times New Roman" w:hAnsi="Times New Roman" w:cs="Times New Roman"/>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rPr>
          <w:rFonts w:hint="default" w:ascii="Times New Roman" w:hAnsi="Times New Roman" w:cs="Times New Roman" w:eastAsiaTheme="minorEastAsia"/>
          <w:color w:val="000000" w:themeColor="text1"/>
          <w:szCs w:val="21"/>
          <w14:textFill>
            <w14:solidFill>
              <w14:schemeClr w14:val="tx1"/>
            </w14:solidFill>
          </w14:textFill>
        </w:rPr>
        <w:t xml:space="preserve">：</w:t>
      </w:r>
      <w:r/>
    </w:p>
    <w:p>
      <w:pPr>
        <w:spacing w:line="360" w:lineRule="auto"/>
        <w:rPr>
          <w:rFonts w:hint="default" w:ascii="Times New Roman" w:hAnsi="Times New Roman" w:cs="Times New Roman"/>
          <w:szCs w:val="21"/>
        </w:rPr>
      </w:pPr>
      <w:r>
        <w:rPr>
          <w:rFonts w:hint="default" w:ascii="Times New Roman" w:hAnsi="Times New Roman" w:cs="Times New Roman"/>
          <w:szCs w:val="21"/>
        </w:rPr>
        <w:t xml:space="preserve">1、</w:t>
      </w:r>
      <w:r>
        <w:rPr>
          <w:rFonts w:hint="default" w:ascii="Times New Roman" w:hAnsi="Times New Roman" w:cs="Times New Roman"/>
        </w:rPr>
        <w:t xml:space="preserve">本项目属于专门面向中小企业的采购。</w:t>
      </w:r>
      <w:r/>
    </w:p>
    <w:p>
      <w:pPr>
        <w:spacing w:line="360" w:lineRule="auto"/>
        <w:rPr>
          <w:rFonts w:hint="default" w:ascii="Times New Roman" w:hAnsi="Times New Roman" w:cs="Times New Roman"/>
          <w:szCs w:val="21"/>
        </w:rPr>
      </w:pPr>
      <w:r>
        <w:rPr>
          <w:rFonts w:hint="default" w:ascii="Times New Roman" w:hAnsi="Times New Roman" w:cs="Times New Roman"/>
          <w:szCs w:val="21"/>
        </w:rPr>
        <w:t xml:space="preserve">2、本项目采购标的对应的中小企业划分标准所属行业为</w:t>
      </w:r>
      <w:r>
        <w:rPr>
          <w:rFonts w:hint="default" w:ascii="Times New Roman" w:hAnsi="Times New Roman" w:cs="Times New Roman"/>
          <w:b/>
          <w:szCs w:val="21"/>
          <w:u w:val="single"/>
        </w:rPr>
        <w:t xml:space="preserve">工业</w:t>
      </w:r>
      <w:r>
        <w:rPr>
          <w:rFonts w:hint="default" w:ascii="Times New Roman" w:hAnsi="Times New Roman" w:cs="Times New Roman"/>
          <w:szCs w:val="21"/>
        </w:rPr>
        <w:t xml:space="preserve">。中小微企业划型标准根据《中小企业划型标准规定》（工信部联企业【2011】300号）规定。</w:t>
      </w:r>
      <w:r/>
    </w:p>
    <w:p>
      <w:pPr>
        <w:spacing w:line="360" w:lineRule="auto"/>
        <w:rPr>
          <w:rFonts w:hint="default" w:ascii="Times New Roman" w:hAnsi="Times New Roman" w:cs="Times New Roman"/>
          <w:szCs w:val="21"/>
        </w:rPr>
      </w:pPr>
      <w:r>
        <w:rPr>
          <w:rFonts w:hint="default" w:ascii="Times New Roman" w:hAnsi="Times New Roman" w:cs="Times New Roman"/>
          <w:szCs w:val="21"/>
        </w:rPr>
        <w:t xml:space="preserve">3、依据《政府采购促进中小企业发展管理办法》规定享受扶持政策获得政府采购合同的，小微企业不得将合同分包给大中型企业，中型企业不得将合同分包给大型企业。</w:t>
      </w:r>
      <w:r/>
    </w:p>
    <w:p>
      <w:pPr>
        <w:spacing w:line="360" w:lineRule="auto"/>
        <w:rPr>
          <w:rFonts w:hint="default" w:ascii="Times New Roman" w:hAnsi="Times New Roman" w:cs="Times New Roman"/>
          <w:szCs w:val="21"/>
        </w:rPr>
      </w:pPr>
      <w:r>
        <w:rPr>
          <w:rFonts w:hint="default" w:ascii="Times New Roman" w:hAnsi="Times New Roman" w:cs="Times New Roman"/>
          <w:szCs w:val="21"/>
        </w:rPr>
        <w:t xml:space="preserve">4、中小企业参加政府采购活动，应当出具《政府采购促进中小企业发展管理办法》附件规定《中小企业声明函》，否则不得享受相关中小企业扶持政策。</w:t>
      </w:r>
      <w:r/>
    </w:p>
    <w:p>
      <w:pPr>
        <w:spacing w:line="360" w:lineRule="auto"/>
        <w:rPr>
          <w:rFonts w:hint="default" w:ascii="Times New Roman" w:hAnsi="Times New Roman" w:cs="Times New Roman"/>
          <w:szCs w:val="21"/>
        </w:rPr>
      </w:pPr>
      <w:r>
        <w:rPr>
          <w:rFonts w:hint="default" w:ascii="Times New Roman" w:hAnsi="Times New Roman" w:cs="Times New Roman"/>
          <w:szCs w:val="21"/>
        </w:rPr>
        <w:t xml:space="preserve">5、本项目中，</w:t>
      </w:r>
      <w:r>
        <w:rPr>
          <w:rFonts w:hint="default" w:ascii="Times New Roman" w:hAnsi="Times New Roman" w:cs="Times New Roman"/>
          <w:color w:val="000000" w:themeColor="text1"/>
          <w:szCs w:val="21"/>
          <w14:textFill>
            <w14:solidFill>
              <w14:schemeClr w14:val="tx1"/>
            </w14:solidFill>
          </w14:textFill>
        </w:rPr>
        <w:t xml:space="preserve">供应商提供的货物由中小企业制造，即货物由中小企业生产且使用该中小企业商号或者注册商标，才可享受规定的中小企业扶持政策</w:t>
      </w:r>
      <w:r>
        <w:rPr>
          <w:rFonts w:hint="default" w:ascii="Times New Roman" w:hAnsi="Times New Roman" w:cs="Times New Roman"/>
          <w:szCs w:val="21"/>
        </w:rPr>
        <w:t xml:space="preserve">。</w:t>
      </w:r>
      <w:r/>
    </w:p>
    <w:p>
      <w:pPr>
        <w:spacing w:line="360" w:lineRule="auto"/>
        <w:rPr>
          <w:rFonts w:hint="default" w:ascii="Times New Roman" w:hAnsi="Times New Roman" w:cs="Times New Roman"/>
          <w:szCs w:val="21"/>
        </w:rPr>
      </w:pPr>
      <w:r>
        <w:rPr>
          <w:rFonts w:hint="default" w:ascii="Times New Roman" w:hAnsi="Times New Roman" w:cs="Times New Roman"/>
          <w:szCs w:val="21"/>
        </w:rPr>
        <w:t xml:space="preserve">6、若供应商提供的《中小企业声明函》为虚假声明则视同提供虚假材料，按政府采购相关规定处理并报请政府监管部门给予行政处罚。</w:t>
      </w:r>
      <w:r/>
    </w:p>
    <w:p>
      <w:pPr>
        <w:spacing w:line="360" w:lineRule="auto"/>
        <w:rPr>
          <w:rFonts w:hint="default" w:ascii="Times New Roman" w:hAnsi="Times New Roman" w:cs="Times New Roman"/>
          <w:szCs w:val="21"/>
        </w:rPr>
      </w:pPr>
      <w:r>
        <w:rPr>
          <w:rFonts w:hint="default" w:ascii="Times New Roman" w:hAnsi="Times New Roman" w:cs="Times New Roman"/>
          <w:szCs w:val="21"/>
        </w:rPr>
        <w:t xml:space="preserve">（二）残疾人福利性单位</w:t>
      </w:r>
      <w:r/>
    </w:p>
    <w:p>
      <w:pPr>
        <w:spacing w:line="360" w:lineRule="auto"/>
        <w:rPr>
          <w:rFonts w:hint="default" w:ascii="Times New Roman" w:hAnsi="Times New Roman" w:cs="Times New Roman"/>
          <w:szCs w:val="21"/>
        </w:rPr>
      </w:pPr>
      <w:r>
        <w:rPr>
          <w:rFonts w:hint="default" w:ascii="Times New Roman" w:hAnsi="Times New Roman" w:cs="Times New Roman"/>
          <w:szCs w:val="21"/>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w:t>
      </w:r>
      <w:r>
        <w:rPr>
          <w:rFonts w:hint="default" w:ascii="Times New Roman" w:hAnsi="Times New Roman" w:cs="Times New Roman"/>
          <w:b/>
          <w:color w:val="000000" w:themeColor="text1"/>
          <w:szCs w:val="21"/>
          <w14:textFill>
            <w14:solidFill>
              <w14:schemeClr w14:val="tx1"/>
            </w14:solidFill>
          </w14:textFill>
        </w:rPr>
        <w:t xml:space="preserve">未提供视为非残疾人福利性单位，不视同小微企业，不享受残疾人福利性单位政策</w:t>
      </w:r>
      <w:r>
        <w:rPr>
          <w:rFonts w:hint="default" w:ascii="Times New Roman" w:hAnsi="Times New Roman" w:cs="Times New Roman"/>
          <w:szCs w:val="21"/>
        </w:rPr>
        <w:t xml:space="preserve">。</w:t>
      </w:r>
      <w:r/>
    </w:p>
    <w:p>
      <w:pPr>
        <w:spacing w:line="360" w:lineRule="auto"/>
        <w:rPr>
          <w:rFonts w:hint="default" w:ascii="Times New Roman" w:hAnsi="Times New Roman" w:cs="Times New Roman"/>
          <w:szCs w:val="21"/>
        </w:rPr>
      </w:pPr>
      <w:r>
        <w:rPr>
          <w:rFonts w:hint="default" w:ascii="Times New Roman" w:hAnsi="Times New Roman" w:cs="Times New Roman"/>
          <w:szCs w:val="21"/>
        </w:rPr>
        <w:t xml:space="preserve">（三）监狱企业</w:t>
      </w:r>
      <w:r/>
    </w:p>
    <w:p>
      <w:pPr>
        <w:spacing w:line="360" w:lineRule="auto"/>
        <w:rPr>
          <w:rFonts w:hint="default" w:ascii="Times New Roman" w:hAnsi="Times New Roman" w:cs="Times New Roman"/>
          <w:szCs w:val="21"/>
        </w:rPr>
      </w:pPr>
      <w:r>
        <w:rPr>
          <w:rFonts w:hint="default" w:ascii="Times New Roman" w:hAnsi="Times New Roman" w:cs="Times New Roman"/>
          <w:szCs w:val="21"/>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w:t>
      </w:r>
      <w:r>
        <w:rPr>
          <w:rFonts w:hint="default" w:ascii="Times New Roman" w:hAnsi="Times New Roman" w:cs="Times New Roman"/>
          <w:b/>
          <w:color w:val="000000" w:themeColor="text1"/>
          <w:szCs w:val="21"/>
          <w14:textFill>
            <w14:solidFill>
              <w14:schemeClr w14:val="tx1"/>
            </w14:solidFill>
          </w14:textFill>
        </w:rPr>
        <w:t xml:space="preserve">未提供视为非监狱企业，不视同小微企业，</w:t>
      </w:r>
      <w:r>
        <w:rPr>
          <w:rFonts w:hint="default" w:ascii="Times New Roman" w:hAnsi="Times New Roman" w:cs="Times New Roman"/>
          <w:b/>
          <w:bCs/>
          <w:color w:val="000000" w:themeColor="text1"/>
          <w:szCs w:val="21"/>
          <w14:textFill>
            <w14:solidFill>
              <w14:schemeClr w14:val="tx1"/>
            </w14:solidFill>
          </w14:textFill>
        </w:rPr>
        <w:t xml:space="preserve">不享受监狱企业政策</w:t>
      </w:r>
      <w:r>
        <w:rPr>
          <w:rFonts w:hint="default" w:ascii="Times New Roman" w:hAnsi="Times New Roman" w:cs="Times New Roman"/>
          <w:szCs w:val="21"/>
        </w:rPr>
        <w:t xml:space="preserve">。</w:t>
      </w:r>
      <w:r/>
    </w:p>
    <w:p>
      <w:pPr>
        <w:spacing w:line="360" w:lineRule="auto"/>
        <w:rPr>
          <w:rFonts w:hint="default" w:ascii="Times New Roman" w:hAnsi="Times New Roman" w:cs="Times New Roman"/>
          <w:szCs w:val="21"/>
        </w:rPr>
      </w:pPr>
      <w:r>
        <w:rPr>
          <w:rFonts w:hint="default" w:ascii="Times New Roman" w:hAnsi="Times New Roman" w:cs="Times New Roman"/>
          <w:szCs w:val="21"/>
        </w:rPr>
        <w:t xml:space="preserve">（四）根据苏财购【2019】10号文：（货物）</w:t>
      </w:r>
      <w:r/>
    </w:p>
    <w:p>
      <w:pPr>
        <w:spacing w:line="360" w:lineRule="auto"/>
        <w:rPr>
          <w:rFonts w:hint="default" w:ascii="Times New Roman" w:hAnsi="Times New Roman" w:cs="Times New Roman"/>
          <w:szCs w:val="21"/>
        </w:rPr>
      </w:pPr>
      <w:r>
        <w:rPr>
          <w:rFonts w:hint="default" w:ascii="Times New Roman" w:hAnsi="Times New Roman" w:cs="Times New Roman"/>
          <w:szCs w:val="21"/>
        </w:rPr>
        <w:t xml:space="preserve">1、采购人本次采购产品不属于《节能产品政府采购品目清单》范围内的产品。本次采购对上述产品实施优先采购，各投标人可提供由国家确定的认证机构出具的、处于有效期之内的节能（节水）产品认证证书。在得分相同且价格相同情况下，提供优先采购产品证书更多的投标人优先成交。</w:t>
      </w:r>
      <w:r/>
    </w:p>
    <w:p>
      <w:pPr>
        <w:spacing w:line="360" w:lineRule="auto"/>
        <w:rPr>
          <w:rFonts w:hint="default" w:ascii="Times New Roman" w:hAnsi="Times New Roman" w:cs="Times New Roman"/>
          <w:szCs w:val="21"/>
        </w:rPr>
      </w:pPr>
      <w:r>
        <w:rPr>
          <w:rFonts w:hint="default" w:ascii="Times New Roman" w:hAnsi="Times New Roman" w:cs="Times New Roman"/>
          <w:szCs w:val="21"/>
        </w:rPr>
        <w:t xml:space="preserve">2、采购人本次采购产品属于《环境标志产品政府采购品目清单》范围内的产品，本次采购对上述产品实施优先采购，各投标人可提供由国家确定的认证机构出具的、处于有效期之内的环境标志产品认证证书。在得分相同且价格相同情况下，提供优先采购产品证书更多的投标人优先成交。</w:t>
      </w:r>
      <w:r/>
    </w:p>
    <w:p>
      <w:pPr>
        <w:spacing w:line="360" w:lineRule="auto"/>
        <w:rPr>
          <w:rFonts w:hint="default" w:ascii="Times New Roman" w:hAnsi="Times New Roman" w:cs="Times New Roman"/>
          <w:szCs w:val="21"/>
        </w:rPr>
      </w:pPr>
      <w:r>
        <w:rPr>
          <w:rFonts w:hint="default" w:ascii="Times New Roman" w:hAnsi="Times New Roman" w:cs="Times New Roman"/>
          <w:szCs w:val="21"/>
        </w:rPr>
        <w:t xml:space="preserve">（五）绿色采购</w:t>
      </w:r>
      <w:r/>
    </w:p>
    <w:p>
      <w:pPr>
        <w:spacing w:line="360" w:lineRule="auto"/>
        <w:rPr>
          <w:rFonts w:hint="default" w:ascii="Times New Roman" w:hAnsi="Times New Roman" w:cs="Times New Roman"/>
          <w:szCs w:val="21"/>
        </w:rPr>
      </w:pPr>
      <w:r>
        <w:rPr>
          <w:rFonts w:hint="default" w:ascii="Times New Roman" w:hAnsi="Times New Roman" w:cs="Times New Roman"/>
          <w:szCs w:val="21"/>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spacing w:line="360" w:lineRule="auto"/>
        <w:rPr>
          <w:rFonts w:hint="default" w:ascii="Times New Roman" w:hAnsi="Times New Roman" w:cs="Times New Roman"/>
          <w:szCs w:val="21"/>
        </w:rPr>
      </w:pPr>
      <w:r>
        <w:rPr>
          <w:rFonts w:hint="default" w:ascii="Times New Roman" w:hAnsi="Times New Roman" w:cs="Times New Roman"/>
          <w:szCs w:val="21"/>
        </w:rPr>
        <w:t xml:space="preserve">2、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r>
        <w:rPr>
          <w:rFonts w:hint="default" w:ascii="Times New Roman" w:hAnsi="Times New Roman" w:cs="Times New Roman"/>
          <w:szCs w:val="21"/>
        </w:rPr>
      </w:r>
      <w:r/>
      <w:r>
        <w:rPr>
          <w:rFonts w:hint="default" w:ascii="Times New Roman" w:hAnsi="Times New Roman" w:cs="Times New Roman"/>
          <w:szCs w:val="21"/>
        </w:rPr>
      </w:r>
      <w:r>
        <w:rPr>
          <w:rFonts w:hint="default" w:ascii="Times New Roman" w:hAnsi="Times New Roman" w:cs="Times New Roman"/>
          <w:szCs w:val="21"/>
        </w:rPr>
      </w:r>
      <w:r/>
      <w:r>
        <w:rPr>
          <w:rFonts w:hint="default" w:ascii="Times New Roman" w:hAnsi="Times New Roman" w:cs="Times New Roman"/>
          <w:szCs w:val="21"/>
        </w:rPr>
      </w:r>
    </w:p>
    <w:p>
      <w:pPr>
        <w:jc w:val="right"/>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xml:space="preserve">（本文完）</w:t>
      </w:r>
      <w:r/>
      <w:r>
        <w:rPr>
          <w:rFonts w:hint="default" w:ascii="Times New Roman" w:hAnsi="Times New Roman" w:cs="Times New Roman"/>
          <w:color w:val="000000" w:themeColor="text1"/>
          <w14:textFill>
            <w14:solidFill>
              <w14:schemeClr w14:val="tx1"/>
            </w14:solidFill>
          </w14:textFill>
        </w:rPr>
        <w:br w:type="page" w:clear="all"/>
      </w:r>
      <w:r/>
      <w:r>
        <w:rPr>
          <w:rFonts w:hint="default" w:ascii="Times New Roman" w:hAnsi="Times New Roman" w:cs="Times New Roman"/>
          <w:color w:val="000000" w:themeColor="text1"/>
          <w14:textFill>
            <w14:solidFill>
              <w14:schemeClr w14:val="tx1"/>
            </w14:solidFill>
          </w14:textFill>
        </w:rPr>
      </w:r>
    </w:p>
    <w:p>
      <w:pPr>
        <w:pStyle w:val="866"/>
        <w:rPr>
          <w:rFonts w:hint="default" w:ascii="Times New Roman" w:hAnsi="Times New Roman" w:cs="Times New Roman"/>
        </w:rPr>
      </w:pPr>
      <w:r>
        <w:rPr>
          <w:rFonts w:hint="default" w:ascii="Times New Roman" w:hAnsi="Times New Roman" w:cs="Times New Roman"/>
        </w:rPr>
        <w:t xml:space="preserve">附件1：各区域平面图及区域内产品清单</w:t>
      </w:r>
      <w:r/>
    </w:p>
    <w:p>
      <w:pPr>
        <w:rPr>
          <w:rFonts w:hint="default" w:ascii="Times New Roman" w:hAnsi="Times New Roman" w:cs="Times New Roman"/>
        </w:rPr>
      </w:pPr>
      <w:r>
        <w:rPr>
          <w:rFonts w:hint="default" w:ascii="Times New Roman" w:hAnsi="Times New Roman" w:cs="Times New Roman"/>
        </w:rPr>
        <w:t xml:space="preserve">唯亭街道区域性养老服务中心养老楼1F大厅</w:t>
      </w:r>
      <w:r/>
    </w:p>
    <w:p>
      <w:pPr>
        <w:rPr>
          <w:rFonts w:hint="default" w:ascii="Times New Roman" w:hAnsi="Times New Roman" w:cs="Times New Roman"/>
        </w:rPr>
      </w:pPr>
      <w:r>
        <w:rPr>
          <w:rFonts w:hint="default" w:ascii="Times New Roman" w:hAnsi="Times New Roman" w:cs="Times New Roman"/>
        </w:rPr>
        <mc:AlternateContent>
          <mc:Choice Requires="wpg">
            <w:drawing>
              <wp:inline xmlns:wp="http://schemas.openxmlformats.org/drawingml/2006/wordprocessingDrawing" distT="0" distB="0" distL="0" distR="0">
                <wp:extent cx="6638290" cy="2966085"/>
                <wp:effectExtent l="0" t="0" r="10160" b="5715"/>
                <wp:docPr id="158" name="图片 113" descr="77fb47ea21b4537e9197db100ff80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113" descr="77fb47ea21b4537e9197db100ff802c"/>
                        <pic:cNvPicPr>
                          <a:picLocks noChangeAspect="1"/>
                        </pic:cNvPicPr>
                        <pic:nvPr/>
                      </pic:nvPicPr>
                      <pic:blipFill>
                        <a:blip r:embed="rId84"/>
                        <a:stretch/>
                      </pic:blipFill>
                      <pic:spPr bwMode="auto">
                        <a:xfrm>
                          <a:off x="0" y="0"/>
                          <a:ext cx="6638290" cy="29660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width:522.7pt;height:233.5pt;mso-wrap-distance-left:0.0pt;mso-wrap-distance-top:0.0pt;mso-wrap-distance-right:0.0pt;mso-wrap-distance-bottom:0.0pt;" stroked="false">
                <v:path textboxrect="0,0,0,0"/>
                <v:imagedata r:id="rId84" o:title=""/>
              </v:shape>
            </w:pict>
          </mc:Fallback>
        </mc:AlternateContent>
      </w:r>
      <w:r/>
    </w:p>
    <w:tbl>
      <w:tblPr>
        <w:tblStyle w:val="9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2130"/>
        <w:gridCol w:w="2460"/>
        <w:gridCol w:w="2475"/>
        <w:gridCol w:w="1050"/>
      </w:tblGrid>
      <w:tr>
        <w:trPr>
          <w:jc w:val="center"/>
          <w:trHeight w:val="442"/>
        </w:trPr>
        <w:tc>
          <w:tcPr>
            <w:tcW w:w="765" w:type="dxa"/>
            <w:vAlign w:val="center"/>
            <w:textDirection w:val="lrTb"/>
            <w:noWrap w:val="false"/>
          </w:tcPr>
          <w:p>
            <w:pPr>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序号</w:t>
            </w:r>
            <w:r/>
          </w:p>
        </w:tc>
        <w:tc>
          <w:tcPr>
            <w:tcW w:w="2130" w:type="dxa"/>
            <w:vAlign w:val="center"/>
            <w:textDirection w:val="lrTb"/>
            <w:noWrap w:val="false"/>
          </w:tcPr>
          <w:p>
            <w:pPr>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名称</w:t>
            </w:r>
            <w:r/>
          </w:p>
        </w:tc>
        <w:tc>
          <w:tcPr>
            <w:tcW w:w="2460" w:type="dxa"/>
            <w:vAlign w:val="center"/>
            <w:textDirection w:val="lrTb"/>
            <w:noWrap w:val="false"/>
          </w:tcPr>
          <w:p>
            <w:pPr>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参考图片</w:t>
            </w:r>
            <w:r/>
          </w:p>
        </w:tc>
        <w:tc>
          <w:tcPr>
            <w:tcW w:w="2475" w:type="dxa"/>
            <w:vAlign w:val="center"/>
            <w:textDirection w:val="lrTb"/>
            <w:noWrap w:val="false"/>
          </w:tcPr>
          <w:p>
            <w:pPr>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规格</w:t>
            </w:r>
            <w:r/>
          </w:p>
        </w:tc>
        <w:tc>
          <w:tcPr>
            <w:tcW w:w="1050" w:type="dxa"/>
            <w:vAlign w:val="center"/>
            <w:textDirection w:val="lrTb"/>
            <w:noWrap w:val="false"/>
          </w:tcPr>
          <w:p>
            <w:pPr>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数量</w:t>
            </w:r>
            <w:r/>
          </w:p>
        </w:tc>
      </w:tr>
      <w:tr>
        <w:trPr>
          <w:jc w:val="center"/>
          <w:trHeight w:val="1170"/>
        </w:trPr>
        <w:tc>
          <w:tcPr>
            <w:tcW w:w="765" w:type="dxa"/>
            <w:vAlign w:val="center"/>
            <w:textDirection w:val="lrTb"/>
            <w:noWrap w:val="false"/>
          </w:tcPr>
          <w:p>
            <w:pPr>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1</w:t>
            </w:r>
            <w:r/>
          </w:p>
        </w:tc>
        <w:tc>
          <w:tcPr>
            <w:tcW w:w="2130" w:type="dxa"/>
            <w:vAlign w:val="center"/>
            <w:textDirection w:val="lrTb"/>
            <w:noWrap w:val="false"/>
          </w:tcPr>
          <w:p>
            <w:pPr>
              <w:jc w:val="center"/>
              <w:widowControl/>
              <w:rPr>
                <w:rFonts w:hint="default" w:ascii="Times New Roman" w:hAnsi="Times New Roman" w:cs="Times New Roman" w:eastAsiaTheme="minorEastAsia"/>
                <w:szCs w:val="21"/>
              </w:rPr>
            </w:pPr>
            <w:r>
              <w:rPr>
                <w:rFonts w:hint="default" w:ascii="Times New Roman" w:hAnsi="Times New Roman" w:cs="Times New Roman" w:eastAsiaTheme="minorEastAsia"/>
                <w:color w:val="000000"/>
                <w:szCs w:val="21"/>
              </w:rPr>
              <w:t xml:space="preserve">休闲沙发（单人位）</w:t>
            </w:r>
            <w:r/>
          </w:p>
        </w:tc>
        <w:tc>
          <w:tcPr>
            <w:tcW w:w="2460" w:type="dxa"/>
            <w:vAlign w:val="center"/>
            <w:textDirection w:val="lrTb"/>
            <w:noWrap w:val="false"/>
          </w:tcPr>
          <w:p>
            <w:pPr>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rPr>
              <mc:AlternateContent>
                <mc:Choice Requires="wpg">
                  <w:drawing>
                    <wp:inline xmlns:wp="http://schemas.openxmlformats.org/drawingml/2006/wordprocessingDrawing" distT="0" distB="0" distL="0" distR="0">
                      <wp:extent cx="802005" cy="565785"/>
                      <wp:effectExtent l="0" t="0" r="17145" b="5715"/>
                      <wp:docPr id="159" name="ID_5639BF3C808349A78391FB8C3A1990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D_5639BF3C808349A78391FB8C3A1990F0"/>
                              <pic:cNvPicPr>
                                <a:picLocks noChangeAspect="1"/>
                              </pic:cNvPicPr>
                              <pic:nvPr/>
                            </pic:nvPicPr>
                            <pic:blipFill>
                              <a:blip r:embed="rId18"/>
                              <a:stretch/>
                            </pic:blipFill>
                            <pic:spPr bwMode="auto">
                              <a:xfrm>
                                <a:off x="0" y="0"/>
                                <a:ext cx="802005" cy="5657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width:63.1pt;height:44.5pt;mso-wrap-distance-left:0.0pt;mso-wrap-distance-top:0.0pt;mso-wrap-distance-right:0.0pt;mso-wrap-distance-bottom:0.0pt;" stroked="f" strokeweight="0.75pt">
                      <v:path textboxrect="0,0,0,0"/>
                      <v:imagedata r:id="rId18" o:title=""/>
                    </v:shape>
                  </w:pict>
                </mc:Fallback>
              </mc:AlternateContent>
            </w:r>
            <w:r/>
          </w:p>
        </w:tc>
        <w:tc>
          <w:tcPr>
            <w:tcW w:w="2475" w:type="dxa"/>
            <w:vAlign w:val="center"/>
            <w:textDirection w:val="lrTb"/>
            <w:noWrap w:val="false"/>
          </w:tcPr>
          <w:p>
            <w:pPr>
              <w:jc w:val="center"/>
              <w:rPr>
                <w:rFonts w:hint="default" w:ascii="Times New Roman" w:hAnsi="Times New Roman" w:cs="Times New Roman" w:eastAsiaTheme="minorEastAsia"/>
                <w:szCs w:val="21"/>
              </w:rPr>
            </w:pPr>
            <w:r>
              <w:rPr>
                <w:rFonts w:hint="default" w:ascii="Times New Roman" w:hAnsi="Times New Roman" w:cs="Times New Roman" w:eastAsiaTheme="minorEastAsia"/>
                <w:color w:val="000000"/>
                <w:szCs w:val="21"/>
              </w:rPr>
              <w:t xml:space="preserve">840*780*800</w:t>
            </w:r>
            <w:r/>
          </w:p>
        </w:tc>
        <w:tc>
          <w:tcPr>
            <w:tcW w:w="1050" w:type="dxa"/>
            <w:vAlign w:val="center"/>
            <w:textDirection w:val="lrTb"/>
            <w:noWrap w:val="false"/>
          </w:tcPr>
          <w:p>
            <w:pPr>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4</w:t>
            </w:r>
            <w:r/>
          </w:p>
        </w:tc>
      </w:tr>
      <w:tr>
        <w:trPr>
          <w:jc w:val="center"/>
          <w:trHeight w:val="1051"/>
        </w:trPr>
        <w:tc>
          <w:tcPr>
            <w:tcW w:w="765" w:type="dxa"/>
            <w:vAlign w:val="center"/>
            <w:textDirection w:val="lrTb"/>
            <w:noWrap w:val="false"/>
          </w:tcPr>
          <w:p>
            <w:pPr>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2</w:t>
            </w:r>
            <w:r/>
          </w:p>
        </w:tc>
        <w:tc>
          <w:tcPr>
            <w:tcW w:w="2130" w:type="dxa"/>
            <w:vAlign w:val="center"/>
            <w:textDirection w:val="lrTb"/>
            <w:noWrap w:val="false"/>
          </w:tcPr>
          <w:p>
            <w:pPr>
              <w:jc w:val="center"/>
              <w:rPr>
                <w:rFonts w:hint="default" w:ascii="Times New Roman" w:hAnsi="Times New Roman" w:cs="Times New Roman" w:eastAsiaTheme="minorEastAsia"/>
                <w:szCs w:val="21"/>
              </w:rPr>
            </w:pPr>
            <w:r>
              <w:rPr>
                <w:rFonts w:hint="default" w:ascii="Times New Roman" w:hAnsi="Times New Roman" w:cs="Times New Roman" w:eastAsiaTheme="minorEastAsia"/>
                <w:color w:val="000000"/>
                <w:szCs w:val="21"/>
              </w:rPr>
              <w:t xml:space="preserve">圆形茶几</w:t>
            </w:r>
            <w:r/>
          </w:p>
        </w:tc>
        <w:tc>
          <w:tcPr>
            <w:tcW w:w="2460" w:type="dxa"/>
            <w:vAlign w:val="center"/>
            <w:textDirection w:val="lrTb"/>
            <w:noWrap w:val="false"/>
          </w:tcPr>
          <w:p>
            <w:pPr>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rPr>
              <mc:AlternateContent>
                <mc:Choice Requires="wpg">
                  <w:drawing>
                    <wp:inline xmlns:wp="http://schemas.openxmlformats.org/drawingml/2006/wordprocessingDrawing" distT="0" distB="0" distL="0" distR="0">
                      <wp:extent cx="466090" cy="603250"/>
                      <wp:effectExtent l="0" t="0" r="10160" b="6350"/>
                      <wp:docPr id="16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9"/>
                              <pic:cNvPicPr>
                                <a:picLocks noChangeAspect="1"/>
                              </pic:cNvPicPr>
                              <pic:nvPr/>
                            </pic:nvPicPr>
                            <pic:blipFill>
                              <a:blip r:embed="rId19"/>
                              <a:stretch/>
                            </pic:blipFill>
                            <pic:spPr bwMode="auto">
                              <a:xfrm>
                                <a:off x="0" y="0"/>
                                <a:ext cx="466090" cy="603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width:36.7pt;height:47.5pt;mso-wrap-distance-left:0.0pt;mso-wrap-distance-top:0.0pt;mso-wrap-distance-right:0.0pt;mso-wrap-distance-bottom:0.0pt;" stroked="f" strokeweight="0.75pt">
                      <v:path textboxrect="0,0,0,0"/>
                      <v:imagedata r:id="rId19" o:title=""/>
                    </v:shape>
                  </w:pict>
                </mc:Fallback>
              </mc:AlternateContent>
            </w:r>
            <w:r/>
          </w:p>
        </w:tc>
        <w:tc>
          <w:tcPr>
            <w:tcW w:w="2475" w:type="dxa"/>
            <w:vAlign w:val="center"/>
            <w:textDirection w:val="lrTb"/>
            <w:noWrap w:val="false"/>
          </w:tcPr>
          <w:p>
            <w:pPr>
              <w:jc w:val="center"/>
              <w:rPr>
                <w:rFonts w:hint="default" w:ascii="Times New Roman" w:hAnsi="Times New Roman" w:cs="Times New Roman" w:eastAsiaTheme="minorEastAsia"/>
                <w:szCs w:val="21"/>
              </w:rPr>
            </w:pPr>
            <w:r>
              <w:rPr>
                <w:rFonts w:hint="default" w:ascii="Times New Roman" w:hAnsi="Times New Roman" w:cs="Times New Roman"/>
                <w:color w:val="000000"/>
                <w:sz w:val="18"/>
                <w:szCs w:val="18"/>
              </w:rPr>
              <w:t xml:space="preserve">φ</w:t>
            </w:r>
            <w:r>
              <w:rPr>
                <w:rFonts w:hint="default" w:ascii="Times New Roman" w:hAnsi="Times New Roman" w:cs="Times New Roman" w:eastAsiaTheme="minorEastAsia"/>
                <w:color w:val="000000"/>
                <w:szCs w:val="21"/>
              </w:rPr>
              <w:t xml:space="preserve">600*500</w:t>
            </w:r>
            <w:r/>
          </w:p>
        </w:tc>
        <w:tc>
          <w:tcPr>
            <w:tcW w:w="1050" w:type="dxa"/>
            <w:vAlign w:val="center"/>
            <w:textDirection w:val="lrTb"/>
            <w:noWrap w:val="false"/>
          </w:tcPr>
          <w:p>
            <w:pPr>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2</w:t>
            </w:r>
            <w:r/>
          </w:p>
        </w:tc>
      </w:tr>
      <w:tr>
        <w:trPr>
          <w:jc w:val="center"/>
          <w:trHeight w:val="1047"/>
        </w:trPr>
        <w:tc>
          <w:tcPr>
            <w:tcW w:w="765" w:type="dxa"/>
            <w:vAlign w:val="center"/>
            <w:textDirection w:val="lrTb"/>
            <w:noWrap w:val="false"/>
          </w:tcPr>
          <w:p>
            <w:pPr>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3</w:t>
            </w:r>
            <w:r/>
          </w:p>
        </w:tc>
        <w:tc>
          <w:tcPr>
            <w:tcW w:w="2130" w:type="dxa"/>
            <w:vAlign w:val="center"/>
            <w:textDirection w:val="lrTb"/>
            <w:noWrap w:val="false"/>
          </w:tcPr>
          <w:p>
            <w:pPr>
              <w:jc w:val="center"/>
              <w:widowControl/>
              <w:rPr>
                <w:rFonts w:hint="default" w:ascii="Times New Roman" w:hAnsi="Times New Roman" w:cs="Times New Roman" w:eastAsiaTheme="minorEastAsia"/>
                <w:szCs w:val="21"/>
              </w:rPr>
            </w:pPr>
            <w:r>
              <w:rPr>
                <w:rFonts w:hint="default" w:ascii="Times New Roman" w:hAnsi="Times New Roman" w:cs="Times New Roman" w:eastAsiaTheme="minorEastAsia"/>
                <w:color w:val="000000"/>
                <w:szCs w:val="21"/>
              </w:rPr>
              <w:t xml:space="preserve">适老桌（方形）</w:t>
            </w:r>
            <w:r/>
          </w:p>
        </w:tc>
        <w:tc>
          <w:tcPr>
            <w:tcW w:w="2460" w:type="dxa"/>
            <w:vAlign w:val="center"/>
            <w:textDirection w:val="lrTb"/>
            <w:noWrap w:val="false"/>
          </w:tcPr>
          <w:p>
            <w:pPr>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rPr>
              <mc:AlternateContent>
                <mc:Choice Requires="wpg">
                  <w:drawing>
                    <wp:inline xmlns:wp="http://schemas.openxmlformats.org/drawingml/2006/wordprocessingDrawing" distT="0" distB="0" distL="0" distR="0">
                      <wp:extent cx="810895" cy="574040"/>
                      <wp:effectExtent l="0" t="0" r="8255" b="16510"/>
                      <wp:docPr id="161" name="ID_1F23A864245949F5AD15752B6171BB85" descr="Enscape_2024-04-07-19-3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D_1F23A864245949F5AD15752B6171BB85" descr="Enscape_2024-04-07-19-39-16"/>
                              <pic:cNvPicPr>
                                <a:picLocks noChangeAspect="1"/>
                              </pic:cNvPicPr>
                              <pic:nvPr/>
                            </pic:nvPicPr>
                            <pic:blipFill>
                              <a:blip r:embed="rId20"/>
                              <a:srcRect l="18712" t="14848" r="36629" b="15659"/>
                              <a:stretch/>
                            </pic:blipFill>
                            <pic:spPr bwMode="auto">
                              <a:xfrm>
                                <a:off x="0" y="0"/>
                                <a:ext cx="810895" cy="5740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width:63.8pt;height:45.2pt;mso-wrap-distance-left:0.0pt;mso-wrap-distance-top:0.0pt;mso-wrap-distance-right:0.0pt;mso-wrap-distance-bottom:0.0pt;" stroked="f" strokeweight="0.75pt">
                      <v:path textboxrect="0,0,0,0"/>
                      <v:imagedata r:id="rId20" o:title=""/>
                    </v:shape>
                  </w:pict>
                </mc:Fallback>
              </mc:AlternateContent>
            </w:r>
            <w:r/>
          </w:p>
        </w:tc>
        <w:tc>
          <w:tcPr>
            <w:tcW w:w="2475" w:type="dxa"/>
            <w:vAlign w:val="center"/>
            <w:textDirection w:val="lrTb"/>
            <w:noWrap w:val="false"/>
          </w:tcPr>
          <w:p>
            <w:pPr>
              <w:jc w:val="center"/>
              <w:rPr>
                <w:rFonts w:hint="default" w:ascii="Times New Roman" w:hAnsi="Times New Roman" w:cs="Times New Roman" w:eastAsiaTheme="minorEastAsia"/>
                <w:szCs w:val="21"/>
              </w:rPr>
            </w:pPr>
            <w:r>
              <w:rPr>
                <w:rFonts w:hint="default" w:ascii="Times New Roman" w:hAnsi="Times New Roman" w:cs="Times New Roman" w:eastAsiaTheme="minorEastAsia"/>
                <w:color w:val="000000"/>
                <w:szCs w:val="21"/>
              </w:rPr>
              <w:t xml:space="preserve">900*900*750</w:t>
            </w:r>
            <w:r/>
          </w:p>
        </w:tc>
        <w:tc>
          <w:tcPr>
            <w:tcW w:w="1050" w:type="dxa"/>
            <w:vAlign w:val="center"/>
            <w:textDirection w:val="lrTb"/>
            <w:noWrap w:val="false"/>
          </w:tcPr>
          <w:p>
            <w:pPr>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8</w:t>
            </w:r>
            <w:r/>
          </w:p>
        </w:tc>
      </w:tr>
      <w:tr>
        <w:trPr>
          <w:jc w:val="center"/>
          <w:trHeight w:val="991"/>
        </w:trPr>
        <w:tc>
          <w:tcPr>
            <w:tcW w:w="765" w:type="dxa"/>
            <w:vAlign w:val="center"/>
            <w:textDirection w:val="lrTb"/>
            <w:noWrap w:val="false"/>
          </w:tcPr>
          <w:p>
            <w:pPr>
              <w:jc w:val="center"/>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w:t xml:space="preserve">4</w:t>
            </w:r>
            <w:r/>
          </w:p>
        </w:tc>
        <w:tc>
          <w:tcPr>
            <w:tcW w:w="2130" w:type="dxa"/>
            <w:vAlign w:val="center"/>
            <w:textDirection w:val="lrTb"/>
            <w:noWrap w:val="false"/>
          </w:tcPr>
          <w:p>
            <w:pPr>
              <w:jc w:val="center"/>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w:t xml:space="preserve">书画桌</w:t>
            </w:r>
            <w:r/>
          </w:p>
        </w:tc>
        <w:tc>
          <w:tcPr>
            <w:tcW w:w="2460" w:type="dxa"/>
            <w:vAlign w:val="center"/>
            <w:textDirection w:val="lrTb"/>
            <w:noWrap w:val="false"/>
          </w:tcPr>
          <w:p>
            <w:pPr>
              <w:jc w:val="center"/>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mc:AlternateContent>
                <mc:Choice Requires="wpg">
                  <w:drawing>
                    <wp:inline xmlns:wp="http://schemas.openxmlformats.org/drawingml/2006/wordprocessingDrawing" distT="0" distB="0" distL="0" distR="0">
                      <wp:extent cx="800100" cy="548640"/>
                      <wp:effectExtent l="0" t="0" r="0" b="3810"/>
                      <wp:docPr id="162" name="ID_E0619440B3CA455E968CF731F56E6C50" descr="Enscape_2024-04-08-10-0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D_E0619440B3CA455E968CF731F56E6C50" descr="Enscape_2024-04-08-10-00-17"/>
                              <pic:cNvPicPr>
                                <a:picLocks noChangeAspect="1"/>
                              </pic:cNvPicPr>
                              <pic:nvPr/>
                            </pic:nvPicPr>
                            <pic:blipFill>
                              <a:blip r:embed="rId22"/>
                              <a:srcRect l="8057" t="11359" r="34029" b="2962"/>
                              <a:stretch/>
                            </pic:blipFill>
                            <pic:spPr bwMode="auto">
                              <a:xfrm>
                                <a:off x="0" y="0"/>
                                <a:ext cx="800100" cy="5486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width:63.0pt;height:43.2pt;mso-wrap-distance-left:0.0pt;mso-wrap-distance-top:0.0pt;mso-wrap-distance-right:0.0pt;mso-wrap-distance-bottom:0.0pt;" stroked="f" strokeweight="0.75pt">
                      <v:path textboxrect="0,0,0,0"/>
                      <v:imagedata r:id="rId22" o:title=""/>
                    </v:shape>
                  </w:pict>
                </mc:Fallback>
              </mc:AlternateContent>
            </w:r>
            <w:r/>
          </w:p>
        </w:tc>
        <w:tc>
          <w:tcPr>
            <w:tcW w:w="2475" w:type="dxa"/>
            <w:vAlign w:val="center"/>
            <w:textDirection w:val="lrTb"/>
            <w:noWrap w:val="false"/>
          </w:tcPr>
          <w:p>
            <w:pPr>
              <w:jc w:val="center"/>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w:t xml:space="preserve">2000*1000*750</w:t>
            </w:r>
            <w:r/>
          </w:p>
        </w:tc>
        <w:tc>
          <w:tcPr>
            <w:tcW w:w="1050" w:type="dxa"/>
            <w:vAlign w:val="center"/>
            <w:textDirection w:val="lrTb"/>
            <w:noWrap w:val="false"/>
          </w:tcPr>
          <w:p>
            <w:pPr>
              <w:jc w:val="center"/>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w:t xml:space="preserve">4</w:t>
            </w:r>
            <w:r/>
          </w:p>
        </w:tc>
      </w:tr>
      <w:tr>
        <w:trPr>
          <w:jc w:val="center"/>
          <w:trHeight w:val="1032"/>
        </w:trPr>
        <w:tc>
          <w:tcPr>
            <w:tcW w:w="765" w:type="dxa"/>
            <w:vAlign w:val="center"/>
            <w:textDirection w:val="lrTb"/>
            <w:noWrap w:val="false"/>
          </w:tcPr>
          <w:p>
            <w:pPr>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5</w:t>
            </w:r>
            <w:r/>
          </w:p>
        </w:tc>
        <w:tc>
          <w:tcPr>
            <w:tcW w:w="2130" w:type="dxa"/>
            <w:vAlign w:val="center"/>
            <w:textDirection w:val="lrTb"/>
            <w:noWrap w:val="false"/>
          </w:tcPr>
          <w:p>
            <w:pPr>
              <w:jc w:val="center"/>
              <w:widowControl/>
              <w:rPr>
                <w:rFonts w:hint="default" w:ascii="Times New Roman" w:hAnsi="Times New Roman" w:cs="Times New Roman" w:eastAsiaTheme="minorEastAsia"/>
                <w:szCs w:val="21"/>
              </w:rPr>
            </w:pPr>
            <w:r>
              <w:rPr>
                <w:rFonts w:hint="default" w:ascii="Times New Roman" w:hAnsi="Times New Roman" w:cs="Times New Roman" w:eastAsiaTheme="minorEastAsia"/>
                <w:color w:val="000000"/>
                <w:szCs w:val="21"/>
              </w:rPr>
              <w:t xml:space="preserve">适老椅</w:t>
            </w:r>
            <w:r/>
          </w:p>
        </w:tc>
        <w:tc>
          <w:tcPr>
            <w:tcW w:w="2460" w:type="dxa"/>
            <w:vAlign w:val="center"/>
            <w:textDirection w:val="lrTb"/>
            <w:noWrap w:val="false"/>
          </w:tcPr>
          <w:p>
            <w:pPr>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rPr>
              <mc:AlternateContent>
                <mc:Choice Requires="wpg">
                  <w:drawing>
                    <wp:inline xmlns:wp="http://schemas.openxmlformats.org/drawingml/2006/wordprocessingDrawing" distT="0" distB="0" distL="0" distR="0">
                      <wp:extent cx="528320" cy="652780"/>
                      <wp:effectExtent l="0" t="0" r="5080" b="13970"/>
                      <wp:docPr id="16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12"/>
                              <pic:cNvPicPr>
                                <a:picLocks noChangeAspect="1"/>
                              </pic:cNvPicPr>
                              <pic:nvPr/>
                            </pic:nvPicPr>
                            <pic:blipFill>
                              <a:blip r:embed="rId23"/>
                              <a:stretch/>
                            </pic:blipFill>
                            <pic:spPr bwMode="auto">
                              <a:xfrm>
                                <a:off x="0" y="0"/>
                                <a:ext cx="528320" cy="6527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width:41.6pt;height:51.4pt;mso-wrap-distance-left:0.0pt;mso-wrap-distance-top:0.0pt;mso-wrap-distance-right:0.0pt;mso-wrap-distance-bottom:0.0pt;" stroked="f" strokeweight="0.75pt">
                      <v:path textboxrect="0,0,0,0"/>
                      <v:imagedata r:id="rId23" o:title=""/>
                    </v:shape>
                  </w:pict>
                </mc:Fallback>
              </mc:AlternateContent>
            </w:r>
            <w:r/>
          </w:p>
        </w:tc>
        <w:tc>
          <w:tcPr>
            <w:tcW w:w="2475" w:type="dxa"/>
            <w:vAlign w:val="center"/>
            <w:textDirection w:val="lrTb"/>
            <w:noWrap w:val="false"/>
          </w:tcPr>
          <w:p>
            <w:pPr>
              <w:jc w:val="center"/>
              <w:rPr>
                <w:rFonts w:hint="default" w:ascii="Times New Roman" w:hAnsi="Times New Roman" w:cs="Times New Roman" w:eastAsiaTheme="minorEastAsia"/>
                <w:szCs w:val="21"/>
              </w:rPr>
            </w:pPr>
            <w:r>
              <w:rPr>
                <w:rFonts w:hint="default" w:ascii="Times New Roman" w:hAnsi="Times New Roman" w:cs="Times New Roman" w:eastAsiaTheme="minorEastAsia"/>
                <w:color w:val="000000"/>
                <w:szCs w:val="21"/>
              </w:rPr>
              <w:t xml:space="preserve">520*450*830</w:t>
            </w:r>
            <w:r/>
          </w:p>
        </w:tc>
        <w:tc>
          <w:tcPr>
            <w:tcW w:w="1050" w:type="dxa"/>
            <w:vAlign w:val="center"/>
            <w:textDirection w:val="lrTb"/>
            <w:noWrap w:val="false"/>
          </w:tcPr>
          <w:p>
            <w:pPr>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48</w:t>
            </w:r>
            <w:r/>
          </w:p>
        </w:tc>
      </w:tr>
      <w:tr>
        <w:trPr>
          <w:jc w:val="center"/>
          <w:trHeight w:val="1009"/>
        </w:trPr>
        <w:tc>
          <w:tcPr>
            <w:tcW w:w="765" w:type="dxa"/>
            <w:vAlign w:val="center"/>
            <w:textDirection w:val="lrTb"/>
            <w:noWrap w:val="false"/>
          </w:tcPr>
          <w:p>
            <w:pPr>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6</w:t>
            </w:r>
            <w:r/>
          </w:p>
        </w:tc>
        <w:tc>
          <w:tcPr>
            <w:tcW w:w="2130" w:type="dxa"/>
            <w:vAlign w:val="center"/>
            <w:textDirection w:val="lrTb"/>
            <w:noWrap w:val="false"/>
          </w:tcPr>
          <w:p>
            <w:pPr>
              <w:jc w:val="center"/>
              <w:rPr>
                <w:rFonts w:hint="default" w:ascii="Times New Roman" w:hAnsi="Times New Roman" w:cs="Times New Roman" w:eastAsiaTheme="minorEastAsia"/>
                <w:szCs w:val="21"/>
              </w:rPr>
            </w:pPr>
            <w:r>
              <w:rPr>
                <w:rFonts w:hint="default" w:ascii="Times New Roman" w:hAnsi="Times New Roman" w:cs="Times New Roman" w:eastAsiaTheme="minorEastAsia"/>
                <w:color w:val="000000"/>
                <w:szCs w:val="21"/>
              </w:rPr>
              <w:t xml:space="preserve">休闲沙发（双人位）</w:t>
            </w:r>
            <w:r/>
          </w:p>
        </w:tc>
        <w:tc>
          <w:tcPr>
            <w:tcW w:w="2460" w:type="dxa"/>
            <w:vAlign w:val="center"/>
            <w:textDirection w:val="lrTb"/>
            <w:noWrap w:val="false"/>
          </w:tcPr>
          <w:p>
            <w:pPr>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rPr>
              <mc:AlternateContent>
                <mc:Choice Requires="wpg">
                  <w:drawing>
                    <wp:inline xmlns:wp="http://schemas.openxmlformats.org/drawingml/2006/wordprocessingDrawing" distT="0" distB="0" distL="0" distR="0">
                      <wp:extent cx="806450" cy="466725"/>
                      <wp:effectExtent l="0" t="0" r="12700" b="9525"/>
                      <wp:docPr id="164" name="ID_781248B74409497E8042E80886C08FEB" descr="Enscape_2024-04-08-10-5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D_781248B74409497E8042E80886C08FEB" descr="Enscape_2024-04-08-10-52-21"/>
                              <pic:cNvPicPr>
                                <a:picLocks noChangeAspect="1"/>
                              </pic:cNvPicPr>
                              <pic:nvPr/>
                            </pic:nvPicPr>
                            <pic:blipFill>
                              <a:blip r:embed="rId24"/>
                              <a:srcRect l="13638" t="15556" r="19462" b="17979"/>
                              <a:stretch/>
                            </pic:blipFill>
                            <pic:spPr bwMode="auto">
                              <a:xfrm>
                                <a:off x="0" y="0"/>
                                <a:ext cx="806450" cy="466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width:63.5pt;height:36.8pt;mso-wrap-distance-left:0.0pt;mso-wrap-distance-top:0.0pt;mso-wrap-distance-right:0.0pt;mso-wrap-distance-bottom:0.0pt;" stroked="f" strokeweight="0.75pt">
                      <v:path textboxrect="0,0,0,0"/>
                      <v:imagedata r:id="rId24" o:title=""/>
                    </v:shape>
                  </w:pict>
                </mc:Fallback>
              </mc:AlternateContent>
            </w:r>
            <w:r/>
          </w:p>
        </w:tc>
        <w:tc>
          <w:tcPr>
            <w:tcW w:w="2475" w:type="dxa"/>
            <w:vAlign w:val="center"/>
            <w:textDirection w:val="lrTb"/>
            <w:noWrap w:val="false"/>
          </w:tcPr>
          <w:p>
            <w:pPr>
              <w:jc w:val="center"/>
              <w:rPr>
                <w:rFonts w:hint="default" w:ascii="Times New Roman" w:hAnsi="Times New Roman" w:cs="Times New Roman" w:eastAsiaTheme="minorEastAsia"/>
                <w:szCs w:val="21"/>
              </w:rPr>
            </w:pPr>
            <w:r>
              <w:rPr>
                <w:rFonts w:hint="default" w:ascii="Times New Roman" w:hAnsi="Times New Roman" w:cs="Times New Roman" w:eastAsiaTheme="minorEastAsia"/>
                <w:color w:val="000000"/>
                <w:szCs w:val="21"/>
              </w:rPr>
              <w:t xml:space="preserve">1480*780*800</w:t>
            </w:r>
            <w:r/>
          </w:p>
        </w:tc>
        <w:tc>
          <w:tcPr>
            <w:tcW w:w="1050" w:type="dxa"/>
            <w:vAlign w:val="center"/>
            <w:textDirection w:val="lrTb"/>
            <w:noWrap w:val="false"/>
          </w:tcPr>
          <w:p>
            <w:pPr>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12</w:t>
            </w:r>
            <w:r/>
          </w:p>
        </w:tc>
      </w:tr>
      <w:tr>
        <w:trPr>
          <w:jc w:val="center"/>
          <w:trHeight w:val="897"/>
        </w:trPr>
        <w:tc>
          <w:tcPr>
            <w:tcW w:w="765" w:type="dxa"/>
            <w:vAlign w:val="center"/>
            <w:textDirection w:val="lrTb"/>
            <w:noWrap w:val="false"/>
          </w:tcPr>
          <w:p>
            <w:pPr>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7</w:t>
            </w:r>
            <w:r/>
          </w:p>
        </w:tc>
        <w:tc>
          <w:tcPr>
            <w:tcW w:w="2130" w:type="dxa"/>
            <w:vAlign w:val="center"/>
            <w:textDirection w:val="lrTb"/>
            <w:noWrap w:val="false"/>
          </w:tcPr>
          <w:p>
            <w:pPr>
              <w:jc w:val="center"/>
              <w:widowControl/>
              <w:rPr>
                <w:rFonts w:hint="default" w:ascii="Times New Roman" w:hAnsi="Times New Roman" w:cs="Times New Roman" w:eastAsiaTheme="minorEastAsia"/>
                <w:szCs w:val="21"/>
              </w:rPr>
            </w:pPr>
            <w:r>
              <w:rPr>
                <w:rFonts w:hint="default" w:ascii="Times New Roman" w:hAnsi="Times New Roman" w:cs="Times New Roman" w:eastAsiaTheme="minorEastAsia"/>
                <w:color w:val="000000"/>
                <w:szCs w:val="21"/>
              </w:rPr>
              <w:t xml:space="preserve">椭圆形长茶几</w:t>
            </w:r>
            <w:r/>
          </w:p>
        </w:tc>
        <w:tc>
          <w:tcPr>
            <w:tcW w:w="2460" w:type="dxa"/>
            <w:vAlign w:val="center"/>
            <w:textDirection w:val="lrTb"/>
            <w:noWrap w:val="false"/>
          </w:tcPr>
          <w:p>
            <w:pPr>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rPr>
              <mc:AlternateContent>
                <mc:Choice Requires="wpg">
                  <w:drawing>
                    <wp:inline xmlns:wp="http://schemas.openxmlformats.org/drawingml/2006/wordprocessingDrawing" distT="0" distB="0" distL="0" distR="0">
                      <wp:extent cx="805180" cy="508000"/>
                      <wp:effectExtent l="0" t="0" r="13970" b="6350"/>
                      <wp:docPr id="165"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18"/>
                              <pic:cNvPicPr>
                                <a:picLocks noChangeAspect="1"/>
                              </pic:cNvPicPr>
                              <pic:nvPr/>
                            </pic:nvPicPr>
                            <pic:blipFill>
                              <a:blip r:embed="rId26"/>
                              <a:stretch/>
                            </pic:blipFill>
                            <pic:spPr bwMode="auto">
                              <a:xfrm>
                                <a:off x="0" y="0"/>
                                <a:ext cx="805180" cy="508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width:63.4pt;height:40.0pt;mso-wrap-distance-left:0.0pt;mso-wrap-distance-top:0.0pt;mso-wrap-distance-right:0.0pt;mso-wrap-distance-bottom:0.0pt;" stroked="f" strokeweight="0.75pt">
                      <v:path textboxrect="0,0,0,0"/>
                      <v:imagedata r:id="rId26" o:title=""/>
                    </v:shape>
                  </w:pict>
                </mc:Fallback>
              </mc:AlternateContent>
            </w:r>
            <w:r/>
          </w:p>
        </w:tc>
        <w:tc>
          <w:tcPr>
            <w:tcW w:w="2475" w:type="dxa"/>
            <w:vAlign w:val="center"/>
            <w:textDirection w:val="lrTb"/>
            <w:noWrap w:val="false"/>
          </w:tcPr>
          <w:p>
            <w:pPr>
              <w:jc w:val="center"/>
              <w:rPr>
                <w:rFonts w:hint="default" w:ascii="Times New Roman" w:hAnsi="Times New Roman" w:cs="Times New Roman" w:eastAsiaTheme="minorEastAsia"/>
                <w:szCs w:val="21"/>
              </w:rPr>
            </w:pPr>
            <w:r>
              <w:rPr>
                <w:rFonts w:hint="default" w:ascii="Times New Roman" w:hAnsi="Times New Roman" w:cs="Times New Roman" w:eastAsiaTheme="minorEastAsia"/>
                <w:color w:val="000000"/>
                <w:szCs w:val="21"/>
              </w:rPr>
              <w:t xml:space="preserve">1200*600*500</w:t>
            </w:r>
            <w:r/>
          </w:p>
        </w:tc>
        <w:tc>
          <w:tcPr>
            <w:tcW w:w="1050" w:type="dxa"/>
            <w:vAlign w:val="center"/>
            <w:textDirection w:val="lrTb"/>
            <w:noWrap w:val="false"/>
          </w:tcPr>
          <w:p>
            <w:pPr>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6</w:t>
            </w:r>
            <w:r/>
          </w:p>
        </w:tc>
      </w:tr>
      <w:tr>
        <w:trPr>
          <w:jc w:val="center"/>
        </w:trPr>
        <w:tc>
          <w:tcPr>
            <w:tcW w:w="765" w:type="dxa"/>
            <w:vAlign w:val="center"/>
            <w:textDirection w:val="lrTb"/>
            <w:noWrap w:val="false"/>
          </w:tcPr>
          <w:p>
            <w:pPr>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8</w:t>
            </w:r>
            <w:r/>
          </w:p>
        </w:tc>
        <w:tc>
          <w:tcPr>
            <w:tcW w:w="2130" w:type="dxa"/>
            <w:vAlign w:val="center"/>
            <w:textDirection w:val="lrTb"/>
            <w:noWrap w:val="false"/>
          </w:tcPr>
          <w:p>
            <w:pPr>
              <w:jc w:val="center"/>
              <w:widowControl/>
              <w:rPr>
                <w:rFonts w:hint="default" w:ascii="Times New Roman" w:hAnsi="Times New Roman" w:cs="Times New Roman" w:eastAsiaTheme="minorEastAsia"/>
                <w:szCs w:val="21"/>
              </w:rPr>
            </w:pPr>
            <w:r>
              <w:rPr>
                <w:rFonts w:hint="default" w:ascii="Times New Roman" w:hAnsi="Times New Roman" w:cs="Times New Roman" w:eastAsiaTheme="minorEastAsia"/>
                <w:color w:val="000000"/>
                <w:szCs w:val="21"/>
              </w:rPr>
              <w:t xml:space="preserve">双面书柜</w:t>
            </w:r>
            <w:r/>
          </w:p>
        </w:tc>
        <w:tc>
          <w:tcPr>
            <w:tcW w:w="2460" w:type="dxa"/>
            <w:vAlign w:val="center"/>
            <w:textDirection w:val="lrTb"/>
            <w:noWrap w:val="false"/>
          </w:tcPr>
          <w:p>
            <w:pPr>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rPr>
              <mc:AlternateContent>
                <mc:Choice Requires="wpg">
                  <w:drawing>
                    <wp:inline xmlns:wp="http://schemas.openxmlformats.org/drawingml/2006/wordprocessingDrawing" distT="0" distB="0" distL="0" distR="0">
                      <wp:extent cx="661035" cy="651510"/>
                      <wp:effectExtent l="0" t="0" r="5715" b="15240"/>
                      <wp:docPr id="166"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29"/>
                              <pic:cNvPicPr>
                                <a:picLocks noChangeAspect="1"/>
                              </pic:cNvPicPr>
                              <pic:nvPr/>
                            </pic:nvPicPr>
                            <pic:blipFill>
                              <a:blip r:embed="rId28"/>
                              <a:stretch/>
                            </pic:blipFill>
                            <pic:spPr bwMode="auto">
                              <a:xfrm>
                                <a:off x="0" y="0"/>
                                <a:ext cx="661035" cy="6515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width:52.0pt;height:51.3pt;mso-wrap-distance-left:0.0pt;mso-wrap-distance-top:0.0pt;mso-wrap-distance-right:0.0pt;mso-wrap-distance-bottom:0.0pt;" stroked="f" strokeweight="0.75pt">
                      <v:path textboxrect="0,0,0,0"/>
                      <v:imagedata r:id="rId28" o:title=""/>
                    </v:shape>
                  </w:pict>
                </mc:Fallback>
              </mc:AlternateContent>
            </w:r>
            <w:r/>
          </w:p>
        </w:tc>
        <w:tc>
          <w:tcPr>
            <w:tcW w:w="2475" w:type="dxa"/>
            <w:vAlign w:val="center"/>
            <w:textDirection w:val="lrTb"/>
            <w:noWrap w:val="false"/>
          </w:tcPr>
          <w:p>
            <w:pPr>
              <w:jc w:val="center"/>
              <w:rPr>
                <w:rFonts w:hint="default" w:ascii="Times New Roman" w:hAnsi="Times New Roman" w:cs="Times New Roman" w:eastAsiaTheme="minorEastAsia"/>
                <w:szCs w:val="21"/>
              </w:rPr>
            </w:pPr>
            <w:r>
              <w:rPr>
                <w:rFonts w:hint="default" w:ascii="Times New Roman" w:hAnsi="Times New Roman" w:cs="Times New Roman" w:eastAsiaTheme="minorEastAsia"/>
                <w:color w:val="000000"/>
                <w:szCs w:val="21"/>
              </w:rPr>
              <w:t xml:space="preserve">2000*600*2200</w:t>
            </w:r>
            <w:r/>
          </w:p>
        </w:tc>
        <w:tc>
          <w:tcPr>
            <w:tcW w:w="1050" w:type="dxa"/>
            <w:vAlign w:val="center"/>
            <w:textDirection w:val="lrTb"/>
            <w:noWrap w:val="false"/>
          </w:tcPr>
          <w:p>
            <w:pPr>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1</w:t>
            </w:r>
            <w:r/>
          </w:p>
        </w:tc>
      </w:tr>
      <w:tr>
        <w:trPr>
          <w:jc w:val="center"/>
        </w:trPr>
        <w:tc>
          <w:tcPr>
            <w:tcW w:w="765" w:type="dxa"/>
            <w:vAlign w:val="center"/>
            <w:textDirection w:val="lrTb"/>
            <w:noWrap w:val="false"/>
          </w:tcPr>
          <w:p>
            <w:pPr>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9</w:t>
            </w:r>
            <w:r/>
          </w:p>
        </w:tc>
        <w:tc>
          <w:tcPr>
            <w:tcW w:w="2130" w:type="dxa"/>
            <w:vAlign w:val="center"/>
            <w:textDirection w:val="lrTb"/>
            <w:noWrap w:val="false"/>
          </w:tcPr>
          <w:p>
            <w:pPr>
              <w:jc w:val="center"/>
              <w:widowControl/>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w:t xml:space="preserve">博古架</w:t>
            </w:r>
            <w:r/>
          </w:p>
        </w:tc>
        <w:tc>
          <w:tcPr>
            <w:tcW w:w="2460" w:type="dxa"/>
            <w:vAlign w:val="center"/>
            <w:textDirection w:val="lrTb"/>
            <w:noWrap w:val="false"/>
          </w:tcPr>
          <w:p>
            <w:pPr>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rPr>
              <mc:AlternateContent>
                <mc:Choice Requires="wpg">
                  <w:drawing>
                    <wp:inline xmlns:wp="http://schemas.openxmlformats.org/drawingml/2006/wordprocessingDrawing" distT="0" distB="0" distL="0" distR="0">
                      <wp:extent cx="638175" cy="601980"/>
                      <wp:effectExtent l="0" t="0" r="9525" b="7620"/>
                      <wp:docPr id="167" name="ID_1D6F8FBA474B42EBBCA58B17452584CB" descr="Enscape_2024-04-07-19-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D_1D6F8FBA474B42EBBCA58B17452584CB" descr="Enscape_2024-04-07-19-21-38"/>
                              <pic:cNvPicPr>
                                <a:picLocks noChangeAspect="1"/>
                              </pic:cNvPicPr>
                              <pic:nvPr/>
                            </pic:nvPicPr>
                            <pic:blipFill>
                              <a:blip r:embed="rId29"/>
                              <a:srcRect l="24255" t="9109" r="31849" b="10444"/>
                              <a:stretch/>
                            </pic:blipFill>
                            <pic:spPr bwMode="auto">
                              <a:xfrm>
                                <a:off x="0" y="0"/>
                                <a:ext cx="638175" cy="6019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width:50.2pt;height:47.4pt;mso-wrap-distance-left:0.0pt;mso-wrap-distance-top:0.0pt;mso-wrap-distance-right:0.0pt;mso-wrap-distance-bottom:0.0pt;" stroked="f" strokeweight="0.75pt">
                      <v:path textboxrect="0,0,0,0"/>
                      <v:imagedata r:id="rId29" o:title=""/>
                    </v:shape>
                  </w:pict>
                </mc:Fallback>
              </mc:AlternateContent>
            </w:r>
            <w:r/>
          </w:p>
        </w:tc>
        <w:tc>
          <w:tcPr>
            <w:tcW w:w="2475" w:type="dxa"/>
            <w:vAlign w:val="center"/>
            <w:textDirection w:val="lrTb"/>
            <w:noWrap w:val="false"/>
          </w:tcPr>
          <w:p>
            <w:pPr>
              <w:jc w:val="center"/>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w:t xml:space="preserve">2200*500*2200</w:t>
            </w:r>
            <w:r/>
          </w:p>
        </w:tc>
        <w:tc>
          <w:tcPr>
            <w:tcW w:w="1050" w:type="dxa"/>
            <w:vAlign w:val="center"/>
            <w:textDirection w:val="lrTb"/>
            <w:noWrap w:val="false"/>
          </w:tcPr>
          <w:p>
            <w:pPr>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4</w:t>
            </w:r>
            <w:r/>
          </w:p>
        </w:tc>
      </w:tr>
      <w:tr>
        <w:trPr>
          <w:jc w:val="center"/>
        </w:trPr>
        <w:tc>
          <w:tcPr>
            <w:tcW w:w="765" w:type="dxa"/>
            <w:vAlign w:val="center"/>
            <w:textDirection w:val="lrTb"/>
            <w:noWrap w:val="false"/>
          </w:tcPr>
          <w:p>
            <w:pPr>
              <w:jc w:val="center"/>
              <w:rPr>
                <w:rFonts w:hint="default" w:ascii="Times New Roman" w:hAnsi="Times New Roman" w:cs="Times New Roman" w:eastAsiaTheme="minorEastAsia"/>
                <w:szCs w:val="21"/>
              </w:rPr>
            </w:pPr>
            <w:r>
              <w:rPr>
                <w:rFonts w:hint="default" w:ascii="Times New Roman" w:hAnsi="Times New Roman" w:cs="Times New Roman"/>
                <w:szCs w:val="21"/>
              </w:rPr>
              <w:t xml:space="preserve">10</w:t>
            </w:r>
            <w:r/>
          </w:p>
        </w:tc>
        <w:tc>
          <w:tcPr>
            <w:tcW w:w="2130" w:type="dxa"/>
            <w:vAlign w:val="center"/>
            <w:textDirection w:val="lrTb"/>
            <w:noWrap w:val="false"/>
          </w:tcPr>
          <w:p>
            <w:pPr>
              <w:jc w:val="center"/>
              <w:widowControl/>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w:t xml:space="preserve">　</w:t>
            </w:r>
            <w:r/>
          </w:p>
          <w:p>
            <w:pPr>
              <w:jc w:val="center"/>
              <w:widowControl/>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w:t xml:space="preserve">椅子</w:t>
            </w:r>
            <w:r/>
          </w:p>
          <w:p>
            <w:pPr>
              <w:jc w:val="center"/>
              <w:widowControl/>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w:r>
            <w:r/>
          </w:p>
        </w:tc>
        <w:tc>
          <w:tcPr>
            <w:tcW w:w="2460" w:type="dxa"/>
            <w:vAlign w:val="center"/>
            <w:textDirection w:val="lrTb"/>
            <w:noWrap w:val="false"/>
          </w:tcPr>
          <w:p>
            <w:pPr>
              <w:jc w:val="center"/>
              <w:rPr>
                <w:rFonts w:hint="default" w:ascii="Times New Roman" w:hAnsi="Times New Roman" w:cs="Times New Roman" w:eastAsiaTheme="minorEastAsia"/>
                <w:szCs w:val="21"/>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505460" cy="711835"/>
                      <wp:effectExtent l="0" t="0" r="8890" b="12065"/>
                      <wp:docPr id="168"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42"/>
                              <pic:cNvPicPr>
                                <a:picLocks noChangeAspect="1"/>
                              </pic:cNvPicPr>
                              <pic:nvPr/>
                            </pic:nvPicPr>
                            <pic:blipFill>
                              <a:blip r:embed="rId40"/>
                              <a:stretch/>
                            </pic:blipFill>
                            <pic:spPr bwMode="auto">
                              <a:xfrm>
                                <a:off x="0" y="0"/>
                                <a:ext cx="505460" cy="7118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width:39.8pt;height:56.0pt;mso-wrap-distance-left:0.0pt;mso-wrap-distance-top:0.0pt;mso-wrap-distance-right:0.0pt;mso-wrap-distance-bottom:0.0pt;" stroked="f" strokeweight="0.75pt">
                      <v:path textboxrect="0,0,0,0"/>
                      <v:imagedata r:id="rId40" o:title=""/>
                    </v:shape>
                  </w:pict>
                </mc:Fallback>
              </mc:AlternateContent>
            </w:r>
            <w:r/>
          </w:p>
        </w:tc>
        <w:tc>
          <w:tcPr>
            <w:tcW w:w="2475" w:type="dxa"/>
            <w:vAlign w:val="center"/>
            <w:textDirection w:val="lrTb"/>
            <w:noWrap w:val="false"/>
          </w:tcPr>
          <w:p>
            <w:pPr>
              <w:jc w:val="center"/>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w:t xml:space="preserve">645*560*（970-1060）</w:t>
            </w:r>
            <w:r/>
          </w:p>
        </w:tc>
        <w:tc>
          <w:tcPr>
            <w:tcW w:w="1050" w:type="dxa"/>
            <w:vAlign w:val="center"/>
            <w:textDirection w:val="lrTb"/>
            <w:noWrap w:val="false"/>
          </w:tcPr>
          <w:p>
            <w:pPr>
              <w:jc w:val="center"/>
              <w:rPr>
                <w:rFonts w:hint="default" w:ascii="Times New Roman" w:hAnsi="Times New Roman" w:cs="Times New Roman" w:eastAsiaTheme="minorEastAsia"/>
                <w:szCs w:val="21"/>
              </w:rPr>
            </w:pPr>
            <w:r>
              <w:rPr>
                <w:rFonts w:hint="default" w:ascii="Times New Roman" w:hAnsi="Times New Roman" w:cs="Times New Roman"/>
                <w:szCs w:val="21"/>
              </w:rPr>
              <w:t xml:space="preserve">2</w:t>
            </w:r>
            <w:r/>
          </w:p>
        </w:tc>
      </w:tr>
      <w:tr>
        <w:trPr>
          <w:jc w:val="center"/>
        </w:trPr>
        <w:tc>
          <w:tcPr>
            <w:tcW w:w="765"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11</w:t>
            </w:r>
            <w:r/>
          </w:p>
        </w:tc>
        <w:tc>
          <w:tcPr>
            <w:tcW w:w="2130" w:type="dxa"/>
            <w:vAlign w:val="center"/>
            <w:textDirection w:val="lrTb"/>
            <w:noWrap w:val="false"/>
          </w:tcPr>
          <w:p>
            <w:pPr>
              <w:jc w:val="center"/>
              <w:widowControl/>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w:t xml:space="preserve">休闲椅</w:t>
            </w:r>
            <w:r/>
          </w:p>
        </w:tc>
        <w:tc>
          <w:tcPr>
            <w:tcW w:w="2460" w:type="dxa"/>
            <w:vAlign w:val="center"/>
            <w:textDirection w:val="lrTb"/>
            <w:noWrap w:val="false"/>
          </w:tcPr>
          <w:p>
            <w:pPr>
              <w:jc w:val="center"/>
              <w:rPr>
                <w:rFonts w:hint="default" w:ascii="Times New Roman" w:hAnsi="Times New Roman" w:cs="Times New Roman" w:eastAsiaTheme="minorEastAsia"/>
                <w:szCs w:val="21"/>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684530" cy="713105"/>
                      <wp:effectExtent l="0" t="0" r="1270" b="10795"/>
                      <wp:docPr id="169" name="图片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124"/>
                              <pic:cNvPicPr>
                                <a:picLocks noChangeAspect="1"/>
                              </pic:cNvPicPr>
                              <pic:nvPr/>
                            </pic:nvPicPr>
                            <pic:blipFill>
                              <a:blip r:embed="rId25"/>
                              <a:stretch/>
                            </pic:blipFill>
                            <pic:spPr bwMode="auto">
                              <a:xfrm>
                                <a:off x="0" y="0"/>
                                <a:ext cx="684530" cy="7131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width:53.9pt;height:56.1pt;mso-wrap-distance-left:0.0pt;mso-wrap-distance-top:0.0pt;mso-wrap-distance-right:0.0pt;mso-wrap-distance-bottom:0.0pt;" stroked="f" strokeweight="0.75pt">
                      <v:path textboxrect="0,0,0,0"/>
                      <v:imagedata r:id="rId25" o:title=""/>
                    </v:shape>
                  </w:pict>
                </mc:Fallback>
              </mc:AlternateContent>
            </w:r>
            <w:r/>
          </w:p>
        </w:tc>
        <w:tc>
          <w:tcPr>
            <w:tcW w:w="2475" w:type="dxa"/>
            <w:vAlign w:val="center"/>
            <w:textDirection w:val="lrTb"/>
            <w:noWrap w:val="false"/>
          </w:tcPr>
          <w:p>
            <w:pPr>
              <w:jc w:val="center"/>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w:t xml:space="preserve">中背</w:t>
            </w:r>
            <w:r/>
          </w:p>
          <w:p>
            <w:pPr>
              <w:jc w:val="center"/>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w:t xml:space="preserve">600*610*825mm</w:t>
            </w:r>
            <w:r/>
          </w:p>
        </w:tc>
        <w:tc>
          <w:tcPr>
            <w:tcW w:w="1050" w:type="dxa"/>
            <w:vAlign w:val="center"/>
            <w:textDirection w:val="lrTb"/>
            <w:noWrap w:val="false"/>
          </w:tcPr>
          <w:p>
            <w:pPr>
              <w:jc w:val="center"/>
              <w:rPr>
                <w:rFonts w:hint="default" w:ascii="Times New Roman" w:hAnsi="Times New Roman" w:cs="Times New Roman" w:eastAsiaTheme="minorEastAsia"/>
                <w:szCs w:val="21"/>
              </w:rPr>
            </w:pPr>
            <w:r>
              <w:rPr>
                <w:rFonts w:hint="default" w:ascii="Times New Roman" w:hAnsi="Times New Roman" w:cs="Times New Roman"/>
                <w:szCs w:val="21"/>
              </w:rPr>
              <w:t xml:space="preserve">2</w:t>
            </w:r>
            <w:r/>
          </w:p>
        </w:tc>
      </w:tr>
    </w:tbl>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t xml:space="preserve">唯亭街道区域性养老服务中心护理楼三人间</w:t>
      </w:r>
      <w:r/>
    </w:p>
    <w:p>
      <w:pPr>
        <w:rPr>
          <w:rFonts w:hint="default" w:ascii="Times New Roman" w:hAnsi="Times New Roman" w:cs="Times New Roman"/>
        </w:rPr>
      </w:pPr>
      <w:r>
        <w:rPr>
          <w:rFonts w:hint="default" w:ascii="Times New Roman" w:hAnsi="Times New Roman" w:cs="Times New Roman"/>
        </w:rPr>
        <mc:AlternateContent>
          <mc:Choice Requires="wpg">
            <w:drawing>
              <wp:inline xmlns:wp="http://schemas.openxmlformats.org/drawingml/2006/wordprocessingDrawing" distT="0" distB="0" distL="0" distR="0">
                <wp:extent cx="6638925" cy="3342640"/>
                <wp:effectExtent l="0" t="0" r="9525" b="10160"/>
                <wp:docPr id="170" name="图片 125" descr="cd33265d0356cb102edc8d76091fc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125" descr="cd33265d0356cb102edc8d76091fcda"/>
                        <pic:cNvPicPr>
                          <a:picLocks noChangeAspect="1"/>
                        </pic:cNvPicPr>
                        <pic:nvPr/>
                      </pic:nvPicPr>
                      <pic:blipFill>
                        <a:blip r:embed="rId85"/>
                        <a:stretch/>
                      </pic:blipFill>
                      <pic:spPr bwMode="auto">
                        <a:xfrm>
                          <a:off x="0" y="0"/>
                          <a:ext cx="6638925" cy="33426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width:522.8pt;height:263.2pt;mso-wrap-distance-left:0.0pt;mso-wrap-distance-top:0.0pt;mso-wrap-distance-right:0.0pt;mso-wrap-distance-bottom:0.0pt;" stroked="false">
                <v:path textboxrect="0,0,0,0"/>
                <v:imagedata r:id="rId85" o:title=""/>
              </v:shape>
            </w:pict>
          </mc:Fallback>
        </mc:AlternateContent>
      </w:r>
      <w:r/>
    </w:p>
    <w:p>
      <w:pPr>
        <w:rPr>
          <w:rFonts w:hint="default" w:ascii="Times New Roman" w:hAnsi="Times New Roman" w:cs="Times New Roman"/>
        </w:rPr>
      </w:pPr>
      <w:r>
        <w:rPr>
          <w:rFonts w:hint="default" w:ascii="Times New Roman" w:hAnsi="Times New Roman" w:cs="Times New Roman"/>
        </w:rPr>
      </w:r>
      <w:r/>
    </w:p>
    <w:tbl>
      <w:tblPr>
        <w:tblStyle w:val="9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2130"/>
        <w:gridCol w:w="2460"/>
        <w:gridCol w:w="2475"/>
        <w:gridCol w:w="1050"/>
      </w:tblGrid>
      <w:tr>
        <w:trPr>
          <w:jc w:val="center"/>
          <w:trHeight w:val="442"/>
        </w:trPr>
        <w:tc>
          <w:tcPr>
            <w:tcW w:w="765" w:type="dxa"/>
            <w:vAlign w:val="center"/>
            <w:textDirection w:val="lrTb"/>
            <w:noWrap w:val="false"/>
          </w:tcPr>
          <w:p>
            <w:pPr>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序号</w:t>
            </w:r>
            <w:r/>
          </w:p>
        </w:tc>
        <w:tc>
          <w:tcPr>
            <w:tcW w:w="2130" w:type="dxa"/>
            <w:vAlign w:val="center"/>
            <w:textDirection w:val="lrTb"/>
            <w:noWrap w:val="false"/>
          </w:tcPr>
          <w:p>
            <w:pPr>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名称</w:t>
            </w:r>
            <w:r/>
          </w:p>
        </w:tc>
        <w:tc>
          <w:tcPr>
            <w:tcW w:w="2460" w:type="dxa"/>
            <w:vAlign w:val="center"/>
            <w:textDirection w:val="lrTb"/>
            <w:noWrap w:val="false"/>
          </w:tcPr>
          <w:p>
            <w:pPr>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参考图片</w:t>
            </w:r>
            <w:r/>
          </w:p>
        </w:tc>
        <w:tc>
          <w:tcPr>
            <w:tcW w:w="2475" w:type="dxa"/>
            <w:vAlign w:val="center"/>
            <w:textDirection w:val="lrTb"/>
            <w:noWrap w:val="false"/>
          </w:tcPr>
          <w:p>
            <w:pPr>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规格</w:t>
            </w:r>
            <w:r/>
          </w:p>
        </w:tc>
        <w:tc>
          <w:tcPr>
            <w:tcW w:w="1050" w:type="dxa"/>
            <w:vAlign w:val="center"/>
            <w:textDirection w:val="lrTb"/>
            <w:noWrap w:val="false"/>
          </w:tcPr>
          <w:p>
            <w:pPr>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数量</w:t>
            </w:r>
            <w:r/>
          </w:p>
        </w:tc>
      </w:tr>
      <w:tr>
        <w:trPr>
          <w:jc w:val="center"/>
          <w:trHeight w:val="1482"/>
        </w:trPr>
        <w:tc>
          <w:tcPr>
            <w:tcW w:w="765" w:type="dxa"/>
            <w:vAlign w:val="center"/>
            <w:textDirection w:val="lrTb"/>
            <w:noWrap w:val="false"/>
          </w:tcPr>
          <w:p>
            <w:pPr>
              <w:jc w:val="center"/>
              <w:widowControl/>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w:t xml:space="preserve">1</w:t>
            </w:r>
            <w:r/>
          </w:p>
        </w:tc>
        <w:tc>
          <w:tcPr>
            <w:tcW w:w="2130" w:type="dxa"/>
            <w:vAlign w:val="center"/>
            <w:textDirection w:val="lrTb"/>
            <w:noWrap w:val="false"/>
          </w:tcPr>
          <w:p>
            <w:pPr>
              <w:jc w:val="center"/>
              <w:widowControl/>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w:t xml:space="preserve">适老床（含床垫）</w:t>
            </w:r>
            <w:r/>
          </w:p>
        </w:tc>
        <w:tc>
          <w:tcPr>
            <w:tcW w:w="2460" w:type="dxa"/>
            <w:vAlign w:val="center"/>
            <w:textDirection w:val="lrTb"/>
            <w:noWrap w:val="false"/>
          </w:tcPr>
          <w:p>
            <w:pPr>
              <w:jc w:val="center"/>
              <w:rPr>
                <w:rFonts w:hint="default" w:ascii="Times New Roman" w:hAnsi="Times New Roman" w:cs="Times New Roman" w:eastAsiaTheme="minorEastAsia"/>
                <w:szCs w:val="21"/>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890905" cy="673735"/>
                      <wp:effectExtent l="0" t="0" r="4445" b="12065"/>
                      <wp:docPr id="17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2"/>
                              <pic:cNvPicPr>
                                <a:picLocks noChangeAspect="1"/>
                              </pic:cNvPicPr>
                              <pic:nvPr/>
                            </pic:nvPicPr>
                            <pic:blipFill>
                              <a:blip r:embed="rId14"/>
                              <a:stretch/>
                            </pic:blipFill>
                            <pic:spPr bwMode="auto">
                              <a:xfrm>
                                <a:off x="0" y="0"/>
                                <a:ext cx="890905" cy="6737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width:70.1pt;height:53.0pt;mso-wrap-distance-left:0.0pt;mso-wrap-distance-top:0.0pt;mso-wrap-distance-right:0.0pt;mso-wrap-distance-bottom:0.0pt;" stroked="f" strokeweight="0.75pt">
                      <v:path textboxrect="0,0,0,0"/>
                      <v:imagedata r:id="rId14" o:title=""/>
                    </v:shape>
                  </w:pict>
                </mc:Fallback>
              </mc:AlternateContent>
            </w:r>
            <w:r/>
          </w:p>
        </w:tc>
        <w:tc>
          <w:tcPr>
            <w:tcW w:w="2475" w:type="dxa"/>
            <w:vAlign w:val="center"/>
            <w:textDirection w:val="lrTb"/>
            <w:noWrap w:val="false"/>
          </w:tcPr>
          <w:p>
            <w:pPr>
              <w:jc w:val="center"/>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w:t xml:space="preserve">2030*1800*1100</w:t>
            </w:r>
            <w:r/>
          </w:p>
        </w:tc>
        <w:tc>
          <w:tcPr>
            <w:tcW w:w="1050" w:type="dxa"/>
            <w:vAlign w:val="center"/>
            <w:textDirection w:val="lrTb"/>
            <w:noWrap w:val="false"/>
          </w:tcPr>
          <w:p>
            <w:pPr>
              <w:jc w:val="center"/>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w:t xml:space="preserve">1</w:t>
            </w:r>
            <w:r/>
          </w:p>
        </w:tc>
      </w:tr>
      <w:tr>
        <w:trPr>
          <w:jc w:val="center"/>
        </w:trPr>
        <w:tc>
          <w:tcPr>
            <w:tcW w:w="765" w:type="dxa"/>
            <w:vAlign w:val="center"/>
            <w:textDirection w:val="lrTb"/>
            <w:noWrap w:val="false"/>
          </w:tcPr>
          <w:p>
            <w:pPr>
              <w:jc w:val="center"/>
              <w:widowControl/>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w:t xml:space="preserve">2</w:t>
            </w:r>
            <w:r/>
          </w:p>
        </w:tc>
        <w:tc>
          <w:tcPr>
            <w:tcW w:w="2130" w:type="dxa"/>
            <w:vAlign w:val="center"/>
            <w:textDirection w:val="lrTb"/>
            <w:noWrap w:val="false"/>
          </w:tcPr>
          <w:p>
            <w:pPr>
              <w:jc w:val="center"/>
              <w:widowControl/>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w:t xml:space="preserve">适老床头柜</w:t>
            </w:r>
            <w:r/>
          </w:p>
        </w:tc>
        <w:tc>
          <w:tcPr>
            <w:tcW w:w="2460" w:type="dxa"/>
            <w:vAlign w:val="center"/>
            <w:textDirection w:val="lrTb"/>
            <w:noWrap w:val="false"/>
          </w:tcPr>
          <w:p>
            <w:pPr>
              <w:jc w:val="center"/>
              <w:rPr>
                <w:rFonts w:hint="default" w:ascii="Times New Roman" w:hAnsi="Times New Roman" w:cs="Times New Roman" w:eastAsiaTheme="minorEastAsia"/>
                <w:szCs w:val="21"/>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748665" cy="848995"/>
                      <wp:effectExtent l="0" t="0" r="13335" b="8255"/>
                      <wp:docPr id="172" name="ID_0DC8067FBDA24EC79613AF9EA9779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D_0DC8067FBDA24EC79613AF9EA9779499"/>
                              <pic:cNvPicPr>
                                <a:picLocks noChangeAspect="1"/>
                              </pic:cNvPicPr>
                              <pic:nvPr/>
                            </pic:nvPicPr>
                            <pic:blipFill>
                              <a:blip r:embed="rId15"/>
                              <a:stretch/>
                            </pic:blipFill>
                            <pic:spPr bwMode="auto">
                              <a:xfrm flipH="1">
                                <a:off x="0" y="0"/>
                                <a:ext cx="748665" cy="8489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width:58.9pt;height:66.8pt;mso-wrap-distance-left:0.0pt;mso-wrap-distance-top:0.0pt;mso-wrap-distance-right:0.0pt;mso-wrap-distance-bottom:0.0pt;flip:x;" stroked="f" strokeweight="0.75pt">
                      <v:path textboxrect="0,0,0,0"/>
                      <v:imagedata r:id="rId15" o:title=""/>
                    </v:shape>
                  </w:pict>
                </mc:Fallback>
              </mc:AlternateContent>
            </w:r>
            <w:r/>
          </w:p>
        </w:tc>
        <w:tc>
          <w:tcPr>
            <w:tcW w:w="2475" w:type="dxa"/>
            <w:vAlign w:val="center"/>
            <w:textDirection w:val="lrTb"/>
            <w:noWrap w:val="false"/>
          </w:tcPr>
          <w:p>
            <w:pPr>
              <w:jc w:val="center"/>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w:t xml:space="preserve">420*400*600</w:t>
            </w:r>
            <w:r/>
          </w:p>
        </w:tc>
        <w:tc>
          <w:tcPr>
            <w:tcW w:w="1050" w:type="dxa"/>
            <w:vAlign w:val="center"/>
            <w:textDirection w:val="lrTb"/>
            <w:noWrap w:val="false"/>
          </w:tcPr>
          <w:p>
            <w:pPr>
              <w:jc w:val="center"/>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w:t xml:space="preserve">2</w:t>
            </w:r>
            <w:r/>
          </w:p>
        </w:tc>
      </w:tr>
      <w:tr>
        <w:trPr>
          <w:jc w:val="center"/>
        </w:trPr>
        <w:tc>
          <w:tcPr>
            <w:tcW w:w="765" w:type="dxa"/>
            <w:vAlign w:val="center"/>
            <w:textDirection w:val="lrTb"/>
            <w:noWrap w:val="false"/>
          </w:tcPr>
          <w:p>
            <w:pPr>
              <w:jc w:val="center"/>
              <w:widowControl/>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w:t xml:space="preserve">3</w:t>
            </w:r>
            <w:r/>
          </w:p>
        </w:tc>
        <w:tc>
          <w:tcPr>
            <w:tcW w:w="2130" w:type="dxa"/>
            <w:vAlign w:val="center"/>
            <w:textDirection w:val="lrTb"/>
            <w:noWrap w:val="false"/>
          </w:tcPr>
          <w:p>
            <w:pPr>
              <w:jc w:val="center"/>
              <w:widowControl/>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w:t xml:space="preserve">电视柜</w:t>
            </w:r>
            <w:r/>
          </w:p>
        </w:tc>
        <w:tc>
          <w:tcPr>
            <w:tcW w:w="2460" w:type="dxa"/>
            <w:vAlign w:val="center"/>
            <w:textDirection w:val="lrTb"/>
            <w:noWrap w:val="false"/>
          </w:tcPr>
          <w:p>
            <w:pPr>
              <w:jc w:val="center"/>
              <w:rPr>
                <w:rFonts w:hint="default" w:ascii="Times New Roman" w:hAnsi="Times New Roman" w:cs="Times New Roman" w:eastAsiaTheme="minorEastAsia"/>
                <w:szCs w:val="21"/>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773430" cy="713105"/>
                      <wp:effectExtent l="0" t="0" r="7620" b="10795"/>
                      <wp:docPr id="17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6"/>
                              <pic:cNvPicPr>
                                <a:picLocks noChangeAspect="1"/>
                              </pic:cNvPicPr>
                              <pic:nvPr/>
                            </pic:nvPicPr>
                            <pic:blipFill>
                              <a:blip r:embed="rId16"/>
                              <a:stretch/>
                            </pic:blipFill>
                            <pic:spPr bwMode="auto">
                              <a:xfrm>
                                <a:off x="0" y="0"/>
                                <a:ext cx="773430" cy="7131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width:60.9pt;height:56.1pt;mso-wrap-distance-left:0.0pt;mso-wrap-distance-top:0.0pt;mso-wrap-distance-right:0.0pt;mso-wrap-distance-bottom:0.0pt;" stroked="f" strokeweight="0.75pt">
                      <v:path textboxrect="0,0,0,0"/>
                      <v:imagedata r:id="rId16" o:title=""/>
                    </v:shape>
                  </w:pict>
                </mc:Fallback>
              </mc:AlternateContent>
            </w:r>
            <w:r/>
          </w:p>
        </w:tc>
        <w:tc>
          <w:tcPr>
            <w:tcW w:w="2475" w:type="dxa"/>
            <w:vAlign w:val="center"/>
            <w:textDirection w:val="lrTb"/>
            <w:noWrap w:val="false"/>
          </w:tcPr>
          <w:p>
            <w:pPr>
              <w:jc w:val="center"/>
              <w:widowControl/>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w:t xml:space="preserve">1800*500*800</w:t>
            </w:r>
            <w:r/>
          </w:p>
        </w:tc>
        <w:tc>
          <w:tcPr>
            <w:tcW w:w="1050" w:type="dxa"/>
            <w:vAlign w:val="center"/>
            <w:textDirection w:val="lrTb"/>
            <w:noWrap w:val="false"/>
          </w:tcPr>
          <w:p>
            <w:pPr>
              <w:jc w:val="center"/>
              <w:widowControl/>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w:t xml:space="preserve">1</w:t>
            </w:r>
            <w:r/>
          </w:p>
        </w:tc>
      </w:tr>
      <w:tr>
        <w:trPr>
          <w:jc w:val="center"/>
          <w:trHeight w:val="1441"/>
        </w:trPr>
        <w:tc>
          <w:tcPr>
            <w:tcW w:w="765" w:type="dxa"/>
            <w:vAlign w:val="center"/>
            <w:textDirection w:val="lrTb"/>
            <w:noWrap w:val="false"/>
          </w:tcPr>
          <w:p>
            <w:pPr>
              <w:jc w:val="center"/>
              <w:widowControl/>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w:t xml:space="preserve">4</w:t>
            </w:r>
            <w:r/>
          </w:p>
        </w:tc>
        <w:tc>
          <w:tcPr>
            <w:tcW w:w="2130" w:type="dxa"/>
            <w:vAlign w:val="center"/>
            <w:textDirection w:val="lrTb"/>
            <w:noWrap w:val="false"/>
          </w:tcPr>
          <w:p>
            <w:pPr>
              <w:jc w:val="center"/>
              <w:widowControl/>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w:t xml:space="preserve">休闲沙发（单人位）</w:t>
            </w:r>
            <w:r/>
          </w:p>
        </w:tc>
        <w:tc>
          <w:tcPr>
            <w:tcW w:w="2460" w:type="dxa"/>
            <w:vAlign w:val="center"/>
            <w:textDirection w:val="lrTb"/>
            <w:noWrap w:val="false"/>
          </w:tcPr>
          <w:p>
            <w:pPr>
              <w:jc w:val="center"/>
              <w:rPr>
                <w:rFonts w:hint="default" w:ascii="Times New Roman" w:hAnsi="Times New Roman" w:cs="Times New Roman" w:eastAsiaTheme="minorEastAsia"/>
                <w:szCs w:val="21"/>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802005" cy="565785"/>
                      <wp:effectExtent l="0" t="0" r="17145" b="5715"/>
                      <wp:docPr id="174" name="ID_5639BF3C808349A78391FB8C3A1990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D_5639BF3C808349A78391FB8C3A1990F0"/>
                              <pic:cNvPicPr>
                                <a:picLocks noChangeAspect="1"/>
                              </pic:cNvPicPr>
                              <pic:nvPr/>
                            </pic:nvPicPr>
                            <pic:blipFill>
                              <a:blip r:embed="rId18"/>
                              <a:stretch/>
                            </pic:blipFill>
                            <pic:spPr bwMode="auto">
                              <a:xfrm>
                                <a:off x="0" y="0"/>
                                <a:ext cx="802005" cy="5657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width:63.1pt;height:44.5pt;mso-wrap-distance-left:0.0pt;mso-wrap-distance-top:0.0pt;mso-wrap-distance-right:0.0pt;mso-wrap-distance-bottom:0.0pt;" stroked="f" strokeweight="0.75pt">
                      <v:path textboxrect="0,0,0,0"/>
                      <v:imagedata r:id="rId18" o:title=""/>
                    </v:shape>
                  </w:pict>
                </mc:Fallback>
              </mc:AlternateContent>
            </w:r>
            <w:r/>
          </w:p>
        </w:tc>
        <w:tc>
          <w:tcPr>
            <w:tcW w:w="2475" w:type="dxa"/>
            <w:vAlign w:val="center"/>
            <w:textDirection w:val="lrTb"/>
            <w:noWrap w:val="false"/>
          </w:tcPr>
          <w:p>
            <w:pPr>
              <w:jc w:val="center"/>
              <w:widowControl/>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w:t xml:space="preserve">840*780*800</w:t>
            </w:r>
            <w:r/>
          </w:p>
        </w:tc>
        <w:tc>
          <w:tcPr>
            <w:tcW w:w="1050" w:type="dxa"/>
            <w:vAlign w:val="center"/>
            <w:textDirection w:val="lrTb"/>
            <w:noWrap w:val="false"/>
          </w:tcPr>
          <w:p>
            <w:pPr>
              <w:jc w:val="center"/>
              <w:widowControl/>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w:t xml:space="preserve">2</w:t>
            </w:r>
            <w:r/>
          </w:p>
        </w:tc>
      </w:tr>
      <w:tr>
        <w:trPr>
          <w:jc w:val="center"/>
          <w:trHeight w:val="1398"/>
        </w:trPr>
        <w:tc>
          <w:tcPr>
            <w:tcW w:w="765" w:type="dxa"/>
            <w:vAlign w:val="center"/>
            <w:textDirection w:val="lrTb"/>
            <w:noWrap w:val="false"/>
          </w:tcPr>
          <w:p>
            <w:pPr>
              <w:jc w:val="center"/>
              <w:widowControl/>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w:t xml:space="preserve">5</w:t>
            </w:r>
            <w:r/>
          </w:p>
        </w:tc>
        <w:tc>
          <w:tcPr>
            <w:tcW w:w="2130" w:type="dxa"/>
            <w:vAlign w:val="center"/>
            <w:textDirection w:val="lrTb"/>
            <w:noWrap w:val="false"/>
          </w:tcPr>
          <w:p>
            <w:pPr>
              <w:jc w:val="center"/>
              <w:widowControl/>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w:t xml:space="preserve">圆形茶几</w:t>
            </w:r>
            <w:r/>
          </w:p>
        </w:tc>
        <w:tc>
          <w:tcPr>
            <w:tcW w:w="2460" w:type="dxa"/>
            <w:vAlign w:val="center"/>
            <w:textDirection w:val="lrTb"/>
            <w:noWrap w:val="false"/>
          </w:tcPr>
          <w:p>
            <w:pPr>
              <w:jc w:val="center"/>
              <w:rPr>
                <w:rFonts w:hint="default" w:ascii="Times New Roman" w:hAnsi="Times New Roman" w:cs="Times New Roman" w:eastAsiaTheme="minorEastAsia"/>
                <w:szCs w:val="21"/>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594995" cy="769620"/>
                      <wp:effectExtent l="0" t="0" r="14604" b="11430"/>
                      <wp:docPr id="175"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9"/>
                              <pic:cNvPicPr>
                                <a:picLocks noChangeAspect="1"/>
                              </pic:cNvPicPr>
                              <pic:nvPr/>
                            </pic:nvPicPr>
                            <pic:blipFill>
                              <a:blip r:embed="rId19"/>
                              <a:stretch/>
                            </pic:blipFill>
                            <pic:spPr bwMode="auto">
                              <a:xfrm>
                                <a:off x="0" y="0"/>
                                <a:ext cx="594995" cy="7696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width:46.8pt;height:60.6pt;mso-wrap-distance-left:0.0pt;mso-wrap-distance-top:0.0pt;mso-wrap-distance-right:0.0pt;mso-wrap-distance-bottom:0.0pt;" stroked="f" strokeweight="0.75pt">
                      <v:path textboxrect="0,0,0,0"/>
                      <v:imagedata r:id="rId19" o:title=""/>
                    </v:shape>
                  </w:pict>
                </mc:Fallback>
              </mc:AlternateContent>
            </w:r>
            <w:r/>
          </w:p>
        </w:tc>
        <w:tc>
          <w:tcPr>
            <w:tcW w:w="2475" w:type="dxa"/>
            <w:vAlign w:val="center"/>
            <w:textDirection w:val="lrTb"/>
            <w:noWrap w:val="false"/>
          </w:tcPr>
          <w:p>
            <w:pPr>
              <w:jc w:val="center"/>
              <w:widowControl/>
              <w:rPr>
                <w:rFonts w:hint="default" w:ascii="Times New Roman" w:hAnsi="Times New Roman" w:cs="Times New Roman" w:eastAsiaTheme="minorEastAsia"/>
                <w:color w:val="000000"/>
                <w:szCs w:val="21"/>
              </w:rPr>
            </w:pPr>
            <w:r>
              <w:rPr>
                <w:rFonts w:hint="default" w:ascii="Times New Roman" w:hAnsi="Times New Roman" w:cs="Times New Roman"/>
                <w:color w:val="000000"/>
                <w:sz w:val="18"/>
                <w:szCs w:val="18"/>
              </w:rPr>
              <w:t xml:space="preserve">φ</w:t>
            </w:r>
            <w:r>
              <w:rPr>
                <w:rFonts w:hint="default" w:ascii="Times New Roman" w:hAnsi="Times New Roman" w:cs="Times New Roman" w:eastAsiaTheme="minorEastAsia"/>
                <w:color w:val="000000"/>
                <w:szCs w:val="21"/>
              </w:rPr>
              <w:t xml:space="preserve">600*500</w:t>
            </w:r>
            <w:r/>
          </w:p>
        </w:tc>
        <w:tc>
          <w:tcPr>
            <w:tcW w:w="1050" w:type="dxa"/>
            <w:vAlign w:val="center"/>
            <w:textDirection w:val="lrTb"/>
            <w:noWrap w:val="false"/>
          </w:tcPr>
          <w:p>
            <w:pPr>
              <w:jc w:val="center"/>
              <w:widowControl/>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w:t xml:space="preserve">1</w:t>
            </w:r>
            <w:r/>
          </w:p>
        </w:tc>
      </w:tr>
    </w:tbl>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t xml:space="preserve">唯亭街道区域性养老服务中心养老楼单人间</w:t>
      </w:r>
      <w:r/>
    </w:p>
    <w:p>
      <w:pPr>
        <w:rPr>
          <w:rFonts w:hint="default" w:ascii="Times New Roman" w:hAnsi="Times New Roman" w:cs="Times New Roman"/>
        </w:rPr>
      </w:pPr>
      <w:r>
        <w:rPr>
          <w:rFonts w:hint="default" w:ascii="Times New Roman" w:hAnsi="Times New Roman" w:cs="Times New Roman"/>
        </w:rPr>
        <mc:AlternateContent>
          <mc:Choice Requires="wpg">
            <w:drawing>
              <wp:inline xmlns:wp="http://schemas.openxmlformats.org/drawingml/2006/wordprocessingDrawing" distT="0" distB="0" distL="0" distR="0">
                <wp:extent cx="6636385" cy="3164840"/>
                <wp:effectExtent l="0" t="0" r="12065" b="16510"/>
                <wp:docPr id="176" name="图片 131" descr="24fe1498e89576b4e9f9f156b6636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131" descr="24fe1498e89576b4e9f9f156b6636de"/>
                        <pic:cNvPicPr>
                          <a:picLocks noChangeAspect="1"/>
                        </pic:cNvPicPr>
                        <pic:nvPr/>
                      </pic:nvPicPr>
                      <pic:blipFill>
                        <a:blip r:embed="rId86"/>
                        <a:stretch/>
                      </pic:blipFill>
                      <pic:spPr bwMode="auto">
                        <a:xfrm>
                          <a:off x="0" y="0"/>
                          <a:ext cx="6636385" cy="31648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width:522.5pt;height:249.2pt;mso-wrap-distance-left:0.0pt;mso-wrap-distance-top:0.0pt;mso-wrap-distance-right:0.0pt;mso-wrap-distance-bottom:0.0pt;" stroked="false">
                <v:path textboxrect="0,0,0,0"/>
                <v:imagedata r:id="rId86" o:title=""/>
              </v:shape>
            </w:pict>
          </mc:Fallback>
        </mc:AlternateContent>
      </w:r>
      <w:r/>
    </w:p>
    <w:tbl>
      <w:tblPr>
        <w:tblStyle w:val="9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2130"/>
        <w:gridCol w:w="2460"/>
        <w:gridCol w:w="2475"/>
        <w:gridCol w:w="1050"/>
      </w:tblGrid>
      <w:tr>
        <w:trPr>
          <w:jc w:val="center"/>
          <w:trHeight w:val="442"/>
        </w:trPr>
        <w:tc>
          <w:tcPr>
            <w:tcW w:w="765" w:type="dxa"/>
            <w:vAlign w:val="center"/>
            <w:textDirection w:val="lrTb"/>
            <w:noWrap w:val="false"/>
          </w:tcPr>
          <w:p>
            <w:pPr>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序号</w:t>
            </w:r>
            <w:r/>
          </w:p>
        </w:tc>
        <w:tc>
          <w:tcPr>
            <w:tcW w:w="2130" w:type="dxa"/>
            <w:vAlign w:val="center"/>
            <w:textDirection w:val="lrTb"/>
            <w:noWrap w:val="false"/>
          </w:tcPr>
          <w:p>
            <w:pPr>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名称</w:t>
            </w:r>
            <w:r/>
          </w:p>
        </w:tc>
        <w:tc>
          <w:tcPr>
            <w:tcW w:w="2460" w:type="dxa"/>
            <w:vAlign w:val="center"/>
            <w:textDirection w:val="lrTb"/>
            <w:noWrap w:val="false"/>
          </w:tcPr>
          <w:p>
            <w:pPr>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参考图片</w:t>
            </w:r>
            <w:r/>
          </w:p>
        </w:tc>
        <w:tc>
          <w:tcPr>
            <w:tcW w:w="2475" w:type="dxa"/>
            <w:vAlign w:val="center"/>
            <w:textDirection w:val="lrTb"/>
            <w:noWrap w:val="false"/>
          </w:tcPr>
          <w:p>
            <w:pPr>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规格</w:t>
            </w:r>
            <w:r/>
          </w:p>
        </w:tc>
        <w:tc>
          <w:tcPr>
            <w:tcW w:w="1050" w:type="dxa"/>
            <w:vAlign w:val="center"/>
            <w:textDirection w:val="lrTb"/>
            <w:noWrap w:val="false"/>
          </w:tcPr>
          <w:p>
            <w:pPr>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 xml:space="preserve">数量</w:t>
            </w:r>
            <w:r/>
          </w:p>
        </w:tc>
      </w:tr>
      <w:tr>
        <w:trPr>
          <w:jc w:val="center"/>
          <w:trHeight w:val="1562"/>
        </w:trPr>
        <w:tc>
          <w:tcPr>
            <w:tcW w:w="765" w:type="dxa"/>
            <w:vAlign w:val="center"/>
            <w:textDirection w:val="lrTb"/>
            <w:noWrap w:val="false"/>
          </w:tcPr>
          <w:p>
            <w:pPr>
              <w:jc w:val="center"/>
              <w:widowControl/>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w:t xml:space="preserve">1</w:t>
            </w:r>
            <w:r/>
          </w:p>
        </w:tc>
        <w:tc>
          <w:tcPr>
            <w:tcW w:w="2130" w:type="dxa"/>
            <w:vAlign w:val="center"/>
            <w:textDirection w:val="lrTb"/>
            <w:noWrap w:val="false"/>
          </w:tcPr>
          <w:p>
            <w:pPr>
              <w:jc w:val="center"/>
              <w:widowControl/>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w:t xml:space="preserve">适老床（电动护理）</w:t>
            </w:r>
            <w:r/>
          </w:p>
        </w:tc>
        <w:tc>
          <w:tcPr>
            <w:tcW w:w="2460" w:type="dxa"/>
            <w:vAlign w:val="center"/>
            <w:textDirection w:val="lrTb"/>
            <w:noWrap w:val="false"/>
          </w:tcPr>
          <w:p>
            <w:pPr>
              <w:jc w:val="center"/>
              <w:rPr>
                <w:rFonts w:hint="default" w:ascii="Times New Roman" w:hAnsi="Times New Roman" w:cs="Times New Roman" w:eastAsiaTheme="minorEastAsia"/>
                <w:szCs w:val="21"/>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982345" cy="618490"/>
                      <wp:effectExtent l="0" t="0" r="8255" b="10160"/>
                      <wp:docPr id="177" name="ID_CF137005A1A640F485176EAF587A9B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D_CF137005A1A640F485176EAF587A9B39"/>
                              <pic:cNvPicPr>
                                <a:picLocks noChangeAspect="1"/>
                              </pic:cNvPicPr>
                              <pic:nvPr/>
                            </pic:nvPicPr>
                            <pic:blipFill>
                              <a:blip r:embed="rId54"/>
                              <a:stretch/>
                            </pic:blipFill>
                            <pic:spPr bwMode="auto">
                              <a:xfrm>
                                <a:off x="0" y="0"/>
                                <a:ext cx="982345" cy="6184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width:77.3pt;height:48.7pt;mso-wrap-distance-left:0.0pt;mso-wrap-distance-top:0.0pt;mso-wrap-distance-right:0.0pt;mso-wrap-distance-bottom:0.0pt;" stroked="f" strokeweight="0.75pt">
                      <v:path textboxrect="0,0,0,0"/>
                      <v:imagedata r:id="rId54" o:title=""/>
                    </v:shape>
                  </w:pict>
                </mc:Fallback>
              </mc:AlternateContent>
            </w:r>
            <w:r/>
          </w:p>
        </w:tc>
        <w:tc>
          <w:tcPr>
            <w:tcW w:w="2475" w:type="dxa"/>
            <w:vAlign w:val="center"/>
            <w:textDirection w:val="lrTb"/>
            <w:noWrap w:val="false"/>
          </w:tcPr>
          <w:p>
            <w:pPr>
              <w:jc w:val="center"/>
              <w:widowControl/>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w:t xml:space="preserve">2030*1100*1100</w:t>
            </w:r>
            <w:r/>
          </w:p>
        </w:tc>
        <w:tc>
          <w:tcPr>
            <w:tcW w:w="1050" w:type="dxa"/>
            <w:vAlign w:val="center"/>
            <w:textDirection w:val="lrTb"/>
            <w:noWrap w:val="false"/>
          </w:tcPr>
          <w:p>
            <w:pPr>
              <w:jc w:val="center"/>
              <w:widowControl/>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w:t xml:space="preserve">3</w:t>
            </w:r>
            <w:r/>
          </w:p>
        </w:tc>
      </w:tr>
      <w:tr>
        <w:trPr>
          <w:jc w:val="center"/>
          <w:trHeight w:val="1124"/>
        </w:trPr>
        <w:tc>
          <w:tcPr>
            <w:tcW w:w="765" w:type="dxa"/>
            <w:vAlign w:val="center"/>
            <w:textDirection w:val="lrTb"/>
            <w:noWrap w:val="false"/>
          </w:tcPr>
          <w:p>
            <w:pPr>
              <w:jc w:val="center"/>
              <w:widowControl/>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w:t xml:space="preserve">2</w:t>
            </w:r>
            <w:r/>
          </w:p>
        </w:tc>
        <w:tc>
          <w:tcPr>
            <w:tcW w:w="2130" w:type="dxa"/>
            <w:vAlign w:val="center"/>
            <w:textDirection w:val="lrTb"/>
            <w:noWrap w:val="false"/>
          </w:tcPr>
          <w:p>
            <w:pPr>
              <w:jc w:val="center"/>
              <w:widowControl/>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w:t xml:space="preserve">适老床头柜</w:t>
            </w:r>
            <w:r/>
          </w:p>
        </w:tc>
        <w:tc>
          <w:tcPr>
            <w:tcW w:w="2460" w:type="dxa"/>
            <w:vAlign w:val="center"/>
            <w:textDirection w:val="lrTb"/>
            <w:noWrap w:val="false"/>
          </w:tcPr>
          <w:p>
            <w:pPr>
              <w:jc w:val="center"/>
              <w:rPr>
                <w:rFonts w:hint="default" w:ascii="Times New Roman" w:hAnsi="Times New Roman" w:cs="Times New Roman" w:eastAsiaTheme="minorEastAsia"/>
                <w:szCs w:val="21"/>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748665" cy="848995"/>
                      <wp:effectExtent l="0" t="0" r="13335" b="8255"/>
                      <wp:docPr id="178" name="ID_0DC8067FBDA24EC79613AF9EA9779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D_0DC8067FBDA24EC79613AF9EA9779499"/>
                              <pic:cNvPicPr>
                                <a:picLocks noChangeAspect="1"/>
                              </pic:cNvPicPr>
                              <pic:nvPr/>
                            </pic:nvPicPr>
                            <pic:blipFill>
                              <a:blip r:embed="rId15"/>
                              <a:stretch/>
                            </pic:blipFill>
                            <pic:spPr bwMode="auto">
                              <a:xfrm flipH="1">
                                <a:off x="0" y="0"/>
                                <a:ext cx="748665" cy="8489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width:58.9pt;height:66.8pt;mso-wrap-distance-left:0.0pt;mso-wrap-distance-top:0.0pt;mso-wrap-distance-right:0.0pt;mso-wrap-distance-bottom:0.0pt;flip:x;" stroked="f" strokeweight="0.75pt">
                      <v:path textboxrect="0,0,0,0"/>
                      <v:imagedata r:id="rId15" o:title=""/>
                    </v:shape>
                  </w:pict>
                </mc:Fallback>
              </mc:AlternateContent>
            </w:r>
            <w:r/>
          </w:p>
        </w:tc>
        <w:tc>
          <w:tcPr>
            <w:tcW w:w="2475" w:type="dxa"/>
            <w:vAlign w:val="center"/>
            <w:textDirection w:val="lrTb"/>
            <w:noWrap w:val="false"/>
          </w:tcPr>
          <w:p>
            <w:pPr>
              <w:jc w:val="center"/>
              <w:widowControl/>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w:t xml:space="preserve">420*400*600</w:t>
            </w:r>
            <w:r/>
          </w:p>
        </w:tc>
        <w:tc>
          <w:tcPr>
            <w:tcW w:w="1050" w:type="dxa"/>
            <w:vAlign w:val="center"/>
            <w:textDirection w:val="lrTb"/>
            <w:noWrap w:val="false"/>
          </w:tcPr>
          <w:p>
            <w:pPr>
              <w:jc w:val="center"/>
              <w:widowControl/>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w:t xml:space="preserve">3</w:t>
            </w:r>
            <w:r/>
          </w:p>
        </w:tc>
      </w:tr>
    </w:tbl>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jc w:val="left"/>
        <w:rPr>
          <w:rFonts w:hint="default" w:ascii="Times New Roman" w:hAnsi="Times New Roman" w:cs="Times New Roman"/>
        </w:rPr>
      </w:pPr>
      <w:r>
        <w:rPr>
          <w:rFonts w:hint="default" w:ascii="Times New Roman" w:hAnsi="Times New Roman" w:cs="Times New Roman"/>
          <w:highlight w:val="none"/>
        </w:rPr>
      </w:r>
      <w:r>
        <w:rPr>
          <w:rFonts w:hint="default" w:ascii="Times New Roman" w:hAnsi="Times New Roman" w:cs="Times New Roman"/>
          <w:highlight w:val="none"/>
        </w:rPr>
      </w:r>
      <w:r/>
    </w:p>
    <w:p>
      <w:pPr>
        <w:jc w:val="left"/>
        <w:rPr>
          <w:rFonts w:hint="default" w:ascii="Times New Roman" w:hAnsi="Times New Roman" w:cs="Times New Roman"/>
          <w:highlight w:val="none"/>
        </w:rPr>
      </w:pPr>
      <w:r>
        <w:rPr>
          <w:rFonts w:hint="default" w:ascii="Times New Roman" w:hAnsi="Times New Roman" w:cs="Times New Roman"/>
          <w:highlight w:val="none"/>
        </w:rPr>
      </w:r>
      <w:r>
        <w:rPr>
          <w:rFonts w:hint="default" w:ascii="Times New Roman" w:hAnsi="Times New Roman" w:cs="Times New Roman"/>
          <w:highlight w:val="none"/>
        </w:rPr>
      </w:r>
      <w:r/>
    </w:p>
    <w:p>
      <w:pPr>
        <w:jc w:val="left"/>
        <w:rPr>
          <w:rFonts w:hint="default" w:ascii="Times New Roman" w:hAnsi="Times New Roman" w:cs="Times New Roman"/>
          <w:highlight w:val="none"/>
        </w:rPr>
      </w:pPr>
      <w:r>
        <w:rPr>
          <w:rFonts w:hint="default" w:ascii="Times New Roman" w:hAnsi="Times New Roman" w:cs="Times New Roman"/>
          <w:highlight w:val="none"/>
        </w:rPr>
      </w:r>
      <w:r>
        <w:rPr>
          <w:rFonts w:hint="default" w:ascii="Times New Roman" w:hAnsi="Times New Roman" w:cs="Times New Roman"/>
          <w:highlight w:val="none"/>
        </w:rPr>
      </w:r>
      <w:r/>
    </w:p>
    <w:p>
      <w:pPr>
        <w:jc w:val="left"/>
        <w:rPr>
          <w:rFonts w:hint="default" w:ascii="Times New Roman" w:hAnsi="Times New Roman" w:cs="Times New Roman"/>
          <w:highlight w:val="none"/>
        </w:rPr>
      </w:pPr>
      <w:r>
        <w:rPr>
          <w:rFonts w:hint="default" w:ascii="Times New Roman" w:hAnsi="Times New Roman" w:cs="Times New Roman"/>
          <w:highlight w:val="none"/>
        </w:rPr>
      </w:r>
      <w:r>
        <w:rPr>
          <w:rFonts w:hint="default" w:ascii="Times New Roman" w:hAnsi="Times New Roman" w:cs="Times New Roman"/>
          <w:highlight w:val="none"/>
        </w:rPr>
      </w:r>
      <w:r/>
    </w:p>
    <w:p>
      <w:pPr>
        <w:jc w:val="left"/>
        <w:rPr>
          <w:rFonts w:hint="default" w:ascii="Times New Roman" w:hAnsi="Times New Roman" w:cs="Times New Roman"/>
          <w:highlight w:val="none"/>
        </w:rPr>
      </w:pPr>
      <w:r>
        <w:rPr>
          <w:rFonts w:hint="default" w:ascii="Times New Roman" w:hAnsi="Times New Roman" w:cs="Times New Roman"/>
          <w:highlight w:val="none"/>
        </w:rPr>
      </w:r>
      <w:r>
        <w:rPr>
          <w:rFonts w:hint="default" w:ascii="Times New Roman" w:hAnsi="Times New Roman" w:cs="Times New Roman"/>
          <w:highlight w:val="none"/>
        </w:rPr>
      </w:r>
      <w:r/>
    </w:p>
    <w:p>
      <w:pPr>
        <w:jc w:val="left"/>
        <w:rPr>
          <w:rFonts w:hint="default" w:ascii="Times New Roman" w:hAnsi="Times New Roman" w:cs="Times New Roman"/>
          <w:highlight w:val="none"/>
        </w:rPr>
      </w:pPr>
      <w:r>
        <w:rPr>
          <w:rFonts w:hint="default" w:ascii="Times New Roman" w:hAnsi="Times New Roman" w:cs="Times New Roman"/>
          <w:highlight w:val="none"/>
        </w:rPr>
      </w:r>
      <w:r>
        <w:rPr>
          <w:rFonts w:hint="default" w:ascii="Times New Roman" w:hAnsi="Times New Roman" w:cs="Times New Roman"/>
          <w:highlight w:val="none"/>
        </w:rPr>
      </w:r>
      <w:r/>
    </w:p>
    <w:p>
      <w:pPr>
        <w:jc w:val="left"/>
        <w:rPr>
          <w:rFonts w:hint="default" w:ascii="Times New Roman" w:hAnsi="Times New Roman" w:cs="Times New Roman"/>
          <w:highlight w:val="none"/>
        </w:rPr>
      </w:pPr>
      <w:r>
        <w:rPr>
          <w:rFonts w:hint="default" w:ascii="Times New Roman" w:hAnsi="Times New Roman" w:cs="Times New Roman"/>
          <w:highlight w:val="none"/>
        </w:rPr>
      </w:r>
      <w:r>
        <w:rPr>
          <w:rFonts w:hint="default" w:ascii="Times New Roman" w:hAnsi="Times New Roman" w:cs="Times New Roman"/>
          <w:highlight w:val="none"/>
        </w:rPr>
      </w:r>
      <w:r/>
    </w:p>
    <w:p>
      <w:pPr>
        <w:jc w:val="left"/>
        <w:rPr>
          <w:rFonts w:hint="default" w:ascii="Times New Roman" w:hAnsi="Times New Roman" w:cs="Times New Roman"/>
          <w:highlight w:val="none"/>
        </w:rPr>
      </w:pPr>
      <w:r>
        <w:rPr>
          <w:rFonts w:hint="default" w:ascii="Times New Roman" w:hAnsi="Times New Roman" w:cs="Times New Roman"/>
          <w:highlight w:val="none"/>
        </w:rPr>
      </w:r>
      <w:r>
        <w:rPr>
          <w:rFonts w:hint="default" w:ascii="Times New Roman" w:hAnsi="Times New Roman" w:cs="Times New Roman"/>
          <w:highlight w:val="none"/>
        </w:rPr>
      </w:r>
      <w:r/>
    </w:p>
    <w:p>
      <w:pPr>
        <w:jc w:val="left"/>
        <w:rPr>
          <w:rFonts w:hint="default" w:ascii="Times New Roman" w:hAnsi="Times New Roman" w:cs="Times New Roman"/>
          <w:highlight w:val="none"/>
        </w:rPr>
      </w:pPr>
      <w:r>
        <w:rPr>
          <w:rFonts w:hint="default" w:ascii="Times New Roman" w:hAnsi="Times New Roman" w:cs="Times New Roman"/>
          <w:highlight w:val="none"/>
        </w:rPr>
      </w:r>
      <w:r>
        <w:rPr>
          <w:rFonts w:hint="default" w:ascii="Times New Roman" w:hAnsi="Times New Roman" w:cs="Times New Roman"/>
          <w:highlight w:val="none"/>
        </w:rPr>
      </w:r>
      <w:r/>
    </w:p>
    <w:p>
      <w:pPr>
        <w:jc w:val="left"/>
        <w:rPr>
          <w:rFonts w:hint="default" w:ascii="Times New Roman" w:hAnsi="Times New Roman" w:cs="Times New Roman"/>
          <w:highlight w:val="none"/>
        </w:rPr>
      </w:pPr>
      <w:r>
        <w:rPr>
          <w:rFonts w:hint="default" w:ascii="Times New Roman" w:hAnsi="Times New Roman" w:cs="Times New Roman"/>
          <w:highlight w:val="none"/>
        </w:rPr>
      </w:r>
      <w:r>
        <w:rPr>
          <w:rFonts w:hint="default" w:ascii="Times New Roman" w:hAnsi="Times New Roman" w:cs="Times New Roman"/>
          <w:highlight w:val="none"/>
        </w:rPr>
      </w:r>
      <w:r/>
    </w:p>
    <w:p>
      <w:pPr>
        <w:jc w:val="left"/>
        <w:rPr>
          <w:rFonts w:hint="default" w:ascii="Times New Roman" w:hAnsi="Times New Roman" w:cs="Times New Roman"/>
          <w:highlight w:val="none"/>
        </w:rPr>
      </w:pPr>
      <w:r>
        <w:rPr>
          <w:rFonts w:hint="default" w:ascii="Times New Roman" w:hAnsi="Times New Roman" w:cs="Times New Roman"/>
          <w:highlight w:val="none"/>
        </w:rPr>
      </w:r>
      <w:r>
        <w:rPr>
          <w:rFonts w:hint="default" w:ascii="Times New Roman" w:hAnsi="Times New Roman" w:cs="Times New Roman"/>
          <w:highlight w:val="none"/>
        </w:rPr>
      </w:r>
      <w:r/>
    </w:p>
    <w:p>
      <w:pPr>
        <w:jc w:val="left"/>
        <w:rPr>
          <w:rFonts w:hint="default" w:ascii="Times New Roman" w:hAnsi="Times New Roman" w:cs="Times New Roman"/>
          <w:highlight w:val="none"/>
        </w:rPr>
      </w:pPr>
      <w:r>
        <w:rPr>
          <w:rFonts w:hint="default" w:ascii="Times New Roman" w:hAnsi="Times New Roman" w:cs="Times New Roman"/>
          <w:highlight w:val="none"/>
        </w:rPr>
      </w:r>
      <w:r>
        <w:rPr>
          <w:rFonts w:hint="default" w:ascii="Times New Roman" w:hAnsi="Times New Roman" w:cs="Times New Roman"/>
          <w:highlight w:val="none"/>
        </w:rPr>
      </w:r>
      <w:r/>
    </w:p>
    <w:p>
      <w:pPr>
        <w:jc w:val="left"/>
        <w:rPr>
          <w:rFonts w:hint="default" w:ascii="Times New Roman" w:hAnsi="Times New Roman" w:cs="Times New Roman"/>
          <w:highlight w:val="none"/>
        </w:rPr>
      </w:pPr>
      <w:r>
        <w:rPr>
          <w:rFonts w:hint="default" w:ascii="Times New Roman" w:hAnsi="Times New Roman" w:cs="Times New Roman"/>
          <w:highlight w:val="none"/>
        </w:rPr>
      </w:r>
      <w:r>
        <w:rPr>
          <w:rFonts w:hint="default" w:ascii="Times New Roman" w:hAnsi="Times New Roman" w:cs="Times New Roman"/>
          <w:highlight w:val="none"/>
        </w:rPr>
      </w:r>
      <w:r/>
    </w:p>
    <w:p>
      <w:pPr>
        <w:jc w:val="left"/>
        <w:rPr>
          <w:rFonts w:hint="default" w:ascii="Times New Roman" w:hAnsi="Times New Roman" w:cs="Times New Roman"/>
          <w:highlight w:val="none"/>
        </w:rPr>
      </w:pPr>
      <w:r>
        <w:rPr>
          <w:rFonts w:hint="default" w:ascii="Times New Roman" w:hAnsi="Times New Roman" w:cs="Times New Roman"/>
          <w:highlight w:val="none"/>
        </w:rPr>
      </w:r>
      <w:r>
        <w:rPr>
          <w:rFonts w:hint="default" w:ascii="Times New Roman" w:hAnsi="Times New Roman" w:cs="Times New Roman"/>
          <w:highlight w:val="none"/>
        </w:rPr>
      </w:r>
      <w:r/>
    </w:p>
    <w:p>
      <w:pPr>
        <w:jc w:val="left"/>
        <w:rPr>
          <w:rFonts w:hint="default" w:ascii="Times New Roman" w:hAnsi="Times New Roman" w:cs="Times New Roman"/>
          <w:highlight w:val="none"/>
        </w:rPr>
      </w:pPr>
      <w:r>
        <w:rPr>
          <w:rFonts w:hint="default" w:ascii="Times New Roman" w:hAnsi="Times New Roman" w:cs="Times New Roman"/>
          <w:highlight w:val="none"/>
        </w:rPr>
      </w:r>
      <w:r>
        <w:rPr>
          <w:rFonts w:hint="default" w:ascii="Times New Roman" w:hAnsi="Times New Roman" w:cs="Times New Roman"/>
          <w:highlight w:val="none"/>
        </w:rPr>
      </w:r>
      <w:r/>
    </w:p>
    <w:p>
      <w:pPr>
        <w:jc w:val="left"/>
        <w:rPr>
          <w:rFonts w:hint="default" w:ascii="Times New Roman" w:hAnsi="Times New Roman" w:cs="Times New Roman"/>
          <w:highlight w:val="none"/>
        </w:rPr>
      </w:pPr>
      <w:r>
        <w:rPr>
          <w:rFonts w:hint="default" w:ascii="Times New Roman" w:hAnsi="Times New Roman" w:cs="Times New Roman"/>
        </w:rPr>
        <w:t xml:space="preserve">胜浦街道医养项目一楼大厅</w:t>
      </w:r>
      <w:r/>
    </w:p>
    <w:p>
      <w:pPr>
        <w:jc w:val="center"/>
        <w:rPr>
          <w:rFonts w:hint="default" w:ascii="Times New Roman" w:hAnsi="Times New Roman" w:cs="Times New Roman"/>
        </w:rPr>
      </w:pPr>
      <w:r>
        <w:rPr>
          <w:rFonts w:hint="default" w:ascii="Times New Roman" w:hAnsi="Times New Roman" w:cs="Times New Roman"/>
        </w:rPr>
        <mc:AlternateContent>
          <mc:Choice Requires="wpg">
            <w:drawing>
              <wp:inline xmlns:wp="http://schemas.openxmlformats.org/drawingml/2006/wordprocessingDrawing" distT="0" distB="0" distL="0" distR="0">
                <wp:extent cx="8968740" cy="3068320"/>
                <wp:effectExtent l="0" t="2540" r="1270" b="1270"/>
                <wp:docPr id="17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7" name="图片 2"/>
                        <pic:cNvPicPr>
                          <a:picLocks noChangeAspect="1"/>
                        </pic:cNvPicPr>
                        <pic:nvPr/>
                      </pic:nvPicPr>
                      <pic:blipFill>
                        <a:blip r:embed="rId87"/>
                        <a:stretch/>
                      </pic:blipFill>
                      <pic:spPr bwMode="auto">
                        <a:xfrm rot="16199998">
                          <a:off x="0" y="0"/>
                          <a:ext cx="9003250" cy="30800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width:706.2pt;height:241.6pt;mso-wrap-distance-left:0.0pt;mso-wrap-distance-top:0.0pt;mso-wrap-distance-right:0.0pt;mso-wrap-distance-bottom:0.0pt;rotation:269;" stroked="f">
                <v:path textboxrect="0,0,0,0"/>
                <v:imagedata r:id="rId87" o:title=""/>
              </v:shape>
            </w:pict>
          </mc:Fallback>
        </mc:AlternateContent>
      </w:r>
      <w:r/>
    </w:p>
    <w:p>
      <w:pPr>
        <w:jc w:val="left"/>
        <w:rPr>
          <w:rFonts w:hint="default" w:ascii="Times New Roman" w:hAnsi="Times New Roman" w:cs="Times New Roman"/>
        </w:rPr>
      </w:pPr>
      <w:r>
        <w:rPr>
          <w:rFonts w:hint="default" w:ascii="Times New Roman" w:hAnsi="Times New Roman" w:cs="Times New Roman"/>
        </w:rPr>
      </w:r>
      <w:r/>
    </w:p>
    <w:tbl>
      <w:tblPr>
        <w:tblStyle w:val="90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2130"/>
        <w:gridCol w:w="2460"/>
        <w:gridCol w:w="2475"/>
        <w:gridCol w:w="1050"/>
      </w:tblGrid>
      <w:tr>
        <w:trPr>
          <w:jc w:val="center"/>
          <w:trHeight w:val="442"/>
        </w:trPr>
        <w:tc>
          <w:tcPr>
            <w:tcW w:w="765" w:type="dxa"/>
            <w:vAlign w:val="center"/>
            <w:textDirection w:val="lrTb"/>
            <w:noWrap w:val="false"/>
          </w:tcPr>
          <w:p>
            <w:pPr>
              <w:jc w:val="center"/>
              <w:rPr>
                <w:rFonts w:hint="default" w:ascii="Times New Roman" w:hAnsi="Times New Roman" w:cs="Times New Roman"/>
                <w:sz w:val="18"/>
                <w:szCs w:val="18"/>
              </w:rPr>
            </w:pPr>
            <w:r>
              <w:rPr>
                <w:rFonts w:hint="default" w:ascii="Times New Roman" w:hAnsi="Times New Roman" w:cs="Times New Roman" w:eastAsiaTheme="minorEastAsia"/>
                <w:sz w:val="18"/>
                <w:szCs w:val="18"/>
              </w:rPr>
              <w:t xml:space="preserve">序号</w:t>
            </w:r>
            <w:r/>
          </w:p>
        </w:tc>
        <w:tc>
          <w:tcPr>
            <w:tcW w:w="2130" w:type="dxa"/>
            <w:vAlign w:val="center"/>
            <w:textDirection w:val="lrTb"/>
            <w:noWrap w:val="false"/>
          </w:tcPr>
          <w:p>
            <w:pPr>
              <w:jc w:val="center"/>
              <w:rPr>
                <w:rFonts w:hint="default" w:ascii="Times New Roman" w:hAnsi="Times New Roman" w:cs="Times New Roman"/>
                <w:sz w:val="18"/>
                <w:szCs w:val="18"/>
              </w:rPr>
            </w:pPr>
            <w:r>
              <w:rPr>
                <w:rFonts w:hint="default" w:ascii="Times New Roman" w:hAnsi="Times New Roman" w:cs="Times New Roman" w:eastAsiaTheme="minorEastAsia"/>
                <w:sz w:val="18"/>
                <w:szCs w:val="18"/>
              </w:rPr>
              <w:t xml:space="preserve">名称</w:t>
            </w:r>
            <w:r/>
          </w:p>
        </w:tc>
        <w:tc>
          <w:tcPr>
            <w:tcW w:w="2460" w:type="dxa"/>
            <w:vAlign w:val="center"/>
            <w:textDirection w:val="lrTb"/>
            <w:noWrap w:val="false"/>
          </w:tcPr>
          <w:p>
            <w:pPr>
              <w:jc w:val="center"/>
              <w:rPr>
                <w:rFonts w:hint="default" w:ascii="Times New Roman" w:hAnsi="Times New Roman" w:cs="Times New Roman"/>
                <w:sz w:val="18"/>
                <w:szCs w:val="18"/>
              </w:rPr>
            </w:pPr>
            <w:r>
              <w:rPr>
                <w:rFonts w:hint="default" w:ascii="Times New Roman" w:hAnsi="Times New Roman" w:cs="Times New Roman" w:eastAsiaTheme="minorEastAsia"/>
                <w:sz w:val="18"/>
                <w:szCs w:val="18"/>
              </w:rPr>
              <w:t xml:space="preserve">图片</w:t>
            </w:r>
            <w:r/>
          </w:p>
        </w:tc>
        <w:tc>
          <w:tcPr>
            <w:tcW w:w="2475" w:type="dxa"/>
            <w:vAlign w:val="center"/>
            <w:textDirection w:val="lrTb"/>
            <w:noWrap w:val="false"/>
          </w:tcPr>
          <w:p>
            <w:pPr>
              <w:jc w:val="center"/>
              <w:rPr>
                <w:rFonts w:hint="default" w:ascii="Times New Roman" w:hAnsi="Times New Roman" w:cs="Times New Roman"/>
                <w:sz w:val="18"/>
                <w:szCs w:val="18"/>
              </w:rPr>
            </w:pPr>
            <w:r>
              <w:rPr>
                <w:rFonts w:hint="default" w:ascii="Times New Roman" w:hAnsi="Times New Roman" w:cs="Times New Roman" w:eastAsiaTheme="minorEastAsia"/>
                <w:sz w:val="18"/>
                <w:szCs w:val="18"/>
              </w:rPr>
              <w:t xml:space="preserve">规格</w:t>
            </w:r>
            <w:r/>
          </w:p>
        </w:tc>
        <w:tc>
          <w:tcPr>
            <w:tcW w:w="1050" w:type="dxa"/>
            <w:vAlign w:val="center"/>
            <w:textDirection w:val="lrTb"/>
            <w:noWrap w:val="false"/>
          </w:tcPr>
          <w:p>
            <w:pPr>
              <w:jc w:val="center"/>
              <w:rPr>
                <w:rFonts w:hint="default" w:ascii="Times New Roman" w:hAnsi="Times New Roman" w:cs="Times New Roman"/>
                <w:sz w:val="18"/>
                <w:szCs w:val="18"/>
              </w:rPr>
            </w:pPr>
            <w:r>
              <w:rPr>
                <w:rFonts w:hint="default" w:ascii="Times New Roman" w:hAnsi="Times New Roman" w:cs="Times New Roman" w:eastAsiaTheme="minorEastAsia"/>
                <w:sz w:val="18"/>
                <w:szCs w:val="18"/>
              </w:rPr>
              <w:t xml:space="preserve">数量</w:t>
            </w:r>
            <w:r/>
          </w:p>
        </w:tc>
      </w:tr>
      <w:tr>
        <w:trPr>
          <w:jc w:val="center"/>
          <w:trHeight w:val="1170"/>
        </w:trPr>
        <w:tc>
          <w:tcPr>
            <w:tcW w:w="765" w:type="dxa"/>
            <w:vAlign w:val="center"/>
            <w:textDirection w:val="lrTb"/>
            <w:noWrap w:val="false"/>
          </w:tcPr>
          <w:p>
            <w:pPr>
              <w:jc w:val="center"/>
              <w:rPr>
                <w:rFonts w:hint="default" w:ascii="Times New Roman" w:hAnsi="Times New Roman" w:cs="Times New Roman"/>
                <w:sz w:val="18"/>
                <w:szCs w:val="18"/>
              </w:rPr>
            </w:pPr>
            <w:r>
              <w:rPr>
                <w:rFonts w:hint="default" w:ascii="Times New Roman" w:hAnsi="Times New Roman" w:cs="Times New Roman" w:eastAsiaTheme="minorEastAsia"/>
                <w:sz w:val="18"/>
                <w:szCs w:val="18"/>
              </w:rPr>
              <w:t xml:space="preserve">1</w:t>
            </w:r>
            <w:r/>
          </w:p>
        </w:tc>
        <w:tc>
          <w:tcPr>
            <w:tcW w:w="2130"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eastAsiaTheme="minorEastAsia"/>
                <w:sz w:val="18"/>
                <w:szCs w:val="18"/>
              </w:rPr>
              <w:t xml:space="preserve">休闲沙发（三人位）</w:t>
            </w:r>
            <w:r/>
          </w:p>
        </w:tc>
        <w:tc>
          <w:tcPr>
            <w:tcW w:w="2460" w:type="dxa"/>
            <w:vAlign w:val="center"/>
            <w:textDirection w:val="lrTb"/>
            <w:noWrap w:val="false"/>
          </w:tcPr>
          <w:p>
            <w:pPr>
              <w:jc w:val="center"/>
              <w:rPr>
                <w:rFonts w:hint="default" w:ascii="Times New Roman" w:hAnsi="Times New Roman" w:cs="Times New Roman"/>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992505" cy="560070"/>
                      <wp:effectExtent l="0" t="0" r="17145" b="11430"/>
                      <wp:docPr id="180" name="ID_781248B74409497E8042E80886C08FEB" descr="Enscape_2024-04-08-10-5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7" name="ID_781248B74409497E8042E80886C08FEB" descr="Enscape_2024-04-08-10-52-21"/>
                              <pic:cNvPicPr>
                                <a:picLocks noChangeAspect="1"/>
                              </pic:cNvPicPr>
                              <pic:nvPr/>
                            </pic:nvPicPr>
                            <pic:blipFill>
                              <a:blip r:embed="rId24"/>
                              <a:srcRect l="13638" t="15556" r="19462" b="17979"/>
                              <a:stretch/>
                            </pic:blipFill>
                            <pic:spPr bwMode="auto">
                              <a:xfrm>
                                <a:off x="0" y="0"/>
                                <a:ext cx="992505" cy="5600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width:78.1pt;height:44.1pt;mso-wrap-distance-left:0.0pt;mso-wrap-distance-top:0.0pt;mso-wrap-distance-right:0.0pt;mso-wrap-distance-bottom:0.0pt;" stroked="f" strokeweight="0.75pt">
                      <v:path textboxrect="0,0,0,0"/>
                      <v:imagedata r:id="rId24" o:title=""/>
                    </v:shape>
                  </w:pict>
                </mc:Fallback>
              </mc:AlternateContent>
            </w:r>
            <w:r/>
          </w:p>
        </w:tc>
        <w:tc>
          <w:tcPr>
            <w:tcW w:w="2475" w:type="dxa"/>
            <w:vAlign w:val="center"/>
            <w:textDirection w:val="lrTb"/>
            <w:noWrap w:val="false"/>
          </w:tcPr>
          <w:p>
            <w:pPr>
              <w:jc w:val="center"/>
              <w:rPr>
                <w:rFonts w:hint="default" w:ascii="Times New Roman" w:hAnsi="Times New Roman" w:cs="Times New Roman"/>
                <w:color w:val="000000"/>
                <w:sz w:val="18"/>
                <w:szCs w:val="18"/>
              </w:rPr>
            </w:pPr>
            <w:r>
              <w:rPr>
                <w:rFonts w:hint="default" w:ascii="Times New Roman" w:hAnsi="Times New Roman" w:cs="Times New Roman" w:eastAsiaTheme="minorEastAsia"/>
                <w:sz w:val="18"/>
                <w:szCs w:val="18"/>
              </w:rPr>
              <w:t xml:space="preserve">2080*780*800</w:t>
            </w:r>
            <w:r/>
          </w:p>
        </w:tc>
        <w:tc>
          <w:tcPr>
            <w:tcW w:w="1050" w:type="dxa"/>
            <w:vAlign w:val="center"/>
            <w:textDirection w:val="lrTb"/>
            <w:noWrap w:val="false"/>
          </w:tcPr>
          <w:p>
            <w:pPr>
              <w:jc w:val="center"/>
              <w:rPr>
                <w:rFonts w:hint="default" w:ascii="Times New Roman" w:hAnsi="Times New Roman" w:cs="Times New Roman"/>
                <w:sz w:val="18"/>
                <w:szCs w:val="18"/>
              </w:rPr>
            </w:pPr>
            <w:r>
              <w:rPr>
                <w:rFonts w:hint="default" w:ascii="Times New Roman" w:hAnsi="Times New Roman" w:cs="Times New Roman" w:eastAsiaTheme="minorEastAsia"/>
                <w:sz w:val="18"/>
                <w:szCs w:val="18"/>
              </w:rPr>
              <w:t xml:space="preserve">1</w:t>
            </w:r>
            <w:r/>
          </w:p>
        </w:tc>
      </w:tr>
      <w:tr>
        <w:trPr>
          <w:jc w:val="center"/>
          <w:trHeight w:val="1170"/>
        </w:trPr>
        <w:tc>
          <w:tcPr>
            <w:tcW w:w="765" w:type="dxa"/>
            <w:vAlign w:val="center"/>
            <w:textDirection w:val="lrTb"/>
            <w:noWrap w:val="false"/>
          </w:tcPr>
          <w:p>
            <w:pPr>
              <w:jc w:val="center"/>
              <w:rPr>
                <w:rFonts w:hint="default" w:ascii="Times New Roman" w:hAnsi="Times New Roman" w:cs="Times New Roman"/>
                <w:sz w:val="18"/>
                <w:szCs w:val="18"/>
              </w:rPr>
            </w:pPr>
            <w:r>
              <w:rPr>
                <w:rFonts w:hint="default" w:ascii="Times New Roman" w:hAnsi="Times New Roman" w:cs="Times New Roman"/>
                <w:sz w:val="18"/>
                <w:szCs w:val="18"/>
              </w:rPr>
              <w:t xml:space="preserve">2</w:t>
            </w:r>
            <w:r/>
          </w:p>
        </w:tc>
        <w:tc>
          <w:tcPr>
            <w:tcW w:w="2130"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sz w:val="18"/>
                <w:szCs w:val="18"/>
              </w:rPr>
              <w:t xml:space="preserve">休闲沙发（双人位）</w:t>
            </w:r>
            <w:r/>
          </w:p>
        </w:tc>
        <w:tc>
          <w:tcPr>
            <w:tcW w:w="2460" w:type="dxa"/>
            <w:vAlign w:val="center"/>
            <w:textDirection w:val="lrTb"/>
            <w:noWrap w:val="false"/>
          </w:tcPr>
          <w:p>
            <w:pPr>
              <w:jc w:val="center"/>
              <w:rPr>
                <w:rFonts w:hint="default" w:ascii="Times New Roman" w:hAnsi="Times New Roman" w:cs="Times New Roman"/>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992505" cy="560070"/>
                      <wp:effectExtent l="0" t="0" r="17145" b="11430"/>
                      <wp:docPr id="181" name="ID_781248B74409497E8042E80886C08FEB" descr="Enscape_2024-04-08-10-5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8" name="ID_781248B74409497E8042E80886C08FEB" descr="Enscape_2024-04-08-10-52-21"/>
                              <pic:cNvPicPr>
                                <a:picLocks noChangeAspect="1"/>
                              </pic:cNvPicPr>
                              <pic:nvPr/>
                            </pic:nvPicPr>
                            <pic:blipFill>
                              <a:blip r:embed="rId24"/>
                              <a:srcRect l="13638" t="15556" r="19462" b="17979"/>
                              <a:stretch/>
                            </pic:blipFill>
                            <pic:spPr bwMode="auto">
                              <a:xfrm>
                                <a:off x="0" y="0"/>
                                <a:ext cx="992505" cy="5600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width:78.1pt;height:44.1pt;mso-wrap-distance-left:0.0pt;mso-wrap-distance-top:0.0pt;mso-wrap-distance-right:0.0pt;mso-wrap-distance-bottom:0.0pt;" stroked="f" strokeweight="0.75pt">
                      <v:path textboxrect="0,0,0,0"/>
                      <v:imagedata r:id="rId24" o:title=""/>
                    </v:shape>
                  </w:pict>
                </mc:Fallback>
              </mc:AlternateContent>
            </w:r>
            <w:r/>
          </w:p>
        </w:tc>
        <w:tc>
          <w:tcPr>
            <w:tcW w:w="2475" w:type="dxa"/>
            <w:vAlign w:val="center"/>
            <w:textDirection w:val="lrTb"/>
            <w:noWrap w:val="false"/>
          </w:tcPr>
          <w:p>
            <w:pPr>
              <w:jc w:val="center"/>
              <w:rPr>
                <w:rFonts w:hint="default" w:ascii="Times New Roman" w:hAnsi="Times New Roman" w:cs="Times New Roman"/>
                <w:color w:val="000000"/>
                <w:sz w:val="18"/>
                <w:szCs w:val="18"/>
              </w:rPr>
            </w:pPr>
            <w:r>
              <w:rPr>
                <w:rFonts w:hint="default" w:ascii="Times New Roman" w:hAnsi="Times New Roman" w:eastAsia="等线" w:cs="Times New Roman"/>
                <w:sz w:val="18"/>
                <w:szCs w:val="18"/>
              </w:rPr>
              <w:t xml:space="preserve">1480*780*800</w:t>
            </w:r>
            <w:r/>
          </w:p>
        </w:tc>
        <w:tc>
          <w:tcPr>
            <w:tcW w:w="1050" w:type="dxa"/>
            <w:vAlign w:val="center"/>
            <w:textDirection w:val="lrTb"/>
            <w:noWrap w:val="false"/>
          </w:tcPr>
          <w:p>
            <w:pPr>
              <w:jc w:val="center"/>
              <w:rPr>
                <w:rFonts w:hint="default" w:ascii="Times New Roman" w:hAnsi="Times New Roman" w:cs="Times New Roman"/>
                <w:sz w:val="18"/>
                <w:szCs w:val="18"/>
              </w:rPr>
            </w:pPr>
            <w:r>
              <w:rPr>
                <w:rFonts w:hint="default" w:ascii="Times New Roman" w:hAnsi="Times New Roman" w:cs="Times New Roman"/>
                <w:sz w:val="18"/>
                <w:szCs w:val="18"/>
              </w:rPr>
              <w:t xml:space="preserve">4</w:t>
            </w:r>
            <w:r/>
          </w:p>
        </w:tc>
      </w:tr>
      <w:tr>
        <w:trPr>
          <w:jc w:val="center"/>
          <w:trHeight w:val="1170"/>
        </w:trPr>
        <w:tc>
          <w:tcPr>
            <w:tcW w:w="765" w:type="dxa"/>
            <w:vAlign w:val="center"/>
            <w:textDirection w:val="lrTb"/>
            <w:noWrap w:val="false"/>
          </w:tcPr>
          <w:p>
            <w:pPr>
              <w:jc w:val="center"/>
              <w:rPr>
                <w:rFonts w:hint="default" w:ascii="Times New Roman" w:hAnsi="Times New Roman" w:cs="Times New Roman"/>
                <w:sz w:val="18"/>
                <w:szCs w:val="18"/>
              </w:rPr>
            </w:pPr>
            <w:r>
              <w:rPr>
                <w:rFonts w:hint="default" w:ascii="Times New Roman" w:hAnsi="Times New Roman" w:cs="Times New Roman"/>
                <w:sz w:val="18"/>
                <w:szCs w:val="18"/>
              </w:rPr>
              <w:t xml:space="preserve">3</w:t>
            </w:r>
            <w:r/>
          </w:p>
        </w:tc>
        <w:tc>
          <w:tcPr>
            <w:tcW w:w="2130"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eastAsiaTheme="minorEastAsia"/>
                <w:color w:val="000000"/>
                <w:sz w:val="18"/>
                <w:szCs w:val="18"/>
              </w:rPr>
              <w:t xml:space="preserve">休闲沙发（单人位）</w:t>
            </w:r>
            <w:r/>
          </w:p>
        </w:tc>
        <w:tc>
          <w:tcPr>
            <w:tcW w:w="2460" w:type="dxa"/>
            <w:vAlign w:val="center"/>
            <w:textDirection w:val="lrTb"/>
            <w:noWrap w:val="false"/>
          </w:tcPr>
          <w:p>
            <w:pPr>
              <w:jc w:val="center"/>
              <w:rPr>
                <w:rFonts w:hint="default" w:ascii="Times New Roman" w:hAnsi="Times New Roman" w:cs="Times New Roman"/>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992505" cy="560070"/>
                      <wp:effectExtent l="0" t="0" r="17145" b="11430"/>
                      <wp:docPr id="182" name="ID_781248B74409497E8042E80886C08FEB" descr="Enscape_2024-04-08-10-5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9" name="ID_781248B74409497E8042E80886C08FEB" descr="Enscape_2024-04-08-10-52-21"/>
                              <pic:cNvPicPr>
                                <a:picLocks noChangeAspect="1"/>
                              </pic:cNvPicPr>
                              <pic:nvPr/>
                            </pic:nvPicPr>
                            <pic:blipFill>
                              <a:blip r:embed="rId24"/>
                              <a:srcRect l="13638" t="15556" r="19462" b="17979"/>
                              <a:stretch/>
                            </pic:blipFill>
                            <pic:spPr bwMode="auto">
                              <a:xfrm>
                                <a:off x="0" y="0"/>
                                <a:ext cx="992505" cy="5600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width:78.1pt;height:44.1pt;mso-wrap-distance-left:0.0pt;mso-wrap-distance-top:0.0pt;mso-wrap-distance-right:0.0pt;mso-wrap-distance-bottom:0.0pt;" stroked="f" strokeweight="0.75pt">
                      <v:path textboxrect="0,0,0,0"/>
                      <v:imagedata r:id="rId24" o:title=""/>
                    </v:shape>
                  </w:pict>
                </mc:Fallback>
              </mc:AlternateContent>
            </w:r>
            <w:r/>
          </w:p>
        </w:tc>
        <w:tc>
          <w:tcPr>
            <w:tcW w:w="2475" w:type="dxa"/>
            <w:vAlign w:val="center"/>
            <w:textDirection w:val="lrTb"/>
            <w:noWrap w:val="false"/>
          </w:tcPr>
          <w:p>
            <w:pPr>
              <w:jc w:val="center"/>
              <w:rPr>
                <w:rFonts w:hint="default" w:ascii="Times New Roman" w:hAnsi="Times New Roman" w:cs="Times New Roman"/>
                <w:sz w:val="18"/>
                <w:szCs w:val="18"/>
              </w:rPr>
            </w:pPr>
            <w:r>
              <w:rPr>
                <w:rFonts w:hint="default" w:ascii="Times New Roman" w:hAnsi="Times New Roman" w:cs="Times New Roman" w:eastAsiaTheme="minorEastAsia"/>
                <w:color w:val="000000"/>
                <w:sz w:val="18"/>
                <w:szCs w:val="18"/>
              </w:rPr>
              <w:t xml:space="preserve">840*780*800</w:t>
            </w:r>
            <w:r/>
          </w:p>
        </w:tc>
        <w:tc>
          <w:tcPr>
            <w:tcW w:w="1050" w:type="dxa"/>
            <w:vAlign w:val="center"/>
            <w:textDirection w:val="lrTb"/>
            <w:noWrap w:val="false"/>
          </w:tcPr>
          <w:p>
            <w:pPr>
              <w:jc w:val="center"/>
              <w:rPr>
                <w:rFonts w:hint="default" w:ascii="Times New Roman" w:hAnsi="Times New Roman" w:cs="Times New Roman"/>
                <w:sz w:val="18"/>
                <w:szCs w:val="18"/>
              </w:rPr>
            </w:pPr>
            <w:r>
              <w:rPr>
                <w:rFonts w:hint="default" w:ascii="Times New Roman" w:hAnsi="Times New Roman" w:cs="Times New Roman" w:eastAsiaTheme="minorEastAsia"/>
                <w:sz w:val="18"/>
                <w:szCs w:val="18"/>
              </w:rPr>
              <w:t xml:space="preserve">2</w:t>
            </w:r>
            <w:r/>
          </w:p>
        </w:tc>
      </w:tr>
      <w:tr>
        <w:trPr>
          <w:jc w:val="center"/>
          <w:trHeight w:val="1051"/>
        </w:trPr>
        <w:tc>
          <w:tcPr>
            <w:tcW w:w="765" w:type="dxa"/>
            <w:vAlign w:val="center"/>
            <w:textDirection w:val="lrTb"/>
            <w:noWrap w:val="false"/>
          </w:tcPr>
          <w:p>
            <w:pPr>
              <w:jc w:val="center"/>
              <w:rPr>
                <w:rFonts w:hint="default" w:ascii="Times New Roman" w:hAnsi="Times New Roman" w:cs="Times New Roman"/>
                <w:sz w:val="18"/>
                <w:szCs w:val="18"/>
              </w:rPr>
            </w:pPr>
            <w:r>
              <w:rPr>
                <w:rFonts w:hint="default" w:ascii="Times New Roman" w:hAnsi="Times New Roman" w:cs="Times New Roman"/>
                <w:sz w:val="18"/>
                <w:szCs w:val="18"/>
              </w:rPr>
              <w:t xml:space="preserve">4</w:t>
            </w:r>
            <w:r/>
          </w:p>
        </w:tc>
        <w:tc>
          <w:tcPr>
            <w:tcW w:w="2130" w:type="dxa"/>
            <w:vAlign w:val="center"/>
            <w:textDirection w:val="lrTb"/>
            <w:noWrap w:val="false"/>
          </w:tcPr>
          <w:p>
            <w:pPr>
              <w:jc w:val="center"/>
              <w:rPr>
                <w:rFonts w:hint="default" w:ascii="Times New Roman" w:hAnsi="Times New Roman" w:cs="Times New Roman"/>
                <w:color w:val="000000"/>
                <w:sz w:val="18"/>
                <w:szCs w:val="18"/>
              </w:rPr>
            </w:pPr>
            <w:r>
              <w:rPr>
                <w:rFonts w:hint="default" w:ascii="Times New Roman" w:hAnsi="Times New Roman" w:cs="Times New Roman" w:eastAsiaTheme="minorEastAsia"/>
                <w:sz w:val="18"/>
                <w:szCs w:val="18"/>
              </w:rPr>
              <w:t xml:space="preserve">椭圆形长茶几</w:t>
            </w:r>
            <w:r/>
          </w:p>
        </w:tc>
        <w:tc>
          <w:tcPr>
            <w:tcW w:w="2460" w:type="dxa"/>
            <w:vAlign w:val="center"/>
            <w:textDirection w:val="lrTb"/>
            <w:noWrap w:val="false"/>
          </w:tcPr>
          <w:p>
            <w:pPr>
              <w:jc w:val="center"/>
              <w:rPr>
                <w:rFonts w:hint="default" w:ascii="Times New Roman" w:hAnsi="Times New Roman" w:cs="Times New Roman"/>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968375" cy="610870"/>
                      <wp:effectExtent l="0" t="0" r="3175" b="17780"/>
                      <wp:docPr id="183"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0" name="图片 18"/>
                              <pic:cNvPicPr>
                                <a:picLocks noChangeAspect="1"/>
                              </pic:cNvPicPr>
                              <pic:nvPr/>
                            </pic:nvPicPr>
                            <pic:blipFill>
                              <a:blip r:embed="rId26"/>
                              <a:stretch/>
                            </pic:blipFill>
                            <pic:spPr bwMode="auto">
                              <a:xfrm>
                                <a:off x="0" y="0"/>
                                <a:ext cx="968375" cy="6108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width:76.2pt;height:48.1pt;mso-wrap-distance-left:0.0pt;mso-wrap-distance-top:0.0pt;mso-wrap-distance-right:0.0pt;mso-wrap-distance-bottom:0.0pt;" stroked="f" strokeweight="0.75pt">
                      <v:path textboxrect="0,0,0,0"/>
                      <v:imagedata r:id="rId26" o:title=""/>
                    </v:shape>
                  </w:pict>
                </mc:Fallback>
              </mc:AlternateContent>
            </w:r>
            <w:r/>
          </w:p>
        </w:tc>
        <w:tc>
          <w:tcPr>
            <w:tcW w:w="2475" w:type="dxa"/>
            <w:vAlign w:val="center"/>
            <w:textDirection w:val="lrTb"/>
            <w:noWrap w:val="false"/>
          </w:tcPr>
          <w:p>
            <w:pPr>
              <w:jc w:val="center"/>
              <w:rPr>
                <w:rFonts w:hint="default" w:ascii="Times New Roman" w:hAnsi="Times New Roman" w:cs="Times New Roman"/>
                <w:color w:val="000000"/>
                <w:sz w:val="18"/>
                <w:szCs w:val="18"/>
              </w:rPr>
            </w:pPr>
            <w:r>
              <w:rPr>
                <w:rFonts w:hint="default" w:ascii="Times New Roman" w:hAnsi="Times New Roman" w:cs="Times New Roman" w:eastAsiaTheme="minorEastAsia"/>
                <w:sz w:val="18"/>
                <w:szCs w:val="18"/>
              </w:rPr>
              <w:t xml:space="preserve">1200*600*500</w:t>
            </w:r>
            <w:r/>
          </w:p>
        </w:tc>
        <w:tc>
          <w:tcPr>
            <w:tcW w:w="1050" w:type="dxa"/>
            <w:vAlign w:val="center"/>
            <w:textDirection w:val="lrTb"/>
            <w:noWrap w:val="false"/>
          </w:tcPr>
          <w:p>
            <w:pPr>
              <w:jc w:val="center"/>
              <w:rPr>
                <w:rFonts w:hint="default" w:ascii="Times New Roman" w:hAnsi="Times New Roman" w:cs="Times New Roman"/>
                <w:sz w:val="18"/>
                <w:szCs w:val="18"/>
              </w:rPr>
            </w:pPr>
            <w:r>
              <w:rPr>
                <w:rFonts w:hint="default" w:ascii="Times New Roman" w:hAnsi="Times New Roman" w:cs="Times New Roman"/>
                <w:sz w:val="18"/>
                <w:szCs w:val="18"/>
              </w:rPr>
              <w:t xml:space="preserve">3</w:t>
            </w:r>
            <w:r/>
          </w:p>
        </w:tc>
      </w:tr>
      <w:tr>
        <w:trPr>
          <w:jc w:val="center"/>
          <w:trHeight w:val="1051"/>
        </w:trPr>
        <w:tc>
          <w:tcPr>
            <w:tcW w:w="765" w:type="dxa"/>
            <w:vAlign w:val="center"/>
            <w:textDirection w:val="lrTb"/>
            <w:noWrap w:val="false"/>
          </w:tcPr>
          <w:p>
            <w:pPr>
              <w:jc w:val="center"/>
              <w:rPr>
                <w:rFonts w:hint="default" w:ascii="Times New Roman" w:hAnsi="Times New Roman" w:cs="Times New Roman"/>
                <w:sz w:val="18"/>
                <w:szCs w:val="18"/>
              </w:rPr>
            </w:pPr>
            <w:r>
              <w:rPr>
                <w:rFonts w:hint="default" w:ascii="Times New Roman" w:hAnsi="Times New Roman" w:cs="Times New Roman"/>
                <w:sz w:val="18"/>
                <w:szCs w:val="18"/>
              </w:rPr>
              <w:t xml:space="preserve">5</w:t>
            </w:r>
            <w:r/>
          </w:p>
        </w:tc>
        <w:tc>
          <w:tcPr>
            <w:tcW w:w="2130" w:type="dxa"/>
            <w:vAlign w:val="center"/>
            <w:textDirection w:val="lrTb"/>
            <w:noWrap w:val="false"/>
          </w:tcPr>
          <w:p>
            <w:pPr>
              <w:jc w:val="center"/>
              <w:rPr>
                <w:rFonts w:hint="default" w:ascii="Times New Roman" w:hAnsi="Times New Roman" w:cs="Times New Roman"/>
                <w:sz w:val="18"/>
                <w:szCs w:val="18"/>
              </w:rPr>
            </w:pPr>
            <w:r>
              <w:rPr>
                <w:rFonts w:hint="default" w:ascii="Times New Roman" w:hAnsi="Times New Roman" w:cs="Times New Roman" w:eastAsiaTheme="minorEastAsia"/>
                <w:color w:val="000000"/>
                <w:sz w:val="18"/>
                <w:szCs w:val="18"/>
              </w:rPr>
              <w:t xml:space="preserve">圆形茶几</w:t>
            </w:r>
            <w:r/>
          </w:p>
        </w:tc>
        <w:tc>
          <w:tcPr>
            <w:tcW w:w="2460" w:type="dxa"/>
            <w:vAlign w:val="center"/>
            <w:textDirection w:val="lrTb"/>
            <w:noWrap w:val="false"/>
          </w:tcPr>
          <w:p>
            <w:pPr>
              <w:jc w:val="center"/>
              <w:rPr>
                <w:rFonts w:hint="default" w:ascii="Times New Roman" w:hAnsi="Times New Roman" w:cs="Times New Roman"/>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466090" cy="603250"/>
                      <wp:effectExtent l="0" t="0" r="10160" b="6350"/>
                      <wp:docPr id="18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1" name="图片 9"/>
                              <pic:cNvPicPr>
                                <a:picLocks noChangeAspect="1"/>
                              </pic:cNvPicPr>
                              <pic:nvPr/>
                            </pic:nvPicPr>
                            <pic:blipFill>
                              <a:blip r:embed="rId19"/>
                              <a:stretch/>
                            </pic:blipFill>
                            <pic:spPr bwMode="auto">
                              <a:xfrm>
                                <a:off x="0" y="0"/>
                                <a:ext cx="466090" cy="603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 o:spid="_x0000_s183" type="#_x0000_t75" style="width:36.7pt;height:47.5pt;mso-wrap-distance-left:0.0pt;mso-wrap-distance-top:0.0pt;mso-wrap-distance-right:0.0pt;mso-wrap-distance-bottom:0.0pt;" stroked="f" strokeweight="0.75pt">
                      <v:path textboxrect="0,0,0,0"/>
                      <v:imagedata r:id="rId19" o:title=""/>
                    </v:shape>
                  </w:pict>
                </mc:Fallback>
              </mc:AlternateContent>
            </w:r>
            <w:r/>
          </w:p>
        </w:tc>
        <w:tc>
          <w:tcPr>
            <w:tcW w:w="2475" w:type="dxa"/>
            <w:vAlign w:val="center"/>
            <w:textDirection w:val="lrTb"/>
            <w:noWrap w:val="false"/>
          </w:tcPr>
          <w:p>
            <w:pPr>
              <w:jc w:val="center"/>
              <w:rPr>
                <w:rFonts w:hint="default" w:ascii="Times New Roman" w:hAnsi="Times New Roman" w:cs="Times New Roman"/>
                <w:sz w:val="18"/>
                <w:szCs w:val="18"/>
              </w:rPr>
            </w:pPr>
            <w:r>
              <w:rPr>
                <w:rFonts w:hint="default" w:ascii="Times New Roman" w:hAnsi="Times New Roman" w:cs="Times New Roman"/>
                <w:color w:val="000000"/>
                <w:sz w:val="18"/>
                <w:szCs w:val="18"/>
              </w:rPr>
              <w:t xml:space="preserve">φ</w:t>
            </w:r>
            <w:r>
              <w:rPr>
                <w:rFonts w:hint="default" w:ascii="Times New Roman" w:hAnsi="Times New Roman" w:cs="Times New Roman" w:eastAsiaTheme="minorEastAsia"/>
                <w:color w:val="000000"/>
                <w:sz w:val="18"/>
                <w:szCs w:val="18"/>
              </w:rPr>
              <w:t xml:space="preserve">600*500</w:t>
            </w:r>
            <w:r/>
          </w:p>
        </w:tc>
        <w:tc>
          <w:tcPr>
            <w:tcW w:w="1050" w:type="dxa"/>
            <w:vAlign w:val="center"/>
            <w:textDirection w:val="lrTb"/>
            <w:noWrap w:val="false"/>
          </w:tcPr>
          <w:p>
            <w:pPr>
              <w:jc w:val="center"/>
              <w:rPr>
                <w:rFonts w:hint="default" w:ascii="Times New Roman" w:hAnsi="Times New Roman" w:cs="Times New Roman"/>
                <w:sz w:val="18"/>
                <w:szCs w:val="18"/>
              </w:rPr>
            </w:pPr>
            <w:r>
              <w:rPr>
                <w:rFonts w:hint="default" w:ascii="Times New Roman" w:hAnsi="Times New Roman" w:cs="Times New Roman" w:eastAsiaTheme="minorEastAsia"/>
                <w:sz w:val="18"/>
                <w:szCs w:val="18"/>
              </w:rPr>
              <w:t xml:space="preserve">2</w:t>
            </w:r>
            <w:r/>
          </w:p>
        </w:tc>
      </w:tr>
      <w:tr>
        <w:trPr>
          <w:jc w:val="center"/>
          <w:trHeight w:val="1047"/>
        </w:trPr>
        <w:tc>
          <w:tcPr>
            <w:tcW w:w="765" w:type="dxa"/>
            <w:vAlign w:val="center"/>
            <w:textDirection w:val="lrTb"/>
            <w:noWrap w:val="false"/>
          </w:tcPr>
          <w:p>
            <w:pPr>
              <w:jc w:val="center"/>
              <w:rPr>
                <w:rFonts w:hint="default" w:ascii="Times New Roman" w:hAnsi="Times New Roman" w:cs="Times New Roman"/>
                <w:sz w:val="18"/>
                <w:szCs w:val="18"/>
              </w:rPr>
            </w:pPr>
            <w:r>
              <w:rPr>
                <w:rFonts w:hint="default" w:ascii="Times New Roman" w:hAnsi="Times New Roman" w:cs="Times New Roman"/>
                <w:sz w:val="18"/>
                <w:szCs w:val="18"/>
              </w:rPr>
              <w:t xml:space="preserve">6</w:t>
            </w:r>
            <w:r/>
          </w:p>
        </w:tc>
        <w:tc>
          <w:tcPr>
            <w:tcW w:w="2130"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eastAsiaTheme="minorEastAsia"/>
                <w:sz w:val="18"/>
                <w:szCs w:val="18"/>
              </w:rPr>
              <w:t xml:space="preserve">适老桌（长方形）</w:t>
            </w:r>
            <w:r/>
          </w:p>
        </w:tc>
        <w:tc>
          <w:tcPr>
            <w:tcW w:w="2460" w:type="dxa"/>
            <w:vAlign w:val="center"/>
            <w:textDirection w:val="lrTb"/>
            <w:noWrap w:val="false"/>
          </w:tcPr>
          <w:p>
            <w:pPr>
              <w:jc w:val="center"/>
              <w:rPr>
                <w:rFonts w:hint="default" w:ascii="Times New Roman" w:hAnsi="Times New Roman" w:cs="Times New Roman"/>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965835" cy="730250"/>
                      <wp:effectExtent l="0" t="0" r="5715" b="12700"/>
                      <wp:docPr id="185" name="ID_CF44D14904DA4956B0E00F8CDDDF9C4D" descr="Enscape_2024-04-07-19-4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2" name="ID_CF44D14904DA4956B0E00F8CDDDF9C4D" descr="Enscape_2024-04-07-19-42-18"/>
                              <pic:cNvPicPr>
                                <a:picLocks noChangeAspect="1"/>
                              </pic:cNvPicPr>
                              <pic:nvPr/>
                            </pic:nvPicPr>
                            <pic:blipFill>
                              <a:blip r:embed="rId21"/>
                              <a:srcRect l="20812" t="15111" r="31917" b="13331"/>
                              <a:stretch/>
                            </pic:blipFill>
                            <pic:spPr bwMode="auto">
                              <a:xfrm>
                                <a:off x="0" y="0"/>
                                <a:ext cx="965835" cy="730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width:76.0pt;height:57.5pt;mso-wrap-distance-left:0.0pt;mso-wrap-distance-top:0.0pt;mso-wrap-distance-right:0.0pt;mso-wrap-distance-bottom:0.0pt;" stroked="f" strokeweight="0.75pt">
                      <v:path textboxrect="0,0,0,0"/>
                      <v:imagedata r:id="rId21" o:title=""/>
                    </v:shape>
                  </w:pict>
                </mc:Fallback>
              </mc:AlternateContent>
            </w:r>
            <w:r/>
          </w:p>
        </w:tc>
        <w:tc>
          <w:tcPr>
            <w:tcW w:w="2475" w:type="dxa"/>
            <w:vAlign w:val="center"/>
            <w:textDirection w:val="lrTb"/>
            <w:noWrap w:val="false"/>
          </w:tcPr>
          <w:p>
            <w:pPr>
              <w:jc w:val="center"/>
              <w:rPr>
                <w:rFonts w:hint="default" w:ascii="Times New Roman" w:hAnsi="Times New Roman" w:cs="Times New Roman"/>
                <w:sz w:val="18"/>
                <w:szCs w:val="18"/>
              </w:rPr>
            </w:pPr>
            <w:r>
              <w:rPr>
                <w:rFonts w:hint="default" w:ascii="Times New Roman" w:hAnsi="Times New Roman" w:cs="Times New Roman" w:eastAsiaTheme="minorEastAsia"/>
                <w:sz w:val="18"/>
                <w:szCs w:val="18"/>
              </w:rPr>
              <w:t xml:space="preserve">1400*800*750</w:t>
            </w:r>
            <w:r/>
          </w:p>
        </w:tc>
        <w:tc>
          <w:tcPr>
            <w:tcW w:w="1050" w:type="dxa"/>
            <w:vAlign w:val="center"/>
            <w:textDirection w:val="lrTb"/>
            <w:noWrap w:val="false"/>
          </w:tcPr>
          <w:p>
            <w:pPr>
              <w:jc w:val="center"/>
              <w:rPr>
                <w:rFonts w:hint="default" w:ascii="Times New Roman" w:hAnsi="Times New Roman" w:cs="Times New Roman"/>
                <w:sz w:val="18"/>
                <w:szCs w:val="18"/>
              </w:rPr>
            </w:pPr>
            <w:r>
              <w:rPr>
                <w:rFonts w:hint="default" w:ascii="Times New Roman" w:hAnsi="Times New Roman" w:cs="Times New Roman" w:eastAsiaTheme="minorEastAsia"/>
                <w:sz w:val="18"/>
                <w:szCs w:val="18"/>
              </w:rPr>
              <w:t xml:space="preserve">5</w:t>
            </w:r>
            <w:r/>
          </w:p>
        </w:tc>
      </w:tr>
      <w:tr>
        <w:trPr>
          <w:jc w:val="center"/>
          <w:trHeight w:val="1032"/>
        </w:trPr>
        <w:tc>
          <w:tcPr>
            <w:tcW w:w="765" w:type="dxa"/>
            <w:vAlign w:val="center"/>
            <w:textDirection w:val="lrTb"/>
            <w:noWrap w:val="false"/>
          </w:tcPr>
          <w:p>
            <w:pPr>
              <w:jc w:val="center"/>
              <w:rPr>
                <w:rFonts w:hint="default" w:ascii="Times New Roman" w:hAnsi="Times New Roman" w:cs="Times New Roman"/>
                <w:sz w:val="18"/>
                <w:szCs w:val="18"/>
              </w:rPr>
            </w:pPr>
            <w:r>
              <w:rPr>
                <w:rFonts w:hint="default" w:ascii="Times New Roman" w:hAnsi="Times New Roman" w:cs="Times New Roman"/>
                <w:sz w:val="18"/>
                <w:szCs w:val="18"/>
              </w:rPr>
              <w:t xml:space="preserve">7</w:t>
            </w:r>
            <w:r/>
          </w:p>
        </w:tc>
        <w:tc>
          <w:tcPr>
            <w:tcW w:w="2130" w:type="dxa"/>
            <w:vAlign w:val="center"/>
            <w:textDirection w:val="lrTb"/>
            <w:noWrap w:val="false"/>
          </w:tcPr>
          <w:p>
            <w:pPr>
              <w:jc w:val="center"/>
              <w:widowControl/>
              <w:rPr>
                <w:rFonts w:hint="default" w:ascii="Times New Roman" w:hAnsi="Times New Roman" w:cs="Times New Roman"/>
                <w:sz w:val="18"/>
                <w:szCs w:val="18"/>
              </w:rPr>
            </w:pPr>
            <w:r>
              <w:rPr>
                <w:rFonts w:hint="default" w:ascii="Times New Roman" w:hAnsi="Times New Roman" w:cs="Times New Roman" w:eastAsiaTheme="minorEastAsia"/>
                <w:color w:val="000000"/>
                <w:sz w:val="18"/>
                <w:szCs w:val="18"/>
              </w:rPr>
              <w:t xml:space="preserve">适老椅</w:t>
            </w:r>
            <w:r/>
          </w:p>
        </w:tc>
        <w:tc>
          <w:tcPr>
            <w:tcW w:w="2460" w:type="dxa"/>
            <w:vAlign w:val="center"/>
            <w:textDirection w:val="lrTb"/>
            <w:noWrap w:val="false"/>
          </w:tcPr>
          <w:p>
            <w:pPr>
              <w:jc w:val="center"/>
              <w:rPr>
                <w:rFonts w:hint="default" w:ascii="Times New Roman" w:hAnsi="Times New Roman" w:cs="Times New Roman"/>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528320" cy="652780"/>
                      <wp:effectExtent l="0" t="0" r="5080" b="13970"/>
                      <wp:docPr id="186"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3" name="图片 12"/>
                              <pic:cNvPicPr>
                                <a:picLocks noChangeAspect="1"/>
                              </pic:cNvPicPr>
                              <pic:nvPr/>
                            </pic:nvPicPr>
                            <pic:blipFill>
                              <a:blip r:embed="rId23"/>
                              <a:stretch/>
                            </pic:blipFill>
                            <pic:spPr bwMode="auto">
                              <a:xfrm>
                                <a:off x="0" y="0"/>
                                <a:ext cx="528320" cy="6527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width:41.6pt;height:51.4pt;mso-wrap-distance-left:0.0pt;mso-wrap-distance-top:0.0pt;mso-wrap-distance-right:0.0pt;mso-wrap-distance-bottom:0.0pt;" stroked="f" strokeweight="0.75pt">
                      <v:path textboxrect="0,0,0,0"/>
                      <v:imagedata r:id="rId23" o:title=""/>
                    </v:shape>
                  </w:pict>
                </mc:Fallback>
              </mc:AlternateContent>
            </w:r>
            <w:r/>
          </w:p>
        </w:tc>
        <w:tc>
          <w:tcPr>
            <w:tcW w:w="2475" w:type="dxa"/>
            <w:vAlign w:val="center"/>
            <w:textDirection w:val="lrTb"/>
            <w:noWrap w:val="false"/>
          </w:tcPr>
          <w:p>
            <w:pPr>
              <w:jc w:val="center"/>
              <w:rPr>
                <w:rFonts w:hint="default" w:ascii="Times New Roman" w:hAnsi="Times New Roman" w:cs="Times New Roman"/>
                <w:sz w:val="18"/>
                <w:szCs w:val="18"/>
              </w:rPr>
            </w:pPr>
            <w:r>
              <w:rPr>
                <w:rFonts w:hint="default" w:ascii="Times New Roman" w:hAnsi="Times New Roman" w:cs="Times New Roman" w:eastAsiaTheme="minorEastAsia"/>
                <w:color w:val="000000"/>
                <w:sz w:val="18"/>
                <w:szCs w:val="18"/>
              </w:rPr>
              <w:t xml:space="preserve">520*450*830</w:t>
            </w:r>
            <w:r/>
          </w:p>
        </w:tc>
        <w:tc>
          <w:tcPr>
            <w:tcW w:w="1050" w:type="dxa"/>
            <w:vAlign w:val="center"/>
            <w:textDirection w:val="lrTb"/>
            <w:noWrap w:val="false"/>
          </w:tcPr>
          <w:p>
            <w:pPr>
              <w:jc w:val="center"/>
              <w:rPr>
                <w:rFonts w:hint="default" w:ascii="Times New Roman" w:hAnsi="Times New Roman" w:cs="Times New Roman"/>
                <w:sz w:val="18"/>
                <w:szCs w:val="18"/>
              </w:rPr>
            </w:pPr>
            <w:r>
              <w:rPr>
                <w:rFonts w:hint="default" w:ascii="Times New Roman" w:hAnsi="Times New Roman" w:cs="Times New Roman" w:eastAsiaTheme="minorEastAsia"/>
                <w:sz w:val="18"/>
                <w:szCs w:val="18"/>
              </w:rPr>
              <w:t xml:space="preserve">20</w:t>
            </w:r>
            <w:r/>
          </w:p>
        </w:tc>
      </w:tr>
      <w:tr>
        <w:trPr>
          <w:jc w:val="center"/>
        </w:trPr>
        <w:tc>
          <w:tcPr>
            <w:tcW w:w="765" w:type="dxa"/>
            <w:vAlign w:val="center"/>
            <w:textDirection w:val="lrTb"/>
            <w:noWrap w:val="false"/>
          </w:tcPr>
          <w:p>
            <w:pPr>
              <w:jc w:val="center"/>
              <w:rPr>
                <w:rFonts w:hint="default" w:ascii="Times New Roman" w:hAnsi="Times New Roman" w:cs="Times New Roman"/>
                <w:sz w:val="18"/>
                <w:szCs w:val="18"/>
              </w:rPr>
            </w:pPr>
            <w:r>
              <w:rPr>
                <w:rFonts w:hint="default" w:ascii="Times New Roman" w:hAnsi="Times New Roman" w:cs="Times New Roman"/>
                <w:sz w:val="18"/>
                <w:szCs w:val="18"/>
              </w:rPr>
              <w:t xml:space="preserve">8</w:t>
            </w:r>
            <w:r/>
          </w:p>
        </w:tc>
        <w:tc>
          <w:tcPr>
            <w:tcW w:w="2130"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eastAsiaTheme="minorEastAsia"/>
                <w:color w:val="000000"/>
                <w:sz w:val="18"/>
                <w:szCs w:val="18"/>
              </w:rPr>
              <w:t xml:space="preserve">　</w:t>
            </w:r>
            <w:r/>
          </w:p>
          <w:p>
            <w:pPr>
              <w:jc w:val="center"/>
              <w:widowControl/>
              <w:rPr>
                <w:rFonts w:hint="default" w:ascii="Times New Roman" w:hAnsi="Times New Roman" w:cs="Times New Roman"/>
                <w:color w:val="000000"/>
                <w:sz w:val="18"/>
                <w:szCs w:val="18"/>
              </w:rPr>
            </w:pPr>
            <w:r>
              <w:rPr>
                <w:rFonts w:hint="default" w:ascii="Times New Roman" w:hAnsi="Times New Roman" w:cs="Times New Roman" w:eastAsiaTheme="minorEastAsia"/>
                <w:color w:val="000000"/>
                <w:sz w:val="18"/>
                <w:szCs w:val="18"/>
              </w:rPr>
              <w:t xml:space="preserve">椅子</w:t>
            </w:r>
            <w:r/>
          </w:p>
          <w:p>
            <w:pPr>
              <w:jc w:val="center"/>
              <w:widowControl/>
              <w:rPr>
                <w:rFonts w:hint="default" w:ascii="Times New Roman" w:hAnsi="Times New Roman" w:cs="Times New Roman"/>
                <w:color w:val="000000"/>
                <w:sz w:val="18"/>
                <w:szCs w:val="18"/>
              </w:rPr>
            </w:pPr>
            <w:r>
              <w:rPr>
                <w:rFonts w:hint="default" w:ascii="Times New Roman" w:hAnsi="Times New Roman" w:cs="Times New Roman"/>
                <w:color w:val="000000"/>
                <w:sz w:val="18"/>
                <w:szCs w:val="18"/>
              </w:rPr>
            </w:r>
            <w:r/>
          </w:p>
        </w:tc>
        <w:tc>
          <w:tcPr>
            <w:tcW w:w="2460" w:type="dxa"/>
            <w:vAlign w:val="center"/>
            <w:textDirection w:val="lrTb"/>
            <w:noWrap w:val="false"/>
          </w:tcPr>
          <w:p>
            <w:pPr>
              <w:jc w:val="center"/>
              <w:rPr>
                <w:rFonts w:hint="default" w:ascii="Times New Roman" w:hAnsi="Times New Roman" w:cs="Times New Roman"/>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505460" cy="711835"/>
                      <wp:effectExtent l="0" t="0" r="8890" b="12065"/>
                      <wp:docPr id="187"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4" name="图片 42"/>
                              <pic:cNvPicPr>
                                <a:picLocks noChangeAspect="1"/>
                              </pic:cNvPicPr>
                              <pic:nvPr/>
                            </pic:nvPicPr>
                            <pic:blipFill>
                              <a:blip r:embed="rId40"/>
                              <a:stretch/>
                            </pic:blipFill>
                            <pic:spPr bwMode="auto">
                              <a:xfrm>
                                <a:off x="0" y="0"/>
                                <a:ext cx="505460" cy="7118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width:39.8pt;height:56.0pt;mso-wrap-distance-left:0.0pt;mso-wrap-distance-top:0.0pt;mso-wrap-distance-right:0.0pt;mso-wrap-distance-bottom:0.0pt;" stroked="f" strokeweight="0.75pt">
                      <v:path textboxrect="0,0,0,0"/>
                      <v:imagedata r:id="rId40" o:title=""/>
                    </v:shape>
                  </w:pict>
                </mc:Fallback>
              </mc:AlternateContent>
            </w:r>
            <w:r/>
          </w:p>
        </w:tc>
        <w:tc>
          <w:tcPr>
            <w:tcW w:w="2475" w:type="dxa"/>
            <w:vAlign w:val="center"/>
            <w:textDirection w:val="lrTb"/>
            <w:noWrap w:val="false"/>
          </w:tcPr>
          <w:p>
            <w:pPr>
              <w:jc w:val="center"/>
              <w:rPr>
                <w:rFonts w:hint="default" w:ascii="Times New Roman" w:hAnsi="Times New Roman" w:cs="Times New Roman"/>
                <w:color w:val="000000"/>
                <w:sz w:val="18"/>
                <w:szCs w:val="18"/>
              </w:rPr>
            </w:pPr>
            <w:r>
              <w:rPr>
                <w:rFonts w:hint="default" w:ascii="Times New Roman" w:hAnsi="Times New Roman" w:cs="Times New Roman" w:eastAsiaTheme="minorEastAsia"/>
                <w:color w:val="000000"/>
                <w:sz w:val="18"/>
                <w:szCs w:val="18"/>
              </w:rPr>
              <w:t xml:space="preserve">645*560*（970-1060）</w:t>
            </w:r>
            <w:r/>
          </w:p>
        </w:tc>
        <w:tc>
          <w:tcPr>
            <w:tcW w:w="1050" w:type="dxa"/>
            <w:vAlign w:val="center"/>
            <w:textDirection w:val="lrTb"/>
            <w:noWrap w:val="false"/>
          </w:tcPr>
          <w:p>
            <w:pPr>
              <w:jc w:val="center"/>
              <w:rPr>
                <w:rFonts w:hint="default" w:ascii="Times New Roman" w:hAnsi="Times New Roman" w:cs="Times New Roman"/>
                <w:sz w:val="18"/>
                <w:szCs w:val="18"/>
              </w:rPr>
            </w:pPr>
            <w:r>
              <w:rPr>
                <w:rFonts w:hint="default" w:ascii="Times New Roman" w:hAnsi="Times New Roman" w:cs="Times New Roman" w:eastAsiaTheme="minorEastAsia"/>
                <w:sz w:val="18"/>
                <w:szCs w:val="18"/>
              </w:rPr>
              <w:t xml:space="preserve">3</w:t>
            </w:r>
            <w:r/>
          </w:p>
        </w:tc>
      </w:tr>
      <w:tr>
        <w:trPr>
          <w:jc w:val="center"/>
        </w:trPr>
        <w:tc>
          <w:tcPr>
            <w:tcW w:w="765" w:type="dxa"/>
            <w:vAlign w:val="center"/>
            <w:textDirection w:val="lrTb"/>
            <w:noWrap w:val="false"/>
          </w:tcPr>
          <w:p>
            <w:pPr>
              <w:jc w:val="center"/>
              <w:rPr>
                <w:rFonts w:hint="default" w:ascii="Times New Roman" w:hAnsi="Times New Roman" w:cs="Times New Roman"/>
                <w:sz w:val="18"/>
                <w:szCs w:val="18"/>
              </w:rPr>
            </w:pPr>
            <w:r>
              <w:rPr>
                <w:rFonts w:hint="default" w:ascii="Times New Roman" w:hAnsi="Times New Roman" w:cs="Times New Roman"/>
                <w:sz w:val="18"/>
                <w:szCs w:val="18"/>
              </w:rPr>
              <w:t xml:space="preserve">9</w:t>
            </w:r>
            <w:r/>
          </w:p>
        </w:tc>
        <w:tc>
          <w:tcPr>
            <w:tcW w:w="2130"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eastAsiaTheme="minorEastAsia"/>
                <w:color w:val="000000"/>
                <w:sz w:val="18"/>
                <w:szCs w:val="18"/>
              </w:rPr>
              <w:t xml:space="preserve">接待椅</w:t>
            </w:r>
            <w:r/>
          </w:p>
        </w:tc>
        <w:tc>
          <w:tcPr>
            <w:tcW w:w="2460" w:type="dxa"/>
            <w:vAlign w:val="center"/>
            <w:textDirection w:val="lrTb"/>
            <w:noWrap w:val="false"/>
          </w:tcPr>
          <w:p>
            <w:pPr>
              <w:jc w:val="center"/>
              <w:rPr>
                <w:rFonts w:hint="default" w:ascii="Times New Roman" w:hAnsi="Times New Roman" w:cs="Times New Roman"/>
                <w:sz w:val="18"/>
                <w:szCs w:val="18"/>
              </w:rPr>
            </w:pPr>
            <w:r>
              <w:rPr>
                <w:rFonts w:hint="default" w:ascii="Times New Roman" w:hAnsi="Times New Roman" w:cs="Times New Roman"/>
                <w:sz w:val="18"/>
                <w:szCs w:val="18"/>
              </w:rPr>
              <mc:AlternateContent>
                <mc:Choice Requires="wpg">
                  <w:drawing>
                    <wp:inline xmlns:wp="http://schemas.openxmlformats.org/drawingml/2006/wordprocessingDrawing" distT="0" distB="0" distL="0" distR="0">
                      <wp:extent cx="684530" cy="713105"/>
                      <wp:effectExtent l="0" t="0" r="1270" b="10795"/>
                      <wp:docPr id="188" name="图片 6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5" name="图片 6525"/>
                              <pic:cNvPicPr>
                                <a:picLocks noChangeAspect="1"/>
                              </pic:cNvPicPr>
                              <pic:nvPr/>
                            </pic:nvPicPr>
                            <pic:blipFill>
                              <a:blip r:embed="rId25"/>
                              <a:stretch/>
                            </pic:blipFill>
                            <pic:spPr bwMode="auto">
                              <a:xfrm>
                                <a:off x="0" y="0"/>
                                <a:ext cx="684530" cy="7131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width:53.9pt;height:56.1pt;mso-wrap-distance-left:0.0pt;mso-wrap-distance-top:0.0pt;mso-wrap-distance-right:0.0pt;mso-wrap-distance-bottom:0.0pt;" stroked="f" strokeweight="0.75pt">
                      <v:path textboxrect="0,0,0,0"/>
                      <v:imagedata r:id="rId25" o:title=""/>
                    </v:shape>
                  </w:pict>
                </mc:Fallback>
              </mc:AlternateContent>
            </w:r>
            <w:r/>
          </w:p>
        </w:tc>
        <w:tc>
          <w:tcPr>
            <w:tcW w:w="2475" w:type="dxa"/>
            <w:vAlign w:val="center"/>
            <w:textDirection w:val="lrTb"/>
            <w:noWrap w:val="false"/>
          </w:tcPr>
          <w:p>
            <w:pPr>
              <w:jc w:val="center"/>
              <w:widowControl/>
              <w:rPr>
                <w:rFonts w:hint="default" w:ascii="Times New Roman" w:hAnsi="Times New Roman" w:cs="Times New Roman"/>
                <w:color w:val="000000"/>
                <w:sz w:val="18"/>
                <w:szCs w:val="18"/>
              </w:rPr>
            </w:pPr>
            <w:r>
              <w:rPr>
                <w:rFonts w:hint="default" w:ascii="Times New Roman" w:hAnsi="Times New Roman" w:cs="Times New Roman" w:eastAsiaTheme="minorEastAsia"/>
                <w:color w:val="000000"/>
                <w:sz w:val="18"/>
                <w:szCs w:val="18"/>
              </w:rPr>
              <w:t xml:space="preserve">中背</w:t>
            </w:r>
            <w:r/>
          </w:p>
          <w:p>
            <w:pPr>
              <w:jc w:val="center"/>
              <w:rPr>
                <w:rFonts w:hint="default" w:ascii="Times New Roman" w:hAnsi="Times New Roman" w:cs="Times New Roman"/>
                <w:color w:val="000000"/>
                <w:sz w:val="18"/>
                <w:szCs w:val="18"/>
              </w:rPr>
            </w:pPr>
            <w:r>
              <w:rPr>
                <w:rFonts w:hint="default" w:ascii="Times New Roman" w:hAnsi="Times New Roman" w:cs="Times New Roman" w:eastAsiaTheme="minorEastAsia"/>
                <w:color w:val="000000"/>
                <w:sz w:val="18"/>
                <w:szCs w:val="18"/>
              </w:rPr>
              <w:t xml:space="preserve">600*610*825mm</w:t>
            </w:r>
            <w:r/>
          </w:p>
        </w:tc>
        <w:tc>
          <w:tcPr>
            <w:tcW w:w="1050" w:type="dxa"/>
            <w:vAlign w:val="center"/>
            <w:textDirection w:val="lrTb"/>
            <w:noWrap w:val="false"/>
          </w:tcPr>
          <w:p>
            <w:pPr>
              <w:jc w:val="center"/>
              <w:rPr>
                <w:rFonts w:hint="default" w:ascii="Times New Roman" w:hAnsi="Times New Roman" w:cs="Times New Roman"/>
                <w:sz w:val="18"/>
                <w:szCs w:val="18"/>
              </w:rPr>
            </w:pPr>
            <w:r>
              <w:rPr>
                <w:rFonts w:hint="default" w:ascii="Times New Roman" w:hAnsi="Times New Roman" w:cs="Times New Roman" w:eastAsiaTheme="minorEastAsia"/>
                <w:sz w:val="18"/>
                <w:szCs w:val="18"/>
              </w:rPr>
              <w:t xml:space="preserve">3</w:t>
            </w:r>
            <w:r/>
          </w:p>
        </w:tc>
      </w:tr>
    </w:tbl>
    <w:p>
      <w:pPr>
        <w:jc w:val="left"/>
        <w:rPr>
          <w:rFonts w:hint="default" w:ascii="Times New Roman" w:hAnsi="Times New Roman" w:cs="Times New Roman"/>
        </w:rPr>
      </w:pPr>
      <w:r>
        <w:rPr>
          <w:rFonts w:hint="default" w:ascii="Times New Roman" w:hAnsi="Times New Roman" w:cs="Times New Roman"/>
        </w:rPr>
      </w:r>
      <w:r/>
    </w:p>
    <w:sectPr>
      <w:headerReference w:type="default" r:id="rId9"/>
      <w:footerReference w:type="default" r:id="rId10"/>
      <w:footerReference w:type="first" r:id="rId11"/>
      <w:footnotePr/>
      <w:endnotePr/>
      <w:type w:val="nextPage"/>
      <w:pgSz w:w="11906" w:h="16838" w:orient="portrait"/>
      <w:pgMar w:top="993" w:right="907" w:bottom="794" w:left="907" w:header="567" w:footer="23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等线">
    <w:panose1 w:val="02010600030101010101"/>
  </w:font>
  <w:font w:name="楷体">
    <w:panose1 w:val="02010609060101010101"/>
  </w:font>
  <w:font w:name="Wingdings">
    <w:panose1 w:val="05000000000000000000"/>
  </w:font>
  <w:font w:name="Tahoma">
    <w:panose1 w:val="020B0604030504040204"/>
  </w:font>
  <w:font w:name="Courier New">
    <w:panose1 w:val="02070309020205020404"/>
  </w:font>
  <w:font w:name="仿宋_GB2312">
    <w:panose1 w:val="02010609060101010101"/>
  </w:font>
  <w:font w:name="华文中宋">
    <w:panose1 w:val="02010600040101010101"/>
  </w:font>
  <w:font w:name="Verdana">
    <w:panose1 w:val="020B0604030504040204"/>
  </w:font>
  <w:font w:name="黑体">
    <w:panose1 w:val="02010609060101010101"/>
  </w:font>
  <w:font w:name="楷体_GB2312">
    <w:panose1 w:val="02010609060101010101"/>
  </w:font>
  <w:font w:name="Calibri">
    <w:panose1 w:val="020F0502020204030204"/>
  </w:font>
  <w:font w:name="微软雅黑">
    <w:panose1 w:val="020B0503020204020204"/>
  </w:font>
  <w:font w:name="Batang">
    <w:panose1 w:val="02010600040101010101"/>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center"/>
      <w:rPr>
        <w:rFonts w:ascii="宋体" w:hAnsi="宋体"/>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lang w:val="zh-CN"/>
      </w:rPr>
      <w:t xml:space="preserve">105</w:t>
    </w:r>
    <w:r>
      <w:rPr>
        <w:rFonts w:ascii="宋体" w:hAnsi="宋体"/>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center"/>
    </w:pPr>
    <w:r/>
    <w:r/>
  </w:p>
  <w:p>
    <w:pPr>
      <w:pStyle w:val="88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both"/>
    </w:pPr>
    <w:r>
      <w:t xml:space="preserve">苏州</w:t>
    </w:r>
    <w:r>
      <w:rPr>
        <w:rFonts w:hint="eastAsia"/>
      </w:rPr>
      <w:t xml:space="preserve">工业园区集中采购中心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4"/>
      <w:numFmt w:val="chineseCounting"/>
      <w:isLgl w:val="false"/>
      <w:suff w:val="nothing"/>
      <w:lvlText w:val="%1、"/>
      <w:lvlJc w:val="left"/>
      <w:pPr>
        <w:ind w:left="0" w:firstLine="0"/>
      </w:pPr>
      <w:rPr>
        <w:rFonts w:hint="eastAsia" w:ascii="宋体" w:hAnsi="宋体" w:eastAsia="宋体"/>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883" w:hanging="315"/>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7">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1701" w:hanging="567"/>
      </w:pPr>
    </w:lvl>
    <w:lvl w:ilvl="2">
      <w:start w:val="1"/>
      <w:numFmt w:val="decimal"/>
      <w:isLgl w:val="false"/>
      <w:suff w:val="tab"/>
      <w:lvlText w:val="%1.%2.%3"/>
      <w:lvlJc w:val="left"/>
      <w:pPr>
        <w:ind w:left="1134"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8">
    <w:multiLevelType w:val="hybridMultilevel"/>
    <w:lvl w:ilvl="0">
      <w:start w:val="1"/>
      <w:numFmt w:val="decimal"/>
      <w:isLgl w:val="false"/>
      <w:suff w:val="tab"/>
      <w:lvlText w:val="%1"/>
      <w:lvlJc w:val="left"/>
      <w:pPr>
        <w:ind w:left="425" w:hanging="425"/>
      </w:pPr>
      <w:rPr>
        <w:rFonts w:hint="eastAsia"/>
        <w:b/>
      </w:rPr>
    </w:lvl>
    <w:lvl w:ilvl="1">
      <w:start w:val="1"/>
      <w:numFmt w:val="decimal"/>
      <w:isLgl w:val="false"/>
      <w:suff w:val="tab"/>
      <w:lvlText w:val="%1.%2"/>
      <w:lvlJc w:val="left"/>
      <w:pPr>
        <w:ind w:left="992" w:hanging="567"/>
      </w:pPr>
      <w:rPr>
        <w:rFonts w:hint="eastAsia"/>
        <w:b w:val="0"/>
      </w:rPr>
    </w:lvl>
    <w:lvl w:ilvl="2">
      <w:start w:val="1"/>
      <w:numFmt w:val="decimal"/>
      <w:isLgl w:val="false"/>
      <w:suff w:val="tab"/>
      <w:lvlText w:val="%1.%2.%3"/>
      <w:lvlJc w:val="left"/>
      <w:pPr>
        <w:ind w:left="1418" w:hanging="567"/>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9">
    <w:multiLevelType w:val="hybridMultilevel"/>
    <w:lvl w:ilvl="0">
      <w:start w:val="1"/>
      <w:numFmt w:val="decimal"/>
      <w:isLgl w:val="false"/>
      <w:suff w:val="tab"/>
      <w:lvlText w:val="%1、"/>
      <w:lvlJc w:val="left"/>
      <w:pPr>
        <w:ind w:left="786" w:hanging="360"/>
      </w:pPr>
      <w:rPr>
        <w:rFonts w:hint="default"/>
      </w:rPr>
    </w:lvl>
    <w:lvl w:ilvl="1">
      <w:start w:val="1"/>
      <w:numFmt w:val="lowerLetter"/>
      <w:isLgl w:val="false"/>
      <w:suff w:val="tab"/>
      <w:lvlText w:val="%2)"/>
      <w:lvlJc w:val="left"/>
      <w:pPr>
        <w:ind w:left="1266" w:hanging="420"/>
      </w:pPr>
    </w:lvl>
    <w:lvl w:ilvl="2">
      <w:start w:val="1"/>
      <w:numFmt w:val="lowerRoman"/>
      <w:isLgl w:val="false"/>
      <w:suff w:val="tab"/>
      <w:lvlText w:val="%3."/>
      <w:lvlJc w:val="right"/>
      <w:pPr>
        <w:ind w:left="1686" w:hanging="420"/>
      </w:pPr>
    </w:lvl>
    <w:lvl w:ilvl="3">
      <w:start w:val="1"/>
      <w:numFmt w:val="decimal"/>
      <w:isLgl w:val="false"/>
      <w:suff w:val="tab"/>
      <w:lvlText w:val="%4."/>
      <w:lvlJc w:val="left"/>
      <w:pPr>
        <w:ind w:left="2106" w:hanging="420"/>
      </w:pPr>
    </w:lvl>
    <w:lvl w:ilvl="4">
      <w:start w:val="1"/>
      <w:numFmt w:val="lowerLetter"/>
      <w:isLgl w:val="false"/>
      <w:suff w:val="tab"/>
      <w:lvlText w:val="%5)"/>
      <w:lvlJc w:val="left"/>
      <w:pPr>
        <w:ind w:left="2526" w:hanging="420"/>
      </w:pPr>
    </w:lvl>
    <w:lvl w:ilvl="5">
      <w:start w:val="1"/>
      <w:numFmt w:val="lowerRoman"/>
      <w:isLgl w:val="false"/>
      <w:suff w:val="tab"/>
      <w:lvlText w:val="%6."/>
      <w:lvlJc w:val="right"/>
      <w:pPr>
        <w:ind w:left="2946" w:hanging="420"/>
      </w:pPr>
    </w:lvl>
    <w:lvl w:ilvl="6">
      <w:start w:val="1"/>
      <w:numFmt w:val="decimal"/>
      <w:isLgl w:val="false"/>
      <w:suff w:val="tab"/>
      <w:lvlText w:val="%7."/>
      <w:lvlJc w:val="left"/>
      <w:pPr>
        <w:ind w:left="3366" w:hanging="420"/>
      </w:pPr>
    </w:lvl>
    <w:lvl w:ilvl="7">
      <w:start w:val="1"/>
      <w:numFmt w:val="lowerLetter"/>
      <w:isLgl w:val="false"/>
      <w:suff w:val="tab"/>
      <w:lvlText w:val="%8)"/>
      <w:lvlJc w:val="left"/>
      <w:pPr>
        <w:ind w:left="3786" w:hanging="420"/>
      </w:pPr>
    </w:lvl>
    <w:lvl w:ilvl="8">
      <w:start w:val="1"/>
      <w:numFmt w:val="lowerRoman"/>
      <w:isLgl w:val="false"/>
      <w:suff w:val="tab"/>
      <w:lvlText w:val="%9."/>
      <w:lvlJc w:val="right"/>
      <w:pPr>
        <w:ind w:left="4206" w:hanging="420"/>
      </w:pPr>
    </w:lvl>
  </w:abstractNum>
  <w:abstractNum w:abstractNumId="10">
    <w:multiLevelType w:val="hybridMultilevel"/>
    <w:lvl w:ilvl="0">
      <w:start w:val="1"/>
      <w:numFmt w:val="japaneseCounting"/>
      <w:isLgl w:val="false"/>
      <w:suff w:val="tab"/>
      <w:lvlText w:val="第%1章"/>
      <w:lvlJc w:val="left"/>
      <w:pPr>
        <w:ind w:left="1810" w:hanging="960"/>
      </w:pPr>
      <w:rPr>
        <w:rFonts w:hint="default"/>
      </w:rPr>
    </w:lvl>
    <w:lvl w:ilvl="1">
      <w:start w:val="1"/>
      <w:numFmt w:val="lowerLetter"/>
      <w:isLgl w:val="false"/>
      <w:suff w:val="tab"/>
      <w:lvlText w:val="%2)"/>
      <w:lvlJc w:val="left"/>
      <w:pPr>
        <w:ind w:left="1690" w:hanging="420"/>
      </w:pPr>
    </w:lvl>
    <w:lvl w:ilvl="2">
      <w:start w:val="1"/>
      <w:numFmt w:val="lowerRoman"/>
      <w:isLgl w:val="false"/>
      <w:suff w:val="tab"/>
      <w:lvlText w:val="%3."/>
      <w:lvlJc w:val="right"/>
      <w:pPr>
        <w:ind w:left="2110" w:hanging="420"/>
      </w:pPr>
    </w:lvl>
    <w:lvl w:ilvl="3">
      <w:start w:val="1"/>
      <w:numFmt w:val="decimal"/>
      <w:isLgl w:val="false"/>
      <w:suff w:val="tab"/>
      <w:lvlText w:val="%4."/>
      <w:lvlJc w:val="left"/>
      <w:pPr>
        <w:ind w:left="2530" w:hanging="420"/>
      </w:pPr>
    </w:lvl>
    <w:lvl w:ilvl="4">
      <w:start w:val="1"/>
      <w:numFmt w:val="lowerLetter"/>
      <w:isLgl w:val="false"/>
      <w:suff w:val="tab"/>
      <w:lvlText w:val="%5)"/>
      <w:lvlJc w:val="left"/>
      <w:pPr>
        <w:ind w:left="2950" w:hanging="420"/>
      </w:pPr>
    </w:lvl>
    <w:lvl w:ilvl="5">
      <w:start w:val="1"/>
      <w:numFmt w:val="lowerRoman"/>
      <w:isLgl w:val="false"/>
      <w:suff w:val="tab"/>
      <w:lvlText w:val="%6."/>
      <w:lvlJc w:val="right"/>
      <w:pPr>
        <w:ind w:left="3370" w:hanging="420"/>
      </w:pPr>
    </w:lvl>
    <w:lvl w:ilvl="6">
      <w:start w:val="1"/>
      <w:numFmt w:val="decimal"/>
      <w:isLgl w:val="false"/>
      <w:suff w:val="tab"/>
      <w:lvlText w:val="%7."/>
      <w:lvlJc w:val="left"/>
      <w:pPr>
        <w:ind w:left="3790" w:hanging="420"/>
      </w:pPr>
    </w:lvl>
    <w:lvl w:ilvl="7">
      <w:start w:val="1"/>
      <w:numFmt w:val="lowerLetter"/>
      <w:isLgl w:val="false"/>
      <w:suff w:val="tab"/>
      <w:lvlText w:val="%8)"/>
      <w:lvlJc w:val="left"/>
      <w:pPr>
        <w:ind w:left="4210" w:hanging="420"/>
      </w:pPr>
    </w:lvl>
    <w:lvl w:ilvl="8">
      <w:start w:val="1"/>
      <w:numFmt w:val="lowerRoman"/>
      <w:isLgl w:val="false"/>
      <w:suff w:val="tab"/>
      <w:lvlText w:val="%9."/>
      <w:lvlJc w:val="right"/>
      <w:pPr>
        <w:ind w:left="4630" w:hanging="420"/>
      </w:pPr>
    </w:lvl>
  </w:abstractNum>
  <w:abstractNum w:abstractNumId="11">
    <w:multiLevelType w:val="hybridMultilevel"/>
    <w:lvl w:ilvl="0">
      <w:start w:val="1"/>
      <w:numFmt w:val="japaneseCounting"/>
      <w:isLgl w:val="false"/>
      <w:suff w:val="tab"/>
      <w:lvlText w:val="第%1章"/>
      <w:lvlJc w:val="left"/>
      <w:pPr>
        <w:ind w:left="1877" w:hanging="1275"/>
      </w:pPr>
      <w:rPr>
        <w:rFonts w:hint="default"/>
      </w:rPr>
    </w:lvl>
    <w:lvl w:ilvl="1">
      <w:start w:val="1"/>
      <w:numFmt w:val="lowerLetter"/>
      <w:isLgl w:val="false"/>
      <w:suff w:val="tab"/>
      <w:lvlText w:val="%2)"/>
      <w:lvlJc w:val="left"/>
      <w:pPr>
        <w:ind w:left="1442" w:hanging="420"/>
      </w:pPr>
    </w:lvl>
    <w:lvl w:ilvl="2">
      <w:start w:val="1"/>
      <w:numFmt w:val="lowerRoman"/>
      <w:isLgl w:val="false"/>
      <w:suff w:val="tab"/>
      <w:lvlText w:val="%3."/>
      <w:lvlJc w:val="right"/>
      <w:pPr>
        <w:ind w:left="1862" w:hanging="420"/>
      </w:pPr>
    </w:lvl>
    <w:lvl w:ilvl="3">
      <w:start w:val="1"/>
      <w:numFmt w:val="decimal"/>
      <w:isLgl w:val="false"/>
      <w:suff w:val="tab"/>
      <w:lvlText w:val="%4."/>
      <w:lvlJc w:val="left"/>
      <w:pPr>
        <w:ind w:left="2282" w:hanging="420"/>
      </w:pPr>
    </w:lvl>
    <w:lvl w:ilvl="4">
      <w:start w:val="1"/>
      <w:numFmt w:val="lowerLetter"/>
      <w:isLgl w:val="false"/>
      <w:suff w:val="tab"/>
      <w:lvlText w:val="%5)"/>
      <w:lvlJc w:val="left"/>
      <w:pPr>
        <w:ind w:left="2702" w:hanging="420"/>
      </w:pPr>
    </w:lvl>
    <w:lvl w:ilvl="5">
      <w:start w:val="1"/>
      <w:numFmt w:val="lowerRoman"/>
      <w:isLgl w:val="false"/>
      <w:suff w:val="tab"/>
      <w:lvlText w:val="%6."/>
      <w:lvlJc w:val="right"/>
      <w:pPr>
        <w:ind w:left="3122" w:hanging="420"/>
      </w:pPr>
    </w:lvl>
    <w:lvl w:ilvl="6">
      <w:start w:val="1"/>
      <w:numFmt w:val="decimal"/>
      <w:isLgl w:val="false"/>
      <w:suff w:val="tab"/>
      <w:lvlText w:val="%7."/>
      <w:lvlJc w:val="left"/>
      <w:pPr>
        <w:ind w:left="3542" w:hanging="420"/>
      </w:pPr>
    </w:lvl>
    <w:lvl w:ilvl="7">
      <w:start w:val="1"/>
      <w:numFmt w:val="lowerLetter"/>
      <w:isLgl w:val="false"/>
      <w:suff w:val="tab"/>
      <w:lvlText w:val="%8)"/>
      <w:lvlJc w:val="left"/>
      <w:pPr>
        <w:ind w:left="3962" w:hanging="420"/>
      </w:pPr>
    </w:lvl>
    <w:lvl w:ilvl="8">
      <w:start w:val="1"/>
      <w:numFmt w:val="lowerRoman"/>
      <w:isLgl w:val="false"/>
      <w:suff w:val="tab"/>
      <w:lvlText w:val="%9."/>
      <w:lvlJc w:val="right"/>
      <w:pPr>
        <w:ind w:left="4382" w:hanging="420"/>
      </w:pPr>
    </w:lvl>
  </w:abstractNum>
  <w:num w:numId="1">
    <w:abstractNumId w:val="10"/>
  </w:num>
  <w:num w:numId="2">
    <w:abstractNumId w:val="11"/>
  </w:num>
  <w:num w:numId="3">
    <w:abstractNumId w:val="7"/>
  </w:num>
  <w:num w:numId="4">
    <w:abstractNumId w:val="8"/>
  </w:num>
  <w:num w:numId="5">
    <w:abstractNumId w:val="9"/>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0"/>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7">
    <w:name w:val="Heading 1 Char"/>
    <w:basedOn w:val="857"/>
    <w:link w:val="848"/>
    <w:uiPriority w:val="9"/>
    <w:rPr>
      <w:rFonts w:ascii="Arial" w:hAnsi="Arial" w:eastAsia="Arial" w:cs="Arial"/>
      <w:sz w:val="40"/>
      <w:szCs w:val="40"/>
    </w:rPr>
  </w:style>
  <w:style w:type="character" w:styleId="698">
    <w:name w:val="Heading 2 Char"/>
    <w:basedOn w:val="857"/>
    <w:link w:val="849"/>
    <w:uiPriority w:val="9"/>
    <w:rPr>
      <w:rFonts w:ascii="Arial" w:hAnsi="Arial" w:eastAsia="Arial" w:cs="Arial"/>
      <w:sz w:val="34"/>
    </w:rPr>
  </w:style>
  <w:style w:type="character" w:styleId="699">
    <w:name w:val="Heading 3 Char"/>
    <w:basedOn w:val="857"/>
    <w:link w:val="850"/>
    <w:uiPriority w:val="9"/>
    <w:rPr>
      <w:rFonts w:ascii="Arial" w:hAnsi="Arial" w:eastAsia="Arial" w:cs="Arial"/>
      <w:sz w:val="30"/>
      <w:szCs w:val="30"/>
    </w:rPr>
  </w:style>
  <w:style w:type="character" w:styleId="700">
    <w:name w:val="Heading 4 Char"/>
    <w:basedOn w:val="857"/>
    <w:link w:val="851"/>
    <w:uiPriority w:val="9"/>
    <w:rPr>
      <w:rFonts w:ascii="Arial" w:hAnsi="Arial" w:eastAsia="Arial" w:cs="Arial"/>
      <w:b/>
      <w:bCs/>
      <w:sz w:val="26"/>
      <w:szCs w:val="26"/>
    </w:rPr>
  </w:style>
  <w:style w:type="character" w:styleId="701">
    <w:name w:val="Heading 5 Char"/>
    <w:basedOn w:val="857"/>
    <w:link w:val="852"/>
    <w:uiPriority w:val="9"/>
    <w:rPr>
      <w:rFonts w:ascii="Arial" w:hAnsi="Arial" w:eastAsia="Arial" w:cs="Arial"/>
      <w:b/>
      <w:bCs/>
      <w:sz w:val="24"/>
      <w:szCs w:val="24"/>
    </w:rPr>
  </w:style>
  <w:style w:type="character" w:styleId="702">
    <w:name w:val="Heading 6 Char"/>
    <w:basedOn w:val="857"/>
    <w:link w:val="853"/>
    <w:uiPriority w:val="9"/>
    <w:rPr>
      <w:rFonts w:ascii="Arial" w:hAnsi="Arial" w:eastAsia="Arial" w:cs="Arial"/>
      <w:b/>
      <w:bCs/>
      <w:sz w:val="22"/>
      <w:szCs w:val="22"/>
    </w:rPr>
  </w:style>
  <w:style w:type="character" w:styleId="703">
    <w:name w:val="Heading 7 Char"/>
    <w:basedOn w:val="857"/>
    <w:link w:val="854"/>
    <w:uiPriority w:val="9"/>
    <w:rPr>
      <w:rFonts w:ascii="Arial" w:hAnsi="Arial" w:eastAsia="Arial" w:cs="Arial"/>
      <w:b/>
      <w:bCs/>
      <w:i/>
      <w:iCs/>
      <w:sz w:val="22"/>
      <w:szCs w:val="22"/>
    </w:rPr>
  </w:style>
  <w:style w:type="character" w:styleId="704">
    <w:name w:val="Heading 8 Char"/>
    <w:basedOn w:val="857"/>
    <w:link w:val="855"/>
    <w:uiPriority w:val="9"/>
    <w:rPr>
      <w:rFonts w:ascii="Arial" w:hAnsi="Arial" w:eastAsia="Arial" w:cs="Arial"/>
      <w:i/>
      <w:iCs/>
      <w:sz w:val="22"/>
      <w:szCs w:val="22"/>
    </w:rPr>
  </w:style>
  <w:style w:type="character" w:styleId="705">
    <w:name w:val="Heading 9 Char"/>
    <w:basedOn w:val="857"/>
    <w:link w:val="856"/>
    <w:uiPriority w:val="9"/>
    <w:rPr>
      <w:rFonts w:ascii="Arial" w:hAnsi="Arial" w:eastAsia="Arial" w:cs="Arial"/>
      <w:i/>
      <w:iCs/>
      <w:sz w:val="21"/>
      <w:szCs w:val="21"/>
    </w:rPr>
  </w:style>
  <w:style w:type="paragraph" w:styleId="706">
    <w:name w:val="Title"/>
    <w:basedOn w:val="847"/>
    <w:next w:val="847"/>
    <w:link w:val="707"/>
    <w:uiPriority w:val="10"/>
    <w:qFormat/>
    <w:pPr>
      <w:contextualSpacing/>
      <w:spacing w:before="300" w:after="200"/>
    </w:pPr>
    <w:rPr>
      <w:sz w:val="48"/>
      <w:szCs w:val="48"/>
    </w:rPr>
  </w:style>
  <w:style w:type="character" w:styleId="707">
    <w:name w:val="Title Char"/>
    <w:basedOn w:val="857"/>
    <w:link w:val="706"/>
    <w:uiPriority w:val="10"/>
    <w:rPr>
      <w:sz w:val="48"/>
      <w:szCs w:val="48"/>
    </w:rPr>
  </w:style>
  <w:style w:type="paragraph" w:styleId="708">
    <w:name w:val="Subtitle"/>
    <w:basedOn w:val="847"/>
    <w:next w:val="847"/>
    <w:link w:val="709"/>
    <w:uiPriority w:val="11"/>
    <w:qFormat/>
    <w:pPr>
      <w:spacing w:before="200" w:after="200"/>
    </w:pPr>
    <w:rPr>
      <w:sz w:val="24"/>
      <w:szCs w:val="24"/>
    </w:rPr>
  </w:style>
  <w:style w:type="character" w:styleId="709">
    <w:name w:val="Subtitle Char"/>
    <w:basedOn w:val="857"/>
    <w:link w:val="708"/>
    <w:uiPriority w:val="11"/>
    <w:rPr>
      <w:sz w:val="24"/>
      <w:szCs w:val="24"/>
    </w:rPr>
  </w:style>
  <w:style w:type="paragraph" w:styleId="710">
    <w:name w:val="Quote"/>
    <w:basedOn w:val="847"/>
    <w:next w:val="847"/>
    <w:link w:val="711"/>
    <w:uiPriority w:val="29"/>
    <w:qFormat/>
    <w:pPr>
      <w:ind w:left="720" w:right="720"/>
    </w:pPr>
    <w:rPr>
      <w:i/>
    </w:rPr>
  </w:style>
  <w:style w:type="character" w:styleId="711">
    <w:name w:val="Quote Char"/>
    <w:link w:val="710"/>
    <w:uiPriority w:val="29"/>
    <w:rPr>
      <w:i/>
    </w:rPr>
  </w:style>
  <w:style w:type="paragraph" w:styleId="712">
    <w:name w:val="Intense Quote"/>
    <w:basedOn w:val="847"/>
    <w:next w:val="847"/>
    <w:link w:val="7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name w:val="Intense Quote Char"/>
    <w:link w:val="712"/>
    <w:uiPriority w:val="30"/>
    <w:rPr>
      <w:i/>
    </w:rPr>
  </w:style>
  <w:style w:type="character" w:styleId="714">
    <w:name w:val="Header Char"/>
    <w:basedOn w:val="857"/>
    <w:link w:val="882"/>
    <w:uiPriority w:val="99"/>
  </w:style>
  <w:style w:type="character" w:styleId="715">
    <w:name w:val="Footer Char"/>
    <w:basedOn w:val="857"/>
    <w:link w:val="881"/>
    <w:uiPriority w:val="99"/>
  </w:style>
  <w:style w:type="character" w:styleId="716">
    <w:name w:val="Caption Char"/>
    <w:basedOn w:val="863"/>
    <w:link w:val="881"/>
    <w:uiPriority w:val="99"/>
  </w:style>
  <w:style w:type="table" w:styleId="717">
    <w:name w:val="Table Grid Light"/>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8">
    <w:name w:val="Plain Table 1"/>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2"/>
    <w:basedOn w:val="8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3"/>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name w:val="Plain Table 4"/>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name w:val="Plain Table 5"/>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3">
    <w:name w:val="Grid Table 1 Light"/>
    <w:basedOn w:val="8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4">
    <w:name w:val="Grid Table 1 Light - Accent 1"/>
    <w:basedOn w:val="8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5">
    <w:name w:val="Grid Table 1 Light - Accent 2"/>
    <w:basedOn w:val="8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6">
    <w:name w:val="Grid Table 1 Light - Accent 3"/>
    <w:basedOn w:val="8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7">
    <w:name w:val="Grid Table 1 Light - Accent 4"/>
    <w:basedOn w:val="8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8">
    <w:name w:val="Grid Table 1 Light - Accent 5"/>
    <w:basedOn w:val="8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9">
    <w:name w:val="Grid Table 1 Light - Accent 6"/>
    <w:basedOn w:val="8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0">
    <w:name w:val="Grid Table 2"/>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1">
    <w:name w:val="Grid Table 2 - Accent 1"/>
    <w:basedOn w:val="8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2">
    <w:name w:val="Grid Table 2 - Accent 2"/>
    <w:basedOn w:val="8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3">
    <w:name w:val="Grid Table 2 - Accent 3"/>
    <w:basedOn w:val="8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4">
    <w:name w:val="Grid Table 2 - Accent 4"/>
    <w:basedOn w:val="8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5">
    <w:name w:val="Grid Table 2 - Accent 5"/>
    <w:basedOn w:val="8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6">
    <w:name w:val="Grid Table 2 - Accent 6"/>
    <w:basedOn w:val="8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7">
    <w:name w:val="Grid Table 3"/>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1"/>
    <w:basedOn w:val="8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2"/>
    <w:basedOn w:val="8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3"/>
    <w:basedOn w:val="8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4"/>
    <w:basedOn w:val="8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5"/>
    <w:basedOn w:val="8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6"/>
    <w:basedOn w:val="8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4"/>
    <w:basedOn w:val="8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name w:val="Grid Table 4 - Accent 1"/>
    <w:basedOn w:val="85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6">
    <w:name w:val="Grid Table 4 - Accent 2"/>
    <w:basedOn w:val="85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7">
    <w:name w:val="Grid Table 4 - Accent 3"/>
    <w:basedOn w:val="85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8">
    <w:name w:val="Grid Table 4 - Accent 4"/>
    <w:basedOn w:val="85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9">
    <w:name w:val="Grid Table 4 - Accent 5"/>
    <w:basedOn w:val="85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0">
    <w:name w:val="Grid Table 4 - Accent 6"/>
    <w:basedOn w:val="85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1">
    <w:name w:val="Grid Table 5 Dark"/>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2">
    <w:name w:val="Grid Table 5 Dark- Accent 1"/>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3">
    <w:name w:val="Grid Table 5 Dark - Accent 2"/>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4">
    <w:name w:val="Grid Table 5 Dark - Accent 3"/>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5">
    <w:name w:val="Grid Table 5 Dark- Accent 4"/>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6">
    <w:name w:val="Grid Table 5 Dark - Accent 5"/>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7">
    <w:name w:val="Grid Table 5 Dark - Accent 6"/>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8">
    <w:name w:val="Grid Table 6 Colorful"/>
    <w:basedOn w:val="8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9">
    <w:name w:val="Grid Table 6 Colorful - Accent 1"/>
    <w:basedOn w:val="85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0">
    <w:name w:val="Grid Table 6 Colorful - Accent 2"/>
    <w:basedOn w:val="8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1">
    <w:name w:val="Grid Table 6 Colorful - Accent 3"/>
    <w:basedOn w:val="85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2">
    <w:name w:val="Grid Table 6 Colorful - Accent 4"/>
    <w:basedOn w:val="8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3">
    <w:name w:val="Grid Table 6 Colorful - Accent 5"/>
    <w:basedOn w:val="85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4">
    <w:name w:val="Grid Table 6 Colorful - Accent 6"/>
    <w:basedOn w:val="85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5">
    <w:name w:val="Grid Table 7 Colorful"/>
    <w:basedOn w:val="8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6">
    <w:name w:val="Grid Table 7 Colorful - Accent 1"/>
    <w:basedOn w:val="85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7">
    <w:name w:val="Grid Table 7 Colorful - Accent 2"/>
    <w:basedOn w:val="85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7 Colorful - Accent 3"/>
    <w:basedOn w:val="85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7 Colorful - Accent 4"/>
    <w:basedOn w:val="85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7 Colorful - Accent 5"/>
    <w:basedOn w:val="85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1">
    <w:name w:val="Grid Table 7 Colorful - Accent 6"/>
    <w:basedOn w:val="85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2">
    <w:name w:val="List Table 1 Light"/>
    <w:basedOn w:val="8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name w:val="List Table 1 Light - Accent 1"/>
    <w:basedOn w:val="85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4">
    <w:name w:val="List Table 1 Light - Accent 2"/>
    <w:basedOn w:val="85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5">
    <w:name w:val="List Table 1 Light - Accent 3"/>
    <w:basedOn w:val="85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6">
    <w:name w:val="List Table 1 Light - Accent 4"/>
    <w:basedOn w:val="85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7">
    <w:name w:val="List Table 1 Light - Accent 5"/>
    <w:basedOn w:val="85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8">
    <w:name w:val="List Table 1 Light - Accent 6"/>
    <w:basedOn w:val="85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9">
    <w:name w:val="List Table 2"/>
    <w:basedOn w:val="8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0">
    <w:name w:val="List Table 2 - Accent 1"/>
    <w:basedOn w:val="85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1">
    <w:name w:val="List Table 2 - Accent 2"/>
    <w:basedOn w:val="85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2">
    <w:name w:val="List Table 2 - Accent 3"/>
    <w:basedOn w:val="85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3">
    <w:name w:val="List Table 2 - Accent 4"/>
    <w:basedOn w:val="85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4">
    <w:name w:val="List Table 2 - Accent 5"/>
    <w:basedOn w:val="85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5">
    <w:name w:val="List Table 2 - Accent 6"/>
    <w:basedOn w:val="85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6">
    <w:name w:val="List Table 3"/>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3 - Accent 1"/>
    <w:basedOn w:val="85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8">
    <w:name w:val="List Table 3 - Accent 2"/>
    <w:basedOn w:val="8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9">
    <w:name w:val="List Table 3 - Accent 3"/>
    <w:basedOn w:val="85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0">
    <w:name w:val="List Table 3 - Accent 4"/>
    <w:basedOn w:val="8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1">
    <w:name w:val="List Table 3 - Accent 5"/>
    <w:basedOn w:val="85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2">
    <w:name w:val="List Table 3 - Accent 6"/>
    <w:basedOn w:val="85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3">
    <w:name w:val="List Table 4"/>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4 - Accent 1"/>
    <w:basedOn w:val="85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5">
    <w:name w:val="List Table 4 - Accent 2"/>
    <w:basedOn w:val="85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6">
    <w:name w:val="List Table 4 - Accent 3"/>
    <w:basedOn w:val="85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7">
    <w:name w:val="List Table 4 - Accent 4"/>
    <w:basedOn w:val="85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8">
    <w:name w:val="List Table 4 - Accent 5"/>
    <w:basedOn w:val="85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9">
    <w:name w:val="List Table 4 - Accent 6"/>
    <w:basedOn w:val="85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0">
    <w:name w:val="List Table 5 Dark"/>
    <w:basedOn w:val="8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1"/>
    <w:basedOn w:val="85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2"/>
    <w:basedOn w:val="85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3"/>
    <w:basedOn w:val="85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4"/>
    <w:basedOn w:val="85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5"/>
    <w:basedOn w:val="85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6"/>
    <w:basedOn w:val="85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6 Colorful"/>
    <w:basedOn w:val="8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8">
    <w:name w:val="List Table 6 Colorful - Accent 1"/>
    <w:basedOn w:val="85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9">
    <w:name w:val="List Table 6 Colorful - Accent 2"/>
    <w:basedOn w:val="85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0">
    <w:name w:val="List Table 6 Colorful - Accent 3"/>
    <w:basedOn w:val="85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1">
    <w:name w:val="List Table 6 Colorful - Accent 4"/>
    <w:basedOn w:val="85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2">
    <w:name w:val="List Table 6 Colorful - Accent 5"/>
    <w:basedOn w:val="85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3">
    <w:name w:val="List Table 6 Colorful - Accent 6"/>
    <w:basedOn w:val="85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4">
    <w:name w:val="List Table 7 Colorful"/>
    <w:basedOn w:val="8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5">
    <w:name w:val="List Table 7 Colorful - Accent 1"/>
    <w:basedOn w:val="85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6">
    <w:name w:val="List Table 7 Colorful - Accent 2"/>
    <w:basedOn w:val="85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7">
    <w:name w:val="List Table 7 Colorful - Accent 3"/>
    <w:basedOn w:val="85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8">
    <w:name w:val="List Table 7 Colorful - Accent 4"/>
    <w:basedOn w:val="85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9">
    <w:name w:val="List Table 7 Colorful - Accent 5"/>
    <w:basedOn w:val="85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0">
    <w:name w:val="List Table 7 Colorful - Accent 6"/>
    <w:basedOn w:val="85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1">
    <w:name w:val="Lined - Accent"/>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Lined - Accent 1"/>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3">
    <w:name w:val="Lined - Accent 2"/>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4">
    <w:name w:val="Lined - Accent 3"/>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5">
    <w:name w:val="Lined - Accent 4"/>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6">
    <w:name w:val="Lined - Accent 5"/>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7">
    <w:name w:val="Lined - Accent 6"/>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8">
    <w:name w:val="Bordered &amp; Lined - Accent"/>
    <w:basedOn w:val="85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Bordered &amp; Lined - Accent 1"/>
    <w:basedOn w:val="85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0">
    <w:name w:val="Bordered &amp; Lined - Accent 2"/>
    <w:basedOn w:val="85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1">
    <w:name w:val="Bordered &amp; Lined - Accent 3"/>
    <w:basedOn w:val="85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2">
    <w:name w:val="Bordered &amp; Lined - Accent 4"/>
    <w:basedOn w:val="85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3">
    <w:name w:val="Bordered &amp; Lined - Accent 5"/>
    <w:basedOn w:val="85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4">
    <w:name w:val="Bordered &amp; Lined - Accent 6"/>
    <w:basedOn w:val="85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5">
    <w:name w:val="Bordered"/>
    <w:basedOn w:val="85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6">
    <w:name w:val="Bordered - Accent 1"/>
    <w:basedOn w:val="8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7">
    <w:name w:val="Bordered - Accent 2"/>
    <w:basedOn w:val="8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8">
    <w:name w:val="Bordered - Accent 3"/>
    <w:basedOn w:val="8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9">
    <w:name w:val="Bordered - Accent 4"/>
    <w:basedOn w:val="8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0">
    <w:name w:val="Bordered - Accent 5"/>
    <w:basedOn w:val="8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1">
    <w:name w:val="Bordered - Accent 6"/>
    <w:basedOn w:val="8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2">
    <w:name w:val="Footnote Text Char"/>
    <w:link w:val="887"/>
    <w:uiPriority w:val="99"/>
    <w:rPr>
      <w:sz w:val="18"/>
    </w:rPr>
  </w:style>
  <w:style w:type="paragraph" w:styleId="843">
    <w:name w:val="endnote text"/>
    <w:basedOn w:val="847"/>
    <w:link w:val="844"/>
    <w:uiPriority w:val="99"/>
    <w:semiHidden/>
    <w:unhideWhenUsed/>
    <w:pPr>
      <w:spacing w:after="0" w:line="240" w:lineRule="auto"/>
    </w:pPr>
    <w:rPr>
      <w:sz w:val="20"/>
    </w:rPr>
  </w:style>
  <w:style w:type="character" w:styleId="844">
    <w:name w:val="Endnote Text Char"/>
    <w:link w:val="843"/>
    <w:uiPriority w:val="99"/>
    <w:rPr>
      <w:sz w:val="20"/>
    </w:rPr>
  </w:style>
  <w:style w:type="character" w:styleId="845">
    <w:name w:val="endnote reference"/>
    <w:basedOn w:val="857"/>
    <w:uiPriority w:val="99"/>
    <w:semiHidden/>
    <w:unhideWhenUsed/>
    <w:rPr>
      <w:vertAlign w:val="superscript"/>
    </w:rPr>
  </w:style>
  <w:style w:type="paragraph" w:styleId="846">
    <w:name w:val="TOC Heading"/>
    <w:uiPriority w:val="39"/>
    <w:unhideWhenUsed/>
  </w:style>
  <w:style w:type="paragraph" w:styleId="847"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848">
    <w:name w:val="Heading 1"/>
    <w:basedOn w:val="847"/>
    <w:next w:val="847"/>
    <w:link w:val="912"/>
    <w:uiPriority w:val="0"/>
    <w:qFormat/>
    <w:pPr>
      <w:ind w:left="420" w:hanging="420"/>
      <w:keepLines/>
      <w:keepNext/>
      <w:spacing w:before="340" w:after="330" w:line="400" w:lineRule="exact"/>
      <w:outlineLvl w:val="0"/>
    </w:pPr>
    <w:rPr>
      <w:rFonts w:ascii="宋体" w:hAnsi="宋体"/>
      <w:b/>
      <w:bCs/>
      <w:sz w:val="20"/>
      <w:szCs w:val="21"/>
    </w:rPr>
  </w:style>
  <w:style w:type="paragraph" w:styleId="849">
    <w:name w:val="Heading 2"/>
    <w:basedOn w:val="847"/>
    <w:next w:val="859"/>
    <w:link w:val="914"/>
    <w:uiPriority w:val="0"/>
    <w:qFormat/>
    <w:pPr>
      <w:keepLines/>
      <w:keepNext/>
      <w:spacing w:before="260" w:after="260" w:line="416" w:lineRule="auto"/>
      <w:outlineLvl w:val="1"/>
    </w:pPr>
    <w:rPr>
      <w:rFonts w:ascii="Cambria" w:hAnsi="Cambria"/>
      <w:b/>
      <w:bCs/>
      <w:sz w:val="32"/>
      <w:szCs w:val="32"/>
    </w:rPr>
  </w:style>
  <w:style w:type="paragraph" w:styleId="850">
    <w:name w:val="Heading 3"/>
    <w:basedOn w:val="847"/>
    <w:next w:val="847"/>
    <w:link w:val="915"/>
    <w:uiPriority w:val="0"/>
    <w:qFormat/>
    <w:pPr>
      <w:keepLines/>
      <w:keepNext/>
      <w:spacing w:before="260" w:after="260" w:line="416" w:lineRule="auto"/>
      <w:outlineLvl w:val="2"/>
    </w:pPr>
    <w:rPr>
      <w:b/>
      <w:bCs/>
      <w:sz w:val="32"/>
      <w:szCs w:val="32"/>
    </w:rPr>
  </w:style>
  <w:style w:type="paragraph" w:styleId="851">
    <w:name w:val="Heading 4"/>
    <w:basedOn w:val="847"/>
    <w:next w:val="859"/>
    <w:link w:val="916"/>
    <w:uiPriority w:val="0"/>
    <w:qFormat/>
    <w:pPr>
      <w:keepLines/>
      <w:keepNext/>
      <w:spacing w:before="280" w:after="290" w:line="376" w:lineRule="auto"/>
      <w:outlineLvl w:val="3"/>
    </w:pPr>
    <w:rPr>
      <w:rFonts w:ascii="Cambria" w:hAnsi="Cambria"/>
      <w:b/>
      <w:bCs/>
      <w:sz w:val="28"/>
      <w:szCs w:val="28"/>
    </w:rPr>
  </w:style>
  <w:style w:type="paragraph" w:styleId="852">
    <w:name w:val="Heading 5"/>
    <w:basedOn w:val="847"/>
    <w:next w:val="859"/>
    <w:link w:val="917"/>
    <w:uiPriority w:val="0"/>
    <w:qFormat/>
    <w:pPr>
      <w:keepLines/>
      <w:keepNext/>
      <w:spacing w:before="280" w:after="290" w:line="376" w:lineRule="auto"/>
      <w:outlineLvl w:val="4"/>
    </w:pPr>
    <w:rPr>
      <w:rFonts w:ascii="Calibri" w:hAnsi="Calibri"/>
      <w:b/>
      <w:bCs/>
      <w:sz w:val="28"/>
      <w:szCs w:val="28"/>
    </w:rPr>
  </w:style>
  <w:style w:type="paragraph" w:styleId="853">
    <w:name w:val="Heading 6"/>
    <w:basedOn w:val="847"/>
    <w:next w:val="859"/>
    <w:link w:val="918"/>
    <w:uiPriority w:val="0"/>
    <w:qFormat/>
    <w:pPr>
      <w:keepLines/>
      <w:keepNext/>
      <w:spacing w:before="240" w:after="64" w:line="320" w:lineRule="auto"/>
      <w:outlineLvl w:val="5"/>
    </w:pPr>
    <w:rPr>
      <w:rFonts w:ascii="Cambria" w:hAnsi="Cambria"/>
      <w:b/>
      <w:bCs/>
      <w:sz w:val="24"/>
      <w:szCs w:val="24"/>
    </w:rPr>
  </w:style>
  <w:style w:type="paragraph" w:styleId="854">
    <w:name w:val="Heading 7"/>
    <w:basedOn w:val="847"/>
    <w:next w:val="859"/>
    <w:link w:val="919"/>
    <w:uiPriority w:val="0"/>
    <w:qFormat/>
    <w:pPr>
      <w:keepLines/>
      <w:keepNext/>
      <w:spacing w:before="240" w:after="64" w:line="320" w:lineRule="auto"/>
      <w:outlineLvl w:val="6"/>
    </w:pPr>
    <w:rPr>
      <w:rFonts w:ascii="Calibri" w:hAnsi="Calibri"/>
      <w:b/>
      <w:bCs/>
      <w:sz w:val="24"/>
      <w:szCs w:val="24"/>
    </w:rPr>
  </w:style>
  <w:style w:type="paragraph" w:styleId="855">
    <w:name w:val="Heading 8"/>
    <w:basedOn w:val="847"/>
    <w:next w:val="859"/>
    <w:link w:val="920"/>
    <w:uiPriority w:val="0"/>
    <w:qFormat/>
    <w:pPr>
      <w:keepLines/>
      <w:keepNext/>
      <w:spacing w:before="240" w:after="64" w:line="320" w:lineRule="auto"/>
      <w:outlineLvl w:val="7"/>
    </w:pPr>
    <w:rPr>
      <w:rFonts w:ascii="Cambria" w:hAnsi="Cambria"/>
      <w:sz w:val="24"/>
      <w:szCs w:val="24"/>
    </w:rPr>
  </w:style>
  <w:style w:type="paragraph" w:styleId="856">
    <w:name w:val="Heading 9"/>
    <w:basedOn w:val="847"/>
    <w:next w:val="859"/>
    <w:link w:val="921"/>
    <w:uiPriority w:val="0"/>
    <w:qFormat/>
    <w:pPr>
      <w:keepLines/>
      <w:keepNext/>
      <w:spacing w:before="240" w:after="64" w:line="320" w:lineRule="auto"/>
      <w:outlineLvl w:val="8"/>
    </w:pPr>
    <w:rPr>
      <w:rFonts w:ascii="Cambria" w:hAnsi="Cambria"/>
      <w:sz w:val="20"/>
      <w:szCs w:val="21"/>
    </w:rPr>
  </w:style>
  <w:style w:type="character" w:styleId="857" w:default="1">
    <w:name w:val="Default Paragraph Font"/>
    <w:uiPriority w:val="1"/>
    <w:semiHidden/>
    <w:unhideWhenUsed/>
    <w:qFormat/>
  </w:style>
  <w:style w:type="table" w:styleId="858" w:default="1">
    <w:name w:val="Normal Table"/>
    <w:uiPriority w:val="99"/>
    <w:semiHidden/>
    <w:unhideWhenUsed/>
    <w:qFormat/>
    <w:tblPr>
      <w:tblCellMar>
        <w:left w:w="108" w:type="dxa"/>
        <w:top w:w="0" w:type="dxa"/>
        <w:right w:w="108" w:type="dxa"/>
        <w:bottom w:w="0" w:type="dxa"/>
      </w:tblCellMar>
    </w:tblPr>
  </w:style>
  <w:style w:type="paragraph" w:styleId="859">
    <w:name w:val="Normal Indent"/>
    <w:basedOn w:val="847"/>
    <w:link w:val="913"/>
    <w:uiPriority w:val="0"/>
    <w:qFormat/>
    <w:pPr>
      <w:ind w:firstLine="420"/>
      <w:jc w:val="left"/>
    </w:pPr>
    <w:rPr>
      <w:rFonts w:eastAsia="楷体_GB2312"/>
      <w:sz w:val="24"/>
      <w:szCs w:val="20"/>
    </w:rPr>
  </w:style>
  <w:style w:type="paragraph" w:styleId="860">
    <w:name w:val="toc 7"/>
    <w:basedOn w:val="847"/>
    <w:next w:val="847"/>
    <w:uiPriority w:val="0"/>
    <w:qFormat/>
    <w:pPr>
      <w:ind w:left="2520"/>
    </w:pPr>
    <w:rPr>
      <w:rFonts w:eastAsia="楷体_GB2312"/>
      <w:sz w:val="28"/>
      <w:szCs w:val="20"/>
    </w:rPr>
  </w:style>
  <w:style w:type="paragraph" w:styleId="861">
    <w:name w:val="index 8"/>
    <w:basedOn w:val="847"/>
    <w:next w:val="847"/>
    <w:uiPriority w:val="0"/>
    <w:qFormat/>
    <w:pPr>
      <w:ind w:left="2940"/>
    </w:pPr>
    <w:rPr>
      <w:rFonts w:eastAsia="楷体_GB2312"/>
      <w:sz w:val="28"/>
      <w:szCs w:val="20"/>
    </w:rPr>
  </w:style>
  <w:style w:type="paragraph" w:styleId="862">
    <w:name w:val="List Number"/>
    <w:basedOn w:val="847"/>
    <w:uiPriority w:val="0"/>
    <w:qFormat/>
    <w:pPr>
      <w:ind w:left="1125" w:hanging="555"/>
      <w:tabs>
        <w:tab w:val="left" w:pos="1125" w:leader="none"/>
      </w:tabs>
    </w:pPr>
    <w:rPr>
      <w:szCs w:val="24"/>
    </w:rPr>
  </w:style>
  <w:style w:type="paragraph" w:styleId="863">
    <w:name w:val="Caption"/>
    <w:basedOn w:val="847"/>
    <w:next w:val="847"/>
    <w:link w:val="922"/>
    <w:uiPriority w:val="0"/>
    <w:unhideWhenUsed/>
    <w:qFormat/>
    <w:rPr>
      <w:rFonts w:eastAsia="黑体" w:asciiTheme="majorHAnsi" w:hAnsiTheme="majorHAnsi" w:cstheme="majorBidi"/>
      <w:sz w:val="20"/>
      <w:szCs w:val="20"/>
    </w:rPr>
  </w:style>
  <w:style w:type="paragraph" w:styleId="864">
    <w:name w:val="index 5"/>
    <w:basedOn w:val="847"/>
    <w:next w:val="847"/>
    <w:uiPriority w:val="0"/>
    <w:qFormat/>
    <w:pPr>
      <w:ind w:left="1680"/>
    </w:pPr>
    <w:rPr>
      <w:rFonts w:eastAsia="楷体_GB2312"/>
      <w:sz w:val="28"/>
      <w:szCs w:val="20"/>
    </w:rPr>
  </w:style>
  <w:style w:type="paragraph" w:styleId="865">
    <w:name w:val="Document Map"/>
    <w:basedOn w:val="847"/>
    <w:link w:val="923"/>
    <w:uiPriority w:val="0"/>
    <w:unhideWhenUsed/>
    <w:qFormat/>
    <w:rPr>
      <w:rFonts w:ascii="宋体"/>
      <w:sz w:val="18"/>
      <w:szCs w:val="18"/>
    </w:rPr>
  </w:style>
  <w:style w:type="paragraph" w:styleId="866">
    <w:name w:val="annotation text"/>
    <w:basedOn w:val="847"/>
    <w:link w:val="924"/>
    <w:uiPriority w:val="0"/>
    <w:unhideWhenUsed/>
    <w:qFormat/>
    <w:pPr>
      <w:jc w:val="left"/>
    </w:pPr>
    <w:rPr>
      <w:sz w:val="20"/>
      <w:szCs w:val="24"/>
    </w:rPr>
  </w:style>
  <w:style w:type="paragraph" w:styleId="867">
    <w:name w:val="index 6"/>
    <w:basedOn w:val="847"/>
    <w:next w:val="847"/>
    <w:uiPriority w:val="0"/>
    <w:qFormat/>
    <w:pPr>
      <w:ind w:left="2100"/>
    </w:pPr>
    <w:rPr>
      <w:rFonts w:eastAsia="楷体_GB2312"/>
      <w:sz w:val="28"/>
      <w:szCs w:val="20"/>
    </w:rPr>
  </w:style>
  <w:style w:type="paragraph" w:styleId="868">
    <w:name w:val="Body Text"/>
    <w:basedOn w:val="847"/>
    <w:link w:val="925"/>
    <w:uiPriority w:val="0"/>
    <w:qFormat/>
    <w:pPr>
      <w:ind w:right="24" w:firstLine="720"/>
      <w:spacing w:line="402" w:lineRule="auto"/>
    </w:pPr>
    <w:rPr>
      <w:sz w:val="24"/>
      <w:szCs w:val="24"/>
    </w:rPr>
  </w:style>
  <w:style w:type="paragraph" w:styleId="869">
    <w:name w:val="Body Text Indent"/>
    <w:basedOn w:val="847"/>
    <w:link w:val="911"/>
    <w:uiPriority w:val="0"/>
    <w:unhideWhenUsed/>
    <w:qFormat/>
    <w:pPr>
      <w:ind w:left="420"/>
      <w:spacing w:after="120"/>
    </w:pPr>
  </w:style>
  <w:style w:type="paragraph" w:styleId="870">
    <w:name w:val="List 2"/>
    <w:basedOn w:val="847"/>
    <w:uiPriority w:val="0"/>
    <w:qFormat/>
    <w:pPr>
      <w:ind w:left="100" w:hanging="200"/>
    </w:pPr>
    <w:rPr>
      <w:szCs w:val="24"/>
    </w:rPr>
  </w:style>
  <w:style w:type="paragraph" w:styleId="871">
    <w:name w:val="Block Text"/>
    <w:basedOn w:val="847"/>
    <w:uiPriority w:val="0"/>
    <w:qFormat/>
    <w:pPr>
      <w:ind w:left="630" w:right="-609" w:firstLine="420"/>
      <w:spacing w:line="360" w:lineRule="auto"/>
    </w:pPr>
    <w:rPr>
      <w:rFonts w:ascii="仿宋_GB2312" w:eastAsia="仿宋_GB2312"/>
      <w:szCs w:val="20"/>
    </w:rPr>
  </w:style>
  <w:style w:type="paragraph" w:styleId="872">
    <w:name w:val="index 4"/>
    <w:basedOn w:val="847"/>
    <w:next w:val="847"/>
    <w:uiPriority w:val="0"/>
    <w:qFormat/>
    <w:pPr>
      <w:ind w:left="1260"/>
    </w:pPr>
    <w:rPr>
      <w:rFonts w:eastAsia="楷体_GB2312"/>
      <w:sz w:val="28"/>
      <w:szCs w:val="20"/>
    </w:rPr>
  </w:style>
  <w:style w:type="paragraph" w:styleId="873">
    <w:name w:val="toc 5"/>
    <w:basedOn w:val="847"/>
    <w:next w:val="847"/>
    <w:uiPriority w:val="0"/>
    <w:qFormat/>
    <w:pPr>
      <w:ind w:left="1680"/>
    </w:pPr>
    <w:rPr>
      <w:rFonts w:eastAsia="楷体_GB2312"/>
      <w:sz w:val="28"/>
      <w:szCs w:val="20"/>
    </w:rPr>
  </w:style>
  <w:style w:type="paragraph" w:styleId="874">
    <w:name w:val="toc 3"/>
    <w:basedOn w:val="847"/>
    <w:next w:val="847"/>
    <w:uiPriority w:val="0"/>
    <w:qFormat/>
    <w:pPr>
      <w:ind w:left="840"/>
    </w:pPr>
    <w:rPr>
      <w:rFonts w:eastAsia="楷体_GB2312"/>
      <w:sz w:val="28"/>
      <w:szCs w:val="20"/>
    </w:rPr>
  </w:style>
  <w:style w:type="paragraph" w:styleId="875">
    <w:name w:val="Plain Text"/>
    <w:basedOn w:val="847"/>
    <w:link w:val="926"/>
    <w:uiPriority w:val="0"/>
    <w:qFormat/>
    <w:rPr>
      <w:rFonts w:ascii="宋体" w:hAnsi="Courier New" w:eastAsia="楷体_GB2312"/>
      <w:sz w:val="28"/>
      <w:szCs w:val="20"/>
    </w:rPr>
  </w:style>
  <w:style w:type="paragraph" w:styleId="876">
    <w:name w:val="toc 8"/>
    <w:basedOn w:val="847"/>
    <w:next w:val="847"/>
    <w:uiPriority w:val="0"/>
    <w:qFormat/>
    <w:pPr>
      <w:ind w:left="2940"/>
    </w:pPr>
    <w:rPr>
      <w:rFonts w:eastAsia="楷体_GB2312"/>
      <w:sz w:val="28"/>
      <w:szCs w:val="20"/>
    </w:rPr>
  </w:style>
  <w:style w:type="paragraph" w:styleId="877">
    <w:name w:val="index 3"/>
    <w:basedOn w:val="847"/>
    <w:next w:val="847"/>
    <w:uiPriority w:val="0"/>
    <w:qFormat/>
    <w:pPr>
      <w:ind w:left="840"/>
    </w:pPr>
    <w:rPr>
      <w:rFonts w:eastAsia="楷体_GB2312"/>
      <w:sz w:val="28"/>
      <w:szCs w:val="20"/>
    </w:rPr>
  </w:style>
  <w:style w:type="paragraph" w:styleId="878">
    <w:name w:val="Date"/>
    <w:basedOn w:val="847"/>
    <w:next w:val="847"/>
    <w:link w:val="927"/>
    <w:uiPriority w:val="0"/>
    <w:qFormat/>
    <w:rPr>
      <w:rFonts w:ascii="宋体" w:hAnsi="宋体" w:eastAsia="楷体_GB2312"/>
      <w:sz w:val="24"/>
      <w:szCs w:val="20"/>
    </w:rPr>
  </w:style>
  <w:style w:type="paragraph" w:styleId="879">
    <w:name w:val="Body Text Indent 2"/>
    <w:basedOn w:val="847"/>
    <w:link w:val="928"/>
    <w:uiPriority w:val="99"/>
    <w:qFormat/>
    <w:pPr>
      <w:ind w:left="1" w:firstLine="480"/>
      <w:spacing w:line="400" w:lineRule="exact"/>
      <w:tabs>
        <w:tab w:val="left" w:pos="360" w:leader="none"/>
      </w:tabs>
    </w:pPr>
    <w:rPr>
      <w:sz w:val="24"/>
      <w:szCs w:val="24"/>
    </w:rPr>
  </w:style>
  <w:style w:type="paragraph" w:styleId="880">
    <w:name w:val="Balloon Text"/>
    <w:basedOn w:val="847"/>
    <w:link w:val="929"/>
    <w:uiPriority w:val="0"/>
    <w:unhideWhenUsed/>
    <w:qFormat/>
    <w:rPr>
      <w:sz w:val="18"/>
      <w:szCs w:val="18"/>
    </w:rPr>
  </w:style>
  <w:style w:type="paragraph" w:styleId="881">
    <w:name w:val="Footer"/>
    <w:basedOn w:val="847"/>
    <w:link w:val="930"/>
    <w:uiPriority w:val="99"/>
    <w:unhideWhenUsed/>
    <w:qFormat/>
    <w:pPr>
      <w:jc w:val="left"/>
      <w:tabs>
        <w:tab w:val="center" w:pos="4153" w:leader="none"/>
        <w:tab w:val="right" w:pos="8306" w:leader="none"/>
      </w:tabs>
    </w:pPr>
    <w:rPr>
      <w:sz w:val="18"/>
      <w:szCs w:val="18"/>
    </w:rPr>
  </w:style>
  <w:style w:type="paragraph" w:styleId="882">
    <w:name w:val="Header"/>
    <w:basedOn w:val="847"/>
    <w:link w:val="93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83">
    <w:name w:val="toc 1"/>
    <w:basedOn w:val="847"/>
    <w:next w:val="847"/>
    <w:uiPriority w:val="0"/>
    <w:qFormat/>
    <w:pPr>
      <w:jc w:val="left"/>
      <w:widowControl/>
    </w:pPr>
    <w:rPr>
      <w:rFonts w:eastAsia="楷体_GB2312"/>
      <w:sz w:val="24"/>
      <w:szCs w:val="20"/>
    </w:rPr>
  </w:style>
  <w:style w:type="paragraph" w:styleId="884">
    <w:name w:val="toc 4"/>
    <w:basedOn w:val="847"/>
    <w:next w:val="847"/>
    <w:uiPriority w:val="0"/>
    <w:qFormat/>
    <w:pPr>
      <w:ind w:left="1260"/>
    </w:pPr>
    <w:rPr>
      <w:rFonts w:eastAsia="楷体_GB2312"/>
      <w:sz w:val="28"/>
      <w:szCs w:val="20"/>
    </w:rPr>
  </w:style>
  <w:style w:type="paragraph" w:styleId="885">
    <w:name w:val="index heading"/>
    <w:basedOn w:val="847"/>
    <w:next w:val="886"/>
    <w:uiPriority w:val="0"/>
    <w:qFormat/>
    <w:rPr>
      <w:rFonts w:eastAsia="楷体_GB2312"/>
      <w:sz w:val="28"/>
      <w:szCs w:val="20"/>
    </w:rPr>
  </w:style>
  <w:style w:type="paragraph" w:styleId="886">
    <w:name w:val="index 1"/>
    <w:basedOn w:val="847"/>
    <w:next w:val="847"/>
    <w:uiPriority w:val="0"/>
    <w:qFormat/>
    <w:rPr>
      <w:rFonts w:eastAsia="楷体_GB2312"/>
      <w:sz w:val="28"/>
      <w:szCs w:val="20"/>
    </w:rPr>
  </w:style>
  <w:style w:type="paragraph" w:styleId="887">
    <w:name w:val="footnote text"/>
    <w:basedOn w:val="847"/>
    <w:link w:val="932"/>
    <w:uiPriority w:val="0"/>
    <w:qFormat/>
    <w:pPr>
      <w:jc w:val="left"/>
    </w:pPr>
    <w:rPr>
      <w:rFonts w:eastAsia="楷体_GB2312"/>
      <w:sz w:val="18"/>
      <w:szCs w:val="20"/>
    </w:rPr>
  </w:style>
  <w:style w:type="paragraph" w:styleId="888">
    <w:name w:val="toc 6"/>
    <w:basedOn w:val="847"/>
    <w:next w:val="847"/>
    <w:uiPriority w:val="0"/>
    <w:qFormat/>
    <w:pPr>
      <w:ind w:left="2100"/>
    </w:pPr>
    <w:rPr>
      <w:rFonts w:eastAsia="楷体_GB2312"/>
      <w:sz w:val="28"/>
      <w:szCs w:val="20"/>
    </w:rPr>
  </w:style>
  <w:style w:type="paragraph" w:styleId="889">
    <w:name w:val="Body Text Indent 3"/>
    <w:basedOn w:val="847"/>
    <w:link w:val="933"/>
    <w:uiPriority w:val="99"/>
    <w:qFormat/>
    <w:pPr>
      <w:ind w:firstLine="480"/>
      <w:spacing w:line="400" w:lineRule="exact"/>
    </w:pPr>
    <w:rPr>
      <w:sz w:val="24"/>
      <w:szCs w:val="24"/>
    </w:rPr>
  </w:style>
  <w:style w:type="paragraph" w:styleId="890">
    <w:name w:val="index 7"/>
    <w:basedOn w:val="847"/>
    <w:next w:val="847"/>
    <w:uiPriority w:val="0"/>
    <w:qFormat/>
    <w:pPr>
      <w:ind w:left="2520"/>
    </w:pPr>
    <w:rPr>
      <w:rFonts w:eastAsia="楷体_GB2312"/>
      <w:sz w:val="28"/>
      <w:szCs w:val="20"/>
    </w:rPr>
  </w:style>
  <w:style w:type="paragraph" w:styleId="891">
    <w:name w:val="index 9"/>
    <w:basedOn w:val="847"/>
    <w:next w:val="847"/>
    <w:uiPriority w:val="0"/>
    <w:qFormat/>
    <w:pPr>
      <w:ind w:left="3360"/>
    </w:pPr>
    <w:rPr>
      <w:rFonts w:eastAsia="楷体_GB2312"/>
      <w:sz w:val="28"/>
      <w:szCs w:val="20"/>
    </w:rPr>
  </w:style>
  <w:style w:type="paragraph" w:styleId="892">
    <w:name w:val="table of figures"/>
    <w:basedOn w:val="847"/>
    <w:next w:val="847"/>
    <w:uiPriority w:val="0"/>
    <w:qFormat/>
    <w:pPr>
      <w:ind w:left="420" w:hanging="420"/>
      <w:jc w:val="left"/>
    </w:pPr>
    <w:rPr>
      <w:rFonts w:eastAsia="楷体_GB2312"/>
      <w:smallCaps/>
      <w:sz w:val="24"/>
      <w:szCs w:val="20"/>
    </w:rPr>
  </w:style>
  <w:style w:type="paragraph" w:styleId="893">
    <w:name w:val="toc 2"/>
    <w:basedOn w:val="847"/>
    <w:next w:val="847"/>
    <w:uiPriority w:val="0"/>
    <w:qFormat/>
    <w:pPr>
      <w:ind w:left="420"/>
    </w:pPr>
    <w:rPr>
      <w:rFonts w:eastAsia="楷体_GB2312"/>
      <w:sz w:val="28"/>
      <w:szCs w:val="20"/>
    </w:rPr>
  </w:style>
  <w:style w:type="paragraph" w:styleId="894">
    <w:name w:val="toc 9"/>
    <w:basedOn w:val="847"/>
    <w:next w:val="847"/>
    <w:uiPriority w:val="0"/>
    <w:qFormat/>
    <w:pPr>
      <w:ind w:left="3360"/>
    </w:pPr>
    <w:rPr>
      <w:rFonts w:eastAsia="楷体_GB2312"/>
      <w:sz w:val="28"/>
      <w:szCs w:val="20"/>
    </w:rPr>
  </w:style>
  <w:style w:type="paragraph" w:styleId="895">
    <w:name w:val="Body Text 2"/>
    <w:basedOn w:val="847"/>
    <w:link w:val="934"/>
    <w:uiPriority w:val="0"/>
    <w:qFormat/>
    <w:pPr>
      <w:spacing w:after="120" w:line="480" w:lineRule="auto"/>
    </w:pPr>
    <w:rPr>
      <w:rFonts w:eastAsia="楷体_GB2312"/>
      <w:sz w:val="28"/>
      <w:szCs w:val="20"/>
    </w:rPr>
  </w:style>
  <w:style w:type="paragraph" w:styleId="896">
    <w:name w:val="HTML Preformatted"/>
    <w:basedOn w:val="847"/>
    <w:link w:val="111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97">
    <w:name w:val="Normal (Web)"/>
    <w:basedOn w:val="847"/>
    <w:uiPriority w:val="99"/>
    <w:unhideWhenUsed/>
    <w:qFormat/>
    <w:pPr>
      <w:ind w:left="40" w:right="40"/>
      <w:jc w:val="left"/>
      <w:spacing w:before="40" w:after="40" w:line="300" w:lineRule="atLeast"/>
    </w:pPr>
    <w:rPr>
      <w:sz w:val="24"/>
      <w:szCs w:val="20"/>
    </w:rPr>
  </w:style>
  <w:style w:type="paragraph" w:styleId="898">
    <w:name w:val="index 2"/>
    <w:basedOn w:val="847"/>
    <w:next w:val="847"/>
    <w:uiPriority w:val="0"/>
    <w:qFormat/>
    <w:pPr>
      <w:ind w:left="420"/>
    </w:pPr>
    <w:rPr>
      <w:rFonts w:eastAsia="楷体_GB2312"/>
      <w:sz w:val="28"/>
      <w:szCs w:val="20"/>
    </w:rPr>
  </w:style>
  <w:style w:type="paragraph" w:styleId="899">
    <w:name w:val="annotation subject"/>
    <w:basedOn w:val="866"/>
    <w:next w:val="866"/>
    <w:link w:val="935"/>
    <w:uiPriority w:val="99"/>
    <w:unhideWhenUsed/>
    <w:qFormat/>
    <w:rPr>
      <w:b/>
      <w:bCs/>
    </w:rPr>
  </w:style>
  <w:style w:type="paragraph" w:styleId="900">
    <w:name w:val="Body Text First Indent"/>
    <w:basedOn w:val="868"/>
    <w:link w:val="1120"/>
    <w:uiPriority w:val="0"/>
    <w:qFormat/>
    <w:pPr>
      <w:ind w:firstLine="420"/>
      <w:spacing w:after="120"/>
    </w:pPr>
    <w:rPr>
      <w:rFonts w:eastAsia="楷体_GB2312"/>
      <w:sz w:val="26"/>
      <w:szCs w:val="20"/>
    </w:rPr>
  </w:style>
  <w:style w:type="paragraph" w:styleId="901">
    <w:name w:val="Body Text First Indent 2"/>
    <w:basedOn w:val="869"/>
    <w:link w:val="1199"/>
    <w:uiPriority w:val="99"/>
    <w:semiHidden/>
    <w:unhideWhenUsed/>
    <w:qFormat/>
    <w:pPr>
      <w:ind w:firstLine="420"/>
    </w:pPr>
  </w:style>
  <w:style w:type="table" w:styleId="902">
    <w:name w:val="Table Grid"/>
    <w:basedOn w:val="858"/>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3">
    <w:name w:val="Table Elegant"/>
    <w:basedOn w:val="858"/>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04">
    <w:name w:val="Strong"/>
    <w:uiPriority w:val="0"/>
    <w:qFormat/>
    <w:rPr>
      <w:rFonts w:ascii="Tahoma" w:hAnsi="Tahoma" w:eastAsia="宋体"/>
      <w:b/>
      <w:bCs/>
      <w:sz w:val="24"/>
      <w:lang w:val="en-US" w:eastAsia="zh-CN" w:bidi="ar-SA"/>
    </w:rPr>
  </w:style>
  <w:style w:type="character" w:styleId="905">
    <w:name w:val="page number"/>
    <w:uiPriority w:val="0"/>
    <w:unhideWhenUsed/>
    <w:qFormat/>
  </w:style>
  <w:style w:type="character" w:styleId="906">
    <w:name w:val="FollowedHyperlink"/>
    <w:uiPriority w:val="99"/>
    <w:unhideWhenUsed/>
    <w:qFormat/>
    <w:rPr>
      <w:color w:val="800080"/>
      <w:u w:val="single"/>
    </w:rPr>
  </w:style>
  <w:style w:type="character" w:styleId="907">
    <w:name w:val="Emphasis"/>
    <w:uiPriority w:val="20"/>
    <w:qFormat/>
    <w:rPr>
      <w:i/>
    </w:rPr>
  </w:style>
  <w:style w:type="character" w:styleId="908">
    <w:name w:val="Hyperlink"/>
    <w:uiPriority w:val="99"/>
    <w:unhideWhenUsed/>
    <w:qFormat/>
    <w:rPr>
      <w:color w:val="0000ff"/>
      <w:u w:val="single"/>
    </w:rPr>
  </w:style>
  <w:style w:type="character" w:styleId="909">
    <w:name w:val="annotation reference"/>
    <w:basedOn w:val="857"/>
    <w:uiPriority w:val="0"/>
    <w:unhideWhenUsed/>
    <w:qFormat/>
    <w:rPr>
      <w:sz w:val="21"/>
      <w:szCs w:val="21"/>
    </w:rPr>
  </w:style>
  <w:style w:type="character" w:styleId="910">
    <w:name w:val="footnote reference"/>
    <w:uiPriority w:val="0"/>
    <w:qFormat/>
    <w:rPr>
      <w:vertAlign w:val="superscript"/>
    </w:rPr>
  </w:style>
  <w:style w:type="character" w:styleId="911" w:customStyle="1">
    <w:name w:val="正文文本缩进 Char"/>
    <w:basedOn w:val="857"/>
    <w:link w:val="869"/>
    <w:uiPriority w:val="0"/>
    <w:qFormat/>
    <w:rPr>
      <w:sz w:val="21"/>
      <w:szCs w:val="22"/>
    </w:rPr>
  </w:style>
  <w:style w:type="character" w:styleId="912" w:customStyle="1">
    <w:name w:val="标题 1 Char"/>
    <w:link w:val="848"/>
    <w:uiPriority w:val="0"/>
    <w:qFormat/>
    <w:rPr>
      <w:rFonts w:ascii="宋体" w:hAnsi="宋体"/>
      <w:b/>
      <w:bCs/>
      <w:szCs w:val="21"/>
    </w:rPr>
  </w:style>
  <w:style w:type="character" w:styleId="913" w:customStyle="1">
    <w:name w:val="正文缩进 Char"/>
    <w:link w:val="859"/>
    <w:uiPriority w:val="0"/>
    <w:qFormat/>
    <w:rPr>
      <w:rFonts w:ascii="Times New Roman" w:hAnsi="Times New Roman" w:eastAsia="楷体_GB2312" w:cs="Times New Roman"/>
      <w:sz w:val="24"/>
      <w:szCs w:val="20"/>
    </w:rPr>
  </w:style>
  <w:style w:type="character" w:styleId="914" w:customStyle="1">
    <w:name w:val="标题 2 Char"/>
    <w:link w:val="849"/>
    <w:uiPriority w:val="0"/>
    <w:qFormat/>
    <w:rPr>
      <w:rFonts w:ascii="Cambria" w:hAnsi="Cambria" w:eastAsia="宋体" w:cs="Times New Roman"/>
      <w:b/>
      <w:bCs/>
      <w:sz w:val="32"/>
      <w:szCs w:val="32"/>
    </w:rPr>
  </w:style>
  <w:style w:type="character" w:styleId="915" w:customStyle="1">
    <w:name w:val="标题 3 Char"/>
    <w:link w:val="850"/>
    <w:uiPriority w:val="0"/>
    <w:qFormat/>
    <w:rPr>
      <w:rFonts w:ascii="Times New Roman" w:hAnsi="Times New Roman" w:eastAsia="宋体" w:cs="Times New Roman"/>
      <w:b/>
      <w:bCs/>
      <w:sz w:val="32"/>
      <w:szCs w:val="32"/>
    </w:rPr>
  </w:style>
  <w:style w:type="character" w:styleId="916" w:customStyle="1">
    <w:name w:val="标题 4 Char"/>
    <w:link w:val="851"/>
    <w:uiPriority w:val="0"/>
    <w:qFormat/>
    <w:rPr>
      <w:rFonts w:ascii="Cambria" w:hAnsi="Cambria" w:eastAsia="宋体" w:cs="Times New Roman"/>
      <w:b/>
      <w:bCs/>
      <w:sz w:val="28"/>
      <w:szCs w:val="28"/>
    </w:rPr>
  </w:style>
  <w:style w:type="character" w:styleId="917" w:customStyle="1">
    <w:name w:val="标题 5 Char"/>
    <w:link w:val="852"/>
    <w:uiPriority w:val="0"/>
    <w:qFormat/>
    <w:rPr>
      <w:rFonts w:ascii="Calibri" w:hAnsi="Calibri" w:eastAsia="宋体" w:cs="Times New Roman"/>
      <w:b/>
      <w:bCs/>
      <w:sz w:val="28"/>
      <w:szCs w:val="28"/>
    </w:rPr>
  </w:style>
  <w:style w:type="character" w:styleId="918" w:customStyle="1">
    <w:name w:val="标题 6 Char"/>
    <w:link w:val="853"/>
    <w:uiPriority w:val="0"/>
    <w:qFormat/>
    <w:rPr>
      <w:rFonts w:ascii="Cambria" w:hAnsi="Cambria" w:eastAsia="宋体" w:cs="Times New Roman"/>
      <w:b/>
      <w:bCs/>
      <w:sz w:val="24"/>
      <w:szCs w:val="24"/>
    </w:rPr>
  </w:style>
  <w:style w:type="character" w:styleId="919" w:customStyle="1">
    <w:name w:val="标题 7 Char"/>
    <w:link w:val="854"/>
    <w:uiPriority w:val="0"/>
    <w:qFormat/>
    <w:rPr>
      <w:rFonts w:ascii="Calibri" w:hAnsi="Calibri" w:eastAsia="宋体" w:cs="Times New Roman"/>
      <w:b/>
      <w:bCs/>
      <w:sz w:val="24"/>
      <w:szCs w:val="24"/>
    </w:rPr>
  </w:style>
  <w:style w:type="character" w:styleId="920" w:customStyle="1">
    <w:name w:val="标题 8 Char"/>
    <w:link w:val="855"/>
    <w:uiPriority w:val="0"/>
    <w:qFormat/>
    <w:rPr>
      <w:rFonts w:ascii="Cambria" w:hAnsi="Cambria" w:eastAsia="宋体" w:cs="Times New Roman"/>
      <w:sz w:val="24"/>
      <w:szCs w:val="24"/>
    </w:rPr>
  </w:style>
  <w:style w:type="character" w:styleId="921" w:customStyle="1">
    <w:name w:val="标题 9 Char"/>
    <w:link w:val="856"/>
    <w:uiPriority w:val="0"/>
    <w:qFormat/>
    <w:rPr>
      <w:rFonts w:ascii="Cambria" w:hAnsi="Cambria" w:eastAsia="宋体" w:cs="Times New Roman"/>
      <w:sz w:val="20"/>
      <w:szCs w:val="21"/>
    </w:rPr>
  </w:style>
  <w:style w:type="character" w:styleId="922" w:customStyle="1">
    <w:name w:val="题注 Char"/>
    <w:link w:val="863"/>
    <w:uiPriority w:val="0"/>
    <w:qFormat/>
  </w:style>
  <w:style w:type="character" w:styleId="923" w:customStyle="1">
    <w:name w:val="文档结构图 Char"/>
    <w:link w:val="865"/>
    <w:uiPriority w:val="0"/>
    <w:qFormat/>
    <w:rPr>
      <w:rFonts w:ascii="宋体" w:eastAsia="宋体"/>
      <w:sz w:val="18"/>
      <w:szCs w:val="18"/>
    </w:rPr>
  </w:style>
  <w:style w:type="character" w:styleId="924" w:customStyle="1">
    <w:name w:val="批注文字 Char"/>
    <w:link w:val="866"/>
    <w:uiPriority w:val="0"/>
    <w:qFormat/>
    <w:rPr>
      <w:szCs w:val="24"/>
    </w:rPr>
  </w:style>
  <w:style w:type="character" w:styleId="925" w:customStyle="1">
    <w:name w:val="正文文本 Char"/>
    <w:link w:val="868"/>
    <w:uiPriority w:val="0"/>
    <w:qFormat/>
    <w:rPr>
      <w:sz w:val="24"/>
      <w:szCs w:val="24"/>
    </w:rPr>
  </w:style>
  <w:style w:type="character" w:styleId="926" w:customStyle="1">
    <w:name w:val="纯文本 Char1"/>
    <w:basedOn w:val="857"/>
    <w:link w:val="875"/>
    <w:uiPriority w:val="0"/>
    <w:qFormat/>
    <w:rPr>
      <w:rFonts w:ascii="宋体" w:hAnsi="Courier New" w:eastAsia="楷体_GB2312"/>
      <w:sz w:val="28"/>
    </w:rPr>
  </w:style>
  <w:style w:type="character" w:styleId="927" w:customStyle="1">
    <w:name w:val="日期 Char"/>
    <w:link w:val="878"/>
    <w:uiPriority w:val="0"/>
    <w:qFormat/>
    <w:rPr>
      <w:rFonts w:ascii="宋体" w:hAnsi="宋体" w:eastAsia="楷体_GB2312" w:cs="Times New Roman"/>
      <w:sz w:val="24"/>
      <w:szCs w:val="20"/>
    </w:rPr>
  </w:style>
  <w:style w:type="character" w:styleId="928" w:customStyle="1">
    <w:name w:val="正文文本缩进 2 Char"/>
    <w:link w:val="879"/>
    <w:uiPriority w:val="0"/>
    <w:qFormat/>
    <w:rPr>
      <w:rFonts w:ascii="Times New Roman" w:hAnsi="Times New Roman" w:eastAsia="宋体" w:cs="Times New Roman"/>
      <w:sz w:val="24"/>
      <w:szCs w:val="24"/>
    </w:rPr>
  </w:style>
  <w:style w:type="character" w:styleId="929" w:customStyle="1">
    <w:name w:val="批注框文本 Char"/>
    <w:link w:val="880"/>
    <w:uiPriority w:val="0"/>
    <w:qFormat/>
    <w:rPr>
      <w:rFonts w:ascii="Times New Roman" w:hAnsi="Times New Roman" w:eastAsia="宋体" w:cs="Times New Roman"/>
      <w:sz w:val="18"/>
      <w:szCs w:val="18"/>
    </w:rPr>
  </w:style>
  <w:style w:type="character" w:styleId="930" w:customStyle="1">
    <w:name w:val="页脚 Char"/>
    <w:link w:val="881"/>
    <w:uiPriority w:val="99"/>
    <w:qFormat/>
    <w:rPr>
      <w:sz w:val="18"/>
      <w:szCs w:val="18"/>
    </w:rPr>
  </w:style>
  <w:style w:type="character" w:styleId="931" w:customStyle="1">
    <w:name w:val="页眉 Char"/>
    <w:link w:val="882"/>
    <w:uiPriority w:val="99"/>
    <w:qFormat/>
    <w:rPr>
      <w:sz w:val="18"/>
      <w:szCs w:val="18"/>
    </w:rPr>
  </w:style>
  <w:style w:type="character" w:styleId="932" w:customStyle="1">
    <w:name w:val="脚注文本 Char"/>
    <w:basedOn w:val="857"/>
    <w:link w:val="887"/>
    <w:uiPriority w:val="0"/>
    <w:qFormat/>
    <w:rPr>
      <w:rFonts w:eastAsia="楷体_GB2312"/>
      <w:sz w:val="18"/>
    </w:rPr>
  </w:style>
  <w:style w:type="character" w:styleId="933" w:customStyle="1">
    <w:name w:val="正文文本缩进 3 Char"/>
    <w:link w:val="889"/>
    <w:uiPriority w:val="99"/>
    <w:qFormat/>
    <w:rPr>
      <w:rFonts w:ascii="Times New Roman" w:hAnsi="Times New Roman" w:eastAsia="宋体" w:cs="Times New Roman"/>
      <w:sz w:val="24"/>
      <w:szCs w:val="24"/>
    </w:rPr>
  </w:style>
  <w:style w:type="character" w:styleId="934" w:customStyle="1">
    <w:name w:val="正文文本 2 Char"/>
    <w:basedOn w:val="857"/>
    <w:link w:val="895"/>
    <w:uiPriority w:val="0"/>
    <w:qFormat/>
    <w:rPr>
      <w:rFonts w:eastAsia="楷体_GB2312"/>
      <w:sz w:val="28"/>
    </w:rPr>
  </w:style>
  <w:style w:type="character" w:styleId="935" w:customStyle="1">
    <w:name w:val="批注主题 Char"/>
    <w:link w:val="899"/>
    <w:uiPriority w:val="99"/>
    <w:qFormat/>
    <w:rPr>
      <w:rFonts w:ascii="Times New Roman" w:hAnsi="Times New Roman" w:eastAsia="宋体" w:cs="Times New Roman"/>
      <w:b/>
      <w:bCs/>
      <w:szCs w:val="24"/>
    </w:rPr>
  </w:style>
  <w:style w:type="character" w:styleId="936" w:customStyle="1">
    <w:name w:val="批注文字 字符"/>
    <w:uiPriority w:val="0"/>
    <w:qFormat/>
    <w:rPr>
      <w:sz w:val="21"/>
      <w:szCs w:val="24"/>
    </w:rPr>
  </w:style>
  <w:style w:type="character" w:styleId="937" w:customStyle="1">
    <w:name w:val="List Paragraph Char"/>
    <w:link w:val="938"/>
    <w:uiPriority w:val="34"/>
    <w:qFormat/>
    <w:rPr>
      <w:rFonts w:ascii="Calibri" w:hAnsi="Calibri" w:eastAsia="宋体" w:cs="宋体"/>
    </w:rPr>
  </w:style>
  <w:style w:type="paragraph" w:styleId="938" w:customStyle="1">
    <w:name w:val="列出段落1"/>
    <w:basedOn w:val="847"/>
    <w:link w:val="937"/>
    <w:uiPriority w:val="0"/>
    <w:qFormat/>
    <w:pPr>
      <w:ind w:firstLine="200"/>
    </w:pPr>
    <w:rPr>
      <w:rFonts w:ascii="Calibri" w:hAnsi="Calibri"/>
      <w:sz w:val="20"/>
      <w:szCs w:val="20"/>
    </w:rPr>
  </w:style>
  <w:style w:type="character" w:styleId="939" w:customStyle="1">
    <w:name w:val="正文文本缩进 3 Char1"/>
    <w:uiPriority w:val="0"/>
    <w:qFormat/>
    <w:rPr>
      <w:sz w:val="16"/>
      <w:szCs w:val="16"/>
    </w:rPr>
  </w:style>
  <w:style w:type="character" w:styleId="940" w:customStyle="1">
    <w:name w:val="日期 Char1"/>
    <w:uiPriority w:val="99"/>
    <w:qFormat/>
    <w:rPr>
      <w:sz w:val="21"/>
      <w:szCs w:val="22"/>
    </w:rPr>
  </w:style>
  <w:style w:type="character" w:styleId="941" w:customStyle="1">
    <w:name w:val="正文文本缩进 2 Char1"/>
    <w:uiPriority w:val="99"/>
    <w:qFormat/>
    <w:rPr>
      <w:sz w:val="21"/>
      <w:szCs w:val="22"/>
    </w:rPr>
  </w:style>
  <w:style w:type="character" w:styleId="942" w:customStyle="1">
    <w:name w:val="param-name"/>
    <w:basedOn w:val="857"/>
    <w:uiPriority w:val="0"/>
    <w:qFormat/>
  </w:style>
  <w:style w:type="character" w:styleId="943" w:customStyle="1">
    <w:name w:val="正文文本 Char1"/>
    <w:uiPriority w:val="99"/>
    <w:semiHidden/>
    <w:qFormat/>
    <w:rPr>
      <w:sz w:val="21"/>
      <w:szCs w:val="22"/>
    </w:rPr>
  </w:style>
  <w:style w:type="character" w:styleId="944" w:customStyle="1">
    <w:name w:val="页脚 Char1"/>
    <w:uiPriority w:val="99"/>
    <w:semiHidden/>
    <w:qFormat/>
    <w:rPr>
      <w:sz w:val="18"/>
      <w:szCs w:val="18"/>
    </w:rPr>
  </w:style>
  <w:style w:type="character" w:styleId="945" w:customStyle="1">
    <w:name w:val="方案 Char"/>
    <w:link w:val="946"/>
    <w:uiPriority w:val="0"/>
    <w:qFormat/>
    <w:rPr>
      <w:rFonts w:ascii="宋体" w:hAnsi="宋体" w:eastAsia="宋体"/>
      <w:sz w:val="24"/>
      <w:szCs w:val="24"/>
    </w:rPr>
  </w:style>
  <w:style w:type="paragraph" w:styleId="946" w:customStyle="1">
    <w:name w:val="方案"/>
    <w:basedOn w:val="847"/>
    <w:link w:val="945"/>
    <w:uiPriority w:val="0"/>
    <w:qFormat/>
    <w:pPr>
      <w:ind w:firstLine="200"/>
      <w:spacing w:line="360" w:lineRule="auto"/>
    </w:pPr>
    <w:rPr>
      <w:rFonts w:ascii="宋体" w:hAnsi="宋体"/>
      <w:sz w:val="24"/>
      <w:szCs w:val="24"/>
    </w:rPr>
  </w:style>
  <w:style w:type="character" w:styleId="947" w:customStyle="1">
    <w:name w:val="批注主题 Char1"/>
    <w:uiPriority w:val="99"/>
    <w:qFormat/>
    <w:rPr>
      <w:b/>
      <w:bCs/>
      <w:sz w:val="21"/>
      <w:szCs w:val="22"/>
    </w:rPr>
  </w:style>
  <w:style w:type="character" w:styleId="948" w:customStyle="1">
    <w:name w:val="Char Char2"/>
    <w:uiPriority w:val="0"/>
    <w:qFormat/>
    <w:rPr>
      <w:rFonts w:ascii="宋体" w:hAnsi="宋体" w:cs="宋体"/>
      <w:sz w:val="24"/>
      <w:szCs w:val="24"/>
    </w:rPr>
  </w:style>
  <w:style w:type="character" w:styleId="949" w:customStyle="1">
    <w:name w:val="方案正文 Char"/>
    <w:link w:val="950"/>
    <w:uiPriority w:val="0"/>
    <w:qFormat/>
    <w:rPr>
      <w:rFonts w:ascii="宋体" w:hAnsi="宋体" w:eastAsia="宋体" w:cs="Times New Roman"/>
      <w:spacing w:val="2"/>
      <w:szCs w:val="21"/>
    </w:rPr>
  </w:style>
  <w:style w:type="paragraph" w:styleId="950" w:customStyle="1">
    <w:name w:val="方案正文"/>
    <w:basedOn w:val="847"/>
    <w:link w:val="949"/>
    <w:uiPriority w:val="0"/>
    <w:qFormat/>
    <w:pPr>
      <w:ind w:firstLine="428"/>
      <w:spacing w:line="360" w:lineRule="auto"/>
      <w:tabs>
        <w:tab w:val="left" w:pos="540" w:leader="none"/>
      </w:tabs>
    </w:pPr>
    <w:rPr>
      <w:rFonts w:ascii="宋体" w:hAnsi="宋体"/>
      <w:spacing w:val="2"/>
      <w:sz w:val="20"/>
      <w:szCs w:val="21"/>
    </w:rPr>
  </w:style>
  <w:style w:type="character" w:styleId="951" w:customStyle="1">
    <w:name w:val="批注文字 Char1"/>
    <w:uiPriority w:val="99"/>
    <w:qFormat/>
    <w:rPr>
      <w:sz w:val="21"/>
      <w:szCs w:val="22"/>
    </w:rPr>
  </w:style>
  <w:style w:type="character" w:styleId="952" w:customStyle="1">
    <w:name w:val="批注框文本 Char1"/>
    <w:uiPriority w:val="99"/>
    <w:qFormat/>
    <w:rPr>
      <w:sz w:val="18"/>
      <w:szCs w:val="18"/>
    </w:rPr>
  </w:style>
  <w:style w:type="character" w:styleId="953" w:customStyle="1">
    <w:name w:val="Plain Text Char Char"/>
    <w:link w:val="954"/>
    <w:uiPriority w:val="0"/>
    <w:qFormat/>
    <w:rPr>
      <w:rFonts w:ascii="宋体" w:hAnsi="Courier New" w:eastAsia="楷体_GB2312" w:cs="Times New Roman"/>
      <w:sz w:val="28"/>
      <w:szCs w:val="20"/>
    </w:rPr>
  </w:style>
  <w:style w:type="paragraph" w:styleId="954" w:customStyle="1">
    <w:name w:val="纯文本1"/>
    <w:basedOn w:val="847"/>
    <w:link w:val="953"/>
    <w:uiPriority w:val="0"/>
    <w:qFormat/>
    <w:rPr>
      <w:rFonts w:ascii="宋体" w:hAnsi="Courier New" w:eastAsia="楷体_GB2312"/>
      <w:sz w:val="28"/>
      <w:szCs w:val="20"/>
    </w:rPr>
  </w:style>
  <w:style w:type="character" w:styleId="955" w:customStyle="1">
    <w:name w:val="No Spacing Char"/>
    <w:link w:val="956"/>
    <w:uiPriority w:val="0"/>
    <w:qFormat/>
    <w:rPr>
      <w:rFonts w:ascii="Cambria" w:hAnsi="Cambria"/>
    </w:rPr>
  </w:style>
  <w:style w:type="paragraph" w:styleId="956" w:customStyle="1">
    <w:name w:val="无间隔1"/>
    <w:basedOn w:val="847"/>
    <w:link w:val="955"/>
    <w:uiPriority w:val="0"/>
    <w:qFormat/>
    <w:pPr>
      <w:jc w:val="left"/>
      <w:widowControl/>
    </w:pPr>
    <w:rPr>
      <w:rFonts w:ascii="Cambria" w:hAnsi="Cambria"/>
      <w:sz w:val="20"/>
      <w:szCs w:val="20"/>
    </w:rPr>
  </w:style>
  <w:style w:type="character" w:styleId="957" w:customStyle="1">
    <w:name w:val="页眉 Char1"/>
    <w:uiPriority w:val="99"/>
    <w:semiHidden/>
    <w:qFormat/>
    <w:rPr>
      <w:sz w:val="18"/>
      <w:szCs w:val="18"/>
    </w:rPr>
  </w:style>
  <w:style w:type="character" w:styleId="958" w:customStyle="1">
    <w:name w:val="文档结构图 Char1"/>
    <w:uiPriority w:val="99"/>
    <w:qFormat/>
    <w:rPr>
      <w:rFonts w:ascii="宋体"/>
      <w:sz w:val="18"/>
      <w:szCs w:val="18"/>
    </w:rPr>
  </w:style>
  <w:style w:type="paragraph" w:styleId="959" w:customStyle="1">
    <w:name w:val="彩色底纹 - 强调文字颜色 11"/>
    <w:uiPriority w:val="71"/>
    <w:qFormat/>
    <w:rPr>
      <w:rFonts w:ascii="Times New Roman" w:hAnsi="Times New Roman" w:eastAsia="宋体" w:cs="Times New Roman"/>
      <w:sz w:val="21"/>
      <w:szCs w:val="22"/>
      <w:lang w:val="en-US" w:eastAsia="zh-CN" w:bidi="ar-SA"/>
    </w:rPr>
  </w:style>
  <w:style w:type="paragraph" w:styleId="960" w:customStyle="1">
    <w:name w:val="xl104"/>
    <w:basedOn w:val="8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961" w:customStyle="1">
    <w:name w:val="xl84"/>
    <w:basedOn w:val="847"/>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62" w:customStyle="1">
    <w:name w:val="xl65"/>
    <w:basedOn w:val="847"/>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sz w:val="24"/>
      <w:szCs w:val="24"/>
    </w:rPr>
  </w:style>
  <w:style w:type="paragraph" w:styleId="963" w:customStyle="1">
    <w:name w:val="xl74"/>
    <w:basedOn w:val="847"/>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964" w:customStyle="1">
    <w:name w:val="xl112"/>
    <w:basedOn w:val="8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965" w:customStyle="1">
    <w:name w:val="font12"/>
    <w:basedOn w:val="847"/>
    <w:uiPriority w:val="0"/>
    <w:qFormat/>
    <w:pPr>
      <w:jc w:val="left"/>
      <w:spacing w:before="100" w:beforeAutospacing="1" w:after="100" w:afterAutospacing="1"/>
      <w:widowControl/>
    </w:pPr>
    <w:rPr>
      <w:rFonts w:ascii="宋体" w:hAnsi="宋体" w:cs="宋体"/>
      <w:sz w:val="24"/>
      <w:szCs w:val="24"/>
    </w:rPr>
  </w:style>
  <w:style w:type="paragraph" w:styleId="966" w:customStyle="1">
    <w:name w:val="xl106"/>
    <w:basedOn w:val="84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967" w:customStyle="1">
    <w:name w:val="font0"/>
    <w:basedOn w:val="847"/>
    <w:uiPriority w:val="0"/>
    <w:qFormat/>
    <w:pPr>
      <w:jc w:val="left"/>
      <w:spacing w:before="100" w:beforeAutospacing="1" w:after="100" w:afterAutospacing="1"/>
      <w:widowControl/>
    </w:pPr>
    <w:rPr>
      <w:rFonts w:ascii="宋体" w:hAnsi="宋体" w:cs="宋体"/>
      <w:sz w:val="24"/>
      <w:szCs w:val="24"/>
    </w:rPr>
  </w:style>
  <w:style w:type="paragraph" w:styleId="968" w:customStyle="1">
    <w:name w:val="font5"/>
    <w:basedOn w:val="847"/>
    <w:uiPriority w:val="0"/>
    <w:qFormat/>
    <w:pPr>
      <w:jc w:val="left"/>
      <w:spacing w:before="100" w:beforeAutospacing="1" w:after="100" w:afterAutospacing="1"/>
      <w:widowControl/>
    </w:pPr>
    <w:rPr>
      <w:rFonts w:ascii="宋体" w:hAnsi="宋体" w:cs="宋体"/>
      <w:color w:val="000000"/>
      <w:szCs w:val="21"/>
    </w:rPr>
  </w:style>
  <w:style w:type="paragraph" w:styleId="969" w:customStyle="1">
    <w:name w:val="xl118"/>
    <w:basedOn w:val="847"/>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970" w:customStyle="1">
    <w:name w:val="纯文本11"/>
    <w:basedOn w:val="847"/>
    <w:link w:val="971"/>
    <w:uiPriority w:val="0"/>
    <w:qFormat/>
    <w:pPr>
      <w:jc w:val="left"/>
      <w:widowControl/>
    </w:pPr>
    <w:rPr>
      <w:rFonts w:ascii="宋体" w:hAnsi="Courier New" w:eastAsia="楷体_GB2312"/>
      <w:sz w:val="26"/>
      <w:szCs w:val="20"/>
    </w:rPr>
  </w:style>
  <w:style w:type="character" w:styleId="971" w:customStyle="1">
    <w:name w:val="纯文本 Char Char"/>
    <w:link w:val="970"/>
    <w:uiPriority w:val="0"/>
    <w:qFormat/>
    <w:rPr>
      <w:rFonts w:ascii="宋体" w:hAnsi="Courier New" w:eastAsia="楷体_GB2312"/>
      <w:sz w:val="26"/>
    </w:rPr>
  </w:style>
  <w:style w:type="paragraph" w:styleId="972" w:customStyle="1">
    <w:name w:val="xl96"/>
    <w:basedOn w:val="847"/>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73" w:customStyle="1">
    <w:name w:val="xl121"/>
    <w:basedOn w:val="847"/>
    <w:uiPriority w:val="0"/>
    <w:qFormat/>
    <w:pPr>
      <w:jc w:val="left"/>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974" w:customStyle="1">
    <w:name w:val="xl89"/>
    <w:basedOn w:val="847"/>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975" w:customStyle="1">
    <w:name w:val="xl92"/>
    <w:basedOn w:val="847"/>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976" w:customStyle="1">
    <w:name w:val="_Style 125"/>
    <w:next w:val="847"/>
    <w:uiPriority w:val="99"/>
    <w:unhideWhenUsed/>
    <w:qFormat/>
    <w:pPr>
      <w:jc w:val="both"/>
      <w:widowControl w:val="off"/>
    </w:pPr>
    <w:rPr>
      <w:rFonts w:ascii="Times New Roman" w:hAnsi="Times New Roman" w:eastAsia="宋体" w:cs="Times New Roman"/>
      <w:sz w:val="21"/>
      <w:szCs w:val="22"/>
      <w:lang w:val="en-US" w:eastAsia="zh-CN" w:bidi="ar-SA"/>
    </w:rPr>
  </w:style>
  <w:style w:type="paragraph" w:styleId="977" w:customStyle="1">
    <w:name w:val="xl81"/>
    <w:basedOn w:val="847"/>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78" w:customStyle="1">
    <w:name w:val="xl76"/>
    <w:basedOn w:val="847"/>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979" w:customStyle="1">
    <w:name w:val="xl109"/>
    <w:basedOn w:val="847"/>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color w:val="ff0000"/>
      <w:sz w:val="24"/>
      <w:szCs w:val="24"/>
    </w:rPr>
  </w:style>
  <w:style w:type="paragraph" w:styleId="980" w:customStyle="1">
    <w:name w:val="xl80"/>
    <w:basedOn w:val="847"/>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981" w:customStyle="1">
    <w:name w:val="xl100"/>
    <w:basedOn w:val="847"/>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82" w:customStyle="1">
    <w:name w:val="纯文本3"/>
    <w:basedOn w:val="847"/>
    <w:uiPriority w:val="0"/>
    <w:qFormat/>
    <w:pPr>
      <w:jc w:val="left"/>
      <w:widowControl/>
    </w:pPr>
    <w:rPr>
      <w:rFonts w:ascii="宋体" w:hAnsi="Courier New" w:eastAsia="楷体_GB2312"/>
      <w:sz w:val="26"/>
      <w:szCs w:val="20"/>
    </w:rPr>
  </w:style>
  <w:style w:type="paragraph" w:styleId="983" w:customStyle="1">
    <w:name w:val="font7"/>
    <w:basedOn w:val="847"/>
    <w:uiPriority w:val="0"/>
    <w:qFormat/>
    <w:pPr>
      <w:jc w:val="left"/>
      <w:spacing w:before="100" w:beforeAutospacing="1" w:after="100" w:afterAutospacing="1"/>
      <w:widowControl/>
    </w:pPr>
    <w:rPr>
      <w:rFonts w:ascii="宋体" w:hAnsi="宋体" w:cs="宋体"/>
      <w:sz w:val="24"/>
      <w:szCs w:val="24"/>
    </w:rPr>
  </w:style>
  <w:style w:type="paragraph" w:styleId="984" w:customStyle="1">
    <w:name w:val="xl94"/>
    <w:basedOn w:val="847"/>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985" w:customStyle="1">
    <w:name w:val="xl78"/>
    <w:basedOn w:val="847"/>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986" w:customStyle="1">
    <w:name w:val="xl101"/>
    <w:basedOn w:val="847"/>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87" w:customStyle="1">
    <w:name w:val="xl124"/>
    <w:basedOn w:val="84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988" w:customStyle="1">
    <w:name w:val="font18"/>
    <w:basedOn w:val="847"/>
    <w:uiPriority w:val="0"/>
    <w:qFormat/>
    <w:pPr>
      <w:jc w:val="left"/>
      <w:spacing w:before="100" w:beforeAutospacing="1" w:after="100" w:afterAutospacing="1"/>
      <w:widowControl/>
    </w:pPr>
    <w:rPr>
      <w:rFonts w:ascii="宋体" w:hAnsi="宋体" w:cs="宋体"/>
      <w:color w:val="000000"/>
      <w:sz w:val="24"/>
      <w:szCs w:val="24"/>
    </w:rPr>
  </w:style>
  <w:style w:type="paragraph" w:styleId="989" w:customStyle="1">
    <w:name w:val="xl75"/>
    <w:basedOn w:val="847"/>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990" w:customStyle="1">
    <w:name w:val="修订1"/>
    <w:uiPriority w:val="99"/>
    <w:unhideWhenUsed/>
    <w:qFormat/>
    <w:rPr>
      <w:rFonts w:ascii="Times New Roman" w:hAnsi="Times New Roman" w:eastAsia="宋体" w:cs="Times New Roman"/>
      <w:sz w:val="21"/>
      <w:szCs w:val="22"/>
      <w:lang w:val="en-US" w:eastAsia="zh-CN" w:bidi="ar-SA"/>
    </w:rPr>
  </w:style>
  <w:style w:type="paragraph" w:styleId="991" w:customStyle="1">
    <w:name w:val="财政-标题四"/>
    <w:basedOn w:val="992"/>
    <w:uiPriority w:val="0"/>
    <w:qFormat/>
    <w:pPr>
      <w:outlineLvl w:val="3"/>
    </w:pPr>
    <w:rPr>
      <w:sz w:val="30"/>
    </w:rPr>
  </w:style>
  <w:style w:type="paragraph" w:styleId="992" w:customStyle="1">
    <w:name w:val="财政-标题三"/>
    <w:basedOn w:val="993"/>
    <w:uiPriority w:val="0"/>
    <w:qFormat/>
    <w:pPr>
      <w:outlineLvl w:val="2"/>
    </w:pPr>
    <w:rPr>
      <w:sz w:val="32"/>
    </w:rPr>
  </w:style>
  <w:style w:type="paragraph" w:styleId="993" w:customStyle="1">
    <w:name w:val="财政-标题二"/>
    <w:basedOn w:val="994"/>
    <w:uiPriority w:val="0"/>
    <w:qFormat/>
    <w:pPr>
      <w:outlineLvl w:val="1"/>
    </w:pPr>
    <w:rPr>
      <w:sz w:val="36"/>
    </w:rPr>
  </w:style>
  <w:style w:type="paragraph" w:styleId="994" w:customStyle="1">
    <w:name w:val="财政-标题一"/>
    <w:basedOn w:val="847"/>
    <w:uiPriority w:val="0"/>
    <w:qFormat/>
    <w:pPr>
      <w:outlineLvl w:val="0"/>
    </w:pPr>
    <w:rPr>
      <w:rFonts w:ascii="Calibri" w:hAnsi="Calibri" w:eastAsia="华文中宋"/>
      <w:b/>
      <w:sz w:val="44"/>
      <w:szCs w:val="21"/>
    </w:rPr>
  </w:style>
  <w:style w:type="paragraph" w:styleId="995" w:customStyle="1">
    <w:name w:val="font23"/>
    <w:basedOn w:val="847"/>
    <w:uiPriority w:val="0"/>
    <w:qFormat/>
    <w:pPr>
      <w:jc w:val="left"/>
      <w:spacing w:before="100" w:beforeAutospacing="1" w:after="100" w:afterAutospacing="1"/>
      <w:widowControl/>
    </w:pPr>
    <w:rPr>
      <w:rFonts w:ascii="宋体" w:hAnsi="宋体" w:cs="宋体"/>
      <w:color w:val="ff0000"/>
      <w:sz w:val="20"/>
      <w:szCs w:val="20"/>
    </w:rPr>
  </w:style>
  <w:style w:type="paragraph" w:styleId="996" w:customStyle="1">
    <w:name w:val="font11"/>
    <w:basedOn w:val="847"/>
    <w:uiPriority w:val="0"/>
    <w:qFormat/>
    <w:pPr>
      <w:jc w:val="left"/>
      <w:spacing w:before="100" w:beforeAutospacing="1" w:after="100" w:afterAutospacing="1"/>
      <w:widowControl/>
    </w:pPr>
    <w:rPr>
      <w:rFonts w:ascii="宋体" w:hAnsi="宋体" w:cs="宋体"/>
      <w:sz w:val="24"/>
      <w:szCs w:val="24"/>
    </w:rPr>
  </w:style>
  <w:style w:type="paragraph" w:styleId="997" w:customStyle="1">
    <w:name w:val="font13"/>
    <w:basedOn w:val="847"/>
    <w:uiPriority w:val="0"/>
    <w:qFormat/>
    <w:pPr>
      <w:jc w:val="left"/>
      <w:spacing w:before="100" w:beforeAutospacing="1" w:after="100" w:afterAutospacing="1"/>
      <w:widowControl/>
    </w:pPr>
    <w:rPr>
      <w:rFonts w:ascii="宋体" w:hAnsi="宋体" w:cs="宋体"/>
      <w:color w:val="000000"/>
      <w:sz w:val="20"/>
      <w:szCs w:val="20"/>
    </w:rPr>
  </w:style>
  <w:style w:type="paragraph" w:styleId="998" w:customStyle="1">
    <w:name w:val="font6"/>
    <w:basedOn w:val="847"/>
    <w:uiPriority w:val="0"/>
    <w:qFormat/>
    <w:pPr>
      <w:jc w:val="left"/>
      <w:spacing w:before="100" w:beforeAutospacing="1" w:after="100" w:afterAutospacing="1"/>
      <w:widowControl/>
    </w:pPr>
    <w:rPr>
      <w:rFonts w:ascii="宋体" w:hAnsi="宋体" w:cs="宋体"/>
      <w:sz w:val="20"/>
      <w:szCs w:val="20"/>
    </w:rPr>
  </w:style>
  <w:style w:type="paragraph" w:styleId="999" w:customStyle="1">
    <w:name w:val="font9"/>
    <w:basedOn w:val="847"/>
    <w:uiPriority w:val="0"/>
    <w:qFormat/>
    <w:pPr>
      <w:jc w:val="left"/>
      <w:spacing w:before="100" w:beforeAutospacing="1" w:after="100" w:afterAutospacing="1"/>
      <w:widowControl/>
    </w:pPr>
    <w:rPr>
      <w:rFonts w:ascii="宋体" w:hAnsi="宋体" w:cs="宋体"/>
      <w:sz w:val="18"/>
      <w:szCs w:val="18"/>
    </w:rPr>
  </w:style>
  <w:style w:type="paragraph" w:styleId="1000" w:customStyle="1">
    <w:name w:val="xl97"/>
    <w:basedOn w:val="847"/>
    <w:uiPriority w:val="0"/>
    <w:qFormat/>
    <w:pPr>
      <w:jc w:val="left"/>
      <w:spacing w:before="100" w:beforeAutospacing="1" w:after="100" w:afterAutospacing="1"/>
      <w:shd w:val="clear" w:color="000000" w:fill="ffff99"/>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01" w:customStyle="1">
    <w:name w:val="p0"/>
    <w:basedOn w:val="847"/>
    <w:uiPriority w:val="0"/>
    <w:qFormat/>
    <w:pPr>
      <w:widowControl/>
    </w:pPr>
    <w:rPr>
      <w:szCs w:val="21"/>
    </w:rPr>
  </w:style>
  <w:style w:type="paragraph" w:styleId="1002" w:customStyle="1">
    <w:name w:val="xl73"/>
    <w:basedOn w:val="847"/>
    <w:uiPriority w:val="0"/>
    <w:qFormat/>
    <w:pPr>
      <w:jc w:val="left"/>
      <w:spacing w:before="100" w:beforeAutospacing="1" w:after="100" w:afterAutospacing="1"/>
      <w:widowControl/>
      <w:pBdr>
        <w:top w:val="single" w:color="auto" w:sz="8" w:space="0"/>
        <w:bottom w:val="single" w:color="auto" w:sz="8" w:space="0"/>
        <w:right w:val="single" w:color="auto" w:sz="8" w:space="0"/>
      </w:pBdr>
    </w:pPr>
    <w:rPr>
      <w:rFonts w:ascii="宋体" w:hAnsi="宋体" w:cs="宋体"/>
      <w:szCs w:val="21"/>
    </w:rPr>
  </w:style>
  <w:style w:type="paragraph" w:styleId="1003" w:customStyle="1">
    <w:name w:val="xl67"/>
    <w:basedOn w:val="847"/>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04" w:customStyle="1">
    <w:name w:val="xl116"/>
    <w:basedOn w:val="847"/>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1005" w:customStyle="1">
    <w:name w:val="样式1"/>
    <w:basedOn w:val="850"/>
    <w:link w:val="1006"/>
    <w:uiPriority w:val="0"/>
    <w:qFormat/>
    <w:pPr>
      <w:ind w:left="709" w:hanging="709"/>
      <w:spacing w:line="240" w:lineRule="auto"/>
    </w:pPr>
    <w:rPr>
      <w:rFonts w:ascii="宋体" w:hAnsi="宋体" w:cs="宋体"/>
      <w:color w:val="000000"/>
      <w:sz w:val="21"/>
      <w:szCs w:val="21"/>
    </w:rPr>
  </w:style>
  <w:style w:type="character" w:styleId="1006" w:customStyle="1">
    <w:name w:val="样式1 Char"/>
    <w:link w:val="1005"/>
    <w:uiPriority w:val="0"/>
    <w:qFormat/>
    <w:rPr>
      <w:rFonts w:ascii="宋体" w:hAnsi="宋体" w:cs="宋体"/>
      <w:b/>
      <w:bCs/>
      <w:color w:val="000000"/>
      <w:sz w:val="21"/>
      <w:szCs w:val="21"/>
    </w:rPr>
  </w:style>
  <w:style w:type="paragraph" w:styleId="1007" w:customStyle="1">
    <w:name w:val="font19"/>
    <w:basedOn w:val="847"/>
    <w:uiPriority w:val="0"/>
    <w:qFormat/>
    <w:pPr>
      <w:jc w:val="left"/>
      <w:spacing w:before="100" w:beforeAutospacing="1" w:after="100" w:afterAutospacing="1"/>
      <w:widowControl/>
    </w:pPr>
    <w:rPr>
      <w:rFonts w:ascii="宋体" w:hAnsi="宋体" w:cs="宋体"/>
      <w:sz w:val="24"/>
      <w:szCs w:val="24"/>
    </w:rPr>
  </w:style>
  <w:style w:type="paragraph" w:styleId="1008" w:customStyle="1">
    <w:name w:val="font14"/>
    <w:basedOn w:val="847"/>
    <w:uiPriority w:val="0"/>
    <w:qFormat/>
    <w:pPr>
      <w:jc w:val="left"/>
      <w:spacing w:before="100" w:beforeAutospacing="1" w:after="100" w:afterAutospacing="1"/>
      <w:widowControl/>
    </w:pPr>
    <w:rPr>
      <w:rFonts w:ascii="宋体" w:hAnsi="宋体" w:cs="宋体"/>
      <w:sz w:val="24"/>
      <w:szCs w:val="24"/>
    </w:rPr>
  </w:style>
  <w:style w:type="paragraph" w:styleId="1009" w:customStyle="1">
    <w:name w:val="xl120"/>
    <w:basedOn w:val="847"/>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1010" w:customStyle="1">
    <w:name w:val="xl88"/>
    <w:basedOn w:val="847"/>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11" w:customStyle="1">
    <w:name w:val="xl90"/>
    <w:basedOn w:val="847"/>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12" w:customStyle="1">
    <w:name w:val="xl72"/>
    <w:basedOn w:val="847"/>
    <w:uiPriority w:val="0"/>
    <w:qFormat/>
    <w:pPr>
      <w:jc w:val="left"/>
      <w:spacing w:before="100" w:beforeAutospacing="1" w:after="100" w:afterAutospacing="1"/>
      <w:widowControl/>
      <w:pBdr>
        <w:top w:val="single" w:color="auto" w:sz="8" w:space="0"/>
        <w:left w:val="single" w:color="auto" w:sz="8" w:space="0"/>
        <w:bottom w:val="single" w:color="auto" w:sz="8" w:space="0"/>
      </w:pBdr>
    </w:pPr>
    <w:rPr>
      <w:rFonts w:ascii="宋体" w:hAnsi="宋体" w:cs="宋体"/>
      <w:szCs w:val="21"/>
    </w:rPr>
  </w:style>
  <w:style w:type="paragraph" w:styleId="1013" w:customStyle="1">
    <w:name w:val="xl71"/>
    <w:basedOn w:val="847"/>
    <w:uiPriority w:val="0"/>
    <w:qFormat/>
    <w:pPr>
      <w:jc w:val="left"/>
      <w:spacing w:before="100" w:beforeAutospacing="1" w:after="100" w:afterAutospacing="1"/>
      <w:widowControl/>
      <w:pBdr>
        <w:top w:val="single" w:color="auto" w:sz="8" w:space="0"/>
        <w:bottom w:val="single" w:color="auto" w:sz="8" w:space="0"/>
      </w:pBdr>
    </w:pPr>
    <w:rPr>
      <w:rFonts w:ascii="宋体" w:hAnsi="宋体" w:cs="宋体"/>
      <w:szCs w:val="21"/>
    </w:rPr>
  </w:style>
  <w:style w:type="paragraph" w:styleId="1014" w:customStyle="1">
    <w:name w:val="xl119"/>
    <w:basedOn w:val="8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15" w:customStyle="1">
    <w:name w:val="TableNote"/>
    <w:uiPriority w:val="1"/>
    <w:qFormat/>
    <w:pPr>
      <w:ind w:left="1587" w:hanging="340"/>
      <w:spacing w:before="480" w:after="120"/>
    </w:pPr>
    <w:rPr>
      <w:rFonts w:ascii="Arial" w:hAnsi="Arial" w:eastAsia="宋体" w:cs="Times New Roman"/>
      <w:sz w:val="18"/>
      <w:szCs w:val="44"/>
      <w:lang w:val="en-US" w:eastAsia="zh-CN" w:bidi="ar-SA"/>
    </w:rPr>
  </w:style>
  <w:style w:type="paragraph" w:styleId="1016" w:customStyle="1">
    <w:name w:val="font8"/>
    <w:basedOn w:val="847"/>
    <w:uiPriority w:val="0"/>
    <w:qFormat/>
    <w:pPr>
      <w:jc w:val="left"/>
      <w:spacing w:before="100" w:beforeAutospacing="1" w:after="100" w:afterAutospacing="1"/>
      <w:widowControl/>
    </w:pPr>
    <w:rPr>
      <w:rFonts w:ascii="宋体" w:hAnsi="宋体" w:cs="宋体"/>
      <w:color w:val="000000"/>
      <w:sz w:val="20"/>
      <w:szCs w:val="20"/>
    </w:rPr>
  </w:style>
  <w:style w:type="paragraph" w:styleId="1017" w:customStyle="1">
    <w:name w:val="font20"/>
    <w:basedOn w:val="847"/>
    <w:uiPriority w:val="0"/>
    <w:qFormat/>
    <w:pPr>
      <w:jc w:val="left"/>
      <w:spacing w:before="100" w:beforeAutospacing="1" w:after="100" w:afterAutospacing="1"/>
      <w:widowControl/>
    </w:pPr>
    <w:rPr>
      <w:rFonts w:ascii="宋体" w:hAnsi="宋体" w:cs="宋体"/>
      <w:color w:val="000000"/>
      <w:sz w:val="20"/>
      <w:szCs w:val="20"/>
    </w:rPr>
  </w:style>
  <w:style w:type="paragraph" w:styleId="1018" w:customStyle="1">
    <w:name w:val="font25"/>
    <w:basedOn w:val="847"/>
    <w:uiPriority w:val="0"/>
    <w:qFormat/>
    <w:pPr>
      <w:jc w:val="left"/>
      <w:spacing w:before="100" w:beforeAutospacing="1" w:after="100" w:afterAutospacing="1"/>
      <w:widowControl/>
    </w:pPr>
    <w:rPr>
      <w:rFonts w:ascii="宋体" w:hAnsi="宋体" w:cs="宋体"/>
      <w:sz w:val="20"/>
      <w:szCs w:val="20"/>
    </w:rPr>
  </w:style>
  <w:style w:type="paragraph" w:styleId="1019" w:customStyle="1">
    <w:name w:val="xl107"/>
    <w:basedOn w:val="84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20" w:customStyle="1">
    <w:name w:val="正文1"/>
    <w:basedOn w:val="847"/>
    <w:next w:val="847"/>
    <w:uiPriority w:val="0"/>
    <w:qFormat/>
    <w:pPr>
      <w:ind w:left="420" w:firstLine="527"/>
      <w:spacing w:before="120" w:line="360" w:lineRule="auto"/>
    </w:pPr>
    <w:rPr>
      <w:rFonts w:ascii="宋体" w:hAnsi="宋体"/>
      <w:sz w:val="24"/>
      <w:szCs w:val="24"/>
    </w:rPr>
  </w:style>
  <w:style w:type="paragraph" w:styleId="1021" w:customStyle="1">
    <w:name w:val="xl66"/>
    <w:basedOn w:val="847"/>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1022" w:customStyle="1">
    <w:name w:val="font24"/>
    <w:basedOn w:val="847"/>
    <w:uiPriority w:val="0"/>
    <w:qFormat/>
    <w:pPr>
      <w:jc w:val="left"/>
      <w:spacing w:before="100" w:beforeAutospacing="1" w:after="100" w:afterAutospacing="1"/>
      <w:widowControl/>
    </w:pPr>
    <w:rPr>
      <w:rFonts w:ascii="宋体" w:hAnsi="宋体" w:cs="宋体"/>
      <w:sz w:val="24"/>
      <w:szCs w:val="24"/>
    </w:rPr>
  </w:style>
  <w:style w:type="paragraph" w:styleId="1023" w:customStyle="1">
    <w:name w:val="xl86"/>
    <w:basedOn w:val="847"/>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1024" w:customStyle="1">
    <w:name w:val="xl103"/>
    <w:basedOn w:val="84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025" w:customStyle="1">
    <w:name w:val="font26"/>
    <w:basedOn w:val="847"/>
    <w:uiPriority w:val="0"/>
    <w:qFormat/>
    <w:pPr>
      <w:jc w:val="left"/>
      <w:spacing w:before="100" w:beforeAutospacing="1" w:after="100" w:afterAutospacing="1"/>
      <w:widowControl/>
    </w:pPr>
    <w:rPr>
      <w:rFonts w:ascii="宋体" w:hAnsi="宋体" w:cs="宋体"/>
      <w:sz w:val="18"/>
      <w:szCs w:val="18"/>
    </w:rPr>
  </w:style>
  <w:style w:type="paragraph" w:styleId="1026" w:customStyle="1">
    <w:name w:val="xl87"/>
    <w:basedOn w:val="847"/>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27" w:customStyle="1">
    <w:name w:val="xl93"/>
    <w:basedOn w:val="847"/>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28" w:customStyle="1">
    <w:name w:val="xl115"/>
    <w:basedOn w:val="8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029" w:customStyle="1">
    <w:name w:val="xl98"/>
    <w:basedOn w:val="847"/>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0" w:customStyle="1">
    <w:name w:val="font10"/>
    <w:basedOn w:val="847"/>
    <w:uiPriority w:val="0"/>
    <w:qFormat/>
    <w:pPr>
      <w:jc w:val="left"/>
      <w:spacing w:before="100" w:beforeAutospacing="1" w:after="100" w:afterAutospacing="1"/>
      <w:widowControl/>
    </w:pPr>
    <w:rPr>
      <w:rFonts w:ascii="宋体" w:hAnsi="宋体" w:cs="宋体"/>
      <w:color w:val="000000"/>
      <w:sz w:val="24"/>
      <w:szCs w:val="24"/>
    </w:rPr>
  </w:style>
  <w:style w:type="paragraph" w:styleId="1031" w:customStyle="1">
    <w:name w:val="xl79"/>
    <w:basedOn w:val="847"/>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32" w:customStyle="1">
    <w:name w:val="xl123"/>
    <w:basedOn w:val="847"/>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033" w:customStyle="1">
    <w:name w:val="xl64"/>
    <w:basedOn w:val="847"/>
    <w:uiPriority w:val="0"/>
    <w:qFormat/>
    <w:pPr>
      <w:jc w:val="center"/>
      <w:spacing w:before="100" w:beforeAutospacing="1" w:after="100" w:afterAutospacing="1"/>
      <w:widowControl/>
    </w:pPr>
    <w:rPr>
      <w:rFonts w:ascii="宋体" w:hAnsi="宋体" w:cs="宋体"/>
      <w:sz w:val="24"/>
      <w:szCs w:val="24"/>
    </w:rPr>
  </w:style>
  <w:style w:type="paragraph" w:styleId="1034" w:customStyle="1">
    <w:name w:val="纯文本2"/>
    <w:basedOn w:val="847"/>
    <w:uiPriority w:val="0"/>
    <w:qFormat/>
    <w:pPr>
      <w:jc w:val="left"/>
      <w:widowControl/>
    </w:pPr>
    <w:rPr>
      <w:rFonts w:ascii="宋体" w:hAnsi="Courier New" w:eastAsia="楷体_GB2312"/>
      <w:sz w:val="26"/>
      <w:szCs w:val="20"/>
    </w:rPr>
  </w:style>
  <w:style w:type="paragraph" w:styleId="1035" w:customStyle="1">
    <w:name w:val="xl95"/>
    <w:basedOn w:val="847"/>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36" w:customStyle="1">
    <w:name w:val="font17"/>
    <w:basedOn w:val="847"/>
    <w:uiPriority w:val="0"/>
    <w:qFormat/>
    <w:pPr>
      <w:jc w:val="left"/>
      <w:spacing w:before="100" w:beforeAutospacing="1" w:after="100" w:afterAutospacing="1"/>
      <w:widowControl/>
    </w:pPr>
    <w:rPr>
      <w:rFonts w:ascii="宋体" w:hAnsi="宋体" w:cs="宋体"/>
      <w:sz w:val="18"/>
      <w:szCs w:val="18"/>
    </w:rPr>
  </w:style>
  <w:style w:type="paragraph" w:styleId="1037" w:customStyle="1">
    <w:name w:val="xl85"/>
    <w:basedOn w:val="847"/>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38">
    <w:name w:val="List Paragraph"/>
    <w:basedOn w:val="847"/>
    <w:link w:val="1039"/>
    <w:uiPriority w:val="34"/>
    <w:qFormat/>
    <w:pPr>
      <w:ind w:firstLine="420"/>
    </w:pPr>
    <w:rPr>
      <w:rFonts w:ascii="宋体" w:hAnsi="宋体"/>
      <w:sz w:val="24"/>
      <w:szCs w:val="24"/>
    </w:rPr>
  </w:style>
  <w:style w:type="character" w:styleId="1039" w:customStyle="1">
    <w:name w:val="列出段落 Char"/>
    <w:link w:val="1038"/>
    <w:uiPriority w:val="34"/>
    <w:qFormat/>
    <w:rPr>
      <w:rFonts w:ascii="宋体" w:hAnsi="宋体"/>
      <w:sz w:val="24"/>
      <w:szCs w:val="24"/>
    </w:rPr>
  </w:style>
  <w:style w:type="paragraph" w:styleId="1040" w:customStyle="1">
    <w:name w:val="xl111"/>
    <w:basedOn w:val="8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41" w:customStyle="1">
    <w:name w:val="xl127"/>
    <w:basedOn w:val="847"/>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42" w:customStyle="1">
    <w:name w:val="xl77"/>
    <w:basedOn w:val="847"/>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1043" w:customStyle="1">
    <w:name w:val="xl99"/>
    <w:basedOn w:val="847"/>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44" w:customStyle="1">
    <w:name w:val="font22"/>
    <w:basedOn w:val="847"/>
    <w:uiPriority w:val="0"/>
    <w:qFormat/>
    <w:pPr>
      <w:jc w:val="left"/>
      <w:spacing w:before="100" w:beforeAutospacing="1" w:after="100" w:afterAutospacing="1"/>
      <w:widowControl/>
    </w:pPr>
    <w:rPr>
      <w:rFonts w:ascii="宋体" w:hAnsi="宋体" w:cs="宋体"/>
      <w:color w:val="ff0000"/>
      <w:sz w:val="20"/>
      <w:szCs w:val="20"/>
    </w:rPr>
  </w:style>
  <w:style w:type="paragraph" w:styleId="1045" w:customStyle="1">
    <w:name w:val="xl117"/>
    <w:basedOn w:val="847"/>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4"/>
      <w:szCs w:val="24"/>
    </w:rPr>
  </w:style>
  <w:style w:type="paragraph" w:styleId="1046" w:customStyle="1">
    <w:name w:val="font15"/>
    <w:basedOn w:val="847"/>
    <w:uiPriority w:val="0"/>
    <w:qFormat/>
    <w:pPr>
      <w:jc w:val="left"/>
      <w:spacing w:before="100" w:beforeAutospacing="1" w:after="100" w:afterAutospacing="1"/>
      <w:widowControl/>
    </w:pPr>
    <w:rPr>
      <w:rFonts w:ascii="宋体" w:hAnsi="宋体" w:cs="宋体"/>
      <w:sz w:val="24"/>
      <w:szCs w:val="24"/>
    </w:rPr>
  </w:style>
  <w:style w:type="paragraph" w:styleId="1047" w:customStyle="1">
    <w:name w:val="xl113"/>
    <w:basedOn w:val="847"/>
    <w:uiPriority w:val="0"/>
    <w:qFormat/>
    <w:pPr>
      <w:jc w:val="center"/>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48" w:customStyle="1">
    <w:name w:val="xl83"/>
    <w:basedOn w:val="847"/>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49" w:customStyle="1">
    <w:name w:val="xl110"/>
    <w:basedOn w:val="84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50" w:customStyle="1">
    <w:name w:val="彩色列表 - 强调文字颜色 11"/>
    <w:basedOn w:val="847"/>
    <w:uiPriority w:val="0"/>
    <w:qFormat/>
    <w:pPr>
      <w:ind w:firstLine="420"/>
    </w:pPr>
    <w:rPr>
      <w:rFonts w:ascii="宋体" w:hAnsi="宋体"/>
      <w:sz w:val="24"/>
      <w:szCs w:val="24"/>
    </w:rPr>
  </w:style>
  <w:style w:type="paragraph" w:styleId="1051" w:customStyle="1">
    <w:name w:val="xl102"/>
    <w:basedOn w:val="847"/>
    <w:uiPriority w:val="0"/>
    <w:qFormat/>
    <w:pPr>
      <w:jc w:val="left"/>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2" w:customStyle="1">
    <w:name w:val="xl125"/>
    <w:basedOn w:val="847"/>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053" w:customStyle="1">
    <w:name w:val="xl91"/>
    <w:basedOn w:val="847"/>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54" w:customStyle="1">
    <w:name w:val="xl68"/>
    <w:basedOn w:val="847"/>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55" w:customStyle="1">
    <w:name w:val="xl122"/>
    <w:basedOn w:val="84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056" w:customStyle="1">
    <w:name w:val="xl108"/>
    <w:basedOn w:val="847"/>
    <w:uiPriority w:val="0"/>
    <w:qFormat/>
    <w:pPr>
      <w:jc w:val="center"/>
      <w:spacing w:before="100" w:beforeAutospacing="1" w:after="100" w:afterAutospacing="1"/>
      <w:widowControl/>
    </w:pPr>
    <w:rPr>
      <w:rFonts w:ascii="宋体" w:hAnsi="宋体" w:cs="宋体"/>
      <w:color w:val="ff0000"/>
      <w:sz w:val="24"/>
      <w:szCs w:val="24"/>
    </w:rPr>
  </w:style>
  <w:style w:type="paragraph" w:styleId="1057" w:customStyle="1">
    <w:name w:val="font21"/>
    <w:basedOn w:val="847"/>
    <w:uiPriority w:val="0"/>
    <w:qFormat/>
    <w:pPr>
      <w:jc w:val="left"/>
      <w:spacing w:before="100" w:beforeAutospacing="1" w:after="100" w:afterAutospacing="1"/>
      <w:widowControl/>
    </w:pPr>
    <w:rPr>
      <w:rFonts w:ascii="宋体" w:hAnsi="宋体" w:cs="宋体"/>
      <w:color w:val="000000"/>
      <w:sz w:val="24"/>
      <w:szCs w:val="24"/>
    </w:rPr>
  </w:style>
  <w:style w:type="paragraph" w:styleId="1058" w:customStyle="1">
    <w:name w:val="xl69"/>
    <w:basedOn w:val="847"/>
    <w:uiPriority w:val="0"/>
    <w:qFormat/>
    <w:pPr>
      <w:jc w:val="left"/>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1059" w:customStyle="1">
    <w:name w:val="xl126"/>
    <w:basedOn w:val="847"/>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60" w:customStyle="1">
    <w:name w:val="xl82"/>
    <w:basedOn w:val="847"/>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1061" w:customStyle="1">
    <w:name w:val="xl70"/>
    <w:basedOn w:val="847"/>
    <w:uiPriority w:val="0"/>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szCs w:val="21"/>
    </w:rPr>
  </w:style>
  <w:style w:type="paragraph" w:styleId="1062" w:customStyle="1">
    <w:name w:val="xl114"/>
    <w:basedOn w:val="8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063" w:customStyle="1">
    <w:name w:val="font16"/>
    <w:basedOn w:val="847"/>
    <w:uiPriority w:val="0"/>
    <w:qFormat/>
    <w:pPr>
      <w:jc w:val="left"/>
      <w:spacing w:before="100" w:beforeAutospacing="1" w:after="100" w:afterAutospacing="1"/>
      <w:widowControl/>
    </w:pPr>
    <w:rPr>
      <w:rFonts w:ascii="宋体" w:hAnsi="宋体" w:cs="宋体"/>
      <w:color w:val="000000"/>
      <w:sz w:val="20"/>
      <w:szCs w:val="20"/>
    </w:rPr>
  </w:style>
  <w:style w:type="paragraph" w:styleId="1064" w:customStyle="1">
    <w:name w:val="xl105"/>
    <w:basedOn w:val="8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table" w:styleId="1065" w:customStyle="1">
    <w:name w:val="网格型1"/>
    <w:basedOn w:val="85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66" w:customStyle="1">
    <w:name w:val="纯文本4"/>
    <w:basedOn w:val="847"/>
    <w:uiPriority w:val="0"/>
    <w:qFormat/>
    <w:rPr>
      <w:rFonts w:ascii="宋体" w:hAnsi="Courier New" w:eastAsia="楷体_GB2312"/>
      <w:sz w:val="26"/>
      <w:szCs w:val="20"/>
    </w:rPr>
  </w:style>
  <w:style w:type="character" w:styleId="1067" w:customStyle="1">
    <w:name w:val="Body text|1_"/>
    <w:basedOn w:val="857"/>
    <w:link w:val="1068"/>
    <w:uiPriority w:val="0"/>
    <w:qFormat/>
    <w:rPr>
      <w:rFonts w:ascii="宋体" w:hAnsi="宋体" w:cs="宋体"/>
      <w:sz w:val="22"/>
      <w:szCs w:val="22"/>
      <w:lang w:val="zh-TW" w:eastAsia="zh-TW" w:bidi="zh-TW"/>
    </w:rPr>
  </w:style>
  <w:style w:type="paragraph" w:styleId="1068" w:customStyle="1">
    <w:name w:val="Body text|1"/>
    <w:basedOn w:val="847"/>
    <w:link w:val="1067"/>
    <w:uiPriority w:val="0"/>
    <w:qFormat/>
    <w:pPr>
      <w:ind w:firstLine="380"/>
      <w:jc w:val="left"/>
      <w:spacing w:line="406" w:lineRule="auto"/>
    </w:pPr>
    <w:rPr>
      <w:rFonts w:ascii="宋体" w:hAnsi="宋体" w:cs="宋体"/>
      <w:sz w:val="22"/>
      <w:lang w:val="zh-TW" w:eastAsia="zh-TW" w:bidi="zh-TW"/>
    </w:rPr>
  </w:style>
  <w:style w:type="paragraph" w:styleId="1069" w:customStyle="1">
    <w:name w:val="修订2"/>
    <w:hidden/>
    <w:uiPriority w:val="99"/>
    <w:unhideWhenUsed/>
    <w:qFormat/>
    <w:rPr>
      <w:rFonts w:ascii="Times New Roman" w:hAnsi="Times New Roman" w:eastAsia="宋体" w:cs="Times New Roman"/>
      <w:sz w:val="21"/>
      <w:szCs w:val="22"/>
      <w:lang w:val="en-US" w:eastAsia="zh-CN" w:bidi="ar-SA"/>
    </w:rPr>
  </w:style>
  <w:style w:type="character" w:styleId="1070" w:customStyle="1">
    <w:name w:val="mini-outputtext1"/>
    <w:basedOn w:val="857"/>
    <w:uiPriority w:val="0"/>
    <w:qFormat/>
  </w:style>
  <w:style w:type="character" w:styleId="1071" w:customStyle="1">
    <w:name w:val="样式2 Char"/>
    <w:link w:val="1072"/>
    <w:uiPriority w:val="0"/>
    <w:qFormat/>
    <w:rPr>
      <w:szCs w:val="21"/>
    </w:rPr>
  </w:style>
  <w:style w:type="paragraph" w:styleId="1072" w:customStyle="1">
    <w:name w:val="样式2"/>
    <w:basedOn w:val="1005"/>
    <w:link w:val="1071"/>
    <w:uiPriority w:val="0"/>
    <w:qFormat/>
    <w:pPr>
      <w:ind w:left="0" w:firstLine="0"/>
      <w:jc w:val="center"/>
      <w:keepLines w:val="0"/>
      <w:keepNext w:val="0"/>
      <w:spacing w:before="0" w:after="0"/>
      <w:tabs>
        <w:tab w:val="center" w:pos="4153" w:leader="none"/>
        <w:tab w:val="right" w:pos="8306" w:leader="none"/>
      </w:tabs>
      <w:pBdr>
        <w:top w:val="single" w:color="1F497D" w:sz="6" w:space="1"/>
      </w:pBdr>
      <w:outlineLvl w:val="9"/>
    </w:pPr>
    <w:rPr>
      <w:rFonts w:ascii="Times New Roman" w:hAnsi="Times New Roman" w:cs="Times New Roman"/>
      <w:b w:val="0"/>
      <w:bCs w:val="0"/>
      <w:color w:val="auto"/>
      <w:sz w:val="20"/>
    </w:rPr>
  </w:style>
  <w:style w:type="character" w:styleId="1073" w:customStyle="1">
    <w:name w:val="2级标题 Char"/>
    <w:link w:val="1074"/>
    <w:uiPriority w:val="0"/>
    <w:qFormat/>
    <w:rPr>
      <w:rFonts w:eastAsia="华文中宋"/>
      <w:b/>
      <w:bCs/>
      <w:sz w:val="28"/>
      <w:szCs w:val="32"/>
    </w:rPr>
  </w:style>
  <w:style w:type="paragraph" w:styleId="1074" w:customStyle="1">
    <w:name w:val="2级标题"/>
    <w:basedOn w:val="849"/>
    <w:link w:val="1073"/>
    <w:uiPriority w:val="0"/>
    <w:qFormat/>
    <w:pPr>
      <w:spacing w:line="360" w:lineRule="auto"/>
      <w:tabs>
        <w:tab w:val="left" w:pos="851" w:leader="none"/>
      </w:tabs>
    </w:pPr>
    <w:rPr>
      <w:rFonts w:ascii="Times New Roman" w:hAnsi="Times New Roman" w:eastAsia="华文中宋"/>
      <w:sz w:val="28"/>
    </w:rPr>
  </w:style>
  <w:style w:type="character" w:styleId="1075" w:customStyle="1">
    <w:name w:val="样式4 Char"/>
    <w:link w:val="1076"/>
    <w:uiPriority w:val="0"/>
    <w:qFormat/>
    <w:rPr>
      <w:sz w:val="18"/>
      <w:szCs w:val="18"/>
    </w:rPr>
  </w:style>
  <w:style w:type="paragraph" w:styleId="1076" w:customStyle="1">
    <w:name w:val="样式4"/>
    <w:basedOn w:val="882"/>
    <w:link w:val="1075"/>
    <w:uiPriority w:val="0"/>
    <w:qFormat/>
    <w:pPr>
      <w:ind w:firstLine="425"/>
      <w:pBdr>
        <w:bottom w:val="none" w:color="auto" w:sz="0" w:space="0"/>
      </w:pBdr>
    </w:pPr>
  </w:style>
  <w:style w:type="character" w:styleId="1077" w:customStyle="1">
    <w:name w:val="HTML 打字机1"/>
    <w:uiPriority w:val="0"/>
    <w:qFormat/>
    <w:rPr>
      <w:rFonts w:hint="eastAsia" w:ascii="黑体" w:hAnsi="Courier New" w:eastAsia="黑体"/>
      <w:sz w:val="14"/>
    </w:rPr>
  </w:style>
  <w:style w:type="character" w:styleId="1078" w:customStyle="1">
    <w:name w:val="无间隔 Char"/>
    <w:link w:val="1079"/>
    <w:uiPriority w:val="0"/>
    <w:qFormat/>
    <w:rPr>
      <w:rFonts w:ascii="Calibri" w:hAnsi="Calibri"/>
    </w:rPr>
  </w:style>
  <w:style w:type="paragraph" w:styleId="1079">
    <w:name w:val="No Spacing"/>
    <w:link w:val="1078"/>
    <w:uiPriority w:val="0"/>
    <w:qFormat/>
    <w:pPr>
      <w:jc w:val="both"/>
      <w:widowControl w:val="off"/>
    </w:pPr>
    <w:rPr>
      <w:rFonts w:ascii="Calibri" w:hAnsi="Calibri" w:eastAsia="宋体" w:cs="Times New Roman"/>
      <w:lang w:val="en-US" w:eastAsia="zh-CN" w:bidi="ar-SA"/>
    </w:rPr>
  </w:style>
  <w:style w:type="character" w:styleId="1080" w:customStyle="1">
    <w:name w:val="样式6 Char"/>
    <w:link w:val="1081"/>
    <w:uiPriority w:val="0"/>
    <w:qFormat/>
    <w:rPr>
      <w:sz w:val="18"/>
      <w:szCs w:val="18"/>
    </w:rPr>
  </w:style>
  <w:style w:type="paragraph" w:styleId="1081" w:customStyle="1">
    <w:name w:val="样式6"/>
    <w:basedOn w:val="882"/>
    <w:link w:val="1080"/>
    <w:uiPriority w:val="0"/>
    <w:qFormat/>
    <w:pPr>
      <w:ind w:firstLine="425"/>
      <w:pBdr>
        <w:bottom w:val="none" w:color="auto" w:sz="0" w:space="0"/>
      </w:pBdr>
    </w:pPr>
  </w:style>
  <w:style w:type="character" w:styleId="1082" w:customStyle="1">
    <w:name w:val="纯文本 Char"/>
    <w:link w:val="1083"/>
    <w:uiPriority w:val="0"/>
    <w:qFormat/>
    <w:rPr>
      <w:rFonts w:ascii="宋体" w:hAnsi="Courier New" w:eastAsia="楷体_GB2312"/>
      <w:sz w:val="28"/>
    </w:rPr>
  </w:style>
  <w:style w:type="paragraph" w:styleId="1083" w:customStyle="1">
    <w:name w:val="纯文本111"/>
    <w:basedOn w:val="847"/>
    <w:link w:val="1082"/>
    <w:uiPriority w:val="0"/>
    <w:qFormat/>
    <w:rPr>
      <w:rFonts w:ascii="宋体" w:hAnsi="Courier New" w:eastAsia="楷体_GB2312"/>
      <w:sz w:val="28"/>
      <w:szCs w:val="20"/>
    </w:rPr>
  </w:style>
  <w:style w:type="character" w:styleId="1084" w:customStyle="1">
    <w:name w:val="样式3 Char"/>
    <w:link w:val="1085"/>
    <w:uiPriority w:val="0"/>
    <w:qFormat/>
    <w:rPr>
      <w:sz w:val="18"/>
      <w:szCs w:val="18"/>
    </w:rPr>
  </w:style>
  <w:style w:type="paragraph" w:styleId="1085" w:customStyle="1">
    <w:name w:val="样式3"/>
    <w:basedOn w:val="882"/>
    <w:link w:val="1084"/>
    <w:uiPriority w:val="0"/>
    <w:qFormat/>
    <w:pPr>
      <w:jc w:val="both"/>
      <w:pBdr>
        <w:bottom w:val="none" w:color="auto" w:sz="0" w:space="0"/>
      </w:pBdr>
    </w:pPr>
  </w:style>
  <w:style w:type="character" w:styleId="1086" w:customStyle="1">
    <w:name w:val="3级标题 Char"/>
    <w:link w:val="1087"/>
    <w:uiPriority w:val="0"/>
    <w:qFormat/>
    <w:rPr>
      <w:rFonts w:eastAsia="华文中宋"/>
      <w:b/>
      <w:bCs/>
      <w:sz w:val="28"/>
      <w:szCs w:val="32"/>
    </w:rPr>
  </w:style>
  <w:style w:type="paragraph" w:styleId="1087" w:customStyle="1">
    <w:name w:val="3级标题"/>
    <w:basedOn w:val="849"/>
    <w:link w:val="1086"/>
    <w:uiPriority w:val="0"/>
    <w:qFormat/>
    <w:pPr>
      <w:spacing w:line="360" w:lineRule="auto"/>
      <w:tabs>
        <w:tab w:val="left" w:pos="1080" w:leader="none"/>
      </w:tabs>
    </w:pPr>
    <w:rPr>
      <w:rFonts w:ascii="Times New Roman" w:hAnsi="Times New Roman" w:eastAsia="华文中宋"/>
      <w:sz w:val="28"/>
    </w:rPr>
  </w:style>
  <w:style w:type="character" w:styleId="1088" w:customStyle="1">
    <w:name w:val="5级 Char"/>
    <w:link w:val="1089"/>
    <w:uiPriority w:val="0"/>
    <w:qFormat/>
    <w:rPr>
      <w:rFonts w:eastAsia="华文中宋"/>
      <w:b/>
      <w:sz w:val="24"/>
      <w:szCs w:val="28"/>
    </w:rPr>
  </w:style>
  <w:style w:type="paragraph" w:styleId="1089" w:customStyle="1">
    <w:name w:val="5级"/>
    <w:basedOn w:val="851"/>
    <w:link w:val="1088"/>
    <w:uiPriority w:val="0"/>
    <w:qFormat/>
    <w:pPr>
      <w:jc w:val="left"/>
      <w:spacing w:line="360" w:lineRule="auto"/>
      <w:tabs>
        <w:tab w:val="left" w:pos="1276" w:leader="none"/>
      </w:tabs>
    </w:pPr>
    <w:rPr>
      <w:rFonts w:ascii="Times New Roman" w:hAnsi="Times New Roman" w:eastAsia="华文中宋"/>
      <w:bCs w:val="0"/>
      <w:sz w:val="24"/>
    </w:rPr>
  </w:style>
  <w:style w:type="character" w:styleId="1090" w:customStyle="1">
    <w:name w:val="样式5 Char"/>
    <w:link w:val="1091"/>
    <w:uiPriority w:val="0"/>
    <w:qFormat/>
    <w:rPr>
      <w:sz w:val="24"/>
    </w:rPr>
  </w:style>
  <w:style w:type="paragraph" w:styleId="1091" w:customStyle="1">
    <w:name w:val="样式5"/>
    <w:basedOn w:val="847"/>
    <w:link w:val="1090"/>
    <w:uiPriority w:val="0"/>
    <w:qFormat/>
    <w:pPr>
      <w:jc w:val="left"/>
      <w:pBdr>
        <w:bottom w:val="single" w:color="C0504D" w:sz="6" w:space="1"/>
      </w:pBdr>
    </w:pPr>
    <w:rPr>
      <w:sz w:val="24"/>
      <w:szCs w:val="20"/>
    </w:rPr>
  </w:style>
  <w:style w:type="character" w:styleId="1092" w:customStyle="1">
    <w:name w:val="正文缩进1 Char1"/>
    <w:uiPriority w:val="0"/>
    <w:qFormat/>
    <w:rPr>
      <w:rFonts w:eastAsia="Wingdings"/>
      <w:sz w:val="24"/>
      <w:lang w:val="en-US" w:eastAsia="zh-CN" w:bidi="ar-SA"/>
    </w:rPr>
  </w:style>
  <w:style w:type="character" w:styleId="1093" w:customStyle="1">
    <w:name w:val="*正文 Char"/>
    <w:link w:val="1094"/>
    <w:uiPriority w:val="0"/>
    <w:qFormat/>
    <w:rPr>
      <w:rFonts w:ascii="宋体" w:hAnsi="宋体"/>
      <w:sz w:val="24"/>
    </w:rPr>
  </w:style>
  <w:style w:type="paragraph" w:styleId="1094" w:customStyle="1">
    <w:name w:val="*正文"/>
    <w:basedOn w:val="847"/>
    <w:link w:val="1093"/>
    <w:uiPriority w:val="0"/>
    <w:qFormat/>
    <w:pPr>
      <w:ind w:firstLine="482"/>
      <w:spacing w:line="360" w:lineRule="auto"/>
    </w:pPr>
    <w:rPr>
      <w:rFonts w:ascii="宋体" w:hAnsi="宋体"/>
      <w:sz w:val="24"/>
      <w:szCs w:val="20"/>
    </w:rPr>
  </w:style>
  <w:style w:type="paragraph" w:styleId="1095" w:customStyle="1">
    <w:name w:val="Blockquote"/>
    <w:basedOn w:val="847"/>
    <w:uiPriority w:val="0"/>
    <w:qFormat/>
    <w:pPr>
      <w:ind w:left="360" w:right="360"/>
      <w:jc w:val="left"/>
      <w:spacing w:before="100" w:after="100"/>
    </w:pPr>
    <w:rPr>
      <w:sz w:val="24"/>
      <w:szCs w:val="20"/>
    </w:rPr>
  </w:style>
  <w:style w:type="paragraph" w:styleId="1096" w:customStyle="1">
    <w:name w:val="reader-word-layer reader-word-s7-11"/>
    <w:basedOn w:val="847"/>
    <w:uiPriority w:val="0"/>
    <w:qFormat/>
    <w:pPr>
      <w:jc w:val="left"/>
      <w:spacing w:before="100" w:beforeAutospacing="1" w:after="100" w:afterAutospacing="1"/>
      <w:widowControl/>
    </w:pPr>
    <w:rPr>
      <w:rFonts w:ascii="Courier New" w:hAnsi="Courier New" w:eastAsia="Courier New" w:cs="Courier New"/>
      <w:sz w:val="24"/>
      <w:szCs w:val="24"/>
    </w:rPr>
  </w:style>
  <w:style w:type="paragraph" w:styleId="1097" w:customStyle="1">
    <w:name w:val="题注1"/>
    <w:basedOn w:val="847"/>
    <w:next w:val="847"/>
    <w:uiPriority w:val="0"/>
    <w:qFormat/>
    <w:pPr>
      <w:ind w:firstLine="425"/>
      <w:jc w:val="center"/>
      <w:spacing w:line="360" w:lineRule="auto"/>
    </w:pPr>
    <w:rPr>
      <w:rFonts w:ascii="Calibri" w:hAnsi="Calibri"/>
    </w:rPr>
  </w:style>
  <w:style w:type="character" w:styleId="1098" w:customStyle="1">
    <w:name w:val="正文文本缩进 3 Char2"/>
    <w:basedOn w:val="857"/>
    <w:uiPriority w:val="99"/>
    <w:semiHidden/>
    <w:qFormat/>
    <w:rPr>
      <w:rFonts w:ascii="Times New Roman" w:hAnsi="Times New Roman" w:eastAsia="楷体_GB2312" w:cs="Times New Roman"/>
      <w:sz w:val="16"/>
      <w:szCs w:val="16"/>
    </w:rPr>
  </w:style>
  <w:style w:type="paragraph" w:styleId="1099" w:customStyle="1">
    <w:name w:val="xl26"/>
    <w:basedOn w:val="847"/>
    <w:uiPriority w:val="0"/>
    <w:qFormat/>
    <w:pPr>
      <w:jc w:val="center"/>
      <w:spacing w:before="100" w:beforeAutospacing="1" w:after="100" w:afterAutospacing="1"/>
      <w:widowControl/>
    </w:pPr>
    <w:rPr>
      <w:rFonts w:ascii="宋体" w:hAnsi="宋体"/>
      <w:sz w:val="24"/>
      <w:szCs w:val="24"/>
    </w:rPr>
  </w:style>
  <w:style w:type="paragraph" w:styleId="1100" w:customStyle="1">
    <w:name w:val="默认段落字体 Para Char Char Char Char Char Char Char"/>
    <w:basedOn w:val="847"/>
    <w:uiPriority w:val="0"/>
    <w:qFormat/>
    <w:pPr>
      <w:spacing w:line="360" w:lineRule="auto"/>
    </w:pPr>
    <w:rPr>
      <w:rFonts w:ascii="Tahoma" w:hAnsi="Tahoma"/>
      <w:sz w:val="24"/>
      <w:szCs w:val="20"/>
    </w:rPr>
  </w:style>
  <w:style w:type="paragraph" w:styleId="1101" w:customStyle="1">
    <w:name w:val="Plain Text1"/>
    <w:basedOn w:val="847"/>
    <w:uiPriority w:val="0"/>
    <w:qFormat/>
    <w:rPr>
      <w:rFonts w:hint="eastAsia" w:ascii="宋体" w:hAnsi="Courier New" w:eastAsia="楷体_GB2312"/>
      <w:sz w:val="28"/>
      <w:szCs w:val="20"/>
    </w:rPr>
  </w:style>
  <w:style w:type="paragraph" w:styleId="1102" w:customStyle="1">
    <w:name w:val="Char Char Char Char"/>
    <w:basedOn w:val="847"/>
    <w:uiPriority w:val="0"/>
    <w:qFormat/>
    <w:pPr>
      <w:ind w:firstLine="200"/>
      <w:spacing w:line="360" w:lineRule="auto"/>
    </w:pPr>
    <w:rPr>
      <w:rFonts w:ascii="Tahoma" w:hAnsi="Tahoma"/>
      <w:sz w:val="24"/>
      <w:szCs w:val="20"/>
    </w:rPr>
  </w:style>
  <w:style w:type="paragraph" w:styleId="1103" w:customStyle="1">
    <w:name w:val="默认段落字体 Para Char Char Char Char Char Char Char Char Char1 Char Char Char Char"/>
    <w:basedOn w:val="847"/>
    <w:uiPriority w:val="0"/>
    <w:qFormat/>
    <w:pPr>
      <w:jc w:val="left"/>
      <w:widowControl/>
    </w:pPr>
    <w:rPr>
      <w:rFonts w:ascii="Tahoma" w:hAnsi="Tahoma"/>
      <w:sz w:val="24"/>
      <w:szCs w:val="20"/>
    </w:rPr>
  </w:style>
  <w:style w:type="paragraph" w:styleId="1104" w:customStyle="1">
    <w:name w:val="Char"/>
    <w:basedOn w:val="865"/>
    <w:uiPriority w:val="0"/>
    <w:qFormat/>
    <w:pPr>
      <w:spacing w:line="360" w:lineRule="auto"/>
      <w:shd w:val="clear" w:color="auto" w:fill="000080"/>
    </w:pPr>
    <w:rPr>
      <w:rFonts w:ascii="Tahoma" w:hAnsi="Tahoma"/>
      <w:sz w:val="24"/>
      <w:szCs w:val="24"/>
    </w:rPr>
  </w:style>
  <w:style w:type="paragraph" w:styleId="1105" w:customStyle="1">
    <w:name w:val="Char Char Char"/>
    <w:basedOn w:val="865"/>
    <w:uiPriority w:val="0"/>
    <w:qFormat/>
    <w:pPr>
      <w:spacing w:line="360" w:lineRule="auto"/>
      <w:shd w:val="clear" w:color="auto" w:fill="000080"/>
    </w:pPr>
    <w:rPr>
      <w:rFonts w:ascii="Tahoma" w:hAnsi="Tahoma"/>
      <w:sz w:val="24"/>
      <w:szCs w:val="24"/>
    </w:rPr>
  </w:style>
  <w:style w:type="paragraph" w:styleId="1106" w:customStyle="1">
    <w:name w:val="Char Char"/>
    <w:basedOn w:val="847"/>
    <w:uiPriority w:val="0"/>
    <w:qFormat/>
    <w:pPr>
      <w:ind w:firstLine="200"/>
      <w:spacing w:line="360" w:lineRule="auto"/>
    </w:pPr>
    <w:rPr>
      <w:rFonts w:eastAsia="楷体_GB2312"/>
      <w:sz w:val="28"/>
      <w:szCs w:val="20"/>
    </w:rPr>
  </w:style>
  <w:style w:type="paragraph" w:styleId="1107" w:customStyle="1">
    <w:name w:val="Char2 Char Char Char Char Char Char Char Char Char"/>
    <w:basedOn w:val="847"/>
    <w:uiPriority w:val="0"/>
    <w:qFormat/>
    <w:pPr>
      <w:ind w:firstLine="200"/>
      <w:spacing w:line="360" w:lineRule="auto"/>
    </w:pPr>
    <w:rPr>
      <w:rFonts w:ascii="Tahoma" w:hAnsi="Tahoma"/>
      <w:sz w:val="24"/>
      <w:szCs w:val="20"/>
    </w:rPr>
  </w:style>
  <w:style w:type="paragraph" w:styleId="1108" w:customStyle="1">
    <w:name w:val="Char Char Char1 Char Char Char Char"/>
    <w:basedOn w:val="847"/>
    <w:uiPriority w:val="0"/>
    <w:qFormat/>
    <w:pPr>
      <w:jc w:val="left"/>
      <w:spacing w:after="160" w:line="240" w:lineRule="exact"/>
      <w:widowControl/>
    </w:pPr>
    <w:rPr>
      <w:sz w:val="24"/>
      <w:szCs w:val="24"/>
    </w:rPr>
  </w:style>
  <w:style w:type="paragraph" w:styleId="1109" w:customStyle="1">
    <w:name w:val="HTML 预设格式1"/>
    <w:basedOn w:val="84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szCs w:val="20"/>
    </w:rPr>
  </w:style>
  <w:style w:type="paragraph" w:styleId="1110" w:customStyle="1">
    <w:name w:val="p16"/>
    <w:basedOn w:val="847"/>
    <w:uiPriority w:val="0"/>
    <w:qFormat/>
    <w:pPr>
      <w:ind w:left="420"/>
      <w:spacing w:after="120" w:line="480" w:lineRule="auto"/>
      <w:widowControl/>
    </w:pPr>
    <w:rPr>
      <w:szCs w:val="21"/>
    </w:rPr>
  </w:style>
  <w:style w:type="paragraph" w:styleId="1111" w:customStyle="1">
    <w:name w:val="1.1.1.1.1"/>
    <w:basedOn w:val="851"/>
    <w:uiPriority w:val="0"/>
    <w:qFormat/>
    <w:pPr>
      <w:ind w:left="992"/>
      <w:jc w:val="left"/>
      <w:spacing w:line="360" w:lineRule="auto"/>
      <w:tabs>
        <w:tab w:val="left" w:pos="992" w:leader="none"/>
        <w:tab w:val="left" w:pos="1080" w:leader="none"/>
      </w:tabs>
    </w:pPr>
    <w:rPr>
      <w:rFonts w:ascii="Times New Roman" w:hAnsi="Times New Roman" w:eastAsia="华文中宋"/>
      <w:sz w:val="24"/>
    </w:rPr>
  </w:style>
  <w:style w:type="paragraph" w:styleId="1112" w:customStyle="1">
    <w:name w:val="TOC 标题1"/>
    <w:basedOn w:val="848"/>
    <w:next w:val="847"/>
    <w:uiPriority w:val="39"/>
    <w:qFormat/>
    <w:pPr>
      <w:ind w:left="0" w:firstLine="0"/>
      <w:jc w:val="left"/>
      <w:spacing w:before="0" w:after="0" w:line="276" w:lineRule="auto"/>
      <w:widowControl/>
      <w:tabs>
        <w:tab w:val="left" w:pos="993" w:leader="none"/>
      </w:tabs>
      <w:outlineLvl w:val="9"/>
    </w:pPr>
    <w:rPr>
      <w:rFonts w:ascii="Cambria" w:hAnsi="Cambria"/>
      <w:color w:val="365f91"/>
      <w:sz w:val="28"/>
      <w:szCs w:val="28"/>
    </w:rPr>
  </w:style>
  <w:style w:type="paragraph" w:styleId="1113" w:customStyle="1">
    <w:name w:val="标题2"/>
    <w:basedOn w:val="849"/>
    <w:uiPriority w:val="0"/>
    <w:qFormat/>
    <w:pPr>
      <w:spacing w:before="0" w:after="0" w:line="413" w:lineRule="auto"/>
    </w:pPr>
  </w:style>
  <w:style w:type="character" w:styleId="1114" w:customStyle="1">
    <w:name w:val="op-map-singlepoint-info-right"/>
    <w:uiPriority w:val="0"/>
    <w:qFormat/>
  </w:style>
  <w:style w:type="table" w:styleId="1115" w:customStyle="1">
    <w:name w:val="网格型2"/>
    <w:basedOn w:val="85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16" w:customStyle="1">
    <w:name w:val="Plain Text Char"/>
    <w:uiPriority w:val="0"/>
    <w:qFormat/>
    <w:rPr>
      <w:rFonts w:ascii="宋体" w:hAnsi="Courier New" w:eastAsia="楷体_GB2312"/>
      <w:sz w:val="26"/>
    </w:rPr>
  </w:style>
  <w:style w:type="table" w:styleId="1117" w:customStyle="1">
    <w:name w:val="网格型3"/>
    <w:basedOn w:val="85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18" w:customStyle="1">
    <w:name w:val="修订3"/>
    <w:hidden/>
    <w:uiPriority w:val="99"/>
    <w:unhideWhenUsed/>
    <w:qFormat/>
    <w:rPr>
      <w:rFonts w:ascii="Times New Roman" w:hAnsi="Times New Roman" w:eastAsia="宋体" w:cs="Times New Roman"/>
      <w:sz w:val="21"/>
      <w:szCs w:val="22"/>
      <w:lang w:val="en-US" w:eastAsia="zh-CN" w:bidi="ar-SA"/>
    </w:rPr>
  </w:style>
  <w:style w:type="character" w:styleId="1119" w:customStyle="1">
    <w:name w:val="HTML 预设格式 Char"/>
    <w:basedOn w:val="857"/>
    <w:link w:val="896"/>
    <w:uiPriority w:val="0"/>
    <w:qFormat/>
    <w:rPr>
      <w:rFonts w:ascii="黑体" w:hAnsi="Courier New" w:eastAsia="黑体"/>
    </w:rPr>
  </w:style>
  <w:style w:type="character" w:styleId="1120" w:customStyle="1">
    <w:name w:val="正文首行缩进 Char"/>
    <w:basedOn w:val="925"/>
    <w:link w:val="900"/>
    <w:uiPriority w:val="0"/>
    <w:qFormat/>
    <w:rPr>
      <w:rFonts w:ascii="Times New Roman" w:hAnsi="Times New Roman" w:eastAsia="楷体_GB2312" w:cs="Times New Roman"/>
      <w:sz w:val="26"/>
      <w:szCs w:val="24"/>
    </w:rPr>
  </w:style>
  <w:style w:type="character" w:styleId="1121" w:customStyle="1">
    <w:name w:val="正文缩进 Char2"/>
    <w:uiPriority w:val="0"/>
    <w:qFormat/>
    <w:rPr>
      <w:rFonts w:eastAsia="楷体_GB2312"/>
      <w:sz w:val="24"/>
    </w:rPr>
  </w:style>
  <w:style w:type="paragraph" w:styleId="1122" w:customStyle="1">
    <w:name w:val="Char Char Char Char Char Char Char Char Char1 Char"/>
    <w:basedOn w:val="865"/>
    <w:uiPriority w:val="0"/>
    <w:qFormat/>
    <w:pPr>
      <w:spacing w:line="360" w:lineRule="auto"/>
      <w:shd w:val="clear" w:color="auto" w:fill="000080"/>
    </w:pPr>
    <w:rPr>
      <w:rFonts w:ascii="Tahoma" w:hAnsi="Tahoma"/>
      <w:sz w:val="24"/>
      <w:szCs w:val="24"/>
      <w:shd w:val="clear" w:color="auto" w:fill="000080"/>
    </w:rPr>
  </w:style>
  <w:style w:type="paragraph" w:styleId="1123" w:customStyle="1">
    <w:name w:val="xl61"/>
    <w:basedOn w:val="8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24" w:customStyle="1">
    <w:name w:val="xl47"/>
    <w:basedOn w:val="8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25" w:customStyle="1">
    <w:name w:val="xl55"/>
    <w:basedOn w:val="84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26" w:customStyle="1">
    <w:name w:val="Char Char1 Char Char Char Char Char Char Char Char Char Char Char Char Char Char Char Char"/>
    <w:basedOn w:val="847"/>
    <w:uiPriority w:val="0"/>
    <w:qFormat/>
    <w:pPr>
      <w:jc w:val="left"/>
      <w:spacing w:after="160" w:line="240" w:lineRule="exact"/>
      <w:widowControl/>
    </w:pPr>
    <w:rPr>
      <w:rFonts w:ascii="Verdana" w:hAnsi="Verdana"/>
      <w:sz w:val="20"/>
      <w:szCs w:val="20"/>
      <w:lang w:eastAsia="en-US"/>
    </w:rPr>
  </w:style>
  <w:style w:type="paragraph" w:styleId="1127" w:customStyle="1">
    <w:name w:val="xl59"/>
    <w:basedOn w:val="8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28" w:customStyle="1">
    <w:name w:val="xl62"/>
    <w:basedOn w:val="8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29" w:customStyle="1">
    <w:name w:val="节标题"/>
    <w:basedOn w:val="847"/>
    <w:next w:val="859"/>
    <w:uiPriority w:val="0"/>
    <w:qFormat/>
    <w:pPr>
      <w:ind w:left="420" w:hanging="420"/>
      <w:spacing w:before="120" w:after="120" w:line="360" w:lineRule="exact"/>
      <w:tabs>
        <w:tab w:val="left" w:pos="420" w:leader="none"/>
      </w:tabs>
      <w:outlineLvl w:val="1"/>
    </w:pPr>
    <w:rPr>
      <w:b/>
      <w:bCs/>
      <w:sz w:val="28"/>
      <w:szCs w:val="20"/>
    </w:rPr>
  </w:style>
  <w:style w:type="paragraph" w:styleId="1130" w:customStyle="1">
    <w:name w:val="xl63"/>
    <w:basedOn w:val="8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31" w:customStyle="1">
    <w:name w:val="000左齐平"/>
    <w:basedOn w:val="847"/>
    <w:uiPriority w:val="0"/>
    <w:qFormat/>
    <w:pPr>
      <w:jc w:val="left"/>
    </w:pPr>
    <w:rPr>
      <w:rFonts w:eastAsia="楷体_GB2312"/>
      <w:color w:val="000000"/>
      <w:sz w:val="26"/>
      <w:szCs w:val="20"/>
    </w:rPr>
  </w:style>
  <w:style w:type="paragraph" w:styleId="1132" w:customStyle="1">
    <w:name w:val="分层标题"/>
    <w:basedOn w:val="847"/>
    <w:next w:val="859"/>
    <w:uiPriority w:val="0"/>
    <w:qFormat/>
    <w:pPr>
      <w:ind w:left="709" w:hanging="709"/>
      <w:spacing w:before="120" w:after="120" w:line="360" w:lineRule="exact"/>
      <w:tabs>
        <w:tab w:val="left" w:pos="1080" w:leader="none"/>
      </w:tabs>
      <w:outlineLvl w:val="4"/>
    </w:pPr>
    <w:rPr>
      <w:b/>
      <w:sz w:val="24"/>
      <w:szCs w:val="24"/>
    </w:rPr>
  </w:style>
  <w:style w:type="paragraph" w:styleId="1133" w:customStyle="1">
    <w:name w:val="xl50"/>
    <w:basedOn w:val="8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34" w:customStyle="1">
    <w:name w:val="xl52"/>
    <w:basedOn w:val="8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5" w:customStyle="1">
    <w:name w:val="分标题"/>
    <w:basedOn w:val="847"/>
    <w:next w:val="859"/>
    <w:uiPriority w:val="0"/>
    <w:qFormat/>
    <w:pPr>
      <w:ind w:left="567" w:hanging="567"/>
      <w:spacing w:before="120" w:after="120" w:line="360" w:lineRule="exact"/>
      <w:tabs>
        <w:tab w:val="left" w:pos="567" w:leader="none"/>
      </w:tabs>
      <w:outlineLvl w:val="3"/>
    </w:pPr>
    <w:rPr>
      <w:rFonts w:ascii="宋体" w:hAnsi="宋体"/>
      <w:b/>
      <w:sz w:val="24"/>
      <w:szCs w:val="24"/>
    </w:rPr>
  </w:style>
  <w:style w:type="paragraph" w:styleId="1136" w:customStyle="1">
    <w:name w:val="首行缩进"/>
    <w:basedOn w:val="847"/>
    <w:uiPriority w:val="0"/>
    <w:qFormat/>
    <w:pPr>
      <w:ind w:firstLine="480"/>
    </w:pPr>
    <w:rPr>
      <w:rFonts w:eastAsia="楷体_GB2312"/>
      <w:sz w:val="26"/>
      <w:szCs w:val="20"/>
      <w:lang w:val="zh-CN"/>
    </w:rPr>
  </w:style>
  <w:style w:type="paragraph" w:styleId="1137" w:customStyle="1">
    <w:name w:val="xl45"/>
    <w:basedOn w:val="8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8" w:customStyle="1">
    <w:name w:val="xl46"/>
    <w:basedOn w:val="8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9" w:customStyle="1">
    <w:name w:val="+正文"/>
    <w:basedOn w:val="847"/>
    <w:uiPriority w:val="0"/>
    <w:qFormat/>
    <w:pPr>
      <w:ind w:firstLine="200"/>
      <w:spacing w:line="360" w:lineRule="auto"/>
    </w:pPr>
    <w:rPr>
      <w:sz w:val="24"/>
      <w:szCs w:val="28"/>
    </w:rPr>
  </w:style>
  <w:style w:type="paragraph" w:styleId="1140" w:customStyle="1">
    <w:name w:val="xl54"/>
    <w:basedOn w:val="8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1" w:customStyle="1">
    <w:name w:val="小四 段落 宋体 Char"/>
    <w:basedOn w:val="862"/>
    <w:uiPriority w:val="0"/>
    <w:qFormat/>
    <w:pPr>
      <w:ind w:left="0" w:right="-33" w:firstLine="480"/>
      <w:jc w:val="left"/>
      <w:spacing w:line="360" w:lineRule="auto"/>
      <w:tabs>
        <w:tab w:val="clear" w:pos="1125" w:leader="none"/>
      </w:tabs>
    </w:pPr>
    <w:rPr>
      <w:sz w:val="24"/>
    </w:rPr>
  </w:style>
  <w:style w:type="paragraph" w:styleId="1142" w:customStyle="1">
    <w:name w:val="纯文本21"/>
    <w:basedOn w:val="847"/>
    <w:uiPriority w:val="0"/>
    <w:qFormat/>
    <w:rPr>
      <w:rFonts w:ascii="宋体" w:hAnsi="Courier New" w:eastAsia="楷体_GB2312"/>
      <w:sz w:val="28"/>
      <w:szCs w:val="20"/>
    </w:rPr>
  </w:style>
  <w:style w:type="paragraph" w:styleId="1143" w:customStyle="1">
    <w:name w:val="_Style 1"/>
    <w:basedOn w:val="847"/>
    <w:uiPriority w:val="34"/>
    <w:qFormat/>
    <w:pPr>
      <w:ind w:firstLine="420"/>
    </w:pPr>
    <w:rPr>
      <w:rFonts w:ascii="Calibri" w:hAnsi="Calibri" w:eastAsia="楷体_GB2312"/>
      <w:sz w:val="26"/>
    </w:rPr>
  </w:style>
  <w:style w:type="paragraph" w:styleId="1144" w:customStyle="1">
    <w:name w:val="xl49"/>
    <w:basedOn w:val="847"/>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45" w:customStyle="1">
    <w:name w:val="xl60"/>
    <w:basedOn w:val="8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6" w:customStyle="1">
    <w:name w:val="Char Char1 Char Char Char Char Char Char Char"/>
    <w:basedOn w:val="847"/>
    <w:uiPriority w:val="0"/>
    <w:qFormat/>
    <w:rPr>
      <w:rFonts w:eastAsia="楷体_GB2312"/>
      <w:sz w:val="26"/>
      <w:szCs w:val="20"/>
    </w:rPr>
  </w:style>
  <w:style w:type="paragraph" w:styleId="1147" w:customStyle="1">
    <w:name w:val="正文 A"/>
    <w:uiPriority w:val="0"/>
    <w:qFormat/>
    <w:pPr>
      <w:jc w:val="both"/>
      <w:widowControl w:val="off"/>
      <w:framePr w:wrap="around" w:vAnchor="margin" w:hAnchor="text" w:y="1"/>
    </w:pPr>
    <w:rPr>
      <w:rFonts w:ascii="Times New Roman" w:hAnsi="Arial Unicode MS" w:eastAsia="Arial Unicode MS" w:cs="Arial Unicode MS"/>
      <w:color w:val="000000"/>
      <w:sz w:val="21"/>
      <w:szCs w:val="21"/>
      <w:lang w:val="en-US" w:eastAsia="zh-CN" w:bidi="ar-SA"/>
    </w:rPr>
  </w:style>
  <w:style w:type="paragraph" w:styleId="1148" w:customStyle="1">
    <w:name w:val="xl53"/>
    <w:basedOn w:val="8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9" w:customStyle="1">
    <w:name w:val="Char Char Char Char Char Char Char"/>
    <w:basedOn w:val="847"/>
    <w:uiPriority w:val="0"/>
    <w:qFormat/>
    <w:pPr>
      <w:ind w:left="432" w:hanging="432"/>
      <w:tabs>
        <w:tab w:val="left" w:pos="432" w:leader="none"/>
      </w:tabs>
    </w:pPr>
    <w:rPr>
      <w:rFonts w:ascii="Tahoma" w:hAnsi="Tahoma"/>
      <w:sz w:val="24"/>
      <w:szCs w:val="20"/>
    </w:rPr>
  </w:style>
  <w:style w:type="paragraph" w:styleId="1150" w:customStyle="1">
    <w:name w:val="xl57"/>
    <w:basedOn w:val="84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1" w:customStyle="1">
    <w:name w:val="并列样式"/>
    <w:basedOn w:val="847"/>
    <w:next w:val="847"/>
    <w:uiPriority w:val="0"/>
    <w:qFormat/>
    <w:pPr>
      <w:ind w:left="839" w:hanging="419"/>
      <w:spacing w:before="120" w:after="120" w:line="360" w:lineRule="exact"/>
      <w:tabs>
        <w:tab w:val="left" w:pos="839" w:leader="none"/>
      </w:tabs>
    </w:pPr>
    <w:rPr>
      <w:sz w:val="24"/>
      <w:szCs w:val="20"/>
    </w:rPr>
  </w:style>
  <w:style w:type="paragraph" w:styleId="1152" w:customStyle="1">
    <w:name w:val="_Style 12"/>
    <w:basedOn w:val="865"/>
    <w:uiPriority w:val="0"/>
    <w:qFormat/>
    <w:pPr>
      <w:jc w:val="left"/>
      <w:spacing w:line="360" w:lineRule="auto"/>
      <w:shd w:val="clear" w:color="auto" w:fill="000080"/>
      <w:widowControl/>
    </w:pPr>
    <w:rPr>
      <w:rFonts w:ascii="Times New Roman"/>
      <w:sz w:val="24"/>
      <w:szCs w:val="20"/>
      <w:shd w:val="clear" w:color="auto" w:fill="000080"/>
    </w:rPr>
  </w:style>
  <w:style w:type="paragraph" w:styleId="1153" w:customStyle="1">
    <w:name w:val="xl56"/>
    <w:basedOn w:val="8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4" w:customStyle="1">
    <w:name w:val="xl48"/>
    <w:basedOn w:val="8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55" w:customStyle="1">
    <w:name w:val="小四 段落 宋体 Char Char Char Char Char Char"/>
    <w:uiPriority w:val="0"/>
    <w:qFormat/>
    <w:pPr>
      <w:ind w:firstLine="480"/>
    </w:pPr>
    <w:rPr>
      <w:rFonts w:ascii="宋体" w:hAnsi="宋体" w:eastAsia="宋体" w:cs="Times New Roman"/>
      <w:lang w:val="en-US" w:eastAsia="zh-CN" w:bidi="ar-SA"/>
    </w:rPr>
  </w:style>
  <w:style w:type="paragraph" w:styleId="1156" w:customStyle="1">
    <w:name w:val="xl58"/>
    <w:basedOn w:val="8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7" w:customStyle="1">
    <w:name w:val="xl51"/>
    <w:basedOn w:val="8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character" w:styleId="1158" w:customStyle="1">
    <w:name w:val="font151"/>
    <w:uiPriority w:val="0"/>
    <w:qFormat/>
    <w:rPr>
      <w:rFonts w:hint="default" w:ascii="Times New Roman" w:hAnsi="Times New Roman" w:eastAsia="宋体" w:cs="Times New Roman"/>
      <w:color w:val="dd0806"/>
      <w:sz w:val="21"/>
      <w:szCs w:val="21"/>
      <w:u w:val="none"/>
    </w:rPr>
  </w:style>
  <w:style w:type="character" w:styleId="1159" w:customStyle="1">
    <w:name w:val="font41"/>
    <w:uiPriority w:val="0"/>
    <w:qFormat/>
    <w:rPr>
      <w:rFonts w:hint="eastAsia" w:ascii="宋体" w:hAnsi="宋体" w:eastAsia="宋体" w:cs="宋体"/>
      <w:color w:val="000000"/>
      <w:sz w:val="18"/>
      <w:szCs w:val="18"/>
      <w:u w:val="none"/>
    </w:rPr>
  </w:style>
  <w:style w:type="character" w:styleId="1160" w:customStyle="1">
    <w:name w:val="font31"/>
    <w:uiPriority w:val="0"/>
    <w:qFormat/>
    <w:rPr>
      <w:rFonts w:ascii="微软雅黑" w:hAnsi="微软雅黑" w:eastAsia="微软雅黑" w:cs="微软雅黑"/>
      <w:color w:val="000000"/>
      <w:sz w:val="21"/>
      <w:szCs w:val="21"/>
      <w:u w:val="none"/>
    </w:rPr>
  </w:style>
  <w:style w:type="character" w:styleId="1161" w:customStyle="1">
    <w:name w:val="font51"/>
    <w:uiPriority w:val="0"/>
    <w:qFormat/>
    <w:rPr>
      <w:rFonts w:hint="default" w:ascii="Times New Roman" w:hAnsi="Times New Roman" w:eastAsia="宋体" w:cs="Times New Roman"/>
      <w:color w:val="000000"/>
      <w:sz w:val="21"/>
      <w:szCs w:val="21"/>
      <w:u w:val="none"/>
    </w:rPr>
  </w:style>
  <w:style w:type="character" w:styleId="1162" w:customStyle="1">
    <w:name w:val="apple-style-span"/>
    <w:uiPriority w:val="0"/>
    <w:qFormat/>
  </w:style>
  <w:style w:type="character" w:styleId="1163" w:customStyle="1">
    <w:name w:val="font131"/>
    <w:uiPriority w:val="0"/>
    <w:qFormat/>
    <w:rPr>
      <w:rFonts w:hint="default" w:ascii="Times New Roman" w:hAnsi="Times New Roman" w:eastAsia="宋体" w:cs="Times New Roman"/>
      <w:color w:val="333333"/>
      <w:sz w:val="20"/>
      <w:szCs w:val="20"/>
      <w:u w:val="none"/>
    </w:rPr>
  </w:style>
  <w:style w:type="character" w:styleId="1164" w:customStyle="1">
    <w:name w:val="font171"/>
    <w:uiPriority w:val="0"/>
    <w:qFormat/>
    <w:rPr>
      <w:rFonts w:hint="default" w:ascii="微软雅黑" w:hAnsi="微软雅黑" w:eastAsia="微软雅黑" w:cs="微软雅黑"/>
      <w:color w:val="000000"/>
      <w:sz w:val="21"/>
      <w:szCs w:val="21"/>
      <w:u w:val="none"/>
    </w:rPr>
  </w:style>
  <w:style w:type="character" w:styleId="1165" w:customStyle="1">
    <w:name w:val="font101"/>
    <w:uiPriority w:val="0"/>
    <w:qFormat/>
    <w:rPr>
      <w:rFonts w:hint="eastAsia" w:ascii="宋体" w:hAnsi="宋体" w:eastAsia="宋体" w:cs="宋体"/>
      <w:color w:val="000000"/>
      <w:sz w:val="21"/>
      <w:szCs w:val="21"/>
      <w:u w:val="none"/>
    </w:rPr>
  </w:style>
  <w:style w:type="character" w:styleId="1166" w:customStyle="1">
    <w:name w:val="font61"/>
    <w:uiPriority w:val="0"/>
    <w:qFormat/>
    <w:rPr>
      <w:rFonts w:ascii="Batang" w:hAnsi="Batang" w:eastAsia="Batang" w:cs="Batang"/>
      <w:color w:val="000000"/>
      <w:sz w:val="21"/>
      <w:szCs w:val="21"/>
      <w:u w:val="none"/>
    </w:rPr>
  </w:style>
  <w:style w:type="character" w:styleId="1167" w:customStyle="1">
    <w:name w:val="font161"/>
    <w:uiPriority w:val="0"/>
    <w:qFormat/>
    <w:rPr>
      <w:rFonts w:hint="eastAsia" w:ascii="宋体" w:hAnsi="宋体" w:eastAsia="宋体" w:cs="宋体"/>
      <w:color w:val="333333"/>
      <w:sz w:val="20"/>
      <w:szCs w:val="20"/>
      <w:u w:val="none"/>
    </w:rPr>
  </w:style>
  <w:style w:type="character" w:styleId="1168" w:customStyle="1">
    <w:name w:val="font191"/>
    <w:uiPriority w:val="0"/>
    <w:qFormat/>
    <w:rPr>
      <w:rFonts w:hint="eastAsia" w:ascii="宋体" w:hAnsi="宋体" w:eastAsia="宋体" w:cs="宋体"/>
      <w:color w:val="000000"/>
      <w:sz w:val="21"/>
      <w:szCs w:val="21"/>
      <w:u w:val="none"/>
    </w:rPr>
  </w:style>
  <w:style w:type="character" w:styleId="1169" w:customStyle="1">
    <w:name w:val="font111"/>
    <w:uiPriority w:val="0"/>
    <w:qFormat/>
    <w:rPr>
      <w:rFonts w:hint="default" w:ascii="Times New Roman" w:hAnsi="Times New Roman" w:eastAsia="宋体" w:cs="Times New Roman"/>
      <w:color w:val="000000"/>
      <w:sz w:val="21"/>
      <w:szCs w:val="21"/>
      <w:u w:val="none"/>
      <w:vertAlign w:val="subscript"/>
    </w:rPr>
  </w:style>
  <w:style w:type="character" w:styleId="1170" w:customStyle="1">
    <w:name w:val="font91"/>
    <w:uiPriority w:val="0"/>
    <w:qFormat/>
    <w:rPr>
      <w:rFonts w:hint="default" w:ascii="微软雅黑" w:hAnsi="微软雅黑" w:eastAsia="微软雅黑" w:cs="微软雅黑"/>
      <w:color w:val="ff0000"/>
      <w:sz w:val="21"/>
      <w:szCs w:val="21"/>
      <w:u w:val="none"/>
    </w:rPr>
  </w:style>
  <w:style w:type="character" w:styleId="1171" w:customStyle="1">
    <w:name w:val="font01"/>
    <w:uiPriority w:val="0"/>
    <w:qFormat/>
    <w:rPr>
      <w:rFonts w:hint="eastAsia" w:ascii="宋体" w:hAnsi="宋体" w:eastAsia="宋体" w:cs="宋体"/>
      <w:color w:val="333333"/>
      <w:sz w:val="24"/>
      <w:szCs w:val="24"/>
      <w:u w:val="none"/>
    </w:rPr>
  </w:style>
  <w:style w:type="character" w:styleId="1172" w:customStyle="1">
    <w:name w:val="font81"/>
    <w:uiPriority w:val="0"/>
    <w:qFormat/>
    <w:rPr>
      <w:rFonts w:ascii="微软雅黑" w:hAnsi="微软雅黑" w:eastAsia="微软雅黑" w:cs="微软雅黑"/>
      <w:color w:val="000000"/>
      <w:sz w:val="21"/>
      <w:szCs w:val="21"/>
      <w:u w:val="none"/>
    </w:rPr>
  </w:style>
  <w:style w:type="character" w:styleId="1173" w:customStyle="1">
    <w:name w:val="font141"/>
    <w:uiPriority w:val="0"/>
    <w:qFormat/>
    <w:rPr>
      <w:rFonts w:hint="default" w:ascii="Times New Roman" w:hAnsi="Times New Roman" w:eastAsia="宋体" w:cs="Times New Roman"/>
      <w:color w:val="000000"/>
      <w:sz w:val="21"/>
      <w:szCs w:val="21"/>
      <w:u w:val="none"/>
      <w:vertAlign w:val="superscript"/>
    </w:rPr>
  </w:style>
  <w:style w:type="character" w:styleId="1174" w:customStyle="1">
    <w:name w:val="font71"/>
    <w:uiPriority w:val="0"/>
    <w:qFormat/>
    <w:rPr>
      <w:rFonts w:hint="default" w:ascii="Times New Roman" w:hAnsi="Times New Roman" w:eastAsia="宋体" w:cs="Times New Roman"/>
      <w:color w:val="000000"/>
      <w:sz w:val="21"/>
      <w:szCs w:val="21"/>
      <w:u w:val="none"/>
    </w:rPr>
  </w:style>
  <w:style w:type="character" w:styleId="1175" w:customStyle="1">
    <w:name w:val="font181"/>
    <w:uiPriority w:val="0"/>
    <w:qFormat/>
    <w:rPr>
      <w:rFonts w:hint="default" w:ascii="Times New Roman" w:hAnsi="Times New Roman" w:eastAsia="宋体" w:cs="Times New Roman"/>
      <w:color w:val="000000"/>
      <w:sz w:val="21"/>
      <w:szCs w:val="21"/>
      <w:u w:val="none"/>
      <w:vertAlign w:val="subscript"/>
    </w:rPr>
  </w:style>
  <w:style w:type="character" w:styleId="1176" w:customStyle="1">
    <w:name w:val="font121"/>
    <w:uiPriority w:val="0"/>
    <w:qFormat/>
    <w:rPr>
      <w:rFonts w:hint="default" w:ascii="微软雅黑" w:hAnsi="微软雅黑" w:eastAsia="微软雅黑" w:cs="微软雅黑"/>
      <w:color w:val="000000"/>
      <w:sz w:val="21"/>
      <w:szCs w:val="21"/>
      <w:u w:val="none"/>
    </w:rPr>
  </w:style>
  <w:style w:type="paragraph" w:styleId="1177" w:customStyle="1">
    <w:name w:val="Table Text"/>
    <w:link w:val="1178"/>
    <w:uiPriority w:val="0"/>
    <w:qFormat/>
    <w:pPr>
      <w:tabs>
        <w:tab w:val="decimal" w:pos="0" w:leader="none"/>
      </w:tabs>
    </w:pPr>
    <w:rPr>
      <w:rFonts w:ascii="Arial" w:hAnsi="Arial" w:eastAsia="宋体" w:cs="Times New Roman"/>
      <w:sz w:val="21"/>
      <w:szCs w:val="21"/>
      <w:lang w:val="en-US" w:eastAsia="zh-CN" w:bidi="ar-SA"/>
    </w:rPr>
  </w:style>
  <w:style w:type="character" w:styleId="1178" w:customStyle="1">
    <w:name w:val="Table Text Char1"/>
    <w:link w:val="1177"/>
    <w:uiPriority w:val="0"/>
    <w:qFormat/>
    <w:rPr>
      <w:rFonts w:ascii="Arial" w:hAnsi="Arial"/>
      <w:sz w:val="21"/>
      <w:szCs w:val="21"/>
    </w:rPr>
  </w:style>
  <w:style w:type="paragraph" w:styleId="1179" w:customStyle="1">
    <w:name w:val="正文 New"/>
    <w:uiPriority w:val="99"/>
    <w:qFormat/>
    <w:pPr>
      <w:jc w:val="both"/>
      <w:widowControl w:val="off"/>
    </w:pPr>
    <w:rPr>
      <w:rFonts w:ascii="Times New Roman" w:hAnsi="Times New Roman" w:eastAsia="宋体" w:cs="Times New Roman"/>
      <w:sz w:val="21"/>
      <w:szCs w:val="24"/>
      <w:lang w:val="en-US" w:eastAsia="zh-CN" w:bidi="ar-SA"/>
    </w:rPr>
  </w:style>
  <w:style w:type="paragraph" w:styleId="1180" w:customStyle="1">
    <w:name w:val="段"/>
    <w:link w:val="1197"/>
    <w:uiPriority w:val="99"/>
    <w:qFormat/>
    <w:pPr>
      <w:ind w:firstLine="200"/>
      <w:jc w:val="both"/>
    </w:pPr>
    <w:rPr>
      <w:rFonts w:ascii="宋体" w:hAnsi="Times New Roman" w:eastAsia="宋体" w:cs="Times New Roman"/>
      <w:sz w:val="21"/>
      <w:lang w:val="en-US" w:eastAsia="zh-CN" w:bidi="ar-SA"/>
    </w:rPr>
  </w:style>
  <w:style w:type="paragraph" w:styleId="1181" w:customStyle="1">
    <w:name w:val="标题 1GM"/>
    <w:basedOn w:val="848"/>
    <w:uiPriority w:val="0"/>
    <w:qFormat/>
    <w:pPr>
      <w:ind w:left="0" w:firstLine="0"/>
      <w:spacing w:before="0" w:after="0" w:line="360" w:lineRule="auto"/>
      <w:outlineLvl w:val="1"/>
    </w:pPr>
    <w:rPr>
      <w:rFonts w:ascii="楷体" w:hAnsi="Calibri" w:eastAsia="楷体"/>
      <w:color w:val="000000"/>
      <w:sz w:val="30"/>
      <w:szCs w:val="30"/>
    </w:rPr>
  </w:style>
  <w:style w:type="paragraph" w:styleId="1182" w:customStyle="1">
    <w:name w:val="默认段落字体 Para Char Char Char Char"/>
    <w:basedOn w:val="847"/>
    <w:uiPriority w:val="0"/>
    <w:qFormat/>
    <w:rPr>
      <w:szCs w:val="24"/>
    </w:rPr>
  </w:style>
  <w:style w:type="paragraph" w:styleId="1183" w:customStyle="1">
    <w:name w:val="p17"/>
    <w:uiPriority w:val="0"/>
    <w:qFormat/>
    <w:pPr>
      <w:ind w:firstLine="420"/>
    </w:pPr>
    <w:rPr>
      <w:rFonts w:ascii="宋体" w:hAnsi="Times New Roman" w:eastAsia="宋体" w:cs="宋体"/>
      <w:lang w:val="en-US" w:eastAsia="zh-CN" w:bidi="ar-SA"/>
    </w:rPr>
  </w:style>
  <w:style w:type="character" w:styleId="1184" w:customStyle="1">
    <w:name w:val="font112"/>
    <w:uiPriority w:val="0"/>
    <w:qFormat/>
    <w:rPr>
      <w:rFonts w:ascii="宋体" w:eastAsia="宋体" w:cs="宋体"/>
      <w:color w:val="000000"/>
      <w:sz w:val="18"/>
      <w:szCs w:val="18"/>
      <w:u w:val="none"/>
    </w:rPr>
  </w:style>
  <w:style w:type="paragraph" w:styleId="1185" w:customStyle="1">
    <w:name w:val="Char1"/>
    <w:basedOn w:val="847"/>
    <w:uiPriority w:val="0"/>
    <w:qFormat/>
    <w:rPr>
      <w:szCs w:val="24"/>
    </w:rPr>
  </w:style>
  <w:style w:type="paragraph" w:styleId="1186" w:customStyle="1">
    <w:name w:val="reader-word-layer reader-word-s1-1"/>
    <w:basedOn w:val="847"/>
    <w:uiPriority w:val="0"/>
    <w:qFormat/>
    <w:pPr>
      <w:jc w:val="left"/>
      <w:spacing w:before="100" w:beforeAutospacing="1" w:after="100" w:afterAutospacing="1"/>
      <w:widowControl/>
    </w:pPr>
    <w:rPr>
      <w:rFonts w:ascii="宋体" w:hAnsi="Calibri" w:cs="宋体"/>
      <w:sz w:val="24"/>
    </w:rPr>
  </w:style>
  <w:style w:type="paragraph" w:styleId="1187" w:customStyle="1">
    <w:name w:val="列出段落2"/>
    <w:basedOn w:val="847"/>
    <w:uiPriority w:val="34"/>
    <w:qFormat/>
    <w:pPr>
      <w:ind w:firstLine="200"/>
    </w:pPr>
    <w:rPr>
      <w:szCs w:val="24"/>
    </w:rPr>
  </w:style>
  <w:style w:type="paragraph" w:styleId="1188" w:customStyle="1">
    <w:name w:val="1"/>
    <w:basedOn w:val="847"/>
    <w:next w:val="1187"/>
    <w:uiPriority w:val="0"/>
    <w:qFormat/>
    <w:pPr>
      <w:ind w:firstLine="200"/>
    </w:pPr>
    <w:rPr>
      <w:szCs w:val="24"/>
    </w:rPr>
  </w:style>
  <w:style w:type="character" w:styleId="1189" w:customStyle="1">
    <w:name w:val="正文缩进 字符1"/>
    <w:uiPriority w:val="0"/>
    <w:qFormat/>
    <w:rPr>
      <w:rFonts w:ascii="Times New Roman" w:hAnsi="Times New Roman" w:eastAsia="宋体" w:cs="Times New Roman"/>
      <w:szCs w:val="24"/>
    </w:rPr>
  </w:style>
  <w:style w:type="character" w:styleId="1190" w:customStyle="1">
    <w:name w:val="Plain Text Char1"/>
    <w:uiPriority w:val="0"/>
    <w:qFormat/>
    <w:rPr>
      <w:rFonts w:ascii="宋体" w:hAnsi="Calibri"/>
      <w:sz w:val="21"/>
      <w:szCs w:val="22"/>
    </w:rPr>
  </w:style>
  <w:style w:type="paragraph" w:styleId="1191" w:customStyle="1">
    <w:name w:val="msonormal"/>
    <w:basedOn w:val="847"/>
    <w:uiPriority w:val="0"/>
    <w:qFormat/>
    <w:pPr>
      <w:jc w:val="left"/>
      <w:spacing w:before="100" w:beforeAutospacing="1" w:after="100" w:afterAutospacing="1"/>
      <w:widowControl/>
    </w:pPr>
    <w:rPr>
      <w:rFonts w:ascii="宋体" w:hAnsi="宋体" w:cs="宋体"/>
      <w:sz w:val="24"/>
      <w:szCs w:val="24"/>
    </w:rPr>
  </w:style>
  <w:style w:type="character" w:styleId="1192" w:customStyle="1">
    <w:name w:val="新正文 Char"/>
    <w:basedOn w:val="857"/>
    <w:link w:val="1193"/>
    <w:uiPriority w:val="0"/>
    <w:qFormat/>
    <w:rPr>
      <w:rFonts w:eastAsiaTheme="minorEastAsia" w:cstheme="minorBidi"/>
      <w:sz w:val="28"/>
      <w:szCs w:val="22"/>
    </w:rPr>
  </w:style>
  <w:style w:type="paragraph" w:styleId="1193" w:customStyle="1">
    <w:name w:val="新正文"/>
    <w:basedOn w:val="847"/>
    <w:link w:val="1192"/>
    <w:uiPriority w:val="0"/>
    <w:qFormat/>
    <w:pPr>
      <w:ind w:firstLine="200"/>
      <w:spacing w:line="360" w:lineRule="auto"/>
      <w:widowControl/>
    </w:pPr>
    <w:rPr>
      <w:rFonts w:eastAsiaTheme="minorEastAsia" w:cstheme="minorBidi"/>
      <w:sz w:val="28"/>
    </w:rPr>
  </w:style>
  <w:style w:type="table" w:styleId="1194" w:customStyle="1">
    <w:name w:val="网格型4"/>
    <w:basedOn w:val="858"/>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95" w:customStyle="1">
    <w:name w:val="网格型5"/>
    <w:basedOn w:val="858"/>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96" w:customStyle="1">
    <w:name w:val="修订4"/>
    <w:hidden/>
    <w:uiPriority w:val="99"/>
    <w:semiHidden/>
    <w:qFormat/>
    <w:rPr>
      <w:rFonts w:ascii="Times New Roman" w:hAnsi="Times New Roman" w:eastAsia="宋体" w:cs="Times New Roman"/>
      <w:sz w:val="21"/>
      <w:szCs w:val="22"/>
      <w:lang w:val="en-US" w:eastAsia="zh-CN" w:bidi="ar-SA"/>
    </w:rPr>
  </w:style>
  <w:style w:type="character" w:styleId="1197" w:customStyle="1">
    <w:name w:val="段 Char"/>
    <w:link w:val="1180"/>
    <w:uiPriority w:val="0"/>
    <w:qFormat/>
    <w:rPr>
      <w:rFonts w:ascii="宋体"/>
      <w:sz w:val="21"/>
    </w:rPr>
  </w:style>
  <w:style w:type="table" w:styleId="1198" w:customStyle="1">
    <w:name w:val="网格型6"/>
    <w:basedOn w:val="858"/>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99" w:customStyle="1">
    <w:name w:val="正文首行缩进 2 Char"/>
    <w:basedOn w:val="911"/>
    <w:link w:val="901"/>
    <w:uiPriority w:val="99"/>
    <w:semiHidden/>
    <w:qFormat/>
    <w:rPr>
      <w:sz w:val="21"/>
      <w:szCs w:val="22"/>
    </w:rPr>
  </w:style>
  <w:style w:type="table" w:styleId="1200" w:customStyle="1">
    <w:name w:val="Table Normal"/>
    <w:uiPriority w:val="0"/>
    <w:semiHidden/>
    <w:unhideWhenUsed/>
    <w:qFormat/>
    <w:tblPr>
      <w:tblCellMar>
        <w:left w:w="0" w:type="dxa"/>
        <w:top w:w="0" w:type="dxa"/>
        <w:right w:w="0" w:type="dxa"/>
        <w:bottom w:w="0" w:type="dxa"/>
      </w:tblCellMar>
    </w:tblPr>
  </w:style>
  <w:style w:type="paragraph" w:styleId="1201" w:customStyle="1">
    <w:name w:val="修订5"/>
    <w:hidden/>
    <w:uiPriority w:val="99"/>
    <w:semiHidden/>
    <w:qFormat/>
    <w:rPr>
      <w:rFonts w:ascii="Times New Roman" w:hAnsi="Times New Roman" w:eastAsia="宋体" w:cs="Times New Roman"/>
      <w:sz w:val="21"/>
      <w:szCs w:val="22"/>
      <w:lang w:val="en-US" w:eastAsia="zh-CN" w:bidi="ar-SA"/>
    </w:rPr>
  </w:style>
  <w:style w:type="numbering" w:styleId="12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jpg"/><Relationship Id="rId14" Type="http://schemas.openxmlformats.org/officeDocument/2006/relationships/image" Target="media/image2.jpg"/><Relationship Id="rId15" Type="http://schemas.openxmlformats.org/officeDocument/2006/relationships/image" Target="media/image3.png"/><Relationship Id="rId16" Type="http://schemas.openxmlformats.org/officeDocument/2006/relationships/image" Target="media/image4.jp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jp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jpg"/><Relationship Id="rId24" Type="http://schemas.openxmlformats.org/officeDocument/2006/relationships/image" Target="media/image12.png"/><Relationship Id="rId25" Type="http://schemas.openxmlformats.org/officeDocument/2006/relationships/image" Target="media/image13.jpg"/><Relationship Id="rId26" Type="http://schemas.openxmlformats.org/officeDocument/2006/relationships/image" Target="media/image14.jpg"/><Relationship Id="rId27" Type="http://schemas.openxmlformats.org/officeDocument/2006/relationships/image" Target="media/image15.jpg"/><Relationship Id="rId28" Type="http://schemas.openxmlformats.org/officeDocument/2006/relationships/image" Target="media/image16.jpg"/><Relationship Id="rId29" Type="http://schemas.openxmlformats.org/officeDocument/2006/relationships/image" Target="media/image17.png"/><Relationship Id="rId30" Type="http://schemas.openxmlformats.org/officeDocument/2006/relationships/image" Target="media/image18.jpg"/><Relationship Id="rId31" Type="http://schemas.openxmlformats.org/officeDocument/2006/relationships/image" Target="media/image19.jpg"/><Relationship Id="rId32" Type="http://schemas.openxmlformats.org/officeDocument/2006/relationships/image" Target="media/image20.jpg"/><Relationship Id="rId33" Type="http://schemas.openxmlformats.org/officeDocument/2006/relationships/image" Target="media/image21.png"/><Relationship Id="rId34" Type="http://schemas.openxmlformats.org/officeDocument/2006/relationships/image" Target="media/image22.jpg"/><Relationship Id="rId35" Type="http://schemas.openxmlformats.org/officeDocument/2006/relationships/image" Target="media/image23.png"/><Relationship Id="rId36" Type="http://schemas.openxmlformats.org/officeDocument/2006/relationships/image" Target="media/image24.jpg"/><Relationship Id="rId37" Type="http://schemas.openxmlformats.org/officeDocument/2006/relationships/image" Target="media/image25.jpg"/><Relationship Id="rId38" Type="http://schemas.openxmlformats.org/officeDocument/2006/relationships/image" Target="media/image26.png"/><Relationship Id="rId39" Type="http://schemas.openxmlformats.org/officeDocument/2006/relationships/image" Target="media/image27.jpg"/><Relationship Id="rId40" Type="http://schemas.openxmlformats.org/officeDocument/2006/relationships/image" Target="media/image28.jp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jpg"/><Relationship Id="rId44" Type="http://schemas.openxmlformats.org/officeDocument/2006/relationships/image" Target="media/image32.png"/><Relationship Id="rId45" Type="http://schemas.openxmlformats.org/officeDocument/2006/relationships/image" Target="media/image33.jpg"/><Relationship Id="rId46" Type="http://schemas.openxmlformats.org/officeDocument/2006/relationships/image" Target="media/image34.jpg"/><Relationship Id="rId47" Type="http://schemas.openxmlformats.org/officeDocument/2006/relationships/image" Target="media/image35.jp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jpg"/><Relationship Id="rId51" Type="http://schemas.openxmlformats.org/officeDocument/2006/relationships/image" Target="media/image39.png"/><Relationship Id="rId52" Type="http://schemas.openxmlformats.org/officeDocument/2006/relationships/image" Target="media/image40.jpg"/><Relationship Id="rId53" Type="http://schemas.openxmlformats.org/officeDocument/2006/relationships/image" Target="media/image41.jp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jpg"/><Relationship Id="rId59" Type="http://schemas.openxmlformats.org/officeDocument/2006/relationships/image" Target="media/image47.jpg"/><Relationship Id="rId60" Type="http://schemas.openxmlformats.org/officeDocument/2006/relationships/image" Target="media/image48.jpg"/><Relationship Id="rId61" Type="http://schemas.openxmlformats.org/officeDocument/2006/relationships/image" Target="media/image49.jpg"/><Relationship Id="rId62" Type="http://schemas.openxmlformats.org/officeDocument/2006/relationships/image" Target="media/image50.jpg"/><Relationship Id="rId63" Type="http://schemas.openxmlformats.org/officeDocument/2006/relationships/image" Target="media/image51.jpg"/><Relationship Id="rId64" Type="http://schemas.openxmlformats.org/officeDocument/2006/relationships/image" Target="media/image52.jp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jp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jpg"/><Relationship Id="rId73" Type="http://schemas.openxmlformats.org/officeDocument/2006/relationships/image" Target="media/image61.jpg"/><Relationship Id="rId74" Type="http://schemas.openxmlformats.org/officeDocument/2006/relationships/image" Target="media/image62.jpg"/><Relationship Id="rId75" Type="http://schemas.openxmlformats.org/officeDocument/2006/relationships/image" Target="media/image63.jpg"/><Relationship Id="rId76" Type="http://schemas.openxmlformats.org/officeDocument/2006/relationships/image" Target="media/image64.jp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jpg"/><Relationship Id="rId82" Type="http://schemas.openxmlformats.org/officeDocument/2006/relationships/image" Target="media/image70.png"/><Relationship Id="rId83" Type="http://schemas.openxmlformats.org/officeDocument/2006/relationships/image" Target="media/image71.jp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1F1DD1-E0B2-4FED-82D8-E73A0108B508}"/>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微软用户</dc:creator>
  <cp:lastModifiedBy>柳涵</cp:lastModifiedBy>
  <cp:revision>115</cp:revision>
  <dcterms:created xsi:type="dcterms:W3CDTF">2024-07-23T03:31:00Z</dcterms:created>
  <dcterms:modified xsi:type="dcterms:W3CDTF">2024-08-02T07:54:35Z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D76AFE8CABDB41218B347DD39818BB43_13</vt:lpwstr>
  </property>
</Properties>
</file>