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rPr>
          <w:rFonts w:hint="eastAsia" w:ascii="楷体" w:hAnsi="楷体" w:eastAsia="楷体"/>
          <w:b/>
          <w:sz w:val="72"/>
          <w:szCs w:val="72"/>
        </w:rPr>
      </w:pPr>
      <w:r>
        <w:rPr>
          <w:rFonts w:hint="eastAsia" w:ascii="楷体" w:hAnsi="楷体" w:eastAsia="楷体"/>
          <w:b/>
          <w:sz w:val="72"/>
          <w:szCs w:val="72"/>
        </w:rPr>
      </w:r>
      <w:r/>
    </w:p>
    <w:p>
      <w:pPr>
        <w:pStyle w:val="933"/>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933"/>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3"/>
        <w:jc w:val="left"/>
        <w:tabs>
          <w:tab w:val="center" w:pos="4621" w:leader="none"/>
        </w:tabs>
        <w:rPr>
          <w:rFonts w:hint="eastAsia" w:ascii="黑体" w:hAnsi="黑体" w:eastAsia="黑体"/>
          <w:b/>
          <w:sz w:val="72"/>
        </w:rPr>
      </w:pPr>
      <w:r>
        <w:rPr>
          <w:rFonts w:hint="eastAsia" w:ascii="黑体" w:hAnsi="黑体" w:eastAsia="黑体"/>
          <w:b/>
          <w:sz w:val="72"/>
        </w:rPr>
      </w:r>
      <w:r/>
    </w:p>
    <w:p>
      <w:pPr>
        <w:pStyle w:val="933"/>
        <w:rPr>
          <w:rFonts w:hint="eastAsia" w:ascii="黑体" w:hAnsi="黑体" w:eastAsia="黑体"/>
          <w:b/>
          <w:sz w:val="32"/>
        </w:rPr>
      </w:pPr>
      <w:r>
        <w:rPr>
          <w:rFonts w:hint="eastAsia" w:ascii="黑体" w:hAnsi="黑体" w:eastAsia="黑体"/>
          <w:b/>
          <w:sz w:val="32"/>
        </w:rPr>
        <w:t xml:space="preserve"> </w:t>
      </w: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ind w:left="-105" w:right="-105"/>
        <w:jc w:val="center"/>
        <w:spacing w:before="652"/>
        <w:rPr>
          <w:rFonts w:hint="eastAsia" w:ascii="黑体" w:hAnsi="黑体" w:eastAsia="黑体" w:cs="Times New Roman"/>
          <w:b/>
          <w:sz w:val="36"/>
          <w:szCs w:val="36"/>
        </w:rPr>
      </w:pPr>
      <w:r>
        <w:rPr>
          <w:rFonts w:hint="eastAsia" w:ascii="黑体" w:hAnsi="黑体" w:eastAsia="黑体"/>
          <w:b/>
          <w:sz w:val="36"/>
          <w:szCs w:val="36"/>
        </w:rPr>
        <w:t xml:space="preserve">项目名称:</w:t>
      </w:r>
      <w:r>
        <w:rPr>
          <w:rFonts w:hint="eastAsia" w:ascii="黑体" w:hAnsi="黑体" w:eastAsia="黑体" w:cs="Times New Roman"/>
          <w:b/>
          <w:sz w:val="36"/>
          <w:szCs w:val="36"/>
        </w:rPr>
        <w:t xml:space="preserve"> 洪泽区人民医院医保综合管理平台项目</w:t>
      </w:r>
      <w:r>
        <w:rPr>
          <w:rFonts w:hint="eastAsia" w:ascii="黑体" w:hAnsi="黑体" w:eastAsia="黑体" w:cs="Times New Roman"/>
          <w:b/>
          <w:sz w:val="36"/>
          <w:szCs w:val="36"/>
        </w:rPr>
      </w:r>
      <w:r/>
    </w:p>
    <w:p>
      <w:pPr>
        <w:pStyle w:val="933"/>
        <w:ind w:firstLine="708"/>
        <w:spacing w:line="760" w:lineRule="exact"/>
        <w:rPr>
          <w:rFonts w:hint="eastAsia" w:ascii="黑体" w:hAnsi="黑体" w:eastAsia="黑体"/>
          <w:b/>
          <w:sz w:val="36"/>
          <w:szCs w:val="36"/>
        </w:rPr>
      </w:pPr>
      <w:r>
        <w:rPr>
          <w:rFonts w:hint="eastAsia" w:ascii="黑体" w:hAnsi="黑体" w:eastAsia="黑体"/>
          <w:b/>
          <w:sz w:val="36"/>
          <w:szCs w:val="36"/>
        </w:rPr>
      </w:r>
      <w:r/>
    </w:p>
    <w:p>
      <w:pPr>
        <w:pStyle w:val="933"/>
        <w:spacing w:line="760" w:lineRule="exact"/>
        <w:rPr>
          <w:rFonts w:hint="eastAsia" w:ascii="黑体" w:hAnsi="黑体" w:eastAsia="黑体"/>
          <w:b/>
          <w:sz w:val="36"/>
        </w:rPr>
      </w:pPr>
      <w:r>
        <w:rPr>
          <w:rFonts w:hint="eastAsia" w:ascii="黑体" w:hAnsi="黑体" w:eastAsia="黑体"/>
          <w:b/>
          <w:sz w:val="36"/>
        </w:rPr>
      </w:r>
      <w:r/>
    </w:p>
    <w:p>
      <w:pPr>
        <w:pStyle w:val="933"/>
        <w:ind w:firstLine="361"/>
        <w:spacing w:line="760" w:lineRule="exact"/>
        <w:rPr>
          <w:rFonts w:hint="eastAsia" w:ascii="黑体" w:hAnsi="黑体" w:eastAsia="黑体"/>
          <w:b/>
          <w:sz w:val="36"/>
        </w:rPr>
      </w:pPr>
      <w:r>
        <w:rPr>
          <w:rFonts w:hint="eastAsia" w:ascii="黑体" w:hAnsi="黑体" w:eastAsia="黑体"/>
          <w:b/>
          <w:sz w:val="36"/>
        </w:rPr>
        <w:t xml:space="preserve">项目编号: JSZCLS-320813-202432008</w:t>
      </w:r>
      <w:r>
        <w:rPr>
          <w:rFonts w:hint="eastAsia" w:ascii="黑体" w:hAnsi="黑体" w:eastAsia="黑体"/>
          <w:b/>
          <w:sz w:val="36"/>
        </w:rPr>
      </w:r>
      <w:r/>
    </w:p>
    <w:p>
      <w:pPr>
        <w:pStyle w:val="933"/>
        <w:ind w:left="-359" w:firstLine="360"/>
        <w:rPr>
          <w:rFonts w:ascii="黑体" w:hAnsi="黑体" w:eastAsia="黑体"/>
          <w:b/>
          <w:sz w:val="32"/>
        </w:rPr>
      </w:pPr>
      <w:r>
        <w:rPr>
          <w:rFonts w:ascii="黑体" w:hAnsi="黑体" w:eastAsia="黑体"/>
          <w:b/>
          <w:sz w:val="32"/>
        </w:rPr>
      </w:r>
      <w:r/>
    </w:p>
    <w:p>
      <w:pPr>
        <w:pStyle w:val="933"/>
        <w:rPr>
          <w:rFonts w:ascii="黑体" w:hAnsi="黑体" w:eastAsia="黑体"/>
          <w:b/>
          <w:sz w:val="32"/>
        </w:rPr>
      </w:pPr>
      <w:r>
        <w:rPr>
          <w:rFonts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rPr>
          <w:rFonts w:hint="eastAsia" w:ascii="黑体" w:hAnsi="黑体" w:eastAsia="黑体"/>
          <w:b/>
          <w:sz w:val="32"/>
        </w:rPr>
      </w:pPr>
      <w:r>
        <w:rPr>
          <w:rFonts w:hint="eastAsia" w:ascii="黑体" w:hAnsi="黑体" w:eastAsia="黑体"/>
          <w:b/>
          <w:sz w:val="32"/>
        </w:rPr>
      </w:r>
      <w:r/>
    </w:p>
    <w:p>
      <w:pPr>
        <w:pStyle w:val="933"/>
        <w:jc w:val="center"/>
        <w:spacing w:line="600" w:lineRule="exact"/>
        <w:tabs>
          <w:tab w:val="center" w:pos="5215" w:leader="none"/>
        </w:tabs>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淮安市公共资源交易中心洪泽分中心</w:t>
      </w:r>
      <w:r>
        <w:rPr>
          <w:rFonts w:hint="eastAsia" w:ascii="黑体" w:hAnsi="黑体" w:eastAsia="黑体"/>
          <w:b/>
          <w:sz w:val="36"/>
          <w:szCs w:val="36"/>
          <w:highlight w:val="none"/>
          <w:lang w:eastAsia="zh-CN"/>
        </w:rPr>
      </w:r>
      <w:r/>
    </w:p>
    <w:p>
      <w:pPr>
        <w:pStyle w:val="933"/>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二0二四年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二十三</w:t>
      </w:r>
      <w:r>
        <w:rPr>
          <w:rFonts w:hint="eastAsia" w:ascii="黑体" w:hAnsi="黑体" w:eastAsia="黑体"/>
          <w:b/>
          <w:sz w:val="36"/>
          <w:szCs w:val="36"/>
          <w:highlight w:val="none"/>
        </w:rPr>
        <w:t xml:space="preserve">日</w:t>
      </w:r>
      <w:r>
        <w:rPr>
          <w:rFonts w:hint="eastAsia" w:ascii="黑体" w:hAnsi="黑体" w:eastAsia="黑体"/>
          <w:b/>
          <w:sz w:val="36"/>
          <w:szCs w:val="36"/>
          <w:highlight w:val="none"/>
        </w:rPr>
      </w:r>
      <w:r/>
    </w:p>
    <w:p>
      <w:pPr>
        <w:pStyle w:val="933"/>
        <w:rPr>
          <w:rFonts w:hint="eastAsia" w:ascii="宋体" w:hAnsi="宋体"/>
          <w:sz w:val="24"/>
          <w:highlight w:val="none"/>
        </w:rPr>
      </w:pPr>
      <w:r>
        <w:rPr>
          <w:rFonts w:hint="eastAsia" w:ascii="宋体" w:hAnsi="宋体"/>
          <w:sz w:val="24"/>
          <w:highlight w:val="none"/>
        </w:rPr>
      </w:r>
      <w:r/>
    </w:p>
    <w:p>
      <w:pPr>
        <w:pStyle w:val="933"/>
        <w:rPr>
          <w:rFonts w:hint="eastAsia" w:ascii="宋体" w:hAnsi="宋体"/>
          <w:sz w:val="24"/>
          <w:highlight w:val="none"/>
        </w:rPr>
      </w:pPr>
      <w:r>
        <w:rPr>
          <w:rFonts w:hint="eastAsia" w:ascii="宋体" w:hAnsi="宋体"/>
          <w:sz w:val="24"/>
          <w:highlight w:val="none"/>
        </w:rPr>
      </w:r>
      <w:r/>
    </w:p>
    <w:p>
      <w:pPr>
        <w:pStyle w:val="933"/>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933"/>
        <w:jc w:val="left"/>
        <w:spacing w:line="600" w:lineRule="exact"/>
        <w:tabs>
          <w:tab w:val="center" w:pos="5215" w:leader="none"/>
        </w:tabs>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    </w:t>
      </w:r>
      <w:r>
        <w:rPr>
          <w:rFonts w:hint="eastAsia" w:ascii="仿宋" w:hAnsi="仿宋" w:eastAsia="仿宋"/>
          <w:sz w:val="28"/>
          <w:highlight w:val="none"/>
        </w:rPr>
        <w:t xml:space="preserve">受</w:t>
      </w:r>
      <w:r>
        <w:rPr>
          <w:rFonts w:hint="eastAsia" w:ascii="仿宋" w:hAnsi="仿宋" w:eastAsia="仿宋"/>
          <w:sz w:val="28"/>
          <w:szCs w:val="28"/>
          <w:highlight w:val="none"/>
          <w:lang w:val="en-US" w:eastAsia="zh-CN"/>
        </w:rPr>
        <w:t xml:space="preserve">淮安</w:t>
      </w:r>
      <w:r>
        <w:rPr>
          <w:rFonts w:hint="eastAsia" w:ascii="仿宋" w:hAnsi="仿宋" w:eastAsia="仿宋" w:cs="Times New Roman"/>
          <w:sz w:val="28"/>
          <w:highlight w:val="none"/>
          <w:lang w:val="en-US" w:eastAsia="zh-CN"/>
        </w:rPr>
        <w:t xml:space="preserve">市</w:t>
      </w:r>
      <w:r>
        <w:rPr>
          <w:rFonts w:hint="eastAsia" w:ascii="仿宋" w:hAnsi="仿宋" w:eastAsia="仿宋" w:cs="Times New Roman"/>
          <w:sz w:val="28"/>
          <w:highlight w:val="none"/>
        </w:rPr>
        <w:t xml:space="preserve">洪泽区人民医院的委</w:t>
      </w:r>
      <w:r>
        <w:rPr>
          <w:rFonts w:hint="eastAsia" w:ascii="仿宋" w:hAnsi="仿宋" w:eastAsia="仿宋"/>
          <w:sz w:val="28"/>
          <w:highlight w:val="none"/>
        </w:rPr>
        <w:t xml:space="preserve">托，</w:t>
      </w:r>
      <w:r>
        <w:rPr>
          <w:rFonts w:hint="eastAsia" w:ascii="仿宋" w:hAnsi="仿宋" w:eastAsia="仿宋" w:cs="Times New Roman"/>
          <w:sz w:val="28"/>
          <w:highlight w:val="none"/>
          <w:lang w:eastAsia="zh-CN"/>
        </w:rPr>
        <w:t xml:space="preserve">淮安市公共资源交易中心洪泽分中心</w:t>
      </w:r>
      <w:r>
        <w:rPr>
          <w:rFonts w:hint="eastAsia" w:ascii="仿宋" w:hAnsi="仿宋" w:eastAsia="仿宋" w:cs="Times New Roman"/>
          <w:sz w:val="28"/>
          <w:highlight w:val="none"/>
        </w:rPr>
        <w:t xml:space="preserve">就洪泽区人民医院医保综合管理平</w:t>
      </w:r>
      <w:r>
        <w:rPr>
          <w:rFonts w:hint="eastAsia" w:ascii="仿宋" w:hAnsi="仿宋" w:eastAsia="仿宋" w:cs="Times New Roman"/>
          <w:sz w:val="28"/>
          <w:highlight w:val="none"/>
        </w:rPr>
        <w:t xml:space="preserve">台项</w:t>
      </w:r>
      <w:r>
        <w:rPr>
          <w:rFonts w:hint="eastAsia" w:ascii="仿宋" w:hAnsi="仿宋" w:eastAsia="仿宋"/>
          <w:sz w:val="28"/>
          <w:highlight w:val="none"/>
        </w:rPr>
        <w:t xml:space="preserve">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933"/>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485765" cy="17716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485765" cy="1771650"/>
                        </a:xfrm>
                        <a:prstGeom prst="rect">
                          <a:avLst/>
                        </a:prstGeom>
                        <a:solidFill>
                          <a:srgbClr val="FFFFFF"/>
                        </a:solidFill>
                        <a:ln>
                          <a:solidFill>
                            <a:srgbClr val="000000"/>
                          </a:solidFill>
                        </a:ln>
                      </wps:spPr>
                      <wps:txbx>
                        <w:txbxContent>
                          <w:p>
                            <w:pPr>
                              <w:pStyle w:val="93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rPr>
                              <w:t xml:space="preserve">洪泽区人民医院医保综合管理平台项</w:t>
                            </w:r>
                            <w:r>
                              <w:rPr>
                                <w:rFonts w:hint="eastAsia" w:ascii="仿宋" w:hAnsi="仿宋" w:eastAsia="仿宋"/>
                                <w:sz w:val="28"/>
                                <w:u w:val="single"/>
                              </w:rPr>
                              <w:t xml:space="preserve">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33"/>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31.9pt;height:139.5pt;mso-wrap-distance-left:9.0pt;mso-wrap-distance-top:0.0pt;mso-wrap-distance-right:9.0pt;mso-wrap-distance-bottom:0.0pt;visibility:visible;" fillcolor="#FFFFFF" strokecolor="#000000">
                <v:textbox inset="0,0,0,0">
                  <w:txbxContent>
                    <w:p>
                      <w:pPr>
                        <w:pStyle w:val="93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rPr>
                        <w:t xml:space="preserve">洪泽区人民医院医保综合管理平台项</w:t>
                      </w:r>
                      <w:r>
                        <w:rPr>
                          <w:rFonts w:hint="eastAsia" w:ascii="仿宋" w:hAnsi="仿宋" w:eastAsia="仿宋"/>
                          <w:sz w:val="28"/>
                          <w:u w:val="single"/>
                        </w:rPr>
                        <w:t xml:space="preserve">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33"/>
                      </w:pPr>
                      <w:r/>
                      <w:r/>
                    </w:p>
                  </w:txbxContent>
                </v:textbox>
              </v:shape>
            </w:pict>
          </mc:Fallback>
        </mc:AlternateContent>
      </w:r>
      <w:r>
        <w:rPr>
          <w:rFonts w:hint="eastAsia" w:ascii="仿宋" w:hAnsi="仿宋" w:eastAsia="仿宋"/>
          <w:sz w:val="28"/>
          <w:szCs w:val="28"/>
          <w:highlight w:val="none"/>
        </w:rPr>
      </w:r>
      <w:r/>
    </w:p>
    <w:p>
      <w:pPr>
        <w:pStyle w:val="933"/>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（一）项目编号:JSZCLS-320813-202432008</w:t>
      </w:r>
      <w:r>
        <w:rPr>
          <w:rFonts w:hint="eastAsia" w:ascii="仿宋" w:hAnsi="仿宋" w:eastAsia="仿宋"/>
          <w:sz w:val="28"/>
          <w:szCs w:val="28"/>
          <w:highlight w:val="none"/>
        </w:rPr>
      </w:r>
      <w:r/>
    </w:p>
    <w:p>
      <w:pPr>
        <w:pStyle w:val="933"/>
        <w:ind w:firstLine="565"/>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cs="Times New Roman"/>
          <w:sz w:val="28"/>
          <w:szCs w:val="28"/>
          <w:highlight w:val="none"/>
        </w:rPr>
        <w:t xml:space="preserve">:洪泽区人民医院医保综合管理平台项目 </w:t>
      </w:r>
      <w:r>
        <w:rPr>
          <w:rFonts w:hint="eastAsia" w:ascii="仿宋" w:hAnsi="仿宋" w:eastAsia="仿宋" w:cs="Times New Roman"/>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人民币捌拾万元整（¥800000.00）</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人民币捌拾万元整（¥800000.00）</w:t>
      </w:r>
      <w:r>
        <w:rPr>
          <w:rFonts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（五）采购需求:</w:t>
      </w:r>
      <w:r>
        <w:rPr>
          <w:rFonts w:hint="eastAsia" w:ascii="仿宋" w:hAnsi="仿宋" w:eastAsia="仿宋" w:cs="Times New Roman"/>
          <w:sz w:val="28"/>
          <w:szCs w:val="28"/>
          <w:highlight w:val="none"/>
        </w:rPr>
        <w:t xml:space="preserve">洪泽区人民医院医保综合管理平台项目</w:t>
      </w:r>
      <w:r>
        <w:rPr>
          <w:rFonts w:hint="eastAsia" w:ascii="仿宋" w:hAnsi="仿宋" w:eastAsia="仿宋" w:cs="Times New Roman"/>
          <w:sz w:val="28"/>
          <w:szCs w:val="28"/>
          <w:highlight w:val="none"/>
          <w:lang w:eastAsia="zh-CN"/>
        </w:rPr>
        <w:t xml:space="preserve">，详见招标文件第五章采购项目需求。</w:t>
      </w:r>
      <w:r>
        <w:rPr>
          <w:rFonts w:hint="eastAsia" w:ascii="仿宋" w:hAnsi="仿宋" w:eastAsia="仿宋"/>
          <w:sz w:val="28"/>
          <w:szCs w:val="28"/>
          <w:highlight w:val="none"/>
          <w:lang w:eastAsia="zh-CN"/>
        </w:rPr>
      </w:r>
      <w:r/>
    </w:p>
    <w:p>
      <w:pPr>
        <w:pStyle w:val="933"/>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壹年</w:t>
      </w:r>
      <w:r>
        <w:rPr>
          <w:rFonts w:hint="eastAsia" w:ascii="仿宋" w:hAnsi="仿宋" w:eastAsia="仿宋"/>
          <w:sz w:val="28"/>
          <w:szCs w:val="28"/>
          <w:highlight w:val="none"/>
          <w:lang w:eastAsia="zh-CN"/>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933"/>
        <w:ind w:firstLine="565"/>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cs="Times New Roman"/>
          <w:sz w:val="28"/>
          <w:szCs w:val="28"/>
          <w:highlight w:val="none"/>
          <w:u w:val="single"/>
        </w:rPr>
        <w:t xml:space="preserve">信息传输业</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933"/>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933"/>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对小微企业报价给予扣除，用扣除后的价格参加评审，具体详见第二章“投标人须知”第32.1项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933"/>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933"/>
        <w:numPr>
          <w:ilvl w:val="0"/>
          <w:numId w:val="4"/>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（1）投标人提供下列材料之一：</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①投标人为企业的：提供营业执照（三证合一）（扫描件并加盖投标人电子签章，必须提供）。</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②投标人为事业单位的：提供事业单位法人证书（扫描件并加盖投标人电子签章，必须提供）。</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（四）拒绝下述条件的供应商参加本次采购活动:</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s="Times New Roman"/>
          <w:sz w:val="28"/>
          <w:szCs w:val="28"/>
          <w:highlight w:val="none"/>
        </w:rPr>
        <w:t xml:space="preserve">1、供应商单位负责人为同一</w:t>
      </w:r>
      <w:r>
        <w:rPr>
          <w:rFonts w:ascii="仿宋" w:hAnsi="仿宋" w:eastAsia="仿宋"/>
          <w:color w:val="000000"/>
          <w:sz w:val="28"/>
          <w:szCs w:val="28"/>
          <w:highlight w:val="none"/>
        </w:rPr>
        <w:t xml:space="preserve">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933"/>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93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（一）时间:自招标公告发布</w:t>
      </w:r>
      <w:r>
        <w:rPr>
          <w:rFonts w:hint="eastAsia" w:ascii="仿宋" w:hAnsi="仿宋" w:eastAsia="仿宋"/>
          <w:sz w:val="28"/>
          <w:szCs w:val="28"/>
          <w:highlight w:val="none"/>
          <w:lang w:eastAsia="zh-CN"/>
        </w:rPr>
        <w:t xml:space="preserve">第二</w:t>
      </w:r>
      <w:r>
        <w:rPr>
          <w:rFonts w:hint="eastAsia" w:ascii="仿宋" w:hAnsi="仿宋" w:eastAsia="仿宋"/>
          <w:sz w:val="28"/>
          <w:szCs w:val="28"/>
          <w:highlight w:val="none"/>
        </w:rPr>
        <w:t xml:space="preserve">日起五个工作日。</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933"/>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933"/>
        <w:ind w:firstLine="28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（一）投标文件提交截止时间及开标时间:2024年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9时00分</w:t>
      </w:r>
      <w:r>
        <w:rPr>
          <w:rFonts w:ascii="仿宋" w:hAnsi="仿宋" w:eastAsia="仿宋"/>
          <w:sz w:val="28"/>
          <w:szCs w:val="28"/>
          <w:highlight w:val="none"/>
          <w:lang w:val="en-US" w:eastAsia="zh-CN"/>
        </w:rPr>
      </w:r>
      <w:r/>
    </w:p>
    <w:p>
      <w:pPr>
        <w:pStyle w:val="933"/>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w:t>
      </w:r>
      <w:r>
        <w:rPr>
          <w:rFonts w:hint="eastAsia" w:ascii="仿宋" w:hAnsi="仿宋" w:eastAsia="仿宋"/>
          <w:sz w:val="28"/>
          <w:szCs w:val="28"/>
          <w:highlight w:val="none"/>
          <w:lang w:eastAsia="zh-CN"/>
        </w:rPr>
        <w:t xml:space="preserve">第二</w:t>
      </w:r>
      <w:r>
        <w:rPr>
          <w:rFonts w:hint="eastAsia" w:ascii="仿宋" w:hAnsi="仿宋" w:eastAsia="仿宋"/>
          <w:sz w:val="28"/>
          <w:szCs w:val="28"/>
          <w:highlight w:val="none"/>
        </w:rPr>
        <w:t xml:space="preserve">日起五个工作日。</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淮安市</w:t>
      </w:r>
      <w:r>
        <w:rPr>
          <w:rFonts w:hint="eastAsia" w:ascii="仿宋" w:hAnsi="仿宋" w:eastAsia="仿宋" w:cs="Times New Roman"/>
          <w:sz w:val="28"/>
          <w:highlight w:val="none"/>
        </w:rPr>
        <w:t xml:space="preserve">洪泽区人民医院</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地址:淮安市洪泽区鄱阳湖路南侧、临河东路东侧</w:t>
      </w:r>
      <w:r>
        <w:rPr>
          <w:rFonts w:ascii="仿宋" w:hAnsi="仿宋" w:eastAsia="仿宋"/>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联系</w:t>
      </w:r>
      <w:r>
        <w:rPr>
          <w:rFonts w:hint="eastAsia" w:ascii="仿宋" w:hAnsi="仿宋" w:eastAsia="仿宋"/>
          <w:sz w:val="28"/>
          <w:szCs w:val="28"/>
          <w:highlight w:val="none"/>
          <w:lang w:val="en-US" w:eastAsia="zh-CN"/>
        </w:rPr>
        <w:t xml:space="preserve">人：蒋先生          联系</w:t>
      </w:r>
      <w:r>
        <w:rPr>
          <w:rFonts w:hint="eastAsia" w:ascii="仿宋" w:hAnsi="仿宋" w:eastAsia="仿宋"/>
          <w:sz w:val="28"/>
          <w:szCs w:val="28"/>
          <w:highlight w:val="none"/>
        </w:rPr>
        <w:t xml:space="preserve">方</w:t>
      </w:r>
      <w:r>
        <w:rPr>
          <w:rFonts w:hint="eastAsia" w:ascii="仿宋" w:hAnsi="仿宋" w:eastAsia="仿宋" w:cs="Times New Roman"/>
          <w:sz w:val="28"/>
          <w:szCs w:val="28"/>
          <w:highlight w:val="none"/>
        </w:rPr>
        <w:t xml:space="preserve">式:89691112</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2、采购代理机构信息</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名称:</w:t>
      </w:r>
      <w:r>
        <w:rPr>
          <w:rFonts w:hint="eastAsia" w:ascii="仿宋" w:hAnsi="仿宋" w:eastAsia="仿宋" w:cs="Times New Roman"/>
          <w:sz w:val="28"/>
          <w:szCs w:val="28"/>
          <w:highlight w:val="none"/>
          <w:lang w:eastAsia="zh-CN"/>
        </w:rPr>
        <w:t xml:space="preserve">淮安市公共资源交易中心洪泽分中心</w:t>
      </w:r>
      <w:r>
        <w:rPr>
          <w:rFonts w:hint="eastAsia" w:ascii="仿宋" w:hAnsi="仿宋" w:eastAsia="仿宋" w:cs="Times New Roman"/>
          <w:sz w:val="28"/>
          <w:szCs w:val="28"/>
          <w:highlight w:val="none"/>
          <w:lang w:eastAsia="zh-CN"/>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lang w:eastAsia="zh-CN"/>
        </w:rPr>
        <w:t xml:space="preserve">淮安市洪泽区政府大楼附楼东侧（幸福大道西侧、人和路南侧）</w:t>
      </w:r>
      <w:r>
        <w:rPr>
          <w:rFonts w:hint="eastAsia" w:ascii="仿宋" w:hAnsi="仿宋" w:eastAsia="仿宋" w:cs="Times New Roman"/>
          <w:sz w:val="28"/>
          <w:szCs w:val="28"/>
          <w:highlight w:val="none"/>
        </w:rPr>
      </w:r>
      <w:r/>
    </w:p>
    <w:p>
      <w:pPr>
        <w:pStyle w:val="933"/>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联系人：</w:t>
      </w:r>
      <w:r>
        <w:rPr>
          <w:rFonts w:hint="eastAsia" w:ascii="仿宋" w:hAnsi="仿宋" w:eastAsia="仿宋" w:cs="Times New Roman"/>
          <w:sz w:val="28"/>
          <w:szCs w:val="28"/>
          <w:highlight w:val="none"/>
          <w:lang w:val="en-US" w:eastAsia="zh-CN"/>
        </w:rPr>
        <w:t xml:space="preserve">王女士              </w:t>
      </w:r>
      <w:r>
        <w:rPr>
          <w:rFonts w:hint="eastAsia" w:ascii="仿宋" w:hAnsi="仿宋" w:eastAsia="仿宋" w:cs="Times New Roman"/>
          <w:sz w:val="28"/>
          <w:szCs w:val="28"/>
          <w:highlight w:val="none"/>
        </w:rPr>
        <w:t xml:space="preserve">联系方式:</w:t>
      </w:r>
      <w:r>
        <w:rPr>
          <w:rFonts w:hint="eastAsia" w:ascii="仿宋" w:hAnsi="仿宋" w:eastAsia="仿宋" w:cs="Times New Roman"/>
          <w:sz w:val="28"/>
          <w:szCs w:val="28"/>
          <w:highlight w:val="none"/>
          <w:lang w:val="en-US" w:eastAsia="zh-CN"/>
        </w:rPr>
        <w:t xml:space="preserve">0517-87808979</w:t>
      </w:r>
      <w:r>
        <w:rPr>
          <w:rFonts w:ascii="仿宋" w:hAnsi="仿宋" w:eastAsia="仿宋" w:cs="Times New Roman"/>
          <w:sz w:val="28"/>
          <w:szCs w:val="28"/>
          <w:highlight w:val="none"/>
          <w:lang w:val="en-US" w:eastAsia="zh-CN"/>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八、其他</w:t>
      </w:r>
      <w:r>
        <w:rPr>
          <w:rFonts w:hint="eastAsia" w:ascii="仿宋" w:hAnsi="仿宋" w:eastAsia="仿宋" w:cs="Times New Roman"/>
          <w:sz w:val="28"/>
          <w:szCs w:val="28"/>
          <w:highlight w:val="none"/>
        </w:rPr>
      </w:r>
      <w:r/>
    </w:p>
    <w:p>
      <w:pPr>
        <w:pStyle w:val="933"/>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淮安市洪泽区人民医院</w:t>
      </w:r>
      <w:r>
        <w:rPr>
          <w:rFonts w:hint="eastAsia" w:ascii="仿宋" w:hAnsi="仿宋" w:eastAsia="仿宋"/>
          <w:sz w:val="28"/>
          <w:szCs w:val="28"/>
          <w:highlight w:val="none"/>
        </w:rPr>
        <w:t xml:space="preserve">在“淮安市政府采购网”发布的更正公告。</w:t>
      </w:r>
      <w:r>
        <w:rPr>
          <w:rFonts w:hint="eastAsia" w:ascii="仿宋" w:hAnsi="仿宋" w:eastAsia="仿宋"/>
          <w:sz w:val="28"/>
          <w:szCs w:val="28"/>
          <w:highlight w:val="none"/>
        </w:rPr>
      </w:r>
      <w:r/>
    </w:p>
    <w:p>
      <w:pPr>
        <w:pStyle w:val="933"/>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933"/>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933"/>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933"/>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933"/>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w:t>
      </w:r>
      <w:r>
        <w:rPr>
          <w:rFonts w:hint="eastAsia" w:ascii="仿宋" w:hAnsi="仿宋" w:eastAsia="仿宋" w:cs="Times New Roman"/>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在任何情况下均无义务和责任承担这些费用。</w:t>
      </w:r>
      <w:r>
        <w:rPr>
          <w:rFonts w:hint="eastAsia" w:ascii="仿宋" w:hAnsi="仿宋" w:eastAsia="仿宋"/>
          <w:sz w:val="28"/>
          <w:szCs w:val="28"/>
          <w:highlight w:val="none"/>
        </w:rPr>
      </w:r>
      <w:r/>
    </w:p>
    <w:p>
      <w:pPr>
        <w:pStyle w:val="933"/>
        <w:ind w:firstLine="555"/>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4.2</w:t>
      </w:r>
      <w:r>
        <w:rPr>
          <w:rFonts w:hint="eastAsia" w:ascii="仿宋" w:hAnsi="仿宋" w:eastAsia="仿宋"/>
          <w:sz w:val="28"/>
          <w:szCs w:val="28"/>
        </w:rPr>
        <w:t xml:space="preserve">4.2本次采购项目不收取标书工本费和中标管理费。</w:t>
      </w:r>
      <w:r>
        <w:rPr>
          <w:rFonts w:hint="eastAsia" w:ascii="仿宋" w:hAnsi="仿宋" w:eastAsia="仿宋" w:cs="Times New Roman"/>
          <w:sz w:val="28"/>
          <w:szCs w:val="28"/>
          <w:highlight w:val="none"/>
        </w:rPr>
      </w:r>
      <w:r/>
    </w:p>
    <w:p>
      <w:pPr>
        <w:pStyle w:val="933"/>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5.招标文件由以下部分组成:</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5.1投标邀请</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5.2投标人须知</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5.3合同文本</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5.4项目采购需求</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5.5评标方法与评标标准</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5.6投标文件</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6.招标文件的澄清</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6.1任何要求对招标文件进行澄清的投标人，均应在投标截止时间十日前通过以书面形式并加盖公章通知</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对投标截止时间前十日收到的任何澄清要求将以书面形式予以答复。</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可主动或在解答投标人提出的澄清问题时对招标文件用更正公告的方式进行修正。</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有权按照相关法定的要求推迟投标截止时间和开标日期。 </w:t>
      </w:r>
      <w:r>
        <w:rPr>
          <w:rFonts w:hint="eastAsia" w:ascii="仿宋" w:hAnsi="仿宋" w:eastAsia="仿宋"/>
          <w:sz w:val="28"/>
          <w:szCs w:val="28"/>
          <w:highlight w:val="none"/>
        </w:rPr>
      </w:r>
      <w:r/>
    </w:p>
    <w:p>
      <w:pPr>
        <w:pStyle w:val="933"/>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933"/>
        <w:spacing w:line="520" w:lineRule="exact"/>
        <w:rPr>
          <w:rFonts w:ascii="仿宋" w:hAnsi="仿宋" w:eastAsia="仿宋"/>
          <w:sz w:val="28"/>
          <w:szCs w:val="28"/>
          <w:highlight w:val="none"/>
        </w:rPr>
      </w:pPr>
      <w:r/>
      <w:bookmarkStart w:id="0" w:name="_Toc462564073"/>
      <w:r/>
      <w:bookmarkStart w:id="1" w:name="_Toc20823286"/>
      <w:r/>
      <w:bookmarkStart w:id="2" w:name="_Toc16938530"/>
      <w:r/>
      <w:bookmarkStart w:id="3" w:name="_Toc513029214"/>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就有关投标的所有来往通知、函件和文件均应使用简体中文。</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如标书制作工具中格式和内容与“淮安市政府采购网”发布的招标文件不一致，请以“淮安市政府采购网”发布的招标文件为准。</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bookmarkStart w:id="4" w:name="_Toc49090510"/>
      <w:r/>
      <w:bookmarkStart w:id="5"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933"/>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933"/>
        <w:spacing w:line="520" w:lineRule="exact"/>
        <w:rPr>
          <w:rFonts w:ascii="仿宋" w:hAnsi="仿宋" w:eastAsia="仿宋"/>
          <w:sz w:val="28"/>
          <w:szCs w:val="28"/>
          <w:highlight w:val="none"/>
        </w:rPr>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规定的开标之日后六十（60）天。投标有效期比规定短的将被视为未实质性响应招标文件而予以拒绝。</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933"/>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本项目不采用暗标方式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eastAsia="zh-CN"/>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17.1本项目评标标准中的方案部分采用暗标方式进行评审。</w:t>
      </w:r>
      <w:r>
        <w:rPr>
          <w:rFonts w:hint="eastAsia" w:ascii="仿宋" w:hAnsi="仿宋" w:eastAsia="仿宋"/>
          <w:bCs/>
          <w:sz w:val="28"/>
          <w:szCs w:val="28"/>
          <w:highlight w:val="none"/>
        </w:rPr>
      </w:r>
      <w:r/>
    </w:p>
    <w:p>
      <w:pPr>
        <w:pStyle w:val="933"/>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17.2方案部分采用暗标方式进行评审的编制要求：</w:t>
      </w:r>
      <w:r>
        <w:rPr>
          <w:rFonts w:ascii="仿宋" w:hAnsi="仿宋" w:eastAsia="仿宋"/>
          <w:bCs/>
          <w:sz w:val="28"/>
          <w:szCs w:val="28"/>
          <w:highlight w:val="none"/>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highlight w:val="none"/>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17.3供应商应按第17.2的要求编制方案，经三分之二评委认定，供应商未按第17.2的要求编制方案的，按未提供方案处理。</w:t>
      </w:r>
      <w:r>
        <w:rPr>
          <w:rFonts w:hint="eastAsia" w:ascii="仿宋" w:hAnsi="仿宋" w:eastAsia="仿宋"/>
          <w:bCs/>
          <w:sz w:val="28"/>
          <w:szCs w:val="28"/>
          <w:highlight w:val="none"/>
        </w:rPr>
      </w:r>
      <w:r/>
    </w:p>
    <w:p>
      <w:pPr>
        <w:pStyle w:val="933"/>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933"/>
        <w:ind w:firstLine="560"/>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rPr>
          <w:rFonts w:hint="eastAsia" w:ascii="仿宋" w:hAnsi="仿宋" w:eastAsia="仿宋"/>
          <w:sz w:val="28"/>
          <w:szCs w:val="28"/>
          <w:highlight w:val="none"/>
        </w:rPr>
      </w:r>
      <w:r/>
    </w:p>
    <w:p>
      <w:pPr>
        <w:pStyle w:val="933"/>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933"/>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19.2投标人不得在开标时间以后修改电子投标文件。</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19.3投标人不得在提交电子投标文件截止时间起至投标有效期满前撤回电子投标文件。</w:t>
      </w:r>
      <w:r>
        <w:rPr>
          <w:rFonts w:hint="eastAsia" w:ascii="仿宋" w:hAnsi="仿宋" w:eastAsia="仿宋"/>
          <w:sz w:val="28"/>
          <w:szCs w:val="28"/>
          <w:highlight w:val="none"/>
        </w:rPr>
      </w:r>
      <w:r/>
    </w:p>
    <w:p>
      <w:pPr>
        <w:pStyle w:val="933"/>
        <w:numPr>
          <w:ilvl w:val="0"/>
          <w:numId w:val="5"/>
        </w:numPr>
        <w:spacing w:line="520" w:lineRule="exact"/>
        <w:rPr>
          <w:rFonts w:hint="eastAsia"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933"/>
        <w:spacing w:line="520" w:lineRule="exact"/>
        <w:rPr>
          <w:rFonts w:hint="eastAsia" w:ascii="仿宋" w:hAnsi="仿宋" w:eastAsia="仿宋"/>
          <w:sz w:val="28"/>
          <w:szCs w:val="28"/>
          <w:highlight w:val="none"/>
        </w:rPr>
      </w:pPr>
      <w:r/>
      <w:bookmarkEnd w:id="8"/>
      <w:r>
        <w:rPr>
          <w:rFonts w:hint="eastAsia" w:ascii="仿宋" w:hAnsi="仿宋" w:eastAsia="仿宋"/>
          <w:sz w:val="28"/>
          <w:szCs w:val="28"/>
          <w:highlight w:val="none"/>
        </w:rPr>
        <w:t xml:space="preserve">20.开标</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20.1 </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20.2开标仪式由</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20.3投标人在开标过程中涉及到的投标文件解密、开标结果确认等工作，应按照《操作手册》规定执行。</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bookmarkStart w:id="9" w:name="_Toc513029231"/>
      <w:r/>
      <w:bookmarkStart w:id="10" w:name="_Toc20823303"/>
      <w:r/>
      <w:bookmarkStart w:id="11" w:name="_Toc16938547"/>
      <w:r>
        <w:rPr>
          <w:rFonts w:hint="eastAsia" w:ascii="仿宋" w:hAnsi="仿宋" w:eastAsia="仿宋"/>
          <w:sz w:val="28"/>
          <w:szCs w:val="28"/>
          <w:highlight w:val="none"/>
        </w:rPr>
        <w:t xml:space="preserve">21.评标委员会</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21.1开标后，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将立即组织评标委员会（以下简称评委会）进行评标。</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21.2 评委会由采购人代表和有关技术、经济等方面的专家组成，且人员构成符合政府采购有关规定。</w:t>
      </w:r>
      <w:r>
        <w:rPr>
          <w:rFonts w:ascii="仿宋" w:hAnsi="仿宋" w:eastAsia="仿宋"/>
          <w:sz w:val="28"/>
          <w:szCs w:val="28"/>
          <w:highlight w:val="none"/>
        </w:rPr>
      </w:r>
      <w:r/>
    </w:p>
    <w:p>
      <w:pPr>
        <w:pStyle w:val="933"/>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21.3评委会独立工作，负责评审所有投标文件并确定中标侯选人。</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22．评标过程的保密与公正</w:t>
      </w:r>
      <w:bookmarkEnd w:id="9"/>
      <w:r/>
      <w:bookmarkEnd w:id="10"/>
      <w:r/>
      <w:bookmarkEnd w:id="11"/>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22.1凡是与审查、澄清、评价和比较投标的有关资料以及授标建议等，采购人、评委、</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均不得向投标人或与评标无关的其他人员透露。</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22.2在评标过程中，投标人不得以任何行为影响评标过程，否则其投标文件将被作为无效投标文件。</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和评标委员会不向未中标的投标人解释未中标原因，也不公布评标过程中的相关细节。</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bookmarkStart w:id="12" w:name="_Toc513029232"/>
      <w:r/>
      <w:bookmarkStart w:id="13" w:name="_Toc20823304"/>
      <w:r/>
      <w:bookmarkStart w:id="14" w:name="_Toc16938548"/>
      <w:r>
        <w:rPr>
          <w:rFonts w:hint="eastAsia" w:ascii="仿宋" w:hAnsi="仿宋" w:eastAsia="仿宋"/>
          <w:sz w:val="28"/>
          <w:szCs w:val="28"/>
          <w:highlight w:val="none"/>
        </w:rPr>
        <w:t xml:space="preserve">23．投标文件的澄清</w:t>
      </w:r>
      <w:bookmarkEnd w:id="12"/>
      <w:r/>
      <w:bookmarkEnd w:id="13"/>
      <w:r/>
      <w:bookmarkEnd w:id="14"/>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bookmarkStart w:id="15" w:name="_Toc513029233"/>
      <w:r/>
      <w:bookmarkStart w:id="16" w:name="_Toc20823305"/>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23.3 接到评委会澄清、说明和补正要求的投标人如未按规定做出澄清、说明和补正，其风险由投标人自行承担。</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24.对投标文件的初审</w:t>
      </w:r>
      <w:bookmarkEnd w:id="15"/>
      <w:r/>
      <w:bookmarkEnd w:id="16"/>
      <w:r/>
      <w:bookmarkEnd w:id="17"/>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24.1投标文件初审分为资格审查和符合性审查。</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24.1.3 未通过资格审查或符合性审查的投标人，</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将不再告知未通过资格审查或符合性审查的原因。</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24.4评委会将对确定为实质性响应的投标进行进一步审核，看其是否有计算上或累加上的算术错误，修正错误的原则如下：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bookmarkStart w:id="18" w:name="_Toc513029234"/>
      <w:r/>
      <w:bookmarkStart w:id="19" w:name="_Toc20823306"/>
      <w:r/>
      <w:bookmarkStart w:id="20" w:name="_Toc16938550"/>
      <w:r>
        <w:rPr>
          <w:rFonts w:hint="eastAsia" w:ascii="仿宋" w:hAnsi="仿宋" w:eastAsia="仿宋"/>
          <w:sz w:val="28"/>
          <w:szCs w:val="28"/>
          <w:highlight w:val="none"/>
        </w:rPr>
        <w:t xml:space="preserve">24.6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w:t>
      </w:r>
      <w:r>
        <w:rPr>
          <w:rFonts w:hint="eastAsia" w:ascii="仿宋" w:hAnsi="仿宋" w:eastAsia="仿宋" w:cs="Times New Roman"/>
          <w:sz w:val="28"/>
          <w:szCs w:val="28"/>
          <w:highlight w:val="none"/>
        </w:rPr>
        <w:t xml:space="preserve">中的核心产品（ ）。多</w:t>
      </w:r>
      <w:r>
        <w:rPr>
          <w:rFonts w:ascii="仿宋" w:hAnsi="仿宋" w:eastAsia="仿宋"/>
          <w:sz w:val="28"/>
          <w:szCs w:val="28"/>
          <w:highlight w:val="none"/>
        </w:rPr>
        <w:t xml:space="preserve">家投标人提供的核心产品品牌相同的，按前两款规定处理。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24.7投标人在开、评标全过程中应保持通讯畅通，及时登录苏采云系统查阅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及评标委员会联系。</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5.无效投标条款和废标条款</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bookmarkStart w:id="21" w:name="_Toc513029235"/>
      <w:r/>
      <w:bookmarkStart w:id="22" w:name="_Toc20823307"/>
      <w:r/>
      <w:bookmarkStart w:id="23" w:name="_Toc16938551"/>
      <w:r>
        <w:rPr>
          <w:rFonts w:hint="eastAsia" w:ascii="仿宋" w:hAnsi="仿宋" w:eastAsia="仿宋"/>
          <w:sz w:val="28"/>
          <w:szCs w:val="28"/>
          <w:highlight w:val="none"/>
        </w:rPr>
        <w:t xml:space="preserve">25.1无效投标条款</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 投标人在苏采云系统规定的时间内未成功解密电子投标文件的。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其他法律、法规及本招标文件规定的属无效投标的情形。</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25.2废标条款</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25.2.1符合专业条件的供应商或者对招标文件作实质响应的供应商不足三家的。</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25.2.2出现影响采购公正的违法、违规行为的。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25.2.3因重大变故，采购任务取消的。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25.2.4评标委员会认定招标文件存在歧义、重大缺陷导致评审工作无法进行。</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 投标截止时间结束后参加投标的供应商不足三家的处理：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25.3.1如出现投标截止时间结束后参加投标的供应商或者在评标期间对招标文件做出实质响应的供应商不足三家情况，按政府采购相关规定执行。</w:t>
      </w:r>
      <w:r>
        <w:rPr>
          <w:rFonts w:ascii="仿宋" w:hAnsi="仿宋" w:eastAsia="仿宋"/>
          <w:sz w:val="28"/>
          <w:szCs w:val="28"/>
          <w:highlight w:val="none"/>
        </w:rPr>
      </w:r>
      <w:r/>
    </w:p>
    <w:p>
      <w:pPr>
        <w:pStyle w:val="933"/>
        <w:numPr>
          <w:ilvl w:val="0"/>
          <w:numId w:val="5"/>
        </w:numPr>
        <w:ind w:firstLine="482"/>
        <w:spacing w:line="520" w:lineRule="exact"/>
        <w:rPr>
          <w:rFonts w:ascii="仿宋" w:hAnsi="仿宋" w:eastAsia="仿宋"/>
          <w:b/>
          <w:sz w:val="32"/>
          <w:szCs w:val="32"/>
          <w:highlight w:val="none"/>
        </w:rPr>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933"/>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6.确定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26.1中标候选人的选取原则和数量见招标文件第三章规定。 </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 采购人应根据评委会推荐的中标候选人确定中标人。</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 </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将在“淮安市政府采购网”发布中标公告，公告期限为1个工作日。</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  若有充分证据证明，中标人出现下列情况之一的，一经查实，将被取消中标资格：</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26.4.1提供虚假材料谋取中标的。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26.4.2向采购人、</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行贿或者提供其他不正当利益的。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26.4.3属于本文件规定的无效条件，但在评标过程中又未被评委会发现的。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26.4.4与采购人或者其他供应商恶意串通的。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26.4.5采取不正当手段诋毁、排挤其他供应商的。</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26.5.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26.5.1不同投标人的投标文件由同一单位或者个人编制；</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26.5.2不同投标人委托同一单位或者个人办理投标事宜；</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26.5.3 不同投标人的投标文件载明的项目管理成员或者联系人员为同一人；</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26.5.4不同投标人的投标文件异常一致或者投标报价呈规律性差异；</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7．质疑处理</w:t>
      </w:r>
      <w:bookmarkEnd w:id="28"/>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27.2上述应知其权益受到损害之日是指:</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27.4质疑投标人在法定质疑期内应当一次性针对同一采购环节提出质疑。</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27.5质疑函应当包括以下主要内容，附上相关证明材料。否则，</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不予受理。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27.6</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有权不予受理。</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27.7对于内容、格式符合规定的质疑函，</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27.8投标人提出的质疑必须有理、有据，不得恶意质疑或提交虚假质疑。否则，一经查实，</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有权依据政府采购的有关规定，报请淮安市财政局政府采购管理处对该投标人列入失信行为或不良行为记录名单，进行相应的行政处罚。</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28.中标通知书</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28.l中标结果确定后，</w:t>
      </w:r>
      <w:r>
        <w:rPr>
          <w:rFonts w:hint="eastAsia" w:ascii="仿宋" w:hAnsi="仿宋" w:eastAsia="仿宋"/>
          <w:sz w:val="28"/>
          <w:szCs w:val="28"/>
          <w:highlight w:val="none"/>
          <w:lang w:eastAsia="zh-CN"/>
        </w:rPr>
        <w:t xml:space="preserve">淮安市公共资源交易中心洪泽分中心</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highlight w:val="none"/>
        </w:rPr>
      </w:r>
      <w:r/>
    </w:p>
    <w:p>
      <w:pPr>
        <w:pStyle w:val="933"/>
        <w:numPr>
          <w:ilvl w:val="0"/>
          <w:numId w:val="5"/>
        </w:numPr>
        <w:ind w:firstLine="482"/>
        <w:spacing w:line="520" w:lineRule="exact"/>
        <w:rPr>
          <w:rFonts w:ascii="仿宋" w:hAnsi="仿宋" w:eastAsia="仿宋"/>
          <w:b/>
          <w:sz w:val="32"/>
          <w:szCs w:val="32"/>
          <w:highlight w:val="none"/>
        </w:rPr>
      </w:pPr>
      <w:r/>
      <w:bookmarkStart w:id="29" w:name="_Toc120614220"/>
      <w:r/>
      <w:bookmarkStart w:id="30" w:name="_Toc16938552"/>
      <w:r/>
      <w:bookmarkStart w:id="31" w:name="_Toc20823308"/>
      <w:r/>
      <w:bookmarkStart w:id="32" w:name="_Toc513029236"/>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933"/>
        <w:spacing w:line="520" w:lineRule="exact"/>
        <w:rPr>
          <w:rFonts w:ascii="仿宋" w:hAnsi="仿宋" w:eastAsia="仿宋"/>
          <w:sz w:val="28"/>
          <w:szCs w:val="28"/>
          <w:highlight w:val="none"/>
        </w:rPr>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highlight w:val="none"/>
        </w:rPr>
        <w:t xml:space="preserve">29.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29.l中标人应当在中标通知书发出之日起三十日内，按照招标文件确定的事项与采购人签订政府采购合同。</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29.2招标文件、中标人的投标文件及招标过程中有关澄清、承诺文件均应作为合同附件。</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30.货物（包含与货物相关的服务）的追加</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highlight w:val="none"/>
        </w:rPr>
      </w:r>
      <w:r/>
    </w:p>
    <w:p>
      <w:pPr>
        <w:pStyle w:val="933"/>
        <w:spacing w:line="520" w:lineRule="exact"/>
        <w:rPr>
          <w:rFonts w:ascii="仿宋" w:hAnsi="仿宋" w:eastAsia="仿宋"/>
          <w:sz w:val="28"/>
          <w:szCs w:val="28"/>
          <w:highlight w:val="none"/>
        </w:rPr>
      </w:pPr>
      <w:r/>
      <w:bookmarkEnd w:id="33"/>
      <w:r/>
      <w:bookmarkEnd w:id="34"/>
      <w:r/>
      <w:bookmarkEnd w:id="35"/>
      <w:r>
        <w:rPr>
          <w:rFonts w:hint="eastAsia" w:ascii="仿宋" w:hAnsi="仿宋" w:eastAsia="仿宋"/>
          <w:sz w:val="28"/>
          <w:szCs w:val="28"/>
          <w:highlight w:val="none"/>
        </w:rPr>
        <w:t xml:space="preserve">31.政府采购履约资金扶持政策</w:t>
      </w:r>
      <w:r>
        <w:rPr>
          <w:rFonts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中标供应商可凭政府采购合同办理融资贷款，详情请见江苏政府采购网“政采贷”专栏。</w:t>
      </w:r>
      <w:r>
        <w:rPr>
          <w:rFonts w:ascii="仿宋" w:hAnsi="仿宋" w:eastAsia="仿宋"/>
          <w:sz w:val="28"/>
          <w:szCs w:val="28"/>
          <w:highlight w:val="none"/>
        </w:rPr>
      </w:r>
      <w:r/>
    </w:p>
    <w:p>
      <w:pPr>
        <w:pStyle w:val="933"/>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32.1小微型企业价格扣除</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32.2联合体及分包</w:t>
      </w:r>
      <w:r>
        <w:rPr>
          <w:rFonts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32.3小微型企业</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32.4残疾人福利单位</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32.5监狱和戒毒企业</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 节能、环保政策</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33.2节能产品（本项目不涉及）</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33.3环保产品（本项目不涉及）</w:t>
      </w:r>
      <w:r>
        <w:rPr>
          <w:rFonts w:hint="eastAsia" w:ascii="仿宋" w:hAnsi="仿宋" w:eastAsia="仿宋"/>
          <w:sz w:val="28"/>
          <w:szCs w:val="28"/>
          <w:highlight w:val="none"/>
        </w:rPr>
      </w:r>
      <w:r/>
    </w:p>
    <w:p>
      <w:pPr>
        <w:pStyle w:val="933"/>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33.4本项目中实行“强制采购”的，需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933"/>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933"/>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34．政府绿色采购</w:t>
      </w:r>
      <w:r>
        <w:rPr>
          <w:rFonts w:hint="eastAsia" w:ascii="仿宋" w:hAnsi="仿宋" w:eastAsia="仿宋"/>
          <w:bCs/>
          <w:color w:val="000000"/>
          <w:sz w:val="28"/>
          <w:szCs w:val="28"/>
          <w:highlight w:val="none"/>
        </w:rPr>
      </w:r>
      <w:r/>
    </w:p>
    <w:p>
      <w:pPr>
        <w:pStyle w:val="933"/>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72"/>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972"/>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972"/>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 履约资金扶持政策</w:t>
      </w:r>
      <w:r>
        <w:rPr>
          <w:rFonts w:hint="eastAsia" w:ascii="仿宋" w:hAnsi="仿宋" w:eastAsia="仿宋"/>
          <w:color w:val="000000"/>
          <w:sz w:val="28"/>
          <w:szCs w:val="28"/>
          <w:highlight w:val="none"/>
        </w:rPr>
      </w:r>
      <w:r/>
    </w:p>
    <w:p>
      <w:pPr>
        <w:pStyle w:val="972"/>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72"/>
        <w:ind w:left="0"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rPr>
        <w:t xml:space="preserve">三、</w:t>
      </w:r>
      <w:r>
        <w:rPr>
          <w:rFonts w:ascii="仿宋" w:hAnsi="仿宋" w:eastAsia="仿宋"/>
          <w:sz w:val="28"/>
          <w:szCs w:val="28"/>
          <w:highlight w:val="none"/>
        </w:rPr>
      </w:r>
      <w:r>
        <w:rPr>
          <w:rFonts w:ascii="FangSong" w:hAnsi="FangSong" w:eastAsia="FangSong" w:cs="FangSong"/>
          <w:color w:val="000000"/>
          <w:sz w:val="28"/>
        </w:rPr>
        <w:t xml:space="preserve">评委会将依据下列评标标准进行评标，本评标标准的总分为100分。按评审后得分由高到低顺序排列, 评审得分最高的投标人为排名第一的中标候选人。得分相同的，按投标报价由低到高顺序排列。得分且投标报价相同的并列,按技术部分得分由高到低排列。</w:t>
      </w:r>
      <w:r/>
      <w:r>
        <w:rPr>
          <w:rFonts w:hint="eastAsia" w:ascii="仿宋" w:hAnsi="仿宋" w:eastAsia="仿宋"/>
          <w:sz w:val="28"/>
          <w:szCs w:val="28"/>
          <w:highlight w:val="none"/>
        </w:rPr>
      </w:r>
      <w:r/>
      <w:r/>
      <w:r>
        <w:rPr>
          <w:sz w:val="22"/>
        </w:rPr>
      </w:r>
    </w:p>
    <w:p>
      <w:pPr>
        <w:pStyle w:val="93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三、具体标准:</w:t>
      </w:r>
      <w:r>
        <w:rPr>
          <w:rFonts w:hint="eastAsia" w:ascii="仿宋" w:hAnsi="仿宋" w:eastAsia="仿宋"/>
          <w:sz w:val="28"/>
          <w:highlight w:val="none"/>
        </w:rPr>
      </w:r>
      <w:r/>
    </w:p>
    <w:p>
      <w:pPr>
        <w:pStyle w:val="933"/>
        <w:ind w:firstLine="495"/>
        <w:keepLines w:val="0"/>
        <w:keepNext w:val="0"/>
        <w:pageBreakBefore w:val="0"/>
        <w:spacing w:line="480" w:lineRule="atLeast"/>
        <w:widowControl w:val="off"/>
        <w:rPr>
          <w:rFonts w:hint="eastAsia" w:ascii="仿宋" w:hAnsi="仿宋" w:eastAsia="仿宋"/>
          <w:sz w:val="28"/>
          <w:highlight w:val="none"/>
        </w:rPr>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60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67"/>
        <w:ind w:firstLine="560"/>
        <w:keepLines w:val="0"/>
        <w:keepNext w:val="0"/>
        <w:pageBreakBefore w:val="0"/>
        <w:spacing w:line="480" w:lineRule="atLeast"/>
        <w:widowControl w:val="off"/>
        <w:rPr>
          <w:rFonts w:hint="eastAsia" w:ascii="仿宋" w:hAnsi="仿宋" w:eastAsia="仿宋"/>
          <w:highlight w:val="none"/>
        </w:rPr>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67"/>
        <w:ind w:firstLine="560"/>
        <w:keepLines w:val="0"/>
        <w:keepNext w:val="0"/>
        <w:pageBreakBefore w:val="0"/>
        <w:spacing w:line="480" w:lineRule="atLeast"/>
        <w:widowControl w:val="off"/>
        <w:rPr>
          <w:rFonts w:hint="eastAsia" w:ascii="仿宋" w:hAnsi="仿宋" w:eastAsia="仿宋"/>
          <w:highlight w:val="none"/>
        </w:rPr>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60</w:t>
      </w:r>
      <w:r>
        <w:rPr>
          <w:rFonts w:hint="eastAsia" w:ascii="仿宋" w:hAnsi="仿宋" w:eastAsia="仿宋"/>
          <w:highlight w:val="none"/>
        </w:rPr>
        <w:t xml:space="preserve">分</w:t>
      </w:r>
      <w:r>
        <w:rPr>
          <w:rFonts w:hint="eastAsia" w:ascii="仿宋" w:hAnsi="仿宋" w:eastAsia="仿宋"/>
          <w:highlight w:val="none"/>
        </w:rPr>
      </w:r>
      <w:r/>
    </w:p>
    <w:p>
      <w:pPr>
        <w:pStyle w:val="933"/>
        <w:numPr>
          <w:ilvl w:val="0"/>
          <w:numId w:val="6"/>
        </w:numPr>
        <w:ind w:firstLine="560"/>
        <w:keepLines w:val="0"/>
        <w:keepNext w:val="0"/>
        <w:pageBreakBefore w:val="0"/>
        <w:spacing w:line="480" w:lineRule="atLeas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技术部分:</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933"/>
        <w:numPr>
          <w:ilvl w:val="0"/>
          <w:numId w:val="0"/>
        </w:numPr>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（1）根据招标文件第五章项目采购需求中的系统功能需求技术响应情况，完全满足招标文件第五章标注“▲”要求的，以10分为基数，每有一项负偏离的扣2分，扣完为止。</w:t>
      </w:r>
      <w:r>
        <w:rPr>
          <w:rFonts w:hint="eastAsia" w:ascii="仿宋" w:hAnsi="仿宋" w:eastAsia="仿宋" w:cs="Times New Roman"/>
          <w:sz w:val="28"/>
          <w:szCs w:val="24"/>
          <w:highlight w:val="none"/>
          <w:lang w:val="en-US" w:eastAsia="zh-CN" w:bidi="ar-SA"/>
        </w:rPr>
      </w:r>
      <w:r/>
    </w:p>
    <w:p>
      <w:pPr>
        <w:pStyle w:val="933"/>
        <w:numPr>
          <w:ilvl w:val="0"/>
          <w:numId w:val="0"/>
        </w:numPr>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注：标注“</w:t>
      </w:r>
      <w:r>
        <w:rPr>
          <w:rFonts w:hint="eastAsia" w:ascii="宋体" w:hAnsi="宋体" w:cs="宋体"/>
          <w:szCs w:val="24"/>
          <w:highlight w:val="none"/>
        </w:rPr>
        <w:t xml:space="preserve">▲</w:t>
      </w:r>
      <w:r>
        <w:rPr>
          <w:rFonts w:hint="eastAsia" w:ascii="仿宋" w:hAnsi="仿宋" w:eastAsia="仿宋" w:cs="Times New Roman"/>
          <w:sz w:val="28"/>
          <w:szCs w:val="24"/>
          <w:highlight w:val="none"/>
          <w:lang w:val="en-US" w:eastAsia="zh-CN" w:bidi="ar-SA"/>
        </w:rPr>
        <w:t xml:space="preserve">”为重要技术参数，标注“</w:t>
      </w:r>
      <w:r>
        <w:rPr>
          <w:rFonts w:hint="eastAsia" w:ascii="宋体" w:hAnsi="宋体" w:cs="宋体"/>
          <w:szCs w:val="24"/>
          <w:highlight w:val="none"/>
        </w:rPr>
        <w:t xml:space="preserve">▲</w:t>
      </w:r>
      <w:r>
        <w:rPr>
          <w:rFonts w:hint="eastAsia" w:ascii="仿宋" w:hAnsi="仿宋" w:eastAsia="仿宋" w:cs="Times New Roman"/>
          <w:sz w:val="28"/>
          <w:szCs w:val="24"/>
          <w:highlight w:val="none"/>
          <w:lang w:val="en-US" w:eastAsia="zh-CN" w:bidi="ar-SA"/>
        </w:rPr>
        <w:t xml:space="preserve">”项的系统功能需要提供支撑材料（软件界面截图或其他证明材料），未提供的不予认可。</w:t>
      </w:r>
      <w:r>
        <w:rPr>
          <w:rFonts w:hint="eastAsia" w:ascii="仿宋" w:hAnsi="仿宋" w:eastAsia="仿宋" w:cs="Times New Roman"/>
          <w:sz w:val="28"/>
          <w:szCs w:val="24"/>
          <w:highlight w:val="none"/>
          <w:lang w:val="en-US" w:eastAsia="zh-CN" w:bidi="ar-SA"/>
        </w:rPr>
      </w:r>
      <w:r/>
    </w:p>
    <w:p>
      <w:pPr>
        <w:pStyle w:val="933"/>
        <w:ind w:firstLine="560"/>
        <w:spacing w:line="520" w:lineRule="exact"/>
        <w:tabs>
          <w:tab w:val="left" w:pos="960" w:leader="none"/>
        </w:tabs>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（2）根据招标文件第五章项目采购需求中的系统功能需求技术响应情况，完全满足招标文件第五章中未标注符号要求的，以6分为基数，每有一项负偏离的扣1分，扣完为止。</w:t>
      </w:r>
      <w:r>
        <w:rPr>
          <w:rFonts w:hint="eastAsia" w:ascii="仿宋" w:hAnsi="仿宋" w:eastAsia="仿宋" w:cs="Times New Roman"/>
          <w:sz w:val="28"/>
          <w:szCs w:val="24"/>
          <w:highlight w:val="none"/>
          <w:lang w:val="en-US" w:eastAsia="zh-CN" w:bidi="ar-SA"/>
        </w:rPr>
      </w:r>
      <w:r/>
    </w:p>
    <w:p>
      <w:pPr>
        <w:pStyle w:val="933"/>
        <w:ind w:firstLine="560"/>
        <w:keepLines w:val="0"/>
        <w:keepNext w:val="0"/>
        <w:pageBreakBefore w:val="0"/>
        <w:spacing w:line="480" w:lineRule="atLeas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pStyle w:val="933"/>
        <w:ind w:firstLine="560"/>
        <w:keepLines w:val="0"/>
        <w:keepNext w:val="0"/>
        <w:pageBreakBefore w:val="0"/>
        <w:spacing w:line="480" w:lineRule="atLeast"/>
        <w:widowControl w:val="off"/>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方案部分：8分</w:t>
      </w:r>
      <w:r>
        <w:rPr>
          <w:rFonts w:ascii="仿宋" w:hAnsi="仿宋" w:eastAsia="仿宋"/>
          <w:sz w:val="28"/>
          <w:szCs w:val="28"/>
          <w:highlight w:val="none"/>
          <w:lang w:val="en-US" w:eastAsia="zh-CN"/>
        </w:rPr>
      </w:r>
      <w:r/>
    </w:p>
    <w:p>
      <w:pPr>
        <w:pStyle w:val="933"/>
        <w:ind w:firstLine="560"/>
        <w:spacing w:line="520" w:lineRule="exact"/>
        <w:rPr>
          <w:rFonts w:hint="eastAsia" w:ascii="仿宋" w:hAnsi="仿宋" w:eastAsia="仿宋" w:cs="Times New Roman"/>
          <w:sz w:val="28"/>
          <w:szCs w:val="24"/>
          <w:highlight w:val="none"/>
          <w:lang w:val="en-US" w:eastAsia="zh-CN" w:bidi="ar-SA"/>
        </w:rPr>
      </w:pP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提供的方案进行评分，项目方案至少具备下列各项要求，未提供分项方案或经三分之二</w:t>
      </w:r>
      <w:r>
        <w:rPr>
          <w:rFonts w:hint="eastAsia" w:ascii="仿宋" w:hAnsi="仿宋" w:eastAsia="仿宋" w:cs="仿宋"/>
          <w:sz w:val="28"/>
          <w:szCs w:val="28"/>
          <w:highlight w:val="none"/>
          <w:lang w:val="en-US" w:eastAsia="zh-CN"/>
        </w:rPr>
        <w:t xml:space="preserve">评标委员会</w:t>
      </w:r>
      <w:r>
        <w:rPr>
          <w:rFonts w:hint="eastAsia" w:ascii="仿宋" w:hAnsi="仿宋" w:eastAsia="仿宋" w:cs="仿宋"/>
          <w:sz w:val="28"/>
          <w:szCs w:val="28"/>
          <w:highlight w:val="none"/>
        </w:rPr>
        <w:t xml:space="preserve">认定分方案存在重大偏差的，分项不得分。</w:t>
      </w:r>
      <w:r>
        <w:rPr>
          <w:rFonts w:hint="eastAsia" w:ascii="仿宋" w:hAnsi="仿宋" w:eastAsia="仿宋" w:cs="Times New Roman"/>
          <w:sz w:val="28"/>
          <w:szCs w:val="24"/>
          <w:highlight w:val="none"/>
          <w:lang w:val="en-US" w:eastAsia="zh-CN" w:bidi="ar-SA"/>
        </w:rPr>
      </w:r>
      <w:r/>
    </w:p>
    <w:p>
      <w:pPr>
        <w:pStyle w:val="933"/>
        <w:ind w:firstLine="560"/>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（1）现状分析（2分）</w:t>
      </w:r>
      <w:r>
        <w:rPr>
          <w:rFonts w:ascii="仿宋" w:hAnsi="仿宋" w:eastAsia="仿宋" w:cs="Times New Roman"/>
          <w:sz w:val="28"/>
          <w:szCs w:val="24"/>
          <w:highlight w:val="none"/>
          <w:lang w:val="en-US" w:eastAsia="zh-CN" w:bidi="ar-SA"/>
        </w:rPr>
      </w:r>
      <w:r/>
    </w:p>
    <w:p>
      <w:pPr>
        <w:pStyle w:val="933"/>
        <w:ind w:firstLine="548"/>
        <w:jc w:val="left"/>
        <w:spacing w:line="520" w:lineRule="exact"/>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投标人针对采购需求内容对现有的总体设计、DIP数据中心、应用中心、接口方案等详细阐述系统的体系架构、实现思路和非功能性设计、安全设计。</w:t>
      </w:r>
      <w:r>
        <w:rPr>
          <w:rFonts w:hint="eastAsia" w:ascii="仿宋" w:hAnsi="仿宋" w:eastAsia="仿宋"/>
          <w:spacing w:val="-3"/>
          <w:sz w:val="28"/>
          <w:szCs w:val="28"/>
          <w:highlight w:val="none"/>
        </w:rPr>
        <w:t xml:space="preserve">理解透彻、分析清晰</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完整度高</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优于项目需求的得</w:t>
      </w:r>
      <w:r>
        <w:rPr>
          <w:rFonts w:hint="eastAsia" w:ascii="仿宋" w:hAnsi="仿宋" w:eastAsia="仿宋"/>
          <w:spacing w:val="-3"/>
          <w:sz w:val="28"/>
          <w:szCs w:val="28"/>
          <w:highlight w:val="none"/>
          <w:lang w:val="en-US" w:eastAsia="zh-CN"/>
        </w:rPr>
        <w:t xml:space="preserve">2</w:t>
      </w:r>
      <w:r>
        <w:rPr>
          <w:rFonts w:hint="eastAsia" w:ascii="仿宋" w:hAnsi="仿宋" w:eastAsia="仿宋"/>
          <w:spacing w:val="-3"/>
          <w:sz w:val="28"/>
          <w:szCs w:val="28"/>
          <w:highlight w:val="none"/>
        </w:rPr>
        <w:t xml:space="preserve">分；</w:t>
      </w:r>
      <w:r>
        <w:rPr>
          <w:rFonts w:hint="eastAsia" w:ascii="仿宋" w:hAnsi="仿宋" w:eastAsia="仿宋"/>
          <w:sz w:val="28"/>
          <w:szCs w:val="28"/>
          <w:highlight w:val="none"/>
        </w:rPr>
        <w:t xml:space="preserve">能够理解，分析较清晰、完整度较高</w:t>
      </w:r>
      <w:r>
        <w:rPr>
          <w:rFonts w:hint="eastAsia" w:ascii="仿宋" w:hAnsi="仿宋" w:eastAsia="仿宋"/>
          <w:sz w:val="28"/>
          <w:szCs w:val="28"/>
          <w:highlight w:val="none"/>
          <w:lang w:eastAsia="zh-CN"/>
        </w:rPr>
        <w:t xml:space="preserve">，</w:t>
      </w:r>
      <w:r>
        <w:rPr>
          <w:rFonts w:hint="eastAsia" w:ascii="仿宋" w:hAnsi="仿宋" w:eastAsia="仿宋"/>
          <w:spacing w:val="-3"/>
          <w:sz w:val="28"/>
          <w:szCs w:val="28"/>
          <w:highlight w:val="none"/>
        </w:rPr>
        <w:t xml:space="preserve">符合项目需求的得</w:t>
      </w:r>
      <w:r>
        <w:rPr>
          <w:rFonts w:hint="eastAsia" w:ascii="仿宋" w:hAnsi="仿宋" w:eastAsia="仿宋"/>
          <w:spacing w:val="-3"/>
          <w:sz w:val="28"/>
          <w:szCs w:val="28"/>
          <w:highlight w:val="none"/>
          <w:lang w:val="en-US" w:eastAsia="zh-CN"/>
        </w:rPr>
        <w:t xml:space="preserve">1.5</w:t>
      </w:r>
      <w:r>
        <w:rPr>
          <w:rFonts w:hint="eastAsia" w:ascii="仿宋" w:hAnsi="仿宋" w:eastAsia="仿宋"/>
          <w:spacing w:val="-3"/>
          <w:sz w:val="28"/>
          <w:szCs w:val="28"/>
          <w:highlight w:val="none"/>
        </w:rPr>
        <w:t xml:space="preserve">分</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基本符合项目需求的得</w:t>
      </w:r>
      <w:r>
        <w:rPr>
          <w:rFonts w:hint="eastAsia" w:ascii="仿宋" w:hAnsi="仿宋" w:eastAsia="仿宋"/>
          <w:spacing w:val="-3"/>
          <w:sz w:val="28"/>
          <w:szCs w:val="28"/>
          <w:highlight w:val="none"/>
          <w:lang w:val="en-US" w:eastAsia="zh-CN"/>
        </w:rPr>
        <w:t xml:space="preserve">1</w:t>
      </w:r>
      <w:r>
        <w:rPr>
          <w:rFonts w:hint="eastAsia" w:ascii="仿宋" w:hAnsi="仿宋" w:eastAsia="仿宋"/>
          <w:spacing w:val="-3"/>
          <w:sz w:val="28"/>
          <w:szCs w:val="28"/>
          <w:highlight w:val="none"/>
        </w:rPr>
        <w:t xml:space="preserve">分。</w:t>
      </w:r>
      <w:r>
        <w:rPr>
          <w:rFonts w:hint="eastAsia" w:ascii="仿宋" w:hAnsi="仿宋" w:eastAsia="仿宋" w:cs="Times New Roman"/>
          <w:sz w:val="28"/>
          <w:szCs w:val="24"/>
          <w:highlight w:val="none"/>
          <w:lang w:val="en-US" w:eastAsia="zh-CN" w:bidi="ar-SA"/>
        </w:rPr>
      </w:r>
      <w:r/>
    </w:p>
    <w:p>
      <w:pPr>
        <w:pStyle w:val="952"/>
        <w:ind w:left="0" w:firstLine="560"/>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（2）数据模型要求（1分）</w:t>
      </w:r>
      <w:r>
        <w:rPr>
          <w:rFonts w:ascii="仿宋" w:hAnsi="仿宋" w:eastAsia="仿宋" w:cs="Times New Roman"/>
          <w:sz w:val="28"/>
          <w:szCs w:val="24"/>
          <w:highlight w:val="none"/>
          <w:lang w:val="en-US" w:eastAsia="zh-CN" w:bidi="ar-SA"/>
        </w:rPr>
      </w:r>
      <w:r/>
    </w:p>
    <w:p>
      <w:pPr>
        <w:pStyle w:val="952"/>
        <w:ind w:left="0"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投标人针对采购需求内容中是否有独立的DIP数据中心的数据模型，要求不能直接引用当前业务系统模型或消息模型。要通过ETL技术对原始业务数据进行抽取、转换、清洗并转存到CDR数据模型中，形成集中存储的DIP数据集。提供数据中心界面截图详细、清晰、完整的得1分；提供数据中心界面截图较详细，较清晰、较完整的得0.5分；提供数据中心界面截图不清晰，不详细，不完整的得0分。</w:t>
      </w:r>
      <w:r>
        <w:rPr>
          <w:rFonts w:hint="eastAsia" w:ascii="仿宋" w:hAnsi="仿宋" w:eastAsia="仿宋" w:cs="Times New Roman"/>
          <w:sz w:val="28"/>
          <w:szCs w:val="24"/>
          <w:highlight w:val="none"/>
          <w:lang w:val="en-US" w:eastAsia="zh-CN" w:bidi="ar-SA"/>
        </w:rPr>
      </w:r>
      <w:r/>
    </w:p>
    <w:p>
      <w:pPr>
        <w:pStyle w:val="952"/>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（3）功能模块要求(2分）</w:t>
      </w:r>
      <w:r>
        <w:rPr>
          <w:rFonts w:ascii="仿宋" w:hAnsi="仿宋" w:eastAsia="仿宋" w:cs="Times New Roman"/>
          <w:sz w:val="28"/>
          <w:szCs w:val="24"/>
          <w:highlight w:val="none"/>
          <w:lang w:val="en-US" w:eastAsia="zh-CN" w:bidi="ar-SA"/>
        </w:rPr>
      </w:r>
      <w:r/>
    </w:p>
    <w:p>
      <w:pPr>
        <w:pStyle w:val="933"/>
        <w:ind w:firstLine="548"/>
        <w:jc w:val="left"/>
        <w:spacing w:line="520" w:lineRule="exact"/>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投标人针对采购需求内容中项目建设思路、功能模块（HIS业务场景违规实时预警、总览、提醒与预警、审核与申诉、统计分析、综合管理），原则、特点的理解情况，方案在确保阶段性任务实现的同时，统筹考虑了总体目标的实现。</w:t>
      </w:r>
      <w:r>
        <w:rPr>
          <w:rFonts w:hint="eastAsia" w:ascii="仿宋" w:hAnsi="仿宋" w:eastAsia="仿宋"/>
          <w:spacing w:val="-3"/>
          <w:sz w:val="28"/>
          <w:szCs w:val="28"/>
          <w:highlight w:val="none"/>
        </w:rPr>
        <w:t xml:space="preserve">理解透彻、分析清晰</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完整度高</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优于项目需求的得</w:t>
      </w:r>
      <w:r>
        <w:rPr>
          <w:rFonts w:hint="eastAsia" w:ascii="仿宋" w:hAnsi="仿宋" w:eastAsia="仿宋"/>
          <w:spacing w:val="-3"/>
          <w:sz w:val="28"/>
          <w:szCs w:val="28"/>
          <w:highlight w:val="none"/>
          <w:lang w:val="en-US" w:eastAsia="zh-CN"/>
        </w:rPr>
        <w:t xml:space="preserve">2</w:t>
      </w:r>
      <w:r>
        <w:rPr>
          <w:rFonts w:hint="eastAsia" w:ascii="仿宋" w:hAnsi="仿宋" w:eastAsia="仿宋"/>
          <w:spacing w:val="-3"/>
          <w:sz w:val="28"/>
          <w:szCs w:val="28"/>
          <w:highlight w:val="none"/>
        </w:rPr>
        <w:t xml:space="preserve">分；</w:t>
      </w:r>
      <w:r>
        <w:rPr>
          <w:rFonts w:hint="eastAsia" w:ascii="仿宋" w:hAnsi="仿宋" w:eastAsia="仿宋"/>
          <w:sz w:val="28"/>
          <w:szCs w:val="28"/>
          <w:highlight w:val="none"/>
        </w:rPr>
        <w:t xml:space="preserve">能够理解，分析较清晰、完整度较高</w:t>
      </w:r>
      <w:r>
        <w:rPr>
          <w:rFonts w:hint="eastAsia" w:ascii="仿宋" w:hAnsi="仿宋" w:eastAsia="仿宋"/>
          <w:sz w:val="28"/>
          <w:szCs w:val="28"/>
          <w:highlight w:val="none"/>
          <w:lang w:eastAsia="zh-CN"/>
        </w:rPr>
        <w:t xml:space="preserve">，</w:t>
      </w:r>
      <w:r>
        <w:rPr>
          <w:rFonts w:hint="eastAsia" w:ascii="仿宋" w:hAnsi="仿宋" w:eastAsia="仿宋"/>
          <w:spacing w:val="-3"/>
          <w:sz w:val="28"/>
          <w:szCs w:val="28"/>
          <w:highlight w:val="none"/>
        </w:rPr>
        <w:t xml:space="preserve">符合项目需求的得</w:t>
      </w:r>
      <w:r>
        <w:rPr>
          <w:rFonts w:hint="eastAsia" w:ascii="仿宋" w:hAnsi="仿宋" w:eastAsia="仿宋"/>
          <w:spacing w:val="-3"/>
          <w:sz w:val="28"/>
          <w:szCs w:val="28"/>
          <w:highlight w:val="none"/>
          <w:lang w:val="en-US" w:eastAsia="zh-CN"/>
        </w:rPr>
        <w:t xml:space="preserve">1.5</w:t>
      </w:r>
      <w:r>
        <w:rPr>
          <w:rFonts w:hint="eastAsia" w:ascii="仿宋" w:hAnsi="仿宋" w:eastAsia="仿宋"/>
          <w:spacing w:val="-3"/>
          <w:sz w:val="28"/>
          <w:szCs w:val="28"/>
          <w:highlight w:val="none"/>
        </w:rPr>
        <w:t xml:space="preserve">分</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基本符合项目需求的得</w:t>
      </w:r>
      <w:r>
        <w:rPr>
          <w:rFonts w:hint="eastAsia" w:ascii="仿宋" w:hAnsi="仿宋" w:eastAsia="仿宋"/>
          <w:spacing w:val="-3"/>
          <w:sz w:val="28"/>
          <w:szCs w:val="28"/>
          <w:highlight w:val="none"/>
          <w:lang w:val="en-US" w:eastAsia="zh-CN"/>
        </w:rPr>
        <w:t xml:space="preserve">1</w:t>
      </w:r>
      <w:r>
        <w:rPr>
          <w:rFonts w:hint="eastAsia" w:ascii="仿宋" w:hAnsi="仿宋" w:eastAsia="仿宋"/>
          <w:spacing w:val="-3"/>
          <w:sz w:val="28"/>
          <w:szCs w:val="28"/>
          <w:highlight w:val="none"/>
        </w:rPr>
        <w:t xml:space="preserve">分。</w:t>
      </w:r>
      <w:r>
        <w:rPr>
          <w:rFonts w:hint="eastAsia" w:ascii="仿宋" w:hAnsi="仿宋" w:eastAsia="仿宋" w:cs="Times New Roman"/>
          <w:sz w:val="28"/>
          <w:szCs w:val="24"/>
          <w:highlight w:val="none"/>
          <w:lang w:val="en-US" w:eastAsia="zh-CN" w:bidi="ar-SA"/>
        </w:rPr>
      </w:r>
      <w:r/>
    </w:p>
    <w:p>
      <w:pPr>
        <w:pStyle w:val="933"/>
        <w:ind w:firstLine="548"/>
        <w:jc w:val="left"/>
        <w:spacing w:line="520" w:lineRule="exact"/>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（4）系统功能要求（2分）</w:t>
      </w:r>
      <w:r>
        <w:rPr>
          <w:rFonts w:ascii="仿宋" w:hAnsi="仿宋" w:eastAsia="仿宋" w:cs="Times New Roman"/>
          <w:sz w:val="28"/>
          <w:szCs w:val="24"/>
          <w:highlight w:val="none"/>
          <w:lang w:val="en-US" w:eastAsia="zh-CN" w:bidi="ar-SA"/>
        </w:rPr>
      </w:r>
      <w:r/>
    </w:p>
    <w:p>
      <w:pPr>
        <w:pStyle w:val="933"/>
        <w:ind w:firstLine="548"/>
        <w:jc w:val="left"/>
        <w:spacing w:line="520" w:lineRule="exact"/>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投标人针对采购需求中数据中心、精细化运营管理、DIP运营分析系统DIP拨付核对系统、医保结算清单管理系统、医保智能审核系统具有完整的实施方案，涵盖系统需求分析、测试、试运行、验收、进度安排等</w:t>
      </w:r>
      <w:r>
        <w:rPr>
          <w:rFonts w:hint="eastAsia" w:ascii="仿宋" w:hAnsi="仿宋" w:eastAsia="仿宋"/>
          <w:spacing w:val="-3"/>
          <w:sz w:val="28"/>
          <w:szCs w:val="28"/>
          <w:highlight w:val="none"/>
        </w:rPr>
        <w:t xml:space="preserve">理解透彻、分析清晰</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完整度高</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优于项目需求的得</w:t>
      </w:r>
      <w:r>
        <w:rPr>
          <w:rFonts w:hint="eastAsia" w:ascii="仿宋" w:hAnsi="仿宋" w:eastAsia="仿宋"/>
          <w:spacing w:val="-3"/>
          <w:sz w:val="28"/>
          <w:szCs w:val="28"/>
          <w:highlight w:val="none"/>
          <w:lang w:val="en-US" w:eastAsia="zh-CN"/>
        </w:rPr>
        <w:t xml:space="preserve">2</w:t>
      </w:r>
      <w:r>
        <w:rPr>
          <w:rFonts w:hint="eastAsia" w:ascii="仿宋" w:hAnsi="仿宋" w:eastAsia="仿宋"/>
          <w:spacing w:val="-3"/>
          <w:sz w:val="28"/>
          <w:szCs w:val="28"/>
          <w:highlight w:val="none"/>
        </w:rPr>
        <w:t xml:space="preserve">分；基本符合项目需求的得</w:t>
      </w:r>
      <w:r>
        <w:rPr>
          <w:rFonts w:hint="eastAsia" w:ascii="仿宋" w:hAnsi="仿宋" w:eastAsia="仿宋"/>
          <w:spacing w:val="-3"/>
          <w:sz w:val="28"/>
          <w:szCs w:val="28"/>
          <w:highlight w:val="none"/>
          <w:lang w:val="en-US" w:eastAsia="zh-CN"/>
        </w:rPr>
        <w:t xml:space="preserve">1</w:t>
      </w:r>
      <w:r>
        <w:rPr>
          <w:rFonts w:hint="eastAsia" w:ascii="仿宋" w:hAnsi="仿宋" w:eastAsia="仿宋"/>
          <w:spacing w:val="-3"/>
          <w:sz w:val="28"/>
          <w:szCs w:val="28"/>
          <w:highlight w:val="none"/>
        </w:rPr>
        <w:t xml:space="preserve">分。</w:t>
      </w:r>
      <w:r>
        <w:rPr>
          <w:rFonts w:hint="eastAsia" w:ascii="仿宋" w:hAnsi="仿宋" w:eastAsia="仿宋" w:cs="Times New Roman"/>
          <w:sz w:val="28"/>
          <w:szCs w:val="24"/>
          <w:highlight w:val="none"/>
          <w:lang w:val="en-US" w:eastAsia="zh-CN" w:bidi="ar-SA"/>
        </w:rPr>
      </w:r>
      <w:r/>
    </w:p>
    <w:p>
      <w:pPr>
        <w:pStyle w:val="933"/>
        <w:ind w:firstLine="560"/>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（5）培训方案（1分）</w:t>
      </w:r>
      <w:r>
        <w:rPr>
          <w:rFonts w:ascii="仿宋" w:hAnsi="仿宋" w:eastAsia="仿宋" w:cs="Times New Roman"/>
          <w:sz w:val="28"/>
          <w:szCs w:val="24"/>
          <w:highlight w:val="none"/>
          <w:lang w:val="en-US" w:eastAsia="zh-CN" w:bidi="ar-SA"/>
        </w:rPr>
      </w:r>
      <w:r/>
    </w:p>
    <w:p>
      <w:pPr>
        <w:pStyle w:val="933"/>
        <w:ind w:firstLine="548"/>
        <w:jc w:val="left"/>
        <w:spacing w:line="520" w:lineRule="exact"/>
        <w:rPr>
          <w:rFonts w:hint="eastAsia" w:ascii="仿宋" w:hAnsi="仿宋" w:eastAsia="仿宋"/>
          <w:sz w:val="28"/>
          <w:szCs w:val="28"/>
          <w:highlight w:val="none"/>
          <w:lang w:val="en-US" w:eastAsia="zh-CN"/>
        </w:rPr>
      </w:pPr>
      <w:r>
        <w:rPr>
          <w:rFonts w:hint="eastAsia" w:ascii="仿宋" w:hAnsi="仿宋" w:eastAsia="仿宋" w:cs="Times New Roman"/>
          <w:sz w:val="28"/>
          <w:szCs w:val="24"/>
          <w:highlight w:val="none"/>
          <w:lang w:val="en-US" w:eastAsia="zh-CN" w:bidi="ar-SA"/>
        </w:rPr>
        <w:t xml:space="preserve">培训方案针对本项目采购需求中系统要求，包括培训内容、培训人次，系统计算机管理人员培训，重点培训为软件的安装、维护、调试、配置及使用技能；业务人员培训，重点对相应应用的操作、使用。培训考核合格率须达到85%及以上。</w:t>
      </w:r>
      <w:r>
        <w:rPr>
          <w:rFonts w:hint="eastAsia" w:ascii="仿宋" w:hAnsi="仿宋" w:eastAsia="仿宋"/>
          <w:spacing w:val="-3"/>
          <w:sz w:val="28"/>
          <w:szCs w:val="28"/>
          <w:highlight w:val="none"/>
        </w:rPr>
        <w:t xml:space="preserve">理解透彻、分析清晰</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完整度高</w:t>
      </w:r>
      <w:r>
        <w:rPr>
          <w:rFonts w:hint="eastAsia" w:ascii="仿宋" w:hAnsi="仿宋" w:eastAsia="仿宋"/>
          <w:spacing w:val="-3"/>
          <w:sz w:val="28"/>
          <w:szCs w:val="28"/>
          <w:highlight w:val="none"/>
          <w:lang w:eastAsia="zh-CN"/>
        </w:rPr>
        <w:t xml:space="preserve">，</w:t>
      </w:r>
      <w:r>
        <w:rPr>
          <w:rFonts w:hint="eastAsia" w:ascii="仿宋" w:hAnsi="仿宋" w:eastAsia="仿宋"/>
          <w:spacing w:val="-3"/>
          <w:sz w:val="28"/>
          <w:szCs w:val="28"/>
          <w:highlight w:val="none"/>
        </w:rPr>
        <w:t xml:space="preserve">优于项目需求的得</w:t>
      </w:r>
      <w:r>
        <w:rPr>
          <w:rFonts w:hint="eastAsia" w:ascii="仿宋" w:hAnsi="仿宋" w:eastAsia="仿宋"/>
          <w:spacing w:val="-3"/>
          <w:sz w:val="28"/>
          <w:szCs w:val="28"/>
          <w:highlight w:val="none"/>
          <w:lang w:val="en-US" w:eastAsia="zh-CN"/>
        </w:rPr>
        <w:t xml:space="preserve">1</w:t>
      </w:r>
      <w:r>
        <w:rPr>
          <w:rFonts w:hint="eastAsia" w:ascii="仿宋" w:hAnsi="仿宋" w:eastAsia="仿宋"/>
          <w:spacing w:val="-3"/>
          <w:sz w:val="28"/>
          <w:szCs w:val="28"/>
          <w:highlight w:val="none"/>
        </w:rPr>
        <w:t xml:space="preserve">分；基本符合项目需求的得</w:t>
      </w:r>
      <w:r>
        <w:rPr>
          <w:rFonts w:hint="eastAsia" w:ascii="仿宋" w:hAnsi="仿宋" w:eastAsia="仿宋"/>
          <w:spacing w:val="-3"/>
          <w:sz w:val="28"/>
          <w:szCs w:val="28"/>
          <w:highlight w:val="none"/>
          <w:lang w:val="en-US" w:eastAsia="zh-CN"/>
        </w:rPr>
        <w:t xml:space="preserve">0.5</w:t>
      </w:r>
      <w:r>
        <w:rPr>
          <w:rFonts w:hint="eastAsia" w:ascii="仿宋" w:hAnsi="仿宋" w:eastAsia="仿宋"/>
          <w:spacing w:val="-3"/>
          <w:sz w:val="28"/>
          <w:szCs w:val="28"/>
          <w:highlight w:val="none"/>
        </w:rPr>
        <w:t xml:space="preserve">分。</w:t>
      </w:r>
      <w:r>
        <w:rPr>
          <w:rFonts w:hint="eastAsia" w:ascii="仿宋" w:hAnsi="仿宋" w:eastAsia="仿宋"/>
          <w:sz w:val="28"/>
          <w:szCs w:val="28"/>
          <w:highlight w:val="none"/>
          <w:lang w:val="en-US" w:eastAsia="zh-CN"/>
        </w:rPr>
      </w:r>
      <w:r/>
    </w:p>
    <w:p>
      <w:pPr>
        <w:pStyle w:val="933"/>
        <w:ind w:firstLine="560"/>
        <w:keepLines w:val="0"/>
        <w:keepNext w:val="0"/>
        <w:pageBreakBefore w:val="0"/>
        <w:spacing w:line="480" w:lineRule="atLeast"/>
        <w:widowControl w:val="off"/>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4、商务部分：10分</w:t>
      </w:r>
      <w:r>
        <w:rPr>
          <w:rFonts w:ascii="仿宋" w:hAnsi="仿宋" w:eastAsia="仿宋"/>
          <w:sz w:val="28"/>
          <w:szCs w:val="28"/>
          <w:highlight w:val="none"/>
          <w:lang w:val="en-US" w:eastAsia="zh-CN"/>
        </w:rPr>
      </w:r>
      <w:r/>
    </w:p>
    <w:p>
      <w:pPr>
        <w:pStyle w:val="933"/>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（1）软件著作权证书（3分）</w:t>
      </w:r>
      <w:r>
        <w:rPr>
          <w:rFonts w:hint="eastAsia" w:ascii="仿宋" w:hAnsi="仿宋" w:eastAsia="仿宋" w:cs="Times New Roman"/>
          <w:sz w:val="28"/>
          <w:szCs w:val="24"/>
          <w:highlight w:val="none"/>
          <w:lang w:val="en-US" w:eastAsia="zh-CN" w:bidi="ar-SA"/>
        </w:rPr>
      </w:r>
      <w:r/>
    </w:p>
    <w:p>
      <w:pPr>
        <w:pStyle w:val="952"/>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投标人同时具有DIP精细化运营管理系统软件著作权证书及安全测评报告的得1分；投标人同时具有结算清单管理系统软件著作权证书及安全测评报告的得1分；投标人同时具有医保智能审核系统软件著作权证书及安全测评报告的得1分；本项最高得3分，未提供不得分。</w:t>
      </w:r>
      <w:r>
        <w:rPr>
          <w:rFonts w:hint="eastAsia" w:ascii="仿宋" w:hAnsi="仿宋" w:eastAsia="仿宋" w:cs="Times New Roman"/>
          <w:sz w:val="28"/>
          <w:szCs w:val="24"/>
          <w:highlight w:val="none"/>
          <w:lang w:val="en-US" w:eastAsia="zh-CN" w:bidi="ar-SA"/>
        </w:rPr>
      </w:r>
      <w:r/>
    </w:p>
    <w:p>
      <w:pPr>
        <w:pStyle w:val="933"/>
        <w:ind w:firstLine="562"/>
        <w:keepLines w:val="0"/>
        <w:keepNext w:val="0"/>
        <w:pageBreakBefore w:val="0"/>
        <w:spacing w:line="480" w:lineRule="atLeast"/>
        <w:widowControl w:val="off"/>
        <w:rPr>
          <w:rFonts w:hint="eastAsia" w:ascii="仿宋" w:hAnsi="仿宋" w:eastAsia="仿宋" w:cs="Times New Roman"/>
          <w:b/>
          <w:bCs/>
          <w:sz w:val="28"/>
          <w:szCs w:val="24"/>
          <w:highlight w:val="none"/>
          <w:lang w:val="en-US" w:eastAsia="zh-CN" w:bidi="ar-SA"/>
        </w:rPr>
      </w:pPr>
      <w:r>
        <w:rPr>
          <w:rFonts w:hint="eastAsia" w:ascii="仿宋" w:hAnsi="仿宋" w:eastAsia="仿宋" w:cs="Times New Roman"/>
          <w:b/>
          <w:bCs/>
          <w:sz w:val="28"/>
          <w:szCs w:val="24"/>
          <w:highlight w:val="none"/>
          <w:lang w:val="en-US" w:eastAsia="zh-CN" w:bidi="ar-SA"/>
        </w:rPr>
        <w:t xml:space="preserve">注：须提供相关证书复印件并加盖投标人电子签章，且证书取得时间不得迟于招标公告发出时间。</w:t>
      </w:r>
      <w:r>
        <w:rPr>
          <w:rFonts w:hint="eastAsia" w:ascii="仿宋" w:hAnsi="仿宋" w:eastAsia="仿宋" w:cs="Times New Roman"/>
          <w:b/>
          <w:bCs/>
          <w:sz w:val="28"/>
          <w:szCs w:val="24"/>
          <w:highlight w:val="none"/>
          <w:lang w:val="en-US" w:eastAsia="zh-CN" w:bidi="ar-SA"/>
        </w:rPr>
      </w:r>
      <w:r/>
    </w:p>
    <w:p>
      <w:pPr>
        <w:pStyle w:val="951"/>
        <w:ind w:firstLine="560"/>
        <w:keepLines w:val="0"/>
        <w:keepNext w:val="0"/>
        <w:pageBreakBefore w:val="0"/>
        <w:spacing w:after="0" w:line="480" w:lineRule="atLeast"/>
        <w:widowControl w:val="off"/>
        <w:tabs>
          <w:tab w:val="left" w:pos="2020" w:leader="none"/>
          <w:tab w:val="center" w:pos="4535" w:leader="none"/>
        </w:tabs>
        <w:rPr>
          <w:rFonts w:hint="eastAsia" w:ascii="仿宋" w:hAnsi="仿宋" w:eastAsia="仿宋" w:cs="Times New Roman"/>
          <w:bCs w:val="0"/>
          <w:color w:val="000000"/>
          <w:sz w:val="28"/>
          <w:szCs w:val="24"/>
          <w:highlight w:val="none"/>
          <w:lang w:val="en-US" w:eastAsia="zh-CN" w:bidi="ar-SA"/>
        </w:rPr>
      </w:pPr>
      <w:r>
        <w:rPr>
          <w:rFonts w:hint="eastAsia" w:ascii="仿宋" w:hAnsi="仿宋" w:eastAsia="仿宋"/>
          <w:sz w:val="28"/>
          <w:szCs w:val="28"/>
          <w:highlight w:val="none"/>
          <w:lang w:val="en-US" w:eastAsia="zh-CN"/>
        </w:rPr>
        <w:t xml:space="preserve">（2）</w:t>
      </w:r>
      <w:r>
        <w:rPr>
          <w:rFonts w:hint="eastAsia" w:ascii="仿宋" w:hAnsi="仿宋" w:eastAsia="仿宋" w:cs="Times New Roman"/>
          <w:bCs w:val="0"/>
          <w:color w:val="000000"/>
          <w:sz w:val="28"/>
          <w:szCs w:val="24"/>
          <w:highlight w:val="none"/>
          <w:lang w:val="en-US" w:eastAsia="zh-CN" w:bidi="ar-SA"/>
        </w:rPr>
        <w:t xml:space="preserve">数据库兼容性认证（3分）</w:t>
      </w:r>
      <w:r>
        <w:rPr>
          <w:rFonts w:hint="eastAsia" w:ascii="仿宋" w:hAnsi="仿宋" w:eastAsia="仿宋" w:cs="Times New Roman"/>
          <w:bCs w:val="0"/>
          <w:color w:val="000000"/>
          <w:sz w:val="28"/>
          <w:szCs w:val="24"/>
          <w:highlight w:val="none"/>
          <w:lang w:val="en-US" w:eastAsia="zh-CN" w:bidi="ar-SA"/>
        </w:rPr>
      </w:r>
      <w:r/>
    </w:p>
    <w:p>
      <w:pPr>
        <w:pStyle w:val="951"/>
        <w:ind w:firstLine="560"/>
        <w:keepLines w:val="0"/>
        <w:keepNext w:val="0"/>
        <w:pageBreakBefore w:val="0"/>
        <w:spacing w:after="0" w:line="480" w:lineRule="atLeast"/>
        <w:widowControl w:val="off"/>
        <w:tabs>
          <w:tab w:val="left" w:pos="2020" w:leader="none"/>
          <w:tab w:val="center" w:pos="4535" w:leader="none"/>
        </w:tabs>
        <w:rPr>
          <w:rFonts w:hint="eastAsia" w:ascii="仿宋" w:hAnsi="仿宋" w:eastAsia="仿宋" w:cs="Times New Roman"/>
          <w:bCs w:val="0"/>
          <w:color w:val="000000"/>
          <w:sz w:val="28"/>
          <w:szCs w:val="24"/>
          <w:highlight w:val="none"/>
          <w:lang w:val="en-US" w:eastAsia="zh-CN" w:bidi="ar-SA"/>
        </w:rPr>
      </w:pPr>
      <w:r>
        <w:rPr>
          <w:rFonts w:hint="eastAsia" w:ascii="仿宋" w:hAnsi="仿宋" w:eastAsia="仿宋" w:cs="Times New Roman"/>
          <w:bCs w:val="0"/>
          <w:color w:val="000000"/>
          <w:sz w:val="28"/>
          <w:szCs w:val="24"/>
          <w:highlight w:val="none"/>
          <w:lang w:val="en-US" w:eastAsia="zh-CN" w:bidi="ar-SA"/>
        </w:rPr>
        <w:t xml:space="preserve">为确保信息标准化、互联互通，数字基础设施国产化是医院信息化建设的战略共识，为护航医院数字化转型，投标人所投产品应与主流国产化操作系统和数据库具有良好的兼容性。</w:t>
      </w:r>
      <w:r>
        <w:rPr>
          <w:rFonts w:hint="eastAsia" w:ascii="仿宋" w:hAnsi="仿宋" w:eastAsia="仿宋" w:cs="Times New Roman"/>
          <w:bCs w:val="0"/>
          <w:color w:val="000000"/>
          <w:sz w:val="28"/>
          <w:szCs w:val="24"/>
          <w:highlight w:val="none"/>
          <w:lang w:val="en-US" w:eastAsia="zh-CN" w:bidi="ar-SA"/>
        </w:rPr>
      </w:r>
      <w:r/>
    </w:p>
    <w:p>
      <w:pPr>
        <w:pStyle w:val="951"/>
        <w:ind w:firstLine="560"/>
        <w:keepLines w:val="0"/>
        <w:keepNext w:val="0"/>
        <w:pageBreakBefore w:val="0"/>
        <w:spacing w:after="0" w:line="480" w:lineRule="atLeast"/>
        <w:widowControl w:val="off"/>
        <w:tabs>
          <w:tab w:val="left" w:pos="2020" w:leader="none"/>
          <w:tab w:val="center" w:pos="4535" w:leader="none"/>
        </w:tabs>
        <w:rPr>
          <w:rFonts w:hint="eastAsia" w:ascii="仿宋" w:hAnsi="仿宋" w:eastAsia="仿宋" w:cs="Times New Roman"/>
          <w:bCs w:val="0"/>
          <w:color w:val="000000"/>
          <w:sz w:val="28"/>
          <w:szCs w:val="24"/>
          <w:highlight w:val="none"/>
          <w:lang w:val="en-US" w:eastAsia="zh-CN" w:bidi="ar-SA"/>
        </w:rPr>
      </w:pPr>
      <w:r>
        <w:rPr>
          <w:rFonts w:hint="eastAsia" w:ascii="仿宋" w:hAnsi="仿宋" w:eastAsia="仿宋" w:cs="Times New Roman"/>
          <w:bCs w:val="0"/>
          <w:color w:val="000000"/>
          <w:sz w:val="28"/>
          <w:szCs w:val="24"/>
          <w:highlight w:val="none"/>
          <w:lang w:val="en-US" w:eastAsia="zh-CN" w:bidi="ar-SA"/>
        </w:rPr>
        <w:t xml:space="preserve">投标人提供投标产品国产操作系统和数据库的兼容性互认认证证书，证书内容需包含“DIP”、“结算清单”、“智能审核”等关键字眼，每提供1个厂家证明资料的得1分，本项最高得3分，</w:t>
      </w:r>
      <w:r>
        <w:rPr>
          <w:rFonts w:hint="eastAsia" w:ascii="仿宋" w:hAnsi="仿宋" w:eastAsia="仿宋" w:cs="Times New Roman"/>
          <w:sz w:val="28"/>
          <w:szCs w:val="24"/>
          <w:highlight w:val="none"/>
          <w:lang w:val="en-US" w:eastAsia="zh-CN" w:bidi="ar-SA"/>
        </w:rPr>
        <w:t xml:space="preserve">未提供不得分。</w:t>
      </w:r>
      <w:r>
        <w:rPr>
          <w:rFonts w:hint="eastAsia" w:ascii="仿宋" w:hAnsi="仿宋" w:eastAsia="仿宋" w:cs="Times New Roman"/>
          <w:bCs w:val="0"/>
          <w:color w:val="000000"/>
          <w:sz w:val="28"/>
          <w:szCs w:val="24"/>
          <w:highlight w:val="none"/>
          <w:lang w:val="en-US" w:eastAsia="zh-CN" w:bidi="ar-SA"/>
        </w:rPr>
      </w:r>
      <w:r/>
    </w:p>
    <w:p>
      <w:pPr>
        <w:pStyle w:val="933"/>
        <w:ind w:firstLine="562"/>
        <w:keepLines w:val="0"/>
        <w:keepNext w:val="0"/>
        <w:pageBreakBefore w:val="0"/>
        <w:spacing w:line="480" w:lineRule="atLeast"/>
        <w:widowControl w:val="off"/>
        <w:rPr>
          <w:rFonts w:hint="eastAsia" w:ascii="仿宋" w:hAnsi="仿宋" w:eastAsia="仿宋"/>
          <w:b/>
          <w:bCs/>
          <w:sz w:val="28"/>
          <w:szCs w:val="28"/>
          <w:highlight w:val="none"/>
          <w:lang w:val="en-US" w:eastAsia="zh-CN"/>
        </w:rPr>
      </w:pPr>
      <w:r>
        <w:rPr>
          <w:rFonts w:hint="eastAsia" w:ascii="仿宋" w:hAnsi="仿宋" w:eastAsia="仿宋" w:cs="Times New Roman"/>
          <w:b/>
          <w:bCs/>
          <w:color w:val="000000"/>
          <w:sz w:val="28"/>
          <w:szCs w:val="24"/>
          <w:highlight w:val="none"/>
          <w:lang w:val="en-US" w:eastAsia="zh-CN" w:bidi="ar-SA"/>
        </w:rPr>
        <w:t xml:space="preserve">注：须提供证书复印件并加盖投标人</w:t>
      </w:r>
      <w:r>
        <w:rPr>
          <w:rFonts w:hint="eastAsia" w:ascii="仿宋" w:hAnsi="仿宋" w:eastAsia="仿宋" w:cs="Times New Roman"/>
          <w:b/>
          <w:bCs/>
          <w:sz w:val="28"/>
          <w:szCs w:val="24"/>
          <w:highlight w:val="none"/>
          <w:lang w:val="en-US" w:eastAsia="zh-CN" w:bidi="ar-SA"/>
        </w:rPr>
        <w:t xml:space="preserve">电子签章。</w:t>
      </w:r>
      <w:r>
        <w:rPr>
          <w:rFonts w:hint="eastAsia" w:ascii="仿宋" w:hAnsi="仿宋" w:eastAsia="仿宋"/>
          <w:b/>
          <w:bCs/>
          <w:sz w:val="28"/>
          <w:szCs w:val="28"/>
          <w:highlight w:val="none"/>
          <w:lang w:val="en-US" w:eastAsia="zh-CN"/>
        </w:rPr>
      </w:r>
      <w:r/>
    </w:p>
    <w:p>
      <w:pPr>
        <w:pStyle w:val="933"/>
        <w:numPr>
          <w:ilvl w:val="0"/>
          <w:numId w:val="7"/>
        </w:numPr>
        <w:ind w:left="-560" w:firstLine="560"/>
        <w:keepLines w:val="0"/>
        <w:keepNext w:val="0"/>
        <w:pageBreakBefore w:val="0"/>
        <w:spacing w:line="480" w:lineRule="atLeas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业绩（4分）</w:t>
      </w:r>
      <w:r>
        <w:rPr>
          <w:rFonts w:hint="eastAsia" w:ascii="仿宋" w:hAnsi="仿宋" w:eastAsia="仿宋"/>
          <w:sz w:val="28"/>
          <w:szCs w:val="28"/>
          <w:highlight w:val="none"/>
          <w:lang w:val="en-US" w:eastAsia="zh-CN"/>
        </w:rPr>
      </w:r>
      <w:r/>
    </w:p>
    <w:p>
      <w:pPr>
        <w:pStyle w:val="988"/>
        <w:ind w:firstLine="560"/>
        <w:keepLines w:val="0"/>
        <w:keepNext w:val="0"/>
        <w:pageBreakBefore w:val="0"/>
        <w:spacing w:line="480" w:lineRule="atLeast"/>
        <w:widowControl w:val="off"/>
        <w:rPr>
          <w:rFonts w:hint="eastAsia" w:ascii="仿宋" w:hAnsi="仿宋" w:eastAsia="仿宋" w:cs="Times New Roman"/>
          <w:bCs w:val="0"/>
          <w:color w:val="000000"/>
          <w:sz w:val="28"/>
          <w:szCs w:val="24"/>
          <w:highlight w:val="none"/>
          <w:lang w:val="en-US" w:eastAsia="zh-CN" w:bidi="ar-SA"/>
        </w:rPr>
      </w:pPr>
      <w:r>
        <w:rPr>
          <w:rFonts w:hint="eastAsia" w:ascii="仿宋" w:hAnsi="仿宋" w:eastAsia="仿宋" w:cs="Times New Roman"/>
          <w:bCs w:val="0"/>
          <w:color w:val="000000"/>
          <w:sz w:val="28"/>
          <w:szCs w:val="24"/>
          <w:highlight w:val="none"/>
          <w:lang w:val="en-US" w:eastAsia="zh-CN" w:bidi="ar-SA"/>
        </w:rPr>
        <w:t xml:space="preserve">投标人提供2021年1月1日</w:t>
      </w:r>
      <w:r>
        <w:rPr>
          <w:rFonts w:hint="eastAsia" w:hAnsi="仿宋" w:cs="Times New Roman"/>
          <w:bCs w:val="0"/>
          <w:color w:val="000000"/>
          <w:sz w:val="28"/>
          <w:szCs w:val="24"/>
          <w:highlight w:val="none"/>
          <w:lang w:val="en-US" w:eastAsia="zh-CN" w:bidi="ar-SA"/>
        </w:rPr>
        <w:t xml:space="preserve">（</w:t>
      </w:r>
      <w:r>
        <w:rPr>
          <w:rFonts w:hint="eastAsia" w:ascii="仿宋" w:hAnsi="仿宋" w:eastAsia="仿宋" w:cs="Times New Roman"/>
          <w:bCs w:val="0"/>
          <w:color w:val="000000"/>
          <w:sz w:val="28"/>
          <w:szCs w:val="24"/>
          <w:highlight w:val="none"/>
          <w:lang w:val="en-US" w:eastAsia="zh-CN" w:bidi="ar-SA"/>
        </w:rPr>
        <w:t xml:space="preserve">以签订合同时间为</w:t>
      </w:r>
      <w:r>
        <w:rPr>
          <w:rFonts w:hint="eastAsia" w:ascii="仿宋" w:hAnsi="仿宋" w:eastAsia="仿宋" w:cs="Times New Roman"/>
          <w:color w:val="000000"/>
          <w:sz w:val="28"/>
          <w:szCs w:val="28"/>
          <w:highlight w:val="none"/>
          <w:lang w:val="en-US" w:eastAsia="zh-CN" w:bidi="ar-SA"/>
        </w:rPr>
        <w:t xml:space="preserve">准）以来成功服务过类似实施案例的。</w:t>
      </w:r>
      <w:r>
        <w:rPr>
          <w:rFonts w:hint="eastAsia" w:ascii="仿宋" w:hAnsi="仿宋" w:eastAsia="仿宋" w:cs="Times New Roman"/>
          <w:bCs w:val="0"/>
          <w:color w:val="000000"/>
          <w:sz w:val="28"/>
          <w:szCs w:val="24"/>
          <w:highlight w:val="none"/>
          <w:lang w:val="en-US" w:eastAsia="zh-CN" w:bidi="ar-SA"/>
        </w:rPr>
        <w:t xml:space="preserve">每提供1</w:t>
      </w:r>
      <w:r>
        <w:rPr>
          <w:rFonts w:hint="eastAsia" w:hAnsi="仿宋" w:cs="Times New Roman"/>
          <w:bCs w:val="0"/>
          <w:color w:val="000000"/>
          <w:sz w:val="28"/>
          <w:szCs w:val="24"/>
          <w:highlight w:val="none"/>
          <w:lang w:val="en-US" w:eastAsia="zh-CN" w:bidi="ar-SA"/>
        </w:rPr>
        <w:t xml:space="preserve">个得2分</w:t>
      </w:r>
      <w:r>
        <w:rPr>
          <w:rFonts w:hint="eastAsia" w:ascii="仿宋" w:hAnsi="仿宋" w:eastAsia="仿宋" w:cs="Times New Roman"/>
          <w:bCs w:val="0"/>
          <w:color w:val="000000"/>
          <w:sz w:val="28"/>
          <w:szCs w:val="24"/>
          <w:highlight w:val="none"/>
          <w:lang w:val="en-US" w:eastAsia="zh-CN" w:bidi="ar-SA"/>
        </w:rPr>
        <w:t xml:space="preserve">，</w:t>
      </w:r>
      <w:r>
        <w:rPr>
          <w:rFonts w:hint="eastAsia" w:hAnsi="仿宋" w:cs="Times New Roman"/>
          <w:bCs w:val="0"/>
          <w:color w:val="000000"/>
          <w:sz w:val="28"/>
          <w:szCs w:val="24"/>
          <w:highlight w:val="none"/>
          <w:lang w:val="en-US" w:eastAsia="zh-CN" w:bidi="ar-SA"/>
        </w:rPr>
        <w:t xml:space="preserve">本项最高</w:t>
      </w:r>
      <w:r>
        <w:rPr>
          <w:rFonts w:hint="eastAsia" w:ascii="仿宋" w:hAnsi="仿宋" w:eastAsia="仿宋" w:cs="Times New Roman"/>
          <w:bCs w:val="0"/>
          <w:color w:val="000000"/>
          <w:sz w:val="28"/>
          <w:szCs w:val="24"/>
          <w:highlight w:val="none"/>
          <w:lang w:val="en-US" w:eastAsia="zh-CN" w:bidi="ar-SA"/>
        </w:rPr>
        <w:t xml:space="preserve">得</w:t>
      </w:r>
      <w:r>
        <w:rPr>
          <w:rFonts w:hint="eastAsia" w:hAnsi="仿宋" w:cs="Times New Roman"/>
          <w:bCs w:val="0"/>
          <w:color w:val="000000"/>
          <w:sz w:val="28"/>
          <w:szCs w:val="24"/>
          <w:highlight w:val="none"/>
          <w:lang w:val="en-US" w:eastAsia="zh-CN" w:bidi="ar-SA"/>
        </w:rPr>
        <w:t xml:space="preserve">4</w:t>
      </w:r>
      <w:r>
        <w:rPr>
          <w:rFonts w:hint="eastAsia" w:ascii="仿宋" w:hAnsi="仿宋" w:eastAsia="仿宋" w:cs="Times New Roman"/>
          <w:bCs w:val="0"/>
          <w:color w:val="000000"/>
          <w:sz w:val="28"/>
          <w:szCs w:val="24"/>
          <w:highlight w:val="none"/>
          <w:lang w:val="en-US" w:eastAsia="zh-CN" w:bidi="ar-SA"/>
        </w:rPr>
        <w:t xml:space="preserve">分</w:t>
      </w:r>
      <w:r>
        <w:rPr>
          <w:rFonts w:hint="eastAsia" w:hAnsi="仿宋" w:cs="Times New Roman"/>
          <w:bCs w:val="0"/>
          <w:color w:val="000000"/>
          <w:sz w:val="28"/>
          <w:szCs w:val="24"/>
          <w:highlight w:val="none"/>
          <w:lang w:val="en-US" w:eastAsia="zh-CN" w:bidi="ar-SA"/>
        </w:rPr>
        <w:t xml:space="preserve">，</w:t>
      </w:r>
      <w:r>
        <w:rPr>
          <w:rFonts w:hint="eastAsia" w:ascii="仿宋" w:hAnsi="仿宋" w:eastAsia="仿宋" w:cs="Times New Roman"/>
          <w:sz w:val="28"/>
          <w:szCs w:val="24"/>
          <w:highlight w:val="none"/>
          <w:lang w:val="en-US" w:eastAsia="zh-CN" w:bidi="ar-SA"/>
        </w:rPr>
        <w:t xml:space="preserve">未提供不得分。</w:t>
      </w:r>
      <w:r>
        <w:rPr>
          <w:rFonts w:hint="eastAsia" w:ascii="仿宋" w:hAnsi="仿宋" w:eastAsia="仿宋" w:cs="Times New Roman"/>
          <w:bCs w:val="0"/>
          <w:color w:val="000000"/>
          <w:sz w:val="28"/>
          <w:szCs w:val="24"/>
          <w:highlight w:val="none"/>
          <w:lang w:val="en-US" w:eastAsia="zh-CN" w:bidi="ar-SA"/>
        </w:rPr>
      </w:r>
      <w:r/>
    </w:p>
    <w:p>
      <w:pPr>
        <w:pStyle w:val="933"/>
        <w:numPr>
          <w:ilvl w:val="0"/>
          <w:numId w:val="0"/>
        </w:numPr>
        <w:keepLines w:val="0"/>
        <w:keepNext w:val="0"/>
        <w:pageBreakBefore w:val="0"/>
        <w:spacing w:line="480" w:lineRule="atLeast"/>
        <w:widowControl w:val="off"/>
        <w:rPr>
          <w:rFonts w:ascii="仿宋" w:hAnsi="仿宋" w:eastAsia="仿宋" w:cs="Times New Roman"/>
          <w:b/>
          <w:bCs/>
          <w:color w:val="000000"/>
          <w:sz w:val="28"/>
          <w:szCs w:val="24"/>
          <w:highlight w:val="none"/>
          <w:lang w:val="en-US" w:eastAsia="zh-CN" w:bidi="ar-SA"/>
        </w:rPr>
      </w:pPr>
      <w:r>
        <w:rPr>
          <w:rFonts w:hint="eastAsia" w:ascii="仿宋" w:hAnsi="仿宋" w:eastAsia="仿宋" w:cs="Times New Roman"/>
          <w:b/>
          <w:bCs/>
          <w:color w:val="000000"/>
          <w:sz w:val="28"/>
          <w:szCs w:val="24"/>
          <w:highlight w:val="none"/>
          <w:lang w:val="en-US" w:eastAsia="zh-CN" w:bidi="ar-SA"/>
        </w:rPr>
        <w:t xml:space="preserve">注：须提供投标人与采购人签订的项目合同复印件及对应的项目验收证明合同中应包含“DIP”、“结算清单”“智能审核”关键字眼。</w:t>
      </w:r>
      <w:r>
        <w:rPr>
          <w:rFonts w:ascii="仿宋" w:hAnsi="仿宋" w:eastAsia="仿宋" w:cs="Times New Roman"/>
          <w:b/>
          <w:bCs/>
          <w:color w:val="000000"/>
          <w:sz w:val="28"/>
          <w:szCs w:val="24"/>
          <w:highlight w:val="none"/>
          <w:lang w:val="en-US" w:eastAsia="zh-CN" w:bidi="ar-SA"/>
        </w:rPr>
      </w:r>
      <w:r/>
    </w:p>
    <w:p>
      <w:pPr>
        <w:pStyle w:val="933"/>
        <w:ind w:firstLine="560"/>
        <w:keepLines w:val="0"/>
        <w:keepNext w:val="0"/>
        <w:pageBreakBefore w:val="0"/>
        <w:spacing w:line="480" w:lineRule="atLeast"/>
        <w:widowControl w:val="off"/>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5、履约能力：5分</w:t>
      </w:r>
      <w:r>
        <w:rPr>
          <w:rFonts w:ascii="仿宋" w:hAnsi="仿宋" w:eastAsia="仿宋"/>
          <w:sz w:val="28"/>
          <w:szCs w:val="28"/>
          <w:highlight w:val="none"/>
          <w:lang w:val="en-US" w:eastAsia="zh-CN"/>
        </w:rPr>
      </w:r>
      <w:r/>
    </w:p>
    <w:p>
      <w:pPr>
        <w:pStyle w:val="933"/>
        <w:ind w:firstLine="560"/>
        <w:keepLines w:val="0"/>
        <w:keepNext w:val="0"/>
        <w:pageBreakBefore w:val="0"/>
        <w:spacing w:line="480" w:lineRule="atLeast"/>
        <w:widowControl w:val="off"/>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（1）项目经理（3分）</w:t>
      </w:r>
      <w:r>
        <w:rPr>
          <w:rFonts w:ascii="仿宋" w:hAnsi="仿宋" w:eastAsia="仿宋"/>
          <w:sz w:val="28"/>
          <w:szCs w:val="28"/>
          <w:highlight w:val="none"/>
          <w:lang w:val="en-US" w:eastAsia="zh-CN"/>
        </w:rPr>
      </w:r>
      <w:r/>
    </w:p>
    <w:p>
      <w:pPr>
        <w:pStyle w:val="952"/>
        <w:ind w:firstLine="840"/>
        <w:keepLines w:val="0"/>
        <w:keepNext w:val="0"/>
        <w:pageBreakBefore w:val="0"/>
        <w:spacing w:line="480" w:lineRule="atLeas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4"/>
          <w:highlight w:val="none"/>
          <w:lang w:val="en-US" w:eastAsia="zh-CN" w:bidi="ar-SA"/>
        </w:rPr>
        <w:t xml:space="preserve">①</w:t>
      </w:r>
      <w:r>
        <w:rPr>
          <w:rFonts w:hint="eastAsia" w:ascii="仿宋" w:hAnsi="仿宋" w:eastAsia="仿宋"/>
          <w:sz w:val="28"/>
          <w:szCs w:val="28"/>
          <w:highlight w:val="none"/>
          <w:lang w:val="en-US" w:eastAsia="zh-CN"/>
        </w:rPr>
        <w:t xml:space="preserve">项目经</w:t>
      </w:r>
      <w:r>
        <w:rPr>
          <w:rFonts w:hint="eastAsia" w:ascii="仿宋" w:hAnsi="仿宋" w:eastAsia="仿宋" w:cs="Times New Roman"/>
          <w:sz w:val="28"/>
          <w:szCs w:val="28"/>
          <w:highlight w:val="none"/>
          <w:lang w:val="en-US" w:eastAsia="zh-CN"/>
        </w:rPr>
        <w:t xml:space="preserve">理具有软件设计师证书，同时具有信息系统项目管理师证书、同时具有数据库系统工程师的得2分，项</w:t>
      </w:r>
      <w:r>
        <w:rPr>
          <w:rFonts w:hint="eastAsia" w:ascii="仿宋" w:hAnsi="仿宋" w:eastAsia="仿宋"/>
          <w:sz w:val="28"/>
          <w:szCs w:val="28"/>
          <w:highlight w:val="none"/>
          <w:lang w:val="en-US" w:eastAsia="zh-CN"/>
        </w:rPr>
        <w:t xml:space="preserve">目经</w:t>
      </w:r>
      <w:r>
        <w:rPr>
          <w:rFonts w:hint="eastAsia" w:ascii="仿宋" w:hAnsi="仿宋" w:eastAsia="仿宋" w:cs="Times New Roman"/>
          <w:sz w:val="28"/>
          <w:szCs w:val="28"/>
          <w:highlight w:val="none"/>
          <w:lang w:val="en-US" w:eastAsia="zh-CN"/>
        </w:rPr>
        <w:t xml:space="preserve">理具有软件设计师证书，同时具有信息系统项目管理师证书或同时具有数据库系统工程师的得1分，本项最高得2分，未提供不得分。</w:t>
      </w:r>
      <w:r>
        <w:rPr>
          <w:rFonts w:hint="eastAsia" w:ascii="仿宋" w:hAnsi="仿宋" w:eastAsia="仿宋" w:cs="Times New Roman"/>
          <w:sz w:val="28"/>
          <w:szCs w:val="28"/>
          <w:highlight w:val="none"/>
          <w:lang w:val="en-US" w:eastAsia="zh-CN"/>
        </w:rPr>
      </w:r>
      <w:r/>
    </w:p>
    <w:p>
      <w:pPr>
        <w:pStyle w:val="952"/>
        <w:ind w:firstLine="843"/>
        <w:keepLines w:val="0"/>
        <w:keepNext w:val="0"/>
        <w:pageBreakBefore w:val="0"/>
        <w:spacing w:line="480" w:lineRule="atLeas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注：须提供符合上述要求人员的相关资质证书复印件及近2024年3月以来任意一个月在投标单位参保的社保缴费证明复印件并加盖投标人电子签章。</w:t>
      </w:r>
      <w:r>
        <w:rPr>
          <w:rFonts w:hint="eastAsia" w:ascii="仿宋" w:hAnsi="仿宋" w:eastAsia="仿宋" w:cs="Times New Roman"/>
          <w:b/>
          <w:bCs/>
          <w:sz w:val="28"/>
          <w:szCs w:val="28"/>
          <w:highlight w:val="none"/>
          <w:lang w:val="en-US" w:eastAsia="zh-CN"/>
        </w:rPr>
      </w:r>
      <w:r/>
    </w:p>
    <w:p>
      <w:pPr>
        <w:pStyle w:val="988"/>
        <w:ind w:firstLine="840"/>
        <w:keepLines w:val="0"/>
        <w:keepNext w:val="0"/>
        <w:pageBreakBefore w:val="0"/>
        <w:spacing w:line="480" w:lineRule="atLeast"/>
        <w:widowControl w:val="off"/>
        <w:rPr>
          <w:rFonts w:hint="eastAsia" w:ascii="仿宋" w:hAnsi="仿宋" w:eastAsia="仿宋" w:cs="Times New Roman"/>
          <w:bCs w:val="0"/>
          <w:color w:val="000000"/>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②</w:t>
      </w:r>
      <w:r>
        <w:rPr>
          <w:rFonts w:hint="eastAsia" w:ascii="仿宋" w:hAnsi="仿宋" w:eastAsia="仿宋" w:cs="Times New Roman"/>
          <w:bCs w:val="0"/>
          <w:color w:val="000000"/>
          <w:sz w:val="28"/>
          <w:szCs w:val="24"/>
          <w:highlight w:val="none"/>
          <w:lang w:val="en-US" w:eastAsia="zh-CN" w:bidi="ar-SA"/>
        </w:rPr>
        <w:t xml:space="preserve">投标人提供</w:t>
      </w:r>
      <w:r>
        <w:rPr>
          <w:rFonts w:hint="eastAsia" w:hAnsi="仿宋" w:cs="Times New Roman"/>
          <w:bCs w:val="0"/>
          <w:color w:val="000000"/>
          <w:sz w:val="28"/>
          <w:szCs w:val="24"/>
          <w:highlight w:val="none"/>
          <w:lang w:val="en-US" w:eastAsia="zh-CN" w:bidi="ar-SA"/>
        </w:rPr>
        <w:t xml:space="preserve">项目经理</w:t>
      </w:r>
      <w:r>
        <w:rPr>
          <w:rFonts w:hint="eastAsia" w:ascii="仿宋" w:hAnsi="仿宋" w:eastAsia="仿宋" w:cs="Times New Roman"/>
          <w:bCs w:val="0"/>
          <w:color w:val="000000"/>
          <w:sz w:val="28"/>
          <w:szCs w:val="24"/>
          <w:highlight w:val="none"/>
          <w:lang w:val="en-US" w:eastAsia="zh-CN" w:bidi="ar-SA"/>
        </w:rPr>
        <w:t xml:space="preserve">2021年1月1日</w:t>
      </w:r>
      <w:r>
        <w:rPr>
          <w:rFonts w:hint="eastAsia" w:hAnsi="仿宋" w:cs="Times New Roman"/>
          <w:bCs w:val="0"/>
          <w:color w:val="000000"/>
          <w:sz w:val="28"/>
          <w:szCs w:val="24"/>
          <w:highlight w:val="none"/>
          <w:lang w:val="en-US" w:eastAsia="zh-CN" w:bidi="ar-SA"/>
        </w:rPr>
        <w:t xml:space="preserve">（</w:t>
      </w:r>
      <w:r>
        <w:rPr>
          <w:rFonts w:hint="eastAsia" w:ascii="仿宋" w:hAnsi="仿宋" w:eastAsia="仿宋" w:cs="Times New Roman"/>
          <w:bCs w:val="0"/>
          <w:color w:val="000000"/>
          <w:sz w:val="28"/>
          <w:szCs w:val="24"/>
          <w:highlight w:val="none"/>
          <w:lang w:val="en-US" w:eastAsia="zh-CN" w:bidi="ar-SA"/>
        </w:rPr>
        <w:t xml:space="preserve">以签订合同时间为</w:t>
      </w:r>
      <w:r>
        <w:rPr>
          <w:rFonts w:hint="eastAsia" w:ascii="仿宋" w:hAnsi="仿宋" w:eastAsia="仿宋" w:cs="Times New Roman"/>
          <w:color w:val="000000"/>
          <w:sz w:val="28"/>
          <w:szCs w:val="28"/>
          <w:highlight w:val="none"/>
          <w:lang w:val="en-US" w:eastAsia="zh-CN" w:bidi="ar-SA"/>
        </w:rPr>
        <w:t xml:space="preserve">准）以来成功服务过类似实施案例的。</w:t>
      </w:r>
      <w:r>
        <w:rPr>
          <w:rFonts w:hint="eastAsia" w:ascii="仿宋" w:hAnsi="仿宋" w:eastAsia="仿宋" w:cs="Times New Roman"/>
          <w:bCs w:val="0"/>
          <w:color w:val="000000"/>
          <w:sz w:val="28"/>
          <w:szCs w:val="24"/>
          <w:highlight w:val="none"/>
          <w:lang w:val="en-US" w:eastAsia="zh-CN" w:bidi="ar-SA"/>
        </w:rPr>
        <w:t xml:space="preserve">每提供1</w:t>
      </w:r>
      <w:r>
        <w:rPr>
          <w:rFonts w:hint="eastAsia" w:hAnsi="仿宋" w:cs="Times New Roman"/>
          <w:bCs w:val="0"/>
          <w:color w:val="000000"/>
          <w:sz w:val="28"/>
          <w:szCs w:val="24"/>
          <w:highlight w:val="none"/>
          <w:lang w:val="en-US" w:eastAsia="zh-CN" w:bidi="ar-SA"/>
        </w:rPr>
        <w:t xml:space="preserve">个得1分</w:t>
      </w:r>
      <w:r>
        <w:rPr>
          <w:rFonts w:hint="eastAsia" w:ascii="仿宋" w:hAnsi="仿宋" w:eastAsia="仿宋" w:cs="Times New Roman"/>
          <w:bCs w:val="0"/>
          <w:color w:val="000000"/>
          <w:sz w:val="28"/>
          <w:szCs w:val="24"/>
          <w:highlight w:val="none"/>
          <w:lang w:val="en-US" w:eastAsia="zh-CN" w:bidi="ar-SA"/>
        </w:rPr>
        <w:t xml:space="preserve">，</w:t>
      </w:r>
      <w:r>
        <w:rPr>
          <w:rFonts w:hint="eastAsia" w:hAnsi="仿宋" w:cs="Times New Roman"/>
          <w:bCs w:val="0"/>
          <w:color w:val="000000"/>
          <w:sz w:val="28"/>
          <w:szCs w:val="24"/>
          <w:highlight w:val="none"/>
          <w:lang w:val="en-US" w:eastAsia="zh-CN" w:bidi="ar-SA"/>
        </w:rPr>
        <w:t xml:space="preserve">本项最高</w:t>
      </w:r>
      <w:r>
        <w:rPr>
          <w:rFonts w:hint="eastAsia" w:ascii="仿宋" w:hAnsi="仿宋" w:eastAsia="仿宋" w:cs="Times New Roman"/>
          <w:bCs w:val="0"/>
          <w:color w:val="000000"/>
          <w:sz w:val="28"/>
          <w:szCs w:val="24"/>
          <w:highlight w:val="none"/>
          <w:lang w:val="en-US" w:eastAsia="zh-CN" w:bidi="ar-SA"/>
        </w:rPr>
        <w:t xml:space="preserve">得</w:t>
      </w:r>
      <w:r>
        <w:rPr>
          <w:rFonts w:hint="eastAsia" w:hAnsi="仿宋" w:cs="Times New Roman"/>
          <w:bCs w:val="0"/>
          <w:color w:val="000000"/>
          <w:sz w:val="28"/>
          <w:szCs w:val="24"/>
          <w:highlight w:val="none"/>
          <w:lang w:val="en-US" w:eastAsia="zh-CN" w:bidi="ar-SA"/>
        </w:rPr>
        <w:t xml:space="preserve">1</w:t>
      </w:r>
      <w:r>
        <w:rPr>
          <w:rFonts w:hint="eastAsia" w:ascii="仿宋" w:hAnsi="仿宋" w:eastAsia="仿宋" w:cs="Times New Roman"/>
          <w:bCs w:val="0"/>
          <w:color w:val="000000"/>
          <w:sz w:val="28"/>
          <w:szCs w:val="24"/>
          <w:highlight w:val="none"/>
          <w:lang w:val="en-US" w:eastAsia="zh-CN" w:bidi="ar-SA"/>
        </w:rPr>
        <w:t xml:space="preserve">分</w:t>
      </w:r>
      <w:r>
        <w:rPr>
          <w:rFonts w:hint="eastAsia" w:hAnsi="仿宋" w:cs="Times New Roman"/>
          <w:bCs w:val="0"/>
          <w:color w:val="000000"/>
          <w:sz w:val="28"/>
          <w:szCs w:val="24"/>
          <w:highlight w:val="none"/>
          <w:lang w:val="en-US" w:eastAsia="zh-CN" w:bidi="ar-SA"/>
        </w:rPr>
        <w:t xml:space="preserve">，</w:t>
      </w:r>
      <w:r>
        <w:rPr>
          <w:rFonts w:hint="eastAsia" w:ascii="仿宋" w:hAnsi="仿宋" w:eastAsia="仿宋" w:cs="Times New Roman"/>
          <w:sz w:val="28"/>
          <w:szCs w:val="24"/>
          <w:highlight w:val="none"/>
          <w:lang w:val="en-US" w:eastAsia="zh-CN" w:bidi="ar-SA"/>
        </w:rPr>
        <w:t xml:space="preserve">未提供不得分。</w:t>
      </w:r>
      <w:r>
        <w:rPr>
          <w:rFonts w:hint="eastAsia" w:ascii="仿宋" w:hAnsi="仿宋" w:eastAsia="仿宋" w:cs="Times New Roman"/>
          <w:bCs w:val="0"/>
          <w:color w:val="000000"/>
          <w:sz w:val="28"/>
          <w:szCs w:val="24"/>
          <w:highlight w:val="none"/>
          <w:lang w:val="en-US" w:eastAsia="zh-CN" w:bidi="ar-SA"/>
        </w:rPr>
      </w:r>
      <w:r/>
    </w:p>
    <w:p>
      <w:pPr>
        <w:pStyle w:val="933"/>
        <w:numPr>
          <w:ilvl w:val="0"/>
          <w:numId w:val="0"/>
        </w:numPr>
        <w:ind w:firstLine="562"/>
        <w:keepLines w:val="0"/>
        <w:keepNext w:val="0"/>
        <w:pageBreakBefore w:val="0"/>
        <w:spacing w:line="480" w:lineRule="atLeas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b/>
          <w:bCs/>
          <w:color w:val="000000"/>
          <w:sz w:val="28"/>
          <w:szCs w:val="24"/>
          <w:highlight w:val="none"/>
          <w:lang w:val="en-US" w:eastAsia="zh-CN" w:bidi="ar-SA"/>
        </w:rPr>
        <w:t xml:space="preserve">注：须提供投标人与采购人签订的项目合同复印件及对应的项目验收证明合同中应包含“DIP”、“结算清单”“智能审核”关键字眼。</w:t>
      </w:r>
      <w:r>
        <w:rPr>
          <w:rFonts w:hint="eastAsia" w:ascii="仿宋" w:hAnsi="仿宋" w:eastAsia="仿宋" w:cs="Times New Roman"/>
          <w:sz w:val="28"/>
          <w:szCs w:val="28"/>
          <w:highlight w:val="none"/>
          <w:lang w:val="en-US" w:eastAsia="zh-CN"/>
        </w:rPr>
      </w:r>
      <w:r/>
    </w:p>
    <w:p>
      <w:pPr>
        <w:pStyle w:val="952"/>
        <w:ind w:firstLine="840"/>
        <w:keepLines w:val="0"/>
        <w:keepNext w:val="0"/>
        <w:pageBreakBefore w:val="0"/>
        <w:spacing w:line="480" w:lineRule="atLeast"/>
        <w:widowControl w:val="off"/>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（2）项目组成员（2分）</w:t>
      </w:r>
      <w:r>
        <w:rPr>
          <w:rFonts w:ascii="仿宋" w:hAnsi="仿宋" w:eastAsia="仿宋" w:cs="Times New Roman"/>
          <w:sz w:val="28"/>
          <w:szCs w:val="28"/>
          <w:highlight w:val="none"/>
          <w:lang w:val="en-US" w:eastAsia="zh-CN"/>
        </w:rPr>
      </w:r>
      <w:r/>
    </w:p>
    <w:p>
      <w:pPr>
        <w:pStyle w:val="933"/>
        <w:ind w:firstLine="560"/>
        <w:keepLines w:val="0"/>
        <w:keepNext w:val="0"/>
        <w:pageBreakBefore w:val="0"/>
        <w:spacing w:line="480" w:lineRule="atLeast"/>
        <w:widowControl w:val="off"/>
        <w:rPr>
          <w:rFonts w:ascii="仿宋" w:hAnsi="仿宋" w:eastAsia="仿宋" w:cs="Times New Roman"/>
          <w:sz w:val="28"/>
          <w:szCs w:val="28"/>
          <w:highlight w:val="none"/>
          <w:lang w:val="en-US" w:eastAsia="zh-CN"/>
        </w:rPr>
      </w:pPr>
      <w:r>
        <w:rPr>
          <w:rFonts w:hint="eastAsia" w:ascii="仿宋" w:hAnsi="仿宋" w:eastAsia="仿宋" w:cs="Times New Roman"/>
          <w:sz w:val="28"/>
          <w:szCs w:val="24"/>
          <w:highlight w:val="none"/>
          <w:lang w:val="en-US" w:eastAsia="zh-CN" w:bidi="ar-SA"/>
        </w:rPr>
        <w:t xml:space="preserve">①</w:t>
      </w:r>
      <w:r>
        <w:rPr>
          <w:rFonts w:hint="eastAsia" w:ascii="仿宋" w:hAnsi="仿宋" w:eastAsia="仿宋"/>
          <w:sz w:val="28"/>
          <w:szCs w:val="28"/>
          <w:highlight w:val="none"/>
          <w:lang w:val="en-US" w:eastAsia="zh-CN"/>
        </w:rPr>
        <w:t xml:space="preserve">项目组成员中具</w:t>
      </w:r>
      <w:r>
        <w:rPr>
          <w:rFonts w:hint="eastAsia" w:ascii="仿宋" w:hAnsi="仿宋" w:eastAsia="仿宋" w:cs="Times New Roman"/>
          <w:sz w:val="28"/>
          <w:szCs w:val="28"/>
          <w:highlight w:val="none"/>
          <w:lang w:val="en-US" w:eastAsia="zh-CN"/>
        </w:rPr>
        <w:t xml:space="preserve">有软件设计师证书的，或具有统计类中级职称及以上的得1分，本项最高的1分，</w:t>
      </w:r>
      <w:r>
        <w:rPr>
          <w:rFonts w:hint="eastAsia" w:ascii="仿宋" w:hAnsi="仿宋" w:eastAsia="仿宋" w:cs="Times New Roman"/>
          <w:sz w:val="28"/>
          <w:szCs w:val="24"/>
          <w:highlight w:val="none"/>
          <w:lang w:val="en-US" w:eastAsia="zh-CN" w:bidi="ar-SA"/>
        </w:rPr>
        <w:t xml:space="preserve">未提供不得分。</w:t>
      </w:r>
      <w:r>
        <w:rPr>
          <w:rFonts w:ascii="仿宋" w:hAnsi="仿宋" w:eastAsia="仿宋" w:cs="Times New Roman"/>
          <w:sz w:val="28"/>
          <w:szCs w:val="28"/>
          <w:highlight w:val="none"/>
          <w:lang w:val="en-US" w:eastAsia="zh-CN"/>
        </w:rPr>
      </w:r>
      <w:r/>
    </w:p>
    <w:p>
      <w:pPr>
        <w:pStyle w:val="933"/>
        <w:ind w:firstLine="560"/>
        <w:keepLines w:val="0"/>
        <w:keepNext w:val="0"/>
        <w:pageBreakBefore w:val="0"/>
        <w:spacing w:line="480" w:lineRule="atLeas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4"/>
          <w:highlight w:val="none"/>
          <w:lang w:val="en-US" w:eastAsia="zh-CN" w:bidi="ar-SA"/>
        </w:rPr>
        <w:t xml:space="preserve">②</w:t>
      </w:r>
      <w:r>
        <w:rPr>
          <w:rFonts w:hint="eastAsia" w:ascii="仿宋" w:hAnsi="仿宋" w:eastAsia="仿宋" w:cs="Times New Roman"/>
          <w:sz w:val="28"/>
          <w:szCs w:val="28"/>
          <w:highlight w:val="none"/>
          <w:lang w:val="en-US" w:eastAsia="zh-CN"/>
        </w:rPr>
        <w:t xml:space="preserve">项目组医学团队成员具有医学类硕士研究生及以上学历并具有医学类中级职称证书的得1分，本项最高的1分，</w:t>
      </w:r>
      <w:r>
        <w:rPr>
          <w:rFonts w:hint="eastAsia" w:ascii="仿宋" w:hAnsi="仿宋" w:eastAsia="仿宋" w:cs="Times New Roman"/>
          <w:sz w:val="28"/>
          <w:szCs w:val="24"/>
          <w:highlight w:val="none"/>
          <w:lang w:val="en-US" w:eastAsia="zh-CN" w:bidi="ar-SA"/>
        </w:rPr>
        <w:t xml:space="preserve">未提供不得分。</w:t>
      </w:r>
      <w:r>
        <w:rPr>
          <w:rFonts w:hint="eastAsia" w:ascii="仿宋" w:hAnsi="仿宋" w:eastAsia="仿宋" w:cs="Times New Roman"/>
          <w:sz w:val="28"/>
          <w:szCs w:val="28"/>
          <w:highlight w:val="none"/>
          <w:lang w:val="en-US" w:eastAsia="zh-CN"/>
        </w:rPr>
      </w:r>
      <w:r/>
    </w:p>
    <w:p>
      <w:pPr>
        <w:pStyle w:val="952"/>
        <w:ind w:firstLine="843"/>
        <w:keepLines w:val="0"/>
        <w:keepNext w:val="0"/>
        <w:pageBreakBefore w:val="0"/>
        <w:spacing w:line="480" w:lineRule="atLeas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注：须提供符合上述要求人员的相关资质证书复印件及近2024年3月以来任意一个月在投标单位参保的社保缴费证明复印件并加盖投标人电子签章。</w:t>
      </w:r>
      <w:r>
        <w:rPr>
          <w:rFonts w:hint="eastAsia" w:ascii="仿宋" w:hAnsi="仿宋" w:eastAsia="仿宋" w:cs="Times New Roman"/>
          <w:b/>
          <w:bCs/>
          <w:sz w:val="28"/>
          <w:szCs w:val="28"/>
          <w:highlight w:val="none"/>
          <w:lang w:val="en-US" w:eastAsia="zh-CN"/>
        </w:rPr>
      </w:r>
      <w:r/>
    </w:p>
    <w:p>
      <w:pPr>
        <w:pStyle w:val="952"/>
        <w:ind w:firstLine="560"/>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5、售后服务：1分</w:t>
      </w:r>
      <w:r>
        <w:rPr>
          <w:rFonts w:ascii="仿宋" w:hAnsi="仿宋" w:eastAsia="仿宋" w:cs="Times New Roman"/>
          <w:sz w:val="28"/>
          <w:szCs w:val="24"/>
          <w:highlight w:val="none"/>
          <w:lang w:val="en-US" w:eastAsia="zh-CN" w:bidi="ar-SA"/>
        </w:rPr>
      </w:r>
      <w:r/>
    </w:p>
    <w:p>
      <w:pPr>
        <w:pStyle w:val="952"/>
        <w:ind w:firstLine="560"/>
        <w:keepLines w:val="0"/>
        <w:keepNext w:val="0"/>
        <w:pageBreakBefore w:val="0"/>
        <w:spacing w:line="480" w:lineRule="atLeast"/>
        <w:widowControl w:val="off"/>
        <w:rPr>
          <w:rFonts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售后服务内容包括但不限于售后服务承诺、服务保障措施、故障排除流程及维护期内外的后续技术支持和维护能力方案等内容。（提供承诺书原件，格式自拟，并加盖电子签章）</w:t>
      </w:r>
      <w:r>
        <w:rPr>
          <w:rFonts w:ascii="仿宋" w:hAnsi="仿宋" w:eastAsia="仿宋" w:cs="Times New Roman"/>
          <w:sz w:val="28"/>
          <w:szCs w:val="24"/>
          <w:highlight w:val="none"/>
          <w:lang w:val="en-US" w:eastAsia="zh-CN" w:bidi="ar-SA"/>
        </w:rPr>
      </w:r>
      <w:r/>
    </w:p>
    <w:p>
      <w:pPr>
        <w:pStyle w:val="952"/>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①售后服务方案提供售后服务承诺，接报修电话后1</w:t>
      </w:r>
      <w:r>
        <w:rPr>
          <w:rFonts w:hint="eastAsia" w:ascii="仿宋" w:hAnsi="仿宋" w:eastAsia="仿宋" w:cs="Times New Roman"/>
          <w:sz w:val="28"/>
          <w:szCs w:val="24"/>
          <w:highlight w:val="none"/>
          <w:lang w:val="zh-CN" w:eastAsia="zh-CN" w:bidi="ar-SA"/>
        </w:rPr>
        <w:t xml:space="preserve">小时内响应，</w:t>
      </w:r>
      <w:r>
        <w:rPr>
          <w:rFonts w:hint="eastAsia" w:ascii="仿宋" w:hAnsi="仿宋" w:eastAsia="仿宋" w:cs="Times New Roman"/>
          <w:sz w:val="28"/>
          <w:szCs w:val="24"/>
          <w:highlight w:val="none"/>
          <w:lang w:val="en-US" w:eastAsia="zh-CN" w:bidi="ar-SA"/>
        </w:rPr>
        <w:t xml:space="preserve">12</w:t>
      </w:r>
      <w:r>
        <w:rPr>
          <w:rFonts w:hint="eastAsia" w:ascii="仿宋" w:hAnsi="仿宋" w:eastAsia="仿宋" w:cs="Times New Roman"/>
          <w:sz w:val="28"/>
          <w:szCs w:val="24"/>
          <w:highlight w:val="none"/>
          <w:lang w:val="zh-CN" w:eastAsia="zh-CN" w:bidi="ar-SA"/>
        </w:rPr>
        <w:t xml:space="preserve">小时内</w:t>
      </w:r>
      <w:r>
        <w:rPr>
          <w:rFonts w:hint="eastAsia" w:ascii="仿宋" w:hAnsi="仿宋" w:eastAsia="仿宋" w:cs="Times New Roman"/>
          <w:sz w:val="28"/>
          <w:szCs w:val="24"/>
          <w:highlight w:val="none"/>
          <w:lang w:val="en-US" w:eastAsia="zh-CN" w:bidi="ar-SA"/>
        </w:rPr>
        <w:t xml:space="preserve">安排专业人员</w:t>
      </w:r>
      <w:r>
        <w:rPr>
          <w:rFonts w:hint="eastAsia" w:ascii="仿宋" w:hAnsi="仿宋" w:eastAsia="仿宋" w:cs="Times New Roman"/>
          <w:sz w:val="28"/>
          <w:szCs w:val="24"/>
          <w:highlight w:val="none"/>
          <w:lang w:val="zh-CN" w:eastAsia="zh-CN" w:bidi="ar-SA"/>
        </w:rPr>
        <w:t xml:space="preserve">抵达现场，</w:t>
      </w:r>
      <w:r>
        <w:rPr>
          <w:rFonts w:hint="eastAsia" w:ascii="仿宋" w:hAnsi="仿宋" w:eastAsia="仿宋" w:cs="Times New Roman"/>
          <w:sz w:val="28"/>
          <w:szCs w:val="24"/>
          <w:highlight w:val="none"/>
          <w:lang w:val="en-US" w:eastAsia="zh-CN" w:bidi="ar-SA"/>
        </w:rPr>
        <w:t xml:space="preserve">并承诺于24小时内解决，并提供维护期内外的后续技术支持和维护能力，得1分。</w:t>
      </w:r>
      <w:r>
        <w:rPr>
          <w:rFonts w:hint="eastAsia" w:ascii="仿宋" w:hAnsi="仿宋" w:eastAsia="仿宋" w:cs="Times New Roman"/>
          <w:sz w:val="28"/>
          <w:szCs w:val="24"/>
          <w:highlight w:val="none"/>
          <w:lang w:val="en-US" w:eastAsia="zh-CN" w:bidi="ar-SA"/>
        </w:rPr>
      </w:r>
      <w:r/>
    </w:p>
    <w:p>
      <w:pPr>
        <w:pStyle w:val="952"/>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②售后服务方案提供售后服务承诺，接报修电话后2</w:t>
      </w:r>
      <w:r>
        <w:rPr>
          <w:rFonts w:hint="eastAsia" w:ascii="仿宋" w:hAnsi="仿宋" w:eastAsia="仿宋" w:cs="Times New Roman"/>
          <w:sz w:val="28"/>
          <w:szCs w:val="24"/>
          <w:highlight w:val="none"/>
          <w:lang w:val="zh-CN" w:eastAsia="zh-CN" w:bidi="ar-SA"/>
        </w:rPr>
        <w:t xml:space="preserve">小时内响应，</w:t>
      </w:r>
      <w:r>
        <w:rPr>
          <w:rFonts w:hint="eastAsia" w:ascii="仿宋" w:hAnsi="仿宋" w:eastAsia="仿宋" w:cs="Times New Roman"/>
          <w:sz w:val="28"/>
          <w:szCs w:val="24"/>
          <w:highlight w:val="none"/>
          <w:lang w:val="en-US" w:eastAsia="zh-CN" w:bidi="ar-SA"/>
        </w:rPr>
        <w:t xml:space="preserve">24</w:t>
      </w:r>
      <w:r>
        <w:rPr>
          <w:rFonts w:hint="eastAsia" w:ascii="仿宋" w:hAnsi="仿宋" w:eastAsia="仿宋" w:cs="Times New Roman"/>
          <w:sz w:val="28"/>
          <w:szCs w:val="24"/>
          <w:highlight w:val="none"/>
          <w:lang w:val="zh-CN" w:eastAsia="zh-CN" w:bidi="ar-SA"/>
        </w:rPr>
        <w:t xml:space="preserve">小时内</w:t>
      </w:r>
      <w:r>
        <w:rPr>
          <w:rFonts w:hint="eastAsia" w:ascii="仿宋" w:hAnsi="仿宋" w:eastAsia="仿宋" w:cs="Times New Roman"/>
          <w:sz w:val="28"/>
          <w:szCs w:val="24"/>
          <w:highlight w:val="none"/>
          <w:lang w:val="en-US" w:eastAsia="zh-CN" w:bidi="ar-SA"/>
        </w:rPr>
        <w:t xml:space="preserve">安排专业人员</w:t>
      </w:r>
      <w:r>
        <w:rPr>
          <w:rFonts w:hint="eastAsia" w:ascii="仿宋" w:hAnsi="仿宋" w:eastAsia="仿宋" w:cs="Times New Roman"/>
          <w:sz w:val="28"/>
          <w:szCs w:val="24"/>
          <w:highlight w:val="none"/>
          <w:lang w:val="zh-CN" w:eastAsia="zh-CN" w:bidi="ar-SA"/>
        </w:rPr>
        <w:t xml:space="preserve">抵达现场，</w:t>
      </w:r>
      <w:r>
        <w:rPr>
          <w:rFonts w:hint="eastAsia" w:ascii="仿宋" w:hAnsi="仿宋" w:eastAsia="仿宋" w:cs="Times New Roman"/>
          <w:sz w:val="28"/>
          <w:szCs w:val="24"/>
          <w:highlight w:val="none"/>
          <w:lang w:val="en-US" w:eastAsia="zh-CN" w:bidi="ar-SA"/>
        </w:rPr>
        <w:t xml:space="preserve">并承诺于48小时内解决，并提供维护期内外的后续技术支持和维护能力，得0.5分。</w:t>
      </w:r>
      <w:r>
        <w:rPr>
          <w:rFonts w:hint="eastAsia" w:ascii="仿宋" w:hAnsi="仿宋" w:eastAsia="仿宋" w:cs="Times New Roman"/>
          <w:sz w:val="28"/>
          <w:szCs w:val="24"/>
          <w:highlight w:val="none"/>
          <w:lang w:val="en-US" w:eastAsia="zh-CN" w:bidi="ar-SA"/>
        </w:rPr>
      </w:r>
      <w:r/>
    </w:p>
    <w:p>
      <w:pPr>
        <w:pStyle w:val="952"/>
        <w:ind w:firstLine="560"/>
        <w:keepLines w:val="0"/>
        <w:keepNext w:val="0"/>
        <w:pageBreakBefore w:val="0"/>
        <w:spacing w:line="480" w:lineRule="atLeast"/>
        <w:widowControl w:val="off"/>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③没有提供不得分。</w:t>
      </w:r>
      <w:r>
        <w:rPr>
          <w:rFonts w:hint="eastAsia" w:ascii="仿宋" w:hAnsi="仿宋" w:eastAsia="仿宋" w:cs="Times New Roman"/>
          <w:sz w:val="28"/>
          <w:szCs w:val="24"/>
          <w:highlight w:val="none"/>
          <w:lang w:val="en-US" w:eastAsia="zh-CN" w:bidi="ar-SA"/>
        </w:rPr>
      </w:r>
      <w:r/>
    </w:p>
    <w:p>
      <w:pPr>
        <w:pStyle w:val="972"/>
        <w:ind w:left="0" w:firstLine="0"/>
        <w:rPr>
          <w:rFonts w:hint="eastAsia"/>
          <w:highlight w:val="none"/>
        </w:rPr>
      </w:pPr>
      <w:r>
        <w:rPr>
          <w:rFonts w:hint="eastAsia"/>
          <w:highlight w:val="none"/>
        </w:rPr>
      </w:r>
      <w:r/>
    </w:p>
    <w:p>
      <w:pPr>
        <w:pStyle w:val="943"/>
        <w:rPr>
          <w:rFonts w:hint="eastAsia"/>
          <w:highlight w:val="none"/>
        </w:rPr>
      </w:pPr>
      <w:r>
        <w:rPr>
          <w:rFonts w:hint="eastAsia"/>
          <w:highlight w:val="none"/>
        </w:rPr>
      </w:r>
      <w:r/>
    </w:p>
    <w:p>
      <w:pPr>
        <w:pStyle w:val="945"/>
        <w:rPr>
          <w:rFonts w:hint="eastAsia"/>
          <w:highlight w:val="none"/>
        </w:rPr>
      </w:pPr>
      <w:r>
        <w:rPr>
          <w:rFonts w:hint="eastAsia"/>
          <w:highlight w:val="none"/>
        </w:rPr>
      </w:r>
      <w:r/>
    </w:p>
    <w:p>
      <w:pPr>
        <w:pStyle w:val="933"/>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88"/>
        <w:rPr>
          <w:rFonts w:hint="eastAsia"/>
          <w:highlight w:val="none"/>
        </w:rPr>
      </w:pPr>
      <w:r>
        <w:rPr>
          <w:rFonts w:hint="eastAsia"/>
          <w:highlight w:val="none"/>
        </w:rPr>
      </w:r>
      <w:r/>
    </w:p>
    <w:p>
      <w:pPr>
        <w:pStyle w:val="933"/>
        <w:ind w:firstLine="2150"/>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933"/>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55"/>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55"/>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933"/>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55"/>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55"/>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55"/>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55"/>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55"/>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55"/>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55"/>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955"/>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55"/>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（三）验收要求：</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验收主体：洪泽区人民医院。</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验收时间：合同履行结束后。</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验收方式：招标人根据项目完成情况填写验收报告并经审核后加盖其单位公章。</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验收程序：由招标人邀请中标人参与验收，招标人根据项目完成情况填写验收书及验收书附表并经洪泽区人民医院审核盖章，合同履行结束后由招标人保存全部验收资料及手续文件。</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验收内容：本项目医保综合管理平台购置、安装及调试。</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验收标准：按照采购合同的约定和现行国家标准、行业标准、地方标准进行验收。</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为保证合同的顺利执行，中标单位必须在领取中标通知书后，签订合同前向采购人缴纳金额为中标价1%的履约保证金，并将相关缴费凭证复印件提交给采购方，项目验收合格后退还。</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3"/>
        <w:numPr>
          <w:ilvl w:val="0"/>
          <w:numId w:val="8"/>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933"/>
        <w:numPr>
          <w:ilvl w:val="0"/>
          <w:numId w:val="8"/>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933"/>
        <w:numPr>
          <w:ilvl w:val="0"/>
          <w:numId w:val="8"/>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933"/>
        <w:ind w:firstLine="548"/>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双方在执行合同中所发生的一切争议，应通过协商解决，如协商不成，可向洪泽区人民法院起诉。</w:t>
      </w:r>
      <w:r>
        <w:rPr>
          <w:rFonts w:ascii="仿宋" w:hAnsi="仿宋" w:eastAsia="仿宋"/>
          <w:sz w:val="28"/>
          <w:szCs w:val="28"/>
          <w:highlight w:val="none"/>
          <w:lang w:val="en-US" w:eastAsia="zh-CN"/>
        </w:rPr>
      </w:r>
      <w:r/>
    </w:p>
    <w:p>
      <w:pPr>
        <w:pStyle w:val="933"/>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933"/>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93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签定日期:                          签定日期:</w:t>
      </w:r>
      <w:r>
        <w:rPr>
          <w:rFonts w:hint="eastAsia" w:ascii="仿宋" w:hAnsi="仿宋" w:eastAsia="仿宋"/>
          <w:sz w:val="28"/>
          <w:szCs w:val="24"/>
          <w:highlight w:val="none"/>
        </w:rPr>
      </w:r>
      <w:r/>
    </w:p>
    <w:p>
      <w:pPr>
        <w:pStyle w:val="933"/>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3"/>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3"/>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3"/>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3"/>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933"/>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933"/>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93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93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93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93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93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93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93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93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93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93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93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0天内，乙方未能答复，上达索赔应视为已被乙方接受。若乙方未能在甲方提出索赔通知后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93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933"/>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93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93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93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93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中华人民共和国合同法</w:t>
      </w:r>
      <w:r>
        <w:rPr>
          <w:rFonts w:ascii="仿宋" w:hAnsi="仿宋" w:eastAsia="仿宋"/>
          <w:sz w:val="28"/>
          <w:szCs w:val="28"/>
          <w:highlight w:val="none"/>
        </w:rPr>
        <w:t xml:space="preserve">”</w:t>
      </w:r>
      <w:r>
        <w:rPr>
          <w:rFonts w:hint="eastAsia" w:ascii="仿宋" w:hAnsi="仿宋" w:eastAsia="仿宋"/>
          <w:sz w:val="28"/>
          <w:szCs w:val="28"/>
          <w:highlight w:val="none"/>
        </w:rPr>
        <w:t xml:space="preserve">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93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93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8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88"/>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88"/>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8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55"/>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955"/>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55"/>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55"/>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933"/>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w:t>
      </w:r>
      <w:r>
        <w:rPr>
          <w:rFonts w:hint="eastAsia" w:ascii="仿宋" w:hAnsi="仿宋" w:eastAsia="仿宋"/>
          <w:sz w:val="28"/>
          <w:szCs w:val="28"/>
          <w:highlight w:val="none"/>
          <w:lang w:val="en-US" w:eastAsia="zh-CN"/>
        </w:rPr>
        <w:t xml:space="preserve">洪泽区人民医院</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55"/>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5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bCs/>
          <w:sz w:val="28"/>
          <w:szCs w:val="28"/>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2150"/>
        <w:spacing w:line="440" w:lineRule="exact"/>
        <w:rPr>
          <w:rFonts w:hint="eastAsia" w:hAnsi="宋体"/>
          <w:b/>
          <w:bCs/>
          <w:sz w:val="36"/>
          <w:szCs w:val="36"/>
          <w:highlight w:val="none"/>
        </w:rPr>
      </w:pPr>
      <w:r>
        <w:rPr>
          <w:rFonts w:hint="eastAsia" w:hAnsi="宋体"/>
          <w:b/>
          <w:bCs/>
          <w:sz w:val="36"/>
          <w:szCs w:val="36"/>
          <w:highlight w:val="none"/>
        </w:rPr>
      </w:r>
      <w:r>
        <w:rPr>
          <w:rFonts w:hint="eastAsia" w:hAnsi="宋体"/>
          <w:b/>
          <w:bCs/>
          <w:sz w:val="36"/>
          <w:szCs w:val="36"/>
          <w:highlight w:val="none"/>
        </w:rPr>
      </w:r>
      <w:r/>
    </w:p>
    <w:p>
      <w:pPr>
        <w:pStyle w:val="955"/>
        <w:ind w:firstLine="0"/>
        <w:spacing w:line="440" w:lineRule="exact"/>
        <w:rPr>
          <w:rFonts w:hint="eastAsia" w:hAnsi="宋体"/>
          <w:b/>
          <w:bCs/>
          <w:sz w:val="36"/>
          <w:szCs w:val="36"/>
          <w:highlight w:val="none"/>
        </w:rPr>
      </w:pPr>
      <w:r>
        <w:rPr>
          <w:rFonts w:hint="eastAsia" w:hAnsi="宋体"/>
          <w:b/>
          <w:bCs/>
          <w:sz w:val="36"/>
          <w:szCs w:val="36"/>
          <w:highlight w:val="none"/>
        </w:rPr>
      </w:r>
      <w:r/>
    </w:p>
    <w:p>
      <w:pPr>
        <w:pStyle w:val="955"/>
        <w:ind w:firstLine="2331"/>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55"/>
        <w:spacing w:line="52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rPr>
        <w:t xml:space="preserve">一、</w:t>
      </w:r>
      <w:r>
        <w:rPr>
          <w:rFonts w:hint="eastAsia" w:ascii="仿宋" w:hAnsi="仿宋" w:eastAsia="仿宋" w:cs="仿宋"/>
          <w:b/>
          <w:bCs w:val="0"/>
          <w:sz w:val="28"/>
          <w:szCs w:val="28"/>
          <w:highlight w:val="none"/>
          <w:lang w:val="en-US" w:eastAsia="zh-CN"/>
        </w:rPr>
        <w:t xml:space="preserve">项目内容</w:t>
      </w:r>
      <w:r>
        <w:rPr>
          <w:rFonts w:hint="eastAsia" w:ascii="仿宋" w:hAnsi="仿宋" w:eastAsia="仿宋" w:cs="仿宋"/>
          <w:b/>
          <w:bCs w:val="0"/>
          <w:sz w:val="28"/>
          <w:szCs w:val="28"/>
          <w:highlight w:val="none"/>
          <w:lang w:val="en-US" w:eastAsia="zh-CN"/>
        </w:rPr>
      </w:r>
      <w:r/>
    </w:p>
    <w:p>
      <w:pPr>
        <w:pStyle w:val="955"/>
        <w:ind w:firstLine="560"/>
        <w:keepLines w:val="0"/>
        <w:keepNext w:val="0"/>
        <w:pageBreakBefore w:val="0"/>
        <w:spacing w:line="48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医保综合管理平台，数量：1套。</w:t>
      </w:r>
      <w:r>
        <w:rPr>
          <w:rFonts w:hint="eastAsia" w:ascii="仿宋" w:hAnsi="仿宋" w:eastAsia="仿宋" w:cs="仿宋"/>
          <w:bCs/>
          <w:sz w:val="28"/>
          <w:szCs w:val="28"/>
          <w:highlight w:val="none"/>
          <w:lang w:val="en-US" w:eastAsia="zh-CN" w:bidi="ar-SA"/>
        </w:rPr>
        <w:t xml:space="preserve">包含与院内信息系统接口的费用。</w:t>
      </w:r>
      <w:r>
        <w:rPr>
          <w:rFonts w:hint="eastAsia" w:ascii="仿宋" w:hAnsi="仿宋" w:eastAsia="仿宋" w:cs="仿宋"/>
          <w:bCs/>
          <w:sz w:val="28"/>
          <w:szCs w:val="28"/>
          <w:highlight w:val="none"/>
          <w:lang w:val="en-US" w:eastAsia="zh-CN"/>
        </w:rPr>
      </w:r>
      <w:r/>
    </w:p>
    <w:p>
      <w:pPr>
        <w:pStyle w:val="955"/>
        <w:numPr>
          <w:ilvl w:val="0"/>
          <w:numId w:val="0"/>
        </w:numPr>
        <w:ind w:firstLine="281"/>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（一）建设目标</w:t>
      </w:r>
      <w:r>
        <w:rPr>
          <w:rFonts w:hint="eastAsia" w:ascii="仿宋" w:hAnsi="仿宋" w:eastAsia="仿宋" w:cs="仿宋"/>
          <w:b/>
          <w:bCs w:val="0"/>
          <w:sz w:val="28"/>
          <w:szCs w:val="28"/>
          <w:highlight w:val="none"/>
          <w:lang w:val="en-US" w:eastAsia="zh-CN"/>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bookmarkStart w:id="36" w:name="_Hlk32999059"/>
      <w:r>
        <w:rPr>
          <w:rFonts w:hint="eastAsia" w:ascii="仿宋" w:hAnsi="仿宋" w:eastAsia="仿宋" w:cs="仿宋"/>
          <w:bCs/>
          <w:sz w:val="28"/>
          <w:szCs w:val="28"/>
          <w:highlight w:val="none"/>
          <w:lang w:val="en-US" w:eastAsia="zh-CN" w:bidi="ar-SA"/>
        </w:rPr>
        <w:t xml:space="preserve">根据国家和江苏省的医保支付方式改革，及卫生信息化建设相关的政策和文件精神要求，并结合医院的现状情况，本项目建设需完成以下建设目标：</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bookmarkEnd w:id="36"/>
      <w:r>
        <w:rPr>
          <w:rFonts w:hint="eastAsia" w:ascii="仿宋" w:hAnsi="仿宋" w:eastAsia="仿宋" w:cs="仿宋"/>
          <w:bCs/>
          <w:sz w:val="28"/>
          <w:szCs w:val="28"/>
          <w:highlight w:val="none"/>
          <w:lang w:val="en-US" w:eastAsia="zh-CN" w:bidi="ar-SA"/>
        </w:rPr>
        <w:t xml:space="preserve">1、通过DIP数据治理服务的建模处理将临床医生使用的疾病诊断和手术操作诊断转化为医保DIP支付政策所要求的ICD-10和ICD-9-CM3，以减少病案室人工纠错率，提升医保费用获取率。</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2、可根据所在统筹医保局返回的医保支付数据模拟分组器，在临床治疗过程中“事前提醒”，做到有效自身控制，避免事后（病人出院以及整个诊疗过程完成以后）来不及补救的现象，减少医院的事实性损失。</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3、对病种入组率、完成率、平均住院费用、平均住院日等指标进行自动分析。</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4、在保障医疗质量的前提下，有效降低医疗成本，实现医院付费方式改革的信息化，给DIP的推广提供有力支撑。</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5、为管理决策层提供经营决策的辅助依据，实现对医院运营情况及时监控，提前预判，从而优化资源配置，有效提高医务工作者的工作效率，提升医院整体经济效益。</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6、提供医保结算校对功能（即：对医保局反馈回医院的每月的DIP结算单数据进行核对），帮助医院医保部门减轻人工工作量，减少因为申诉不及时导致医院造成无谓损失的现象。</w:t>
      </w:r>
      <w:r>
        <w:rPr>
          <w:rFonts w:hint="eastAsia" w:ascii="仿宋" w:hAnsi="仿宋" w:eastAsia="仿宋" w:cs="仿宋"/>
          <w:bCs/>
          <w:sz w:val="28"/>
          <w:szCs w:val="28"/>
          <w:highlight w:val="none"/>
          <w:lang w:val="en-US" w:eastAsia="zh-CN" w:bidi="ar-SA"/>
        </w:rPr>
      </w:r>
      <w:r/>
    </w:p>
    <w:p>
      <w:pPr>
        <w:pStyle w:val="955"/>
        <w:numPr>
          <w:ilvl w:val="0"/>
          <w:numId w:val="0"/>
        </w:numPr>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7、在清单生成环节增加独立保存功能，真正区分病案首页和医保结算清单，以满足不同的管理和上报要求。</w:t>
      </w:r>
      <w:r>
        <w:rPr>
          <w:rFonts w:hint="eastAsia" w:ascii="仿宋" w:hAnsi="仿宋" w:eastAsia="仿宋" w:cs="仿宋"/>
          <w:bCs/>
          <w:sz w:val="28"/>
          <w:szCs w:val="28"/>
          <w:highlight w:val="none"/>
        </w:rPr>
      </w:r>
      <w:r/>
    </w:p>
    <w:p>
      <w:pPr>
        <w:pStyle w:val="955"/>
        <w:keepLines w:val="0"/>
        <w:keepNext w:val="0"/>
        <w:pageBreakBefore w:val="0"/>
        <w:spacing w:line="480" w:lineRule="exact"/>
        <w:rPr>
          <w:rFonts w:hint="eastAsia" w:ascii="仿宋" w:hAnsi="仿宋" w:eastAsia="仿宋" w:cs="仿宋"/>
          <w:b/>
          <w:bCs w:val="0"/>
          <w:sz w:val="28"/>
          <w:szCs w:val="28"/>
          <w:highlight w:val="none"/>
          <w:lang w:val="en-US" w:eastAsia="zh-CN"/>
        </w:rPr>
      </w:pPr>
      <w:r/>
      <w:bookmarkStart w:id="37" w:name="_Toc172567369"/>
      <w:r>
        <w:rPr>
          <w:rFonts w:hint="eastAsia" w:ascii="仿宋" w:hAnsi="仿宋" w:eastAsia="仿宋" w:cs="仿宋"/>
          <w:b/>
          <w:bCs w:val="0"/>
          <w:sz w:val="28"/>
          <w:szCs w:val="28"/>
          <w:highlight w:val="none"/>
          <w:lang w:val="en-US" w:eastAsia="zh-CN"/>
        </w:rPr>
        <w:t xml:space="preserve">（二）技术要求</w:t>
      </w:r>
      <w:bookmarkEnd w:id="37"/>
      <w:r>
        <w:rPr>
          <w:rFonts w:hint="eastAsia" w:ascii="仿宋" w:hAnsi="仿宋" w:eastAsia="仿宋" w:cs="仿宋"/>
          <w:b/>
          <w:bCs w:val="0"/>
          <w:sz w:val="28"/>
          <w:szCs w:val="28"/>
          <w:highlight w:val="none"/>
          <w:lang w:val="en-US" w:eastAsia="zh-CN"/>
        </w:rPr>
      </w:r>
      <w:r/>
    </w:p>
    <w:p>
      <w:pPr>
        <w:pStyle w:val="955"/>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 w:val="0"/>
          <w:bCs/>
          <w:sz w:val="28"/>
          <w:szCs w:val="28"/>
          <w:highlight w:val="none"/>
          <w:lang w:val="en-US" w:eastAsia="zh-CN"/>
        </w:rPr>
        <w:t xml:space="preserve">本次项目为软件系统</w:t>
      </w:r>
      <w:r>
        <w:rPr>
          <w:rFonts w:hint="eastAsia" w:ascii="仿宋" w:hAnsi="仿宋" w:eastAsia="仿宋" w:cs="仿宋"/>
          <w:b w:val="0"/>
          <w:bCs/>
          <w:sz w:val="28"/>
          <w:szCs w:val="28"/>
          <w:highlight w:val="none"/>
          <w:lang w:val="en-US" w:eastAsia="zh-CN" w:bidi="ar-SA"/>
        </w:rPr>
        <w:t xml:space="preserve">采购</w:t>
      </w:r>
      <w:r>
        <w:rPr>
          <w:rFonts w:hint="eastAsia" w:ascii="仿宋" w:hAnsi="仿宋" w:eastAsia="仿宋" w:cs="仿宋"/>
          <w:bCs/>
          <w:sz w:val="28"/>
          <w:szCs w:val="28"/>
          <w:highlight w:val="none"/>
          <w:lang w:val="en-US" w:eastAsia="zh-CN" w:bidi="ar-SA"/>
        </w:rPr>
        <w:t xml:space="preserve">项目，硬件、网络、安全等都利用现有医院资源，不另行采购。总体技术需求如下：</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1、采用多层架构的B/S结构，应用展示端建议采用HTML5技术；</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2､考虑到平台将来的可扩展性，平台必须是开放式的：展示页面可视化配置，灵活增加；具有数据集，且数据集可自定义配置；</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3、要有数据展现引擎，可以根据医院需求灵活地配置相关管理指标的呈现；</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4、须提供配套的ETL工具、数据订阅工具、消息引擎、规则库、报表工具、数据共享引擎等一系列应用工具，可确保各种临床和管理应用效果的配置扩展实现。</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5、DIP数据中心从HIS、电子病历等医院业务系统接入数据时，为不影响当前业务系统的正常运行，也不增加接口改造的风险及费用，推荐采用CDC技术方案（只要能达到准确、高效的数据采集，也可以允许其他技术方案），支持ESB接入；</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6、要求有独立的DIP数据中心的数据模型,要求不能直接引用当前业务系统模型或消息模型。要通过ETL技术对原始业务数据进行抽取、转换、清洗并转存到CDR数据模型中，形成集中存储的DIP数据集；</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7、通过日常医嘱中违反临床规则或者医保、物价规则的项目实时审核，对门诊和住院患者实时提醒医生在医嘱、处方中的不合理、不规范诊疗和收费行为，做到及时发现、及时提醒、及时干预，提升医院医生的诊疗方案的合理性，优化收费，降低医保扣款风险。能引导医疗机构主动控制费用不合理增长，增强医护人员对于医保规则的掌握，使临床医生能够做到合理检查、合理用药、合理治疗，优化费用结构，为医院管理提供多维度的支撑。</w:t>
      </w:r>
      <w:r>
        <w:rPr>
          <w:rFonts w:hint="eastAsia" w:ascii="仿宋" w:hAnsi="仿宋" w:eastAsia="仿宋" w:cs="仿宋"/>
          <w:bCs/>
          <w:sz w:val="28"/>
          <w:szCs w:val="28"/>
          <w:highlight w:val="none"/>
        </w:rPr>
      </w:r>
      <w:r/>
    </w:p>
    <w:p>
      <w:pPr>
        <w:pStyle w:val="955"/>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二</w:t>
      </w:r>
      <w:r>
        <w:rPr>
          <w:rFonts w:hint="eastAsia" w:ascii="仿宋" w:hAnsi="仿宋" w:eastAsia="仿宋" w:cs="仿宋"/>
          <w:b/>
          <w:bCs w:val="0"/>
          <w:sz w:val="28"/>
          <w:szCs w:val="28"/>
          <w:highlight w:val="none"/>
        </w:rPr>
        <w:t xml:space="preserve">、</w:t>
      </w:r>
      <w:r>
        <w:rPr>
          <w:rFonts w:hint="eastAsia" w:ascii="仿宋" w:hAnsi="仿宋" w:eastAsia="仿宋" w:cs="仿宋"/>
          <w:b/>
          <w:bCs w:val="0"/>
          <w:sz w:val="28"/>
          <w:szCs w:val="28"/>
          <w:highlight w:val="none"/>
          <w:lang w:val="en-US" w:eastAsia="zh-CN"/>
        </w:rPr>
        <w:t xml:space="preserve">系统功能需求</w:t>
      </w:r>
      <w:r>
        <w:rPr>
          <w:rFonts w:hint="eastAsia" w:ascii="仿宋" w:hAnsi="仿宋" w:eastAsia="仿宋" w:cs="仿宋"/>
          <w:b/>
          <w:bCs w:val="0"/>
          <w:sz w:val="28"/>
          <w:szCs w:val="28"/>
          <w:highlight w:val="none"/>
          <w:lang w:val="en-US" w:eastAsia="zh-CN"/>
        </w:rPr>
      </w:r>
      <w:r/>
    </w:p>
    <w:p>
      <w:pPr>
        <w:pStyle w:val="955"/>
        <w:keepLines w:val="0"/>
        <w:keepNext w:val="0"/>
        <w:pageBreakBefore w:val="0"/>
        <w:spacing w:line="48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lang w:val="en-US" w:eastAsia="zh-CN"/>
        </w:rPr>
        <w:t xml:space="preserve">一</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lang w:val="en-US" w:eastAsia="zh-CN"/>
        </w:rPr>
        <w:t xml:space="preserve">数据中心</w:t>
      </w:r>
      <w:r>
        <w:rPr>
          <w:rFonts w:hint="eastAsia" w:ascii="仿宋" w:hAnsi="仿宋" w:eastAsia="仿宋" w:cs="仿宋"/>
          <w:bCs/>
          <w:sz w:val="28"/>
          <w:szCs w:val="28"/>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1370"/>
        <w:gridCol w:w="6173"/>
      </w:tblGrid>
      <w:tr>
        <w:trPr>
          <w:trHeight w:val="20"/>
          <w:tblHeader/>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color w:val="000000"/>
                <w:sz w:val="28"/>
                <w:szCs w:val="28"/>
                <w:highlight w:val="none"/>
              </w:rPr>
            </w:r>
            <w:r/>
          </w:p>
        </w:tc>
        <w:tc>
          <w:tcPr>
            <w:tcW w:w="769"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功能点</w:t>
            </w:r>
            <w:r>
              <w:rPr>
                <w:rFonts w:hint="eastAsia" w:ascii="仿宋" w:hAnsi="仿宋" w:eastAsia="仿宋" w:cs="仿宋"/>
                <w:b/>
                <w:bCs/>
                <w:color w:val="000000"/>
                <w:sz w:val="28"/>
                <w:szCs w:val="28"/>
                <w:highlight w:val="none"/>
              </w:rPr>
            </w:r>
            <w:r/>
          </w:p>
        </w:tc>
        <w:tc>
          <w:tcPr>
            <w:tcW w:w="3465"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数据配置</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对各种异构数据源类型通过可视化的方式配置接入</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1.支持多种数据源接入包含Oracle、SqlServer、MySql、GP,Cache，支持Oracle集群模式接入；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2.支持DB接入和WebService接入方式；</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3.DB接入全程可视化配置，只需要简单勾选需要同步的表即可完成数据接入任务的创建；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4.支持表创建、注释、主键一键式同步；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5.支持对数据源的全量同步和增量同步；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6.支持WebService接入增量全量同步方式；</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7.支持对XML、XML&lt;Json&gt;解析，支持属性提取；</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8.支持按单个病人、时间区间获取数据，支持自定义请求头、请求体；</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9.支持发布接入数据接入方式（通过WebService主动推送数据）；</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10.支持文件格式的数据同步，根据文件信息自动创建实体表。</w:t>
            </w:r>
            <w:r>
              <w:rPr>
                <w:rFonts w:hint="eastAsia" w:ascii="仿宋" w:hAnsi="仿宋" w:eastAsia="仿宋" w:cs="仿宋"/>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项目管理</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实现工作流自助开发，并支持对工作流的导入导出</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1.同时支持数据接入和数据模型项目的定义；</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2.图形化操作通过拖拉、连接的方式即可完成工作流的定义；</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3.支持丰富的组件库包含SQL、Spark、Python、Http节点组件，底层基于大数据组件完成同步任务；</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4.支持多任务同时执行不小于5个；</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5.在800M内存限制的条件下同步速度在每秒钟1万条以上；</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6.支持异常任务报警短信提醒（医院提供短信猫支持）；</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7.支持可视化自定义任务执行频率配置；</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8.支持预览最近任务执行时间；</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9.支持任务通知策略自定义；</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10.支持工作流任务的导入导出；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11.支持任务重试；</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12.支持任务日志实时查看；</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13.支持任务失败自动重试。</w:t>
            </w:r>
            <w:r>
              <w:rPr>
                <w:rFonts w:hint="eastAsia" w:ascii="仿宋" w:hAnsi="仿宋" w:eastAsia="仿宋" w:cs="仿宋"/>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资源中心</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文件管理</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1.支持对任务资源信息查看；</w:t>
            </w:r>
            <w:r>
              <w:rPr>
                <w:rFonts w:hint="eastAsia" w:ascii="仿宋" w:hAnsi="仿宋" w:eastAsia="仿宋" w:cs="仿宋"/>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监控中心</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对各资源服务进行监控和管理，并进行常规方式的统计</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1.支持系统连接池使用情况统计并展示；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2.支持监控数据中心的内存和CPU使用情况；</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3.支持对所使用的的中间件如zookeeper服务的连接数、发送接收量等相关指标监控；</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4.支持对数据库健康状态，连接数的监控；</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5.支持对任务执行情况包含待执行的命令数、执行失败的命令数、待运行任务数、待杀死任务数统计并展示；</w:t>
            </w:r>
            <w:r>
              <w:rPr>
                <w:rFonts w:hint="eastAsia" w:ascii="仿宋" w:hAnsi="仿宋" w:eastAsia="仿宋" w:cs="仿宋"/>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配置中心</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监控配置</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1.支持对监控规则自定义定时时间；</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2.支持监控结果短信发送（医院提供短信猫支持）；</w:t>
            </w:r>
            <w:r>
              <w:rPr>
                <w:rFonts w:hint="eastAsia" w:ascii="仿宋" w:hAnsi="仿宋" w:eastAsia="仿宋" w:cs="仿宋"/>
                <w:color w:val="000000"/>
                <w:sz w:val="28"/>
                <w:szCs w:val="28"/>
                <w:highlight w:val="none"/>
              </w:rPr>
            </w:r>
            <w:r/>
          </w:p>
        </w:tc>
      </w:tr>
      <w:tr>
        <w:trPr>
          <w:trHeight w:val="20"/>
        </w:trPr>
        <w:tc>
          <w:tcPr>
            <w:tcW w:w="76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数据质量</w:t>
            </w:r>
            <w:r>
              <w:rPr>
                <w:rFonts w:hint="eastAsia" w:ascii="仿宋" w:hAnsi="仿宋" w:eastAsia="仿宋" w:cs="仿宋"/>
                <w:color w:val="000000"/>
                <w:sz w:val="28"/>
                <w:szCs w:val="28"/>
                <w:highlight w:val="none"/>
              </w:rPr>
            </w:r>
            <w:r/>
          </w:p>
        </w:tc>
        <w:tc>
          <w:tcPr>
            <w:tcW w:w="769"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数据稽核</w:t>
            </w:r>
            <w:r>
              <w:rPr>
                <w:rFonts w:hint="eastAsia" w:ascii="仿宋" w:hAnsi="仿宋" w:eastAsia="仿宋" w:cs="仿宋"/>
                <w:color w:val="000000"/>
                <w:sz w:val="28"/>
                <w:szCs w:val="28"/>
                <w:highlight w:val="none"/>
              </w:rPr>
            </w:r>
            <w:r/>
          </w:p>
        </w:tc>
        <w:tc>
          <w:tcPr>
            <w:tcW w:w="3465" w:type="dxa"/>
            <w:vAlign w:val="center"/>
            <w:textDirection w:val="lrTb"/>
            <w:noWrap w:val="false"/>
          </w:tcPr>
          <w:p>
            <w:pPr>
              <w:pStyle w:val="948"/>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▲1.支持对表数据进行自定义监控；</w:t>
            </w:r>
            <w:r>
              <w:rPr>
                <w:rFonts w:hint="eastAsia" w:ascii="仿宋" w:hAnsi="仿宋" w:eastAsia="仿宋" w:cs="仿宋"/>
                <w:color w:val="000000"/>
                <w:sz w:val="28"/>
                <w:szCs w:val="28"/>
                <w:highlight w:val="none"/>
              </w:rPr>
            </w:r>
            <w:r/>
          </w:p>
          <w:p>
            <w:pPr>
              <w:pStyle w:val="948"/>
              <w:spacing w:line="400" w:lineRule="exact"/>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2.支持模板规则的配置；</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3.支持规则的批量导出导出；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4.支持规则自定义时间执行；</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5.支持质量报告实时生成；</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6.支持质检分数实时查询；</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7.支持自定义稽核异常说明；</w:t>
            </w:r>
            <w:r>
              <w:rPr>
                <w:rFonts w:hint="eastAsia" w:ascii="仿宋" w:hAnsi="仿宋" w:eastAsia="仿宋" w:cs="仿宋"/>
                <w:color w:val="000000"/>
                <w:sz w:val="28"/>
                <w:szCs w:val="28"/>
                <w:highlight w:val="none"/>
              </w:rPr>
            </w:r>
            <w:r/>
          </w:p>
        </w:tc>
      </w:tr>
    </w:tbl>
    <w:p>
      <w:pPr>
        <w:pStyle w:val="955"/>
        <w:keepLines w:val="0"/>
        <w:keepNext w:val="0"/>
        <w:pageBreakBefore w:val="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lang w:val="zh-CN"/>
        </w:rPr>
        <w:t xml:space="preserve">）精细化运营管理系统</w:t>
      </w:r>
      <w:r>
        <w:rPr>
          <w:rFonts w:hint="eastAsia" w:ascii="仿宋" w:hAnsi="仿宋" w:eastAsia="仿宋" w:cs="仿宋"/>
          <w:color w:val="000000"/>
          <w:sz w:val="28"/>
          <w:szCs w:val="28"/>
          <w:highlight w:val="none"/>
          <w:lang w:val="zh-CN"/>
        </w:rPr>
      </w:r>
      <w:r/>
    </w:p>
    <w:p>
      <w:pPr>
        <w:pStyle w:val="955"/>
        <w:ind w:firstLine="280"/>
        <w:keepLines w:val="0"/>
        <w:keepNext w:val="0"/>
        <w:pageBreakBefore w:val="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在院管理</w:t>
      </w:r>
      <w:r>
        <w:rPr>
          <w:rFonts w:hint="eastAsia" w:ascii="仿宋" w:hAnsi="仿宋" w:eastAsia="仿宋" w:cs="仿宋"/>
          <w:color w:val="000000"/>
          <w:sz w:val="28"/>
          <w:szCs w:val="28"/>
          <w:highlight w:val="none"/>
          <w:lang w:val="zh-CN"/>
        </w:rPr>
      </w:r>
      <w:r/>
    </w:p>
    <w:tbl>
      <w:tblPr>
        <w:tblW w:w="89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085"/>
        <w:gridCol w:w="6906"/>
      </w:tblGrid>
      <w:tr>
        <w:trPr>
          <w:tblHeade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sz w:val="28"/>
                <w:szCs w:val="28"/>
                <w:highlight w:val="none"/>
              </w:rPr>
            </w:r>
            <w:r/>
          </w:p>
        </w:tc>
        <w:tc>
          <w:tcPr>
            <w:tcW w:w="1085"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功能点</w:t>
            </w:r>
            <w:r>
              <w:rPr>
                <w:rFonts w:hint="eastAsia" w:ascii="仿宋" w:hAnsi="仿宋" w:eastAsia="仿宋" w:cs="仿宋"/>
                <w:b/>
                <w:bCs/>
                <w:sz w:val="28"/>
                <w:szCs w:val="28"/>
                <w:highlight w:val="none"/>
              </w:rPr>
            </w:r>
            <w:r/>
          </w:p>
        </w:tc>
        <w:tc>
          <w:tcPr>
            <w:tcW w:w="6906"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sz w:val="28"/>
                <w:szCs w:val="28"/>
                <w:highlight w:val="none"/>
              </w:rPr>
            </w:r>
            <w:r/>
          </w:p>
        </w:tc>
      </w:tr>
      <w:tr>
        <w:trPr/>
        <w:tc>
          <w:tcPr>
            <w:gridSpan w:val="2"/>
            <w:tcW w:w="2016"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医生助手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（在院DIP分组监测接口）</w:t>
            </w:r>
            <w:r>
              <w:rPr>
                <w:rFonts w:hint="eastAsia" w:ascii="仿宋" w:hAnsi="仿宋" w:eastAsia="仿宋" w:cs="仿宋"/>
                <w:sz w:val="28"/>
                <w:szCs w:val="28"/>
                <w:highlight w:val="none"/>
              </w:rPr>
            </w:r>
            <w:r/>
          </w:p>
        </w:tc>
        <w:tc>
          <w:tcPr>
            <w:tcW w:w="6906" w:type="dxa"/>
            <w:vAlign w:val="center"/>
            <w:textDirection w:val="lrTb"/>
            <w:noWrap w:val="false"/>
          </w:tcPr>
          <w:p>
            <w:pPr>
              <w:pStyle w:val="948"/>
              <w:numPr>
                <w:ilvl w:val="0"/>
                <w:numId w:val="9"/>
              </w:num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支持实时查看DIP预测分组、辅助矫正目录、当有入院诊断时即进行DIP预分组，并根据诊断/手术更新实时更新分组；支持查看床日预测下的分组详情，与病种预测进行对比，支持手动选择床日类型；</w:t>
            </w:r>
            <w:r>
              <w:rPr>
                <w:rFonts w:hint="eastAsia" w:ascii="仿宋" w:hAnsi="仿宋" w:eastAsia="仿宋" w:cs="仿宋"/>
                <w:sz w:val="28"/>
                <w:szCs w:val="28"/>
                <w:highlight w:val="none"/>
              </w:rPr>
              <w:t xml:space="preserve">支持中医结算模拟分组；优先展示结算金额最高的结算方式；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提供实时预警，包括费用预警、病历首页质控预警、不合理入院预警等，预警条件支持自定义；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通过大数据分析实现重要手术缺漏质控，直接定位影响DIP分组的缺漏手术，并可对比查看补充缺漏手术前后DIP分组及费用情况；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▲支持自由拖动诊断手术调整顺序，增加、修改或减少诊断手术，模拟DIP分组及预警，可与原分组对比查看；支持诊断手术模糊联想输入；</w:t>
            </w:r>
            <w:r>
              <w:rPr>
                <w:rFonts w:hint="eastAsia" w:ascii="仿宋" w:hAnsi="仿宋" w:eastAsia="仿宋" w:cs="仿宋"/>
                <w:sz w:val="28"/>
                <w:szCs w:val="28"/>
                <w:highlight w:val="none"/>
              </w:rPr>
            </w:r>
            <w:r/>
          </w:p>
          <w:p>
            <w:pPr>
              <w:pStyle w:val="948"/>
              <w:numPr>
                <w:ilvl w:val="0"/>
                <w:numId w:val="0"/>
              </w:numPr>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支持根据当前填写的所有诊断、手术，推荐更多组合，支持配置展示全部组合或展示质控后合理合规的组合，按照分值从高到低排序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支持查看费用明细，药品明细支持标记国谈药、集采药、限定支付药，用于费用分析；</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支持对比查看药占比、耗占比等费用标杆值，标杆值可通过系统设置自定义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支持再入院病例提示，再入院天数可通过系统设置配置；</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事中监测分析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在院病例监测</w:t>
            </w:r>
            <w:r>
              <w:rPr>
                <w:rFonts w:hint="eastAsia" w:ascii="仿宋" w:hAnsi="仿宋" w:eastAsia="仿宋" w:cs="仿宋"/>
                <w:sz w:val="28"/>
                <w:szCs w:val="28"/>
                <w:highlight w:val="none"/>
              </w:rPr>
            </w:r>
            <w:r/>
          </w:p>
        </w:tc>
        <w:tc>
          <w:tcPr>
            <w:tcW w:w="690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[病例范围：当前在院患者]</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支持查看在院病例的DIP预测分组、辅助矫正目录，当有入院诊断时即进行DIP预分组，并根据诊断/手术更新实时更新分组；支持查看床日预测下的分组详情，与病种预测进行对比，支持手动选择床日类型；</w:t>
            </w:r>
            <w:r>
              <w:rPr>
                <w:rFonts w:hint="eastAsia" w:ascii="仿宋" w:hAnsi="仿宋" w:eastAsia="仿宋" w:cs="仿宋"/>
                <w:sz w:val="28"/>
                <w:szCs w:val="28"/>
                <w:highlight w:val="none"/>
              </w:rPr>
              <w:t xml:space="preserve">支持中医结算模拟分组；优先展示结算金额最高的结算方式;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支持查看预警病例，包括费用预警、病历首页质控预警、不合理入院预警等，预警条件支持自定义；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支持重要手术缺漏质控，直接定位影响DIP分组的缺漏手术，并可对比查看补充缺漏手术前后DIP分组及费用情况；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支持根据当前填写的所有诊断、手术，推荐更多组合，支持配置展示全部组合或展示质控后合理合规的组合，按照分值从高到低排序。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支持查看病例详情，包括诊断、手术费用明细等；</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支持对比查看药占比、耗占比等费用标杆值，标杆值可通过系统设置自定义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支持筛选15天再入院病例；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支持按医保类型、病例类型、入院时间等多种条件筛选，支持查看自费病例；支持按姓名、住院号等模糊搜索病例；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(9) 列表指标支持自定义，包含指标字段是否显示和排序的设置；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(10) 支持查看各科室、医疗组的预警病例查看情况，监控医生控费行为；</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(11) 支持自由拖动诊断手术调整顺序，增加、修改或减少诊断手术，模拟DIP分组及预警，可与原分组对比查看；支持诊断手术模糊联想输入； </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提交前病例监测</w:t>
            </w:r>
            <w:r>
              <w:rPr>
                <w:rFonts w:hint="eastAsia" w:ascii="仿宋" w:hAnsi="仿宋" w:eastAsia="仿宋" w:cs="仿宋"/>
                <w:sz w:val="28"/>
                <w:szCs w:val="28"/>
                <w:highlight w:val="none"/>
              </w:rPr>
            </w:r>
            <w:r/>
          </w:p>
        </w:tc>
        <w:tc>
          <w:tcPr>
            <w:tcW w:w="690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[病例范围：出院但未将病历提交病案室归档的病例]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支持查看病例的DIP预测分组、辅助矫正目录，当有入院诊断时即进行DIP预分组，并根据诊断/手术更新实时更新分组；支持查看床日预测下的分组详情，与病种预测进行对比，支持手动选择床日类型；</w:t>
            </w:r>
            <w:r>
              <w:rPr>
                <w:rFonts w:hint="eastAsia" w:ascii="仿宋" w:hAnsi="仿宋" w:eastAsia="仿宋" w:cs="仿宋"/>
                <w:sz w:val="28"/>
                <w:szCs w:val="28"/>
                <w:highlight w:val="none"/>
              </w:rPr>
              <w:t xml:space="preserve">支持中医结算模拟分组；优先展示结算金额最高的结算方式；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支持查看预警病例，包括费用预警、病历首页质控预警、不合理入院预警等，预警条件支持自定义；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支持重要手术缺漏质控，直接定位影响DIP分组的缺漏手术，并可对比查看补充缺漏手术前后DIP分组及费用情况；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支持根据当前填写的所有诊断、手术，推荐更多组合，支持配置展示全部组合或展示质控后合理合规的组合，按照分值从高到低排序。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支持查看病例详情，包括诊断、手术、费用明细等；</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支持对比查看药占比、耗占比等费用标杆值，标杆值可通过系统设置自定义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支持筛选15天再入院病例，并可查看历次相关住院的DIP分组与诊断/手术信息；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支持按医保类型、病例类型、入院时间等多种条件筛选，支持查看自费病例；支持按姓名、住院号等模糊搜索病例；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(9) 列表指标支持自定义，包含指标字段是否显示、是否固定和排序的设置；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(10) 支持查看各科室、医疗组的预警病例查看情况，监控医生控费行为；</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(11) 支持自由拖动诊断手术调整顺序，增加、修改或减少诊断手术，模拟DIP分组及预警，可与原分组对比查看；支持诊断手术模糊联想输入； </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已提交病例分析</w:t>
            </w:r>
            <w:r>
              <w:rPr>
                <w:rFonts w:hint="eastAsia" w:ascii="仿宋" w:hAnsi="仿宋" w:eastAsia="仿宋" w:cs="仿宋"/>
                <w:sz w:val="28"/>
                <w:szCs w:val="28"/>
                <w:highlight w:val="none"/>
              </w:rPr>
            </w:r>
            <w:r/>
          </w:p>
        </w:tc>
        <w:tc>
          <w:tcPr>
            <w:tcW w:w="690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[病例范围：出院已提交病案归档，但未与医保局结算的病例]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支持对比查看编码前与编码后，病例的DIP分组数据及诊断手术信息；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支持查看病例详情，调整诊断/手术进行模拟分组；</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支持根据当前填写的所有诊断、手术，推荐更多组合，支持配置展示全部组合或展示质控后合理合规的组合，按照分值从高到低排序。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支持按出院时间、病例类型、住院天数等筛选；支持按姓名、住院号等模糊搜索病例；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列表指标支持自定义，包含指标字段是否显示和排序的设置。</w:t>
            </w:r>
            <w:r>
              <w:rPr>
                <w:rFonts w:hint="eastAsia" w:ascii="仿宋" w:hAnsi="仿宋" w:eastAsia="仿宋" w:cs="仿宋"/>
                <w:sz w:val="28"/>
                <w:szCs w:val="28"/>
                <w:highlight w:val="none"/>
              </w:rPr>
            </w:r>
            <w:r/>
          </w:p>
        </w:tc>
      </w:tr>
    </w:tbl>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2、DIP运营分析系统</w:t>
      </w:r>
      <w:r>
        <w:rPr>
          <w:rFonts w:hint="eastAsia" w:ascii="仿宋" w:hAnsi="仿宋" w:eastAsia="仿宋" w:cs="仿宋"/>
          <w:sz w:val="28"/>
          <w:szCs w:val="28"/>
          <w:highlight w:val="none"/>
        </w:rPr>
      </w:r>
      <w:r/>
    </w:p>
    <w:tbl>
      <w:tblPr>
        <w:tblW w:w="89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085"/>
        <w:gridCol w:w="6923"/>
      </w:tblGrid>
      <w:tr>
        <w:trPr>
          <w:tblHeade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sz w:val="28"/>
                <w:szCs w:val="28"/>
                <w:highlight w:val="none"/>
              </w:rPr>
            </w:r>
            <w:r/>
          </w:p>
        </w:tc>
        <w:tc>
          <w:tcPr>
            <w:tcW w:w="1085"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功能点</w:t>
            </w:r>
            <w:r>
              <w:rPr>
                <w:rFonts w:hint="eastAsia" w:ascii="仿宋" w:hAnsi="仿宋" w:eastAsia="仿宋" w:cs="仿宋"/>
                <w:b/>
                <w:bCs/>
                <w:sz w:val="28"/>
                <w:szCs w:val="28"/>
                <w:highlight w:val="none"/>
              </w:rPr>
            </w:r>
            <w:r/>
          </w:p>
        </w:tc>
        <w:tc>
          <w:tcPr>
            <w:tcW w:w="6923"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DIP驾驶舱</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医院DIP整体情况</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展示筛选时间段内全院病例数、结余、入组率、CMI、病种数、时间消耗指数、费用消耗指数等DIP核心数据：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支持查看核心指标的同比，支持查看核心病种、综合病种占比分布；</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全院出院病例支持查看DIP与非DIP病例分布占比，核心、综合病例占比，并可下钻进一步针对病例性质分析；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支持查看非DIP病例按DIP进行分组模拟后的核心指标情况，协助医院判断非DIP病例划入DIP管理后医院的预运营情况；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支持按照该地区配置的统筹区进行筛选查看；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支持根据医保类型的职工、居民、其他单独进行查看；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支持按照全部数据、已结算、未结算维度单独进行查看；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支持统计图表放大查看。</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全院超支结余分析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展示筛选时间段内的超支结余趋势、超支结余科室分布、病例类型分布、费用偏差病例占比趋势，支持下钻。</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全院费用构成分析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展示筛选时间段内各费用类型的金额及占比分布；</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展示药占比、耗占比、医技费用占比时间序列趋势；</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支持重点查看费用偏差病例的费用构成和趋势情况。</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全院资源使用效率分析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展示筛选时间段内次均费用与平均住院日趋势，支持与去年同期比较。</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全院病种构成分析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支持展示筛选时间段内CMI趋势；</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病种分值区间分布分析，查看各分值区间病例数/病种数占比及结余，分值区间支持根据医院情况自定义。</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科室综合分析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科室对比分析</w:t>
            </w:r>
            <w:r>
              <w:rPr>
                <w:rFonts w:hint="eastAsia" w:ascii="仿宋" w:hAnsi="仿宋" w:eastAsia="仿宋" w:cs="仿宋"/>
                <w:sz w:val="28"/>
                <w:szCs w:val="28"/>
                <w:highlight w:val="none"/>
              </w:rPr>
            </w:r>
            <w:r/>
          </w:p>
        </w:tc>
        <w:tc>
          <w:tcPr>
            <w:tcW w:w="6923" w:type="dxa"/>
            <w:vAlign w:val="center"/>
            <w:textDirection w:val="lrTb"/>
            <w:noWrap w:val="false"/>
          </w:tcPr>
          <w:p>
            <w:pPr>
              <w:pStyle w:val="948"/>
              <w:numPr>
                <w:ilvl w:val="0"/>
                <w:numId w:val="10"/>
              </w:num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按出院科室分析，展示科室病例数、结余、CMI、各病例类型占比、X天再入院病例数、时间消耗指数、费用消耗指数等DIP相关指标数据对比，支持下钻；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按管理科室分析，支持自定义组合同类型科室（如内科）为管理科室，查看科室汇总数据及各科室的对比数据，用于同类科室绩效分配；</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场景主题分析，包括科室超支结余分析、科室费用结构分析、出院带药分析、中医治疗、不合理入院分析、目标分析，支持根据用户权限显示相应数据；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a) 超支结余分析：超支结余科室排名及各科室超支结余对比分析；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b) 费用结构分析：各科室各费用项对比分析，支持按超支或结余科室分别查看；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c) 出院带药分析：各科室出院带药情况对比分析，支持按超支或结余科室分别查看；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d) 中医治疗病例分析：各科室中医治疗病例数及占比分析，中成药病例及费用情况、中药饮片病例及费用情况、中医医疗服务病例及费用情况；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e) 不合理入院分析：各科室轻症入院、体检入院病例对比分析，支持按超支或结余科室分别查看；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f) 运行目标分析：各科室药耗/医技占比、平均住院日等指标的标杆达成情况对比分析，支持自定义设置各科室标杆值，支持按超支或结余科室分别查看；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支持年/季/月时间区间、病例范围、统筹区、医保类型筛选；支持模糊搜索科室；</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▲支持对场景主题分析提炼分析总结，辅助管理者决策；</w:t>
            </w:r>
            <w:r>
              <w:rPr>
                <w:rFonts w:hint="eastAsia" w:ascii="仿宋" w:hAnsi="仿宋" w:eastAsia="仿宋" w:cs="仿宋"/>
                <w:sz w:val="28"/>
                <w:szCs w:val="28"/>
                <w:highlight w:val="none"/>
              </w:rPr>
            </w:r>
            <w:r/>
          </w:p>
          <w:p>
            <w:pPr>
              <w:pStyle w:val="948"/>
              <w:numPr>
                <w:ilvl w:val="0"/>
                <w:numId w:val="0"/>
              </w:numPr>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列表指标支持自定义，包含指标字段是否显示和排序的设置；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支持多维度指标报表下载。</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科室主页（科室下钻分析）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[单科室下DIP运营数据统计分析]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总览：展示所选科室在所选时间段内DIP核心数据，包含病例数、核心综合病例占比、CMI、结余、药耗占比、病种构成、平均住院日等，其中病例数支持下钻；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超支结余分析：展示所选科室在所选时间段内超支结余/次均结余趋势、超支结余病种分布及趋势、超支结余病例分布及趋势、病例类型分布及趋势，支持下钻；支持针对分析结果进行总结，辅助决策；</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费用构成分析：展示所选科室在所选时间段内各位费用类型的金额及占比，药耗占比、医技占比趋势，支持按病例类型选择统计范围；</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病种构成分析：支持矩阵分析，分析所选科室优势病种、劣势病种；支持数据对比与下钻；病种分值区间分布分析，查看各分值区间病例数/病种数占比及结余，分值区间支持根据医院情况自定义；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资源使用效率分析：展示所选科室所在时间段内平均住院日趋势、次均费用趋势，支持与标杆值对比，标杆值支持自定义；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病历质量分析：展示所选科室在所选时间段内影响分组的质控问题病例数趋势、分值变化趋势、结余变化趋势，支持下钻查看具体问题和病例；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病种列表：展示同科室下不同病种DIP运营数据对比，支持下载；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医疗组列表：展示同科室下不同医疗组DIP运营数据对比，支持下载；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(9) 医生列表：展示同科室下不同医生DIP运营数据对比，支持下载；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(10) 病例列表：展示所选科室所选时间段内所有病例数据，支持多维度筛选、查看详情、下载；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(11) 支持针对筛选结果进行总结分析；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(12) 支持快速定位死亡病例、四级手术病例、微创手术病例、开放式手术病例等病例进行管理。</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病种综合分析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病种对比分析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展示病种病例数、结余、病种分值、时间消耗指数、费用消耗指数等医保DIP相关指标数据对比，支持下钻；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场景主题分析，包括病种超支结余分析、病种费用结构分析、病种分值区间分布分析、目标分析，支持根据用户权限显示相应数据；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a) 超支结余分析：超支结余病种排名及各病种超支结余对比分析；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b) 费用结构分析：各病种各费用项对比分析，支持按超支或结余病种分别查看；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c) 病种分值区间分布分析：查看各分值区间病例数/病种数占比及结余，分值区间支持根据医院情况自定义；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d) 运行目标分析：各病种药耗/医技占比、平均住院日等指标的标杆达成情况对比分析，支持自定义设置各病种标杆值，支持按超支或结余病种分别查看；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支持年/季/月时间区间、病例范围筛选；支持模糊搜索病种；</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支持对场景主题分析提炼分析总结，辅助管理者决策；</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列表指标支持自定义，包含指标字段是否显示和排序的设置；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支持多维度指标报表下载；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支持重点监控病种管理，并对重点监控病种进行筛选与设置；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支持根据操作类别：手术、介入治疗、治疗性操作、诊断性操作进行筛选。</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病种主页（病种下钻分析）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[单病种下DIP运营数据统计分析]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总览：展示所选病种在所选时间段内DIP核心数据，包含病例数、病种分值、结余、药耗占比、病种构成、平均住院日等，并可查看核心病种、综合病种分布情况；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超支结余分析：展示所选病种在所选时间段内超支结余/次均结余趋势、超支结余病例分布及趋势、病例类型分布及趋势；支持下钻；支持针对分析结果进行总结，辅助决策；</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费用构成分析：展示所选病种在所选时间段内各位费用类型的金额、占比及超支影响率，药耗占比趋势，新增医技占比趋势、检验占比/化验占比趋势，支持按病例类型选择统计范围；</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资源使用效率分析：展示所选科室所在时间段内平均住院日趋势、次均费用趋势，支持与标杆对比；</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(5)手术聚类分析：展示同病种下不同手术DIP运营数据对比，支持查看对应手术病例数、次均结余、费用、平均住院日、药占比、耗占比、医技占比情况，支持下载；</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科室列表：展示同病种下不同科室DIP运营数据对比，支持查看费用对比，支持下载；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医疗组列表：展示同病种下不同医疗组DIP运营数据对比，支持下载；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病例列表：展示所选病种所选时间段内所有病例数据，支持筛选、查看详情、下载，支持针对筛选结果进行总结分析；支持快速定位死亡病例、四级手术病例、微创手术病例、开放式手术病例等病例进行管理。</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医疗组综合分析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医疗组对比分析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展示医疗组病例数、结余、CMI、各病例类型占比、X天再入院病例数、时间消耗指数、费用消耗指数等DIP相关指标数据对比，支持下钻；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支持快捷筛选，包括超支医疗组、结余医疗组、环比结余减少等；支持年/季/月时间区间、病例范围筛选；支持模糊搜索医疗组；</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列表指标支持自定义，包含指标字段是否显示和排序的设置；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支持多维度指标报表下载。</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医疗组主页（医疗组下钻分析）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[单医疗组下DIP运营数据统计分析]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总览：所选医疗组在所选时间段内DIP核心数据，包含病例数、CMI、结余、药耗占比、病种构成、平均住院日等，其中病例数支持下钻；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超支结余分析：所选医疗组在所选时间段内超支结余/次均结余趋势、超支结余病种分布及趋势、超支结余病例分布及趋势、病例类型分布及趋势，支持下钻；支持针对分析结果进行总结，辅助决策；</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费用构成分析：所选医疗组在所选时间段内各位费用类型的金额及占比，药耗占比、医技占比趋势，支持按病例类型选择统计范围；</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病种构成分析：支持矩阵分析，分析所选医疗组优势病种、劣势病种；支持数据对比与下钻；支持病种分值区间分布分析，查看各分值区间病例数/病种数占比及结余，分值区间支持根据医院情况自定义；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资源使用效率分析：所选医疗组所在时间段内平均住院日趋势、次均费用趋势；</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病种列表：同医疗组下不同病种DIP运营数据对比，支持下载；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医生列表：同医疗组下不同医生DIP运营数据对比，支持下载；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病例列表：所选医疗组室所选时间段内所有病例数据，支持多维度筛选、查看详情、下载；支持快速定位死亡病例、四级手术病例、微创手术病例、开放式手术病例等病例进行管理。</w:t>
            </w:r>
            <w:r>
              <w:rPr>
                <w:rFonts w:hint="eastAsia" w:ascii="仿宋" w:hAnsi="仿宋" w:eastAsia="仿宋" w:cs="仿宋"/>
                <w:sz w:val="28"/>
                <w:szCs w:val="28"/>
                <w:highlight w:val="none"/>
              </w:rPr>
            </w:r>
            <w:r/>
          </w:p>
        </w:tc>
      </w:tr>
      <w:t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医生综合分析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医生对比分析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展示医生病例数、结余、费用极高极低病例占比等DIP相关指标数据对比，支持下钻；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支持快捷筛选，包括超支医生、结余医生、环比结余减少、费用极高极低病例占比高于全院平均等；支持年/季/月时间区间、病例范围筛选；支持模糊搜索医生；</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列表指标支持自定义，包含指标字段是否显示和排序的设置；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支持多维度指标报表下载。</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专题分析</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二级目录分析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展示该地区病种聚类后的二级目录列表，展示二级目录、诊断类目、结余、病种数、病例数、次均费用等指标；</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支持根据病例范围、操作类别筛选；支持根据二级目录及诊断类目搜索；</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(3)支持按病种二级目录下钻至具体病种列表；支持按病种、科室、医疗组维度进行分析；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病种列表中支持下钻查看病种下不同手术分布情况及费用对比；</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支持各列表下载查看。</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辅助目录分析</w:t>
            </w:r>
            <w:r>
              <w:rPr>
                <w:rFonts w:hint="eastAsia" w:ascii="仿宋" w:hAnsi="仿宋" w:eastAsia="仿宋" w:cs="仿宋"/>
                <w:sz w:val="28"/>
                <w:szCs w:val="28"/>
                <w:highlight w:val="none"/>
              </w:rPr>
            </w:r>
            <w:r/>
          </w:p>
        </w:tc>
        <w:tc>
          <w:tcPr>
            <w:tcW w:w="6923" w:type="dxa"/>
            <w:vAlign w:val="center"/>
            <w:textDirection w:val="lrTb"/>
            <w:noWrap w:val="false"/>
          </w:tcPr>
          <w:p>
            <w:pPr>
              <w:pStyle w:val="933"/>
              <w:numPr>
                <w:ilvl w:val="0"/>
                <w:numId w:val="1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▲展示该地区DIP病种辅助目录分型后的分布情况，支持按疾病严重程度辅助分析（恶性肿瘤/非恶性肿瘤）、监护病房住院天数辅助分型、年龄辅助分型等；</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支持以图表形式展示每个辅助分型的总病例数，支持查看具体辅助目录级别下病例的数量；</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支持以图表形式展示每个辅助分型数量前5的病种，支持查看病种对应辅助目录级别的病例数分布情况；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支持查看每个辅助分型下所有病种的病例数及费用情况，支持展开查看病种下具体辅助目录级别的病例数及费用情况。</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费用分摊分析</w:t>
            </w:r>
            <w:r>
              <w:rPr>
                <w:rFonts w:hint="eastAsia" w:ascii="仿宋" w:hAnsi="仿宋" w:eastAsia="仿宋" w:cs="仿宋"/>
                <w:sz w:val="28"/>
                <w:szCs w:val="28"/>
                <w:highlight w:val="none"/>
              </w:rPr>
            </w:r>
            <w:r/>
          </w:p>
        </w:tc>
        <w:tc>
          <w:tcPr>
            <w:tcW w:w="6923" w:type="dxa"/>
            <w:vAlign w:val="center"/>
            <w:textDirection w:val="lrTb"/>
            <w:noWrap w:val="false"/>
          </w:tcPr>
          <w:p>
            <w:pPr>
              <w:pStyle w:val="948"/>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▲[根据患者在各临床开单科室产生的费用占比，将DIP结余按比例分摊统计分析]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展示按出院科室与按费用产生科室结余对比；</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支持查看产生费用分摊的病例明细（即转科病例明细），以及病例在各科室的费用情况，支持下载；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支持按时间、科室、病例范围等筛选。</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外科能力分析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保守与操作治疗分析，展示各科室操作与保守治疗的病例数及占比，病例数支持下钻；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四级手术分析，展示各科室四级手术、四级微创手术、四级介入手术占比，病例数支持下钻；</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支持年/季/月时间区间、病例范围筛选；支持模糊搜索科室。</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学科发展分析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科室评价：通过波士顿矩阵，分析在医保DIP下相对优势的科室、劣势的科室；支持指标组合维度切换，分析指标维度和原点支持自定义，支持数据下钻与下载；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病种评价：通过波士顿矩阵，分析在医保DIP下医院的优势病种、劣势病种；支持指标组合维度切换、分析指标维度和原点支持自定义，支持数据下钻与下载。</w:t>
            </w:r>
            <w:r>
              <w:rPr>
                <w:rFonts w:hint="eastAsia" w:ascii="仿宋" w:hAnsi="仿宋" w:eastAsia="仿宋" w:cs="仿宋"/>
                <w:sz w:val="28"/>
                <w:szCs w:val="28"/>
                <w:highlight w:val="none"/>
              </w:rPr>
            </w:r>
            <w:r/>
          </w:p>
        </w:tc>
      </w:tr>
      <w:t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病例综合查询</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病例数据查询与下载</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展示病例明细数据，支持查看详情，包含DIP分组、诊断/手术、费用占比及明细等信息；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支持按病例类型、X天再入院病例、科室等条件组合、外科能力病例相关筛选；支持按住院号/患者姓名等模糊搜索病例；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支持数据下载；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支持针对筛选结果进行总结分析。</w:t>
            </w:r>
            <w:r>
              <w:rPr>
                <w:rFonts w:hint="eastAsia" w:ascii="仿宋" w:hAnsi="仿宋" w:eastAsia="仿宋" w:cs="仿宋"/>
                <w:sz w:val="28"/>
                <w:szCs w:val="28"/>
                <w:highlight w:val="none"/>
              </w:rPr>
            </w:r>
            <w:r/>
          </w:p>
        </w:tc>
      </w:tr>
      <w:t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指标综合查询</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指标选择与下载</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展示所有DIP相关指标，支持自由选择指标组合、调整指标顺序生成各类报表，支持导出下载；</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支持查看各项指标的计算方式；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支持保存指标报表模板，用于重复使用；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指标导出支持自定义数据范围、时间范围、导出维度（全院/科室/病种等）。</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系统设置</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费用构成规则设置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支持自定义设置费用类型，系统将根据该费用类型统计费用。</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医保审核规则设置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支持不同地区医保对医院监管审核规则的设置。</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事中费用预警设置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支持设置费用极高预警、费用极低预警、超支风险三类费用预警的规则与生效范围。</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特殊结算方式设置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支持开启床日预测、手动床日预测。</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费控条设置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支持设置费控条按照超支结余预警或按照地区病种均费预警。</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医保结算单匹配规则</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为保证顺利导入结算单，支持将地区结算单表头、数据与系统标准的表头、数据做匹配，支持管理员选择单个或多个字段作为PID（患者唯一号）。</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000000" w:fill="ffffff"/>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病例详情设置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支持根据医院实际关注情况设置费控条控费目标及分组信息。</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账号权限管理</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管理科室设置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支持按出院科室设置大科室，满足医院二级科室管理。</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角色与数据权限</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支持根据医院需要，按照院级、科级、医生不同角色设置菜单和数据权限。</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安全设置</w:t>
            </w:r>
            <w:r>
              <w:rPr>
                <w:rFonts w:hint="eastAsia" w:ascii="仿宋" w:hAnsi="仿宋" w:eastAsia="仿宋" w:cs="仿宋"/>
                <w:sz w:val="28"/>
                <w:szCs w:val="28"/>
                <w:highlight w:val="none"/>
              </w:rPr>
            </w:r>
            <w:r/>
          </w:p>
        </w:tc>
        <w:tc>
          <w:tcPr>
            <w:tcW w:w="6923"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支持在系统内添加水印，显示登录账号、姓名、登录时间。</w:t>
            </w:r>
            <w:r>
              <w:rPr>
                <w:rFonts w:hint="eastAsia" w:ascii="仿宋" w:hAnsi="仿宋" w:eastAsia="仿宋" w:cs="仿宋"/>
                <w:sz w:val="28"/>
                <w:szCs w:val="28"/>
                <w:highlight w:val="none"/>
              </w:rPr>
            </w:r>
            <w:r/>
          </w:p>
        </w:tc>
      </w:tr>
    </w:tbl>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sz w:val="28"/>
          <w:szCs w:val="28"/>
          <w:highlight w:val="none"/>
        </w:rPr>
        <w:t xml:space="preserve">DIP拨付核对系统</w:t>
      </w:r>
      <w:r>
        <w:rPr>
          <w:rFonts w:hint="eastAsia" w:ascii="仿宋" w:hAnsi="仿宋" w:eastAsia="仿宋" w:cs="仿宋"/>
          <w:sz w:val="28"/>
          <w:szCs w:val="28"/>
          <w:highlight w:val="none"/>
        </w:rPr>
      </w:r>
      <w:r/>
    </w:p>
    <w:tbl>
      <w:tblPr>
        <w:tblW w:w="89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085"/>
        <w:gridCol w:w="6956"/>
      </w:tblGrid>
      <w:tr>
        <w:trPr>
          <w:tblHeader/>
        </w:trPr>
        <w:tc>
          <w:tcPr>
            <w:tcW w:w="93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sz w:val="28"/>
                <w:szCs w:val="28"/>
                <w:highlight w:val="none"/>
              </w:rPr>
            </w:r>
            <w:r/>
          </w:p>
        </w:tc>
        <w:tc>
          <w:tcPr>
            <w:tcW w:w="1085"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功能点</w:t>
            </w:r>
            <w:r>
              <w:rPr>
                <w:rFonts w:hint="eastAsia" w:ascii="仿宋" w:hAnsi="仿宋" w:eastAsia="仿宋" w:cs="仿宋"/>
                <w:b/>
                <w:bCs/>
                <w:sz w:val="28"/>
                <w:szCs w:val="28"/>
                <w:highlight w:val="none"/>
              </w:rPr>
            </w:r>
            <w:r/>
          </w:p>
        </w:tc>
        <w:tc>
          <w:tcPr>
            <w:tcW w:w="6956"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结算导入管理</w:t>
            </w:r>
            <w:r>
              <w:rPr>
                <w:rFonts w:hint="eastAsia" w:ascii="仿宋" w:hAnsi="仿宋" w:eastAsia="仿宋" w:cs="仿宋"/>
                <w:sz w:val="28"/>
                <w:szCs w:val="28"/>
                <w:highlight w:val="none"/>
              </w:rPr>
            </w:r>
            <w:r/>
          </w:p>
        </w:tc>
        <w:tc>
          <w:tcPr>
            <w:shd w:val="clear" w:color="000000" w:fill="ffffff"/>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月度结算单导入</w:t>
            </w:r>
            <w:r>
              <w:rPr>
                <w:rFonts w:hint="eastAsia" w:ascii="仿宋" w:hAnsi="仿宋" w:eastAsia="仿宋" w:cs="仿宋"/>
                <w:sz w:val="28"/>
                <w:szCs w:val="28"/>
                <w:highlight w:val="none"/>
              </w:rPr>
            </w:r>
            <w:r/>
          </w:p>
        </w:tc>
        <w:tc>
          <w:tcPr>
            <w:tcW w:w="695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支持按不同机构分别导入医保局下发的月度实际结算单，导入后系统中将以实际数据做统计分析；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支持导入异常数据的手动处理机制。</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000000" w:fill="ffffff"/>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分值点值管理</w:t>
            </w:r>
            <w:r>
              <w:rPr>
                <w:rFonts w:hint="eastAsia" w:ascii="仿宋" w:hAnsi="仿宋" w:eastAsia="仿宋" w:cs="仿宋"/>
                <w:sz w:val="28"/>
                <w:szCs w:val="28"/>
                <w:highlight w:val="none"/>
              </w:rPr>
            </w:r>
            <w:r/>
          </w:p>
        </w:tc>
        <w:tc>
          <w:tcPr>
            <w:tcW w:w="695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设置医院统一分值单价，同时支持按统筹区及区分按职工、居民分开录入；</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支持按年或按月录入分值单价；</w:t>
            </w:r>
            <w:r>
              <w:rPr>
                <w:rFonts w:hint="eastAsia" w:ascii="仿宋" w:hAnsi="仿宋" w:eastAsia="仿宋" w:cs="仿宋"/>
                <w:sz w:val="28"/>
                <w:szCs w:val="28"/>
                <w:highlight w:val="none"/>
              </w:rPr>
            </w:r>
            <w:r/>
          </w:p>
        </w:tc>
      </w:tr>
      <w:tr>
        <w:trPr/>
        <w:tc>
          <w:tcPr>
            <w:tcW w:w="931"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结算核对</w:t>
            </w: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结算数据核对</w:t>
            </w:r>
            <w:r>
              <w:rPr>
                <w:rFonts w:hint="eastAsia" w:ascii="仿宋" w:hAnsi="仿宋" w:eastAsia="仿宋" w:cs="仿宋"/>
                <w:sz w:val="28"/>
                <w:szCs w:val="28"/>
                <w:highlight w:val="none"/>
              </w:rPr>
            </w:r>
            <w:r/>
          </w:p>
        </w:tc>
        <w:tc>
          <w:tcPr>
            <w:tcW w:w="6956"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支持医保办/病案质控相关人员，在医保结算单下发之后，核对结算单数据。</w:t>
            </w:r>
            <w:r>
              <w:rPr>
                <w:rFonts w:hint="eastAsia" w:ascii="仿宋" w:hAnsi="仿宋" w:eastAsia="仿宋" w:cs="仿宋"/>
                <w:sz w:val="28"/>
                <w:szCs w:val="28"/>
                <w:highlight w:val="none"/>
              </w:rPr>
            </w:r>
            <w:r/>
          </w:p>
        </w:tc>
      </w:tr>
      <w:tr>
        <w:trPr/>
        <w:tc>
          <w:tcPr>
            <w:tcW w:w="931"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085"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申诉</w:t>
            </w:r>
            <w:r>
              <w:rPr>
                <w:rFonts w:hint="eastAsia" w:ascii="仿宋" w:hAnsi="仿宋" w:eastAsia="仿宋" w:cs="仿宋"/>
                <w:sz w:val="28"/>
                <w:szCs w:val="28"/>
                <w:highlight w:val="none"/>
              </w:rPr>
            </w:r>
            <w:r/>
          </w:p>
        </w:tc>
        <w:tc>
          <w:tcPr>
            <w:tcW w:w="6956" w:type="dxa"/>
            <w:vAlign w:val="center"/>
            <w:textDirection w:val="lrTb"/>
            <w:noWrap w:val="false"/>
          </w:tcPr>
          <w:p>
            <w:pPr>
              <w:pStyle w:val="948"/>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▲支持对结算单中不合理的结算病例进行申诉，科室填写结算申诉反馈后，管理人员可一键导出所有申诉进行上传。</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tc>
      </w:tr>
    </w:tbl>
    <w:p>
      <w:pPr>
        <w:pStyle w:val="955"/>
        <w:keepLines w:val="0"/>
        <w:keepNext w:val="0"/>
        <w:pageBreakBefore w:val="0"/>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（三）</w:t>
      </w:r>
      <w:bookmarkStart w:id="38" w:name="_Toc172567373"/>
      <w:r>
        <w:rPr>
          <w:rFonts w:hint="eastAsia" w:ascii="仿宋" w:hAnsi="仿宋" w:eastAsia="仿宋" w:cs="仿宋"/>
          <w:sz w:val="28"/>
          <w:szCs w:val="28"/>
          <w:highlight w:val="none"/>
        </w:rPr>
        <w:t xml:space="preserve">医保结算清单管理系统</w:t>
      </w:r>
      <w:bookmarkEnd w:id="38"/>
      <w:r>
        <w:rPr>
          <w:rFonts w:hint="eastAsia" w:ascii="仿宋" w:hAnsi="仿宋" w:eastAsia="仿宋" w:cs="仿宋"/>
          <w:sz w:val="28"/>
          <w:szCs w:val="28"/>
          <w:highlight w:val="none"/>
        </w:rPr>
      </w:r>
      <w:r/>
    </w:p>
    <w:tbl>
      <w:tblPr>
        <w:tblW w:w="8718" w:type="dxa"/>
        <w:jc w:val="center"/>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134"/>
        <w:gridCol w:w="6591"/>
      </w:tblGrid>
      <w:tr>
        <w:trPr>
          <w:tblHeader/>
        </w:trPr>
        <w:tc>
          <w:tcPr>
            <w:tcW w:w="993"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功能点</w:t>
            </w:r>
            <w:r>
              <w:rPr>
                <w:rFonts w:hint="eastAsia" w:ascii="仿宋" w:hAnsi="仿宋" w:eastAsia="仿宋" w:cs="仿宋"/>
                <w:b/>
                <w:bCs/>
                <w:sz w:val="28"/>
                <w:szCs w:val="28"/>
                <w:highlight w:val="none"/>
              </w:rPr>
            </w:r>
            <w:r/>
          </w:p>
        </w:tc>
        <w:tc>
          <w:tcPr>
            <w:tcW w:w="6591"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sz w:val="28"/>
                <w:szCs w:val="28"/>
                <w:highlight w:val="none"/>
              </w:rPr>
            </w:r>
            <w:r/>
          </w:p>
        </w:tc>
      </w:tr>
      <w:tr>
        <w:trPr/>
        <w:tc>
          <w:tcPr>
            <w:tcW w:w="993"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清单任务总览</w:t>
            </w: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管理指标统计</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支持统计筛选时间段内的审核完成率、首次上报合格率。</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清单任务统计</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支持展示已生成清单的数量，包含通过病案首页数据生成的清单数量和对特殊患者自动补充生产的清单数量。</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支持根据医院实际配置的审核流程节点，分别展示清单初审、清单复审、清单终审任务节点中具体的清单审核状态及数量，支持下钻到对应清单列表。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支持按院内结算日期、出院日期统计筛选时间段内以上清单的数量及状态。</w:t>
            </w:r>
            <w:r>
              <w:rPr>
                <w:rFonts w:hint="eastAsia" w:ascii="仿宋" w:hAnsi="仿宋" w:eastAsia="仿宋" w:cs="仿宋"/>
                <w:sz w:val="28"/>
                <w:szCs w:val="28"/>
                <w:highlight w:val="none"/>
              </w:rPr>
            </w:r>
            <w:r/>
          </w:p>
        </w:tc>
      </w:tr>
      <w:tr>
        <w:trPr/>
        <w:tc>
          <w:tcPr>
            <w:tcW w:w="993"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上报前清单审核</w:t>
            </w: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清单生成</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支持自动获取医院各系统相关数据，生成待审核结算清单，自动对结算清单进行全量质检质控；</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支持对血液透析的患者自动生成结算清单，对于母婴同室的婴儿自动拆分结算清单，并提供全量质检质控；</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清单操作</w:t>
            </w:r>
            <w:r>
              <w:rPr>
                <w:rFonts w:hint="eastAsia" w:ascii="仿宋" w:hAnsi="仿宋" w:eastAsia="仿宋" w:cs="仿宋"/>
                <w:sz w:val="28"/>
                <w:szCs w:val="28"/>
                <w:highlight w:val="none"/>
              </w:rPr>
            </w:r>
            <w:r/>
          </w:p>
        </w:tc>
        <w:tc>
          <w:tcPr>
            <w:tcW w:w="6591" w:type="dxa"/>
            <w:vAlign w:val="center"/>
            <w:textDirection w:val="lrTb"/>
            <w:noWrap w:val="false"/>
          </w:tcPr>
          <w:p>
            <w:pPr>
              <w:pStyle w:val="948"/>
              <w:numPr>
                <w:ilvl w:val="0"/>
                <w:numId w:val="12"/>
              </w:num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支持自定义设置清单列表展示数量，如20条/页、50条/页、100条/页；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支持对清单标记疑问病例，并在列表内进行差异化标识展示，支持搜索查询；</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支持在列表内对于已读清单和未读清单进行差异化展示，支持搜索查询；</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支持对符合再入院条件的患者进行差异化标识展示，支持查看上次住院信息，支持搜索查询；</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支持对与病案首页不一致的清单进行标注，支持查看病案首页与结算清单不一致的具体对比情况；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6) 支持查看每份清单的基本信息，包括患者信息、病案号、住院号、住院医师、入组情况、预计结余、病例类型等信息；支持按费用类型查看费用明细，并展示费用分布情况和费用占比。支持对于入组异常患者展示入组解析。</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7) 支持按病种结算和床日结算两种结算方式，对于同时符合两种结算方式的患者支持切换结算方式进行对比查看；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8) 支持展示清单质检结果，对不同预警级别差异化展示；支持展示诊断手术信息；支持展示清单批注信息并进行操作；</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9) ▲支持通过大数据分析建立多维度优选策略，在保证清单合规的前提下提供结算更多组合的参考；支持通过大数据对疑似手术缺漏进行提醒，提供对应的优选组合，并对缺漏手术进行差异化标识；</w:t>
            </w:r>
            <w:r>
              <w:rPr>
                <w:rFonts w:hint="eastAsia" w:ascii="仿宋" w:hAnsi="仿宋" w:eastAsia="仿宋" w:cs="仿宋"/>
                <w:sz w:val="28"/>
                <w:szCs w:val="28"/>
                <w:highlight w:val="none"/>
              </w:rPr>
            </w:r>
            <w:r/>
          </w:p>
          <w:p>
            <w:pPr>
              <w:pStyle w:val="948"/>
              <w:numPr>
                <w:ilvl w:val="0"/>
                <w:numId w:val="0"/>
              </w:numPr>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10) 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11) 支持对已修改的清单，手动开启清单自动更新； </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12) 支持对不适用的清单规则进行关闭，并记录关闭理由；支持针对于个别患者无需修改的规则进行关闭，并记录关闭理由；</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13) 支持查看清单编辑日志，日志记录所有操作人员、时间、操作内容，可查看修改前后对比，支持查看与初始清单的对比；</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14) 支持对清单发起批注信息，选择发送至指定用户，支持立即发送或暂不发送仅保存；</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15) 支持通过调整主次诊断、手术顺序对清单进行模拟入组，比对查看新旧分组预测与质控结果信息，支持将模拟分组结果快捷添加至批注或详情页；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 支持通过手动刷新HIS实时信息，更新待审核清单数据 。</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我的清单</w:t>
            </w:r>
            <w:r>
              <w:rPr>
                <w:rFonts w:hint="eastAsia" w:ascii="仿宋" w:hAnsi="仿宋" w:eastAsia="仿宋" w:cs="仿宋"/>
                <w:sz w:val="28"/>
                <w:szCs w:val="28"/>
                <w:highlight w:val="none"/>
              </w:rPr>
            </w:r>
            <w:r/>
          </w:p>
        </w:tc>
        <w:tc>
          <w:tcPr>
            <w:tcW w:w="6591" w:type="dxa"/>
            <w:vAlign w:val="center"/>
            <w:textDirection w:val="lrTb"/>
            <w:noWrap w:val="false"/>
          </w:tcPr>
          <w:p>
            <w:pPr>
              <w:pStyle w:val="933"/>
              <w:numPr>
                <w:ilvl w:val="0"/>
                <w:numId w:val="1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支持按分配的数据权限，查看本人负责的全部流程节点下的所有结算清单；</w:t>
            </w:r>
            <w:r>
              <w:rPr>
                <w:rFonts w:hint="eastAsia" w:ascii="仿宋" w:hAnsi="仿宋" w:eastAsia="仿宋" w:cs="仿宋"/>
                <w:sz w:val="28"/>
                <w:szCs w:val="28"/>
                <w:highlight w:val="none"/>
              </w:rPr>
            </w:r>
            <w:r/>
          </w:p>
          <w:p>
            <w:pPr>
              <w:pStyle w:val="933"/>
              <w:numPr>
                <w:ilvl w:val="0"/>
                <w:numId w:val="1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支持查看结算清单当前审核状态，支持按姓名、住院号、病案号、医生、分组、主诊断、主手术进行搜索，支持下载导出列表。</w:t>
            </w:r>
            <w:r>
              <w:rPr>
                <w:rFonts w:hint="eastAsia" w:ascii="仿宋" w:hAnsi="仿宋" w:eastAsia="仿宋" w:cs="仿宋"/>
                <w:sz w:val="28"/>
                <w:szCs w:val="28"/>
                <w:highlight w:val="none"/>
              </w:rPr>
            </w:r>
            <w:r/>
          </w:p>
          <w:p>
            <w:pPr>
              <w:pStyle w:val="933"/>
              <w:numPr>
                <w:ilvl w:val="0"/>
                <w:numId w:val="1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支持对于重点问题主动进行推送，如已审核清单被退回、收到批注消息、清单数据源头发生变更</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待审核清单</w:t>
            </w:r>
            <w:r>
              <w:rPr>
                <w:rFonts w:hint="eastAsia" w:ascii="仿宋" w:hAnsi="仿宋" w:eastAsia="仿宋" w:cs="仿宋"/>
                <w:sz w:val="28"/>
                <w:szCs w:val="28"/>
                <w:highlight w:val="none"/>
              </w:rPr>
            </w:r>
            <w:r/>
          </w:p>
        </w:tc>
        <w:tc>
          <w:tcPr>
            <w:tcW w:w="6591" w:type="dxa"/>
            <w:vAlign w:val="center"/>
            <w:textDirection w:val="lrTb"/>
            <w:noWrap w:val="false"/>
          </w:tcPr>
          <w:p>
            <w:pPr>
              <w:pStyle w:val="933"/>
              <w:numPr>
                <w:ilvl w:val="0"/>
                <w:numId w:val="14"/>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支持按分配的数据权限，查看本人负责的所有待审核的结算清单；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支持对待审核清单操作审核通过，支持批量勾选操作审核通过，支持一键全部审核通过；已审核通过的清单根据审核流程配置，自动分配进入下一节点审核人员的待审核列表，并自动保存固化清单数据；</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▲支持设置自定义校验条件，对符合条件的清单自动审核通过并进入本人审核通过列表，未通过审核的清单进入待审核列表等待人工处理审核；</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支持对审核不通过的清单进行退回操作，可选择退回至指定流程的待审核列表；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支持下载导出本人所有待审核清单列表。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审核通过清单</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支持查看所有本人审核通过的清单；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支持批量勾选撤销本人已审核通过的清单，撤销审核后的清单变为本人待审核状态；</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支持下载导出本人所有审核通过清单列表；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审核退回清单</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支持查看所有本人被审核退回的清单；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支持重新对清单进行审核通过操作，重新进入下一节点审核人员的待审核列表。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支持下载导出本人所有审核被退回清单列表。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超时未审核清单</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根据每个审核节点设置的时限要求，系统自动将超过时限的清单置为超时未审核；</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支持查看所有本人超时未审核的清单；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支持对清单进行审核通过操作，进入下一节点审核人员的待审核列表。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支持下载导出本人所有超时未审核清单列表。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自定义快捷筛选</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支持按照病例类型、质控问题、异常住院、特殊患者、费用相关条件类型，选择对应的指标，组合形成自定义快捷筛类型，针对每个审核环节，筛选出对应的清单列表；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支持对筛选类型进行重命名；</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支持自定义添加多个快捷筛选类型；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支持初始化重点问题清单的快捷筛选类型；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支持下载导出快捷筛选类型下的清单列表。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其他筛选</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支持对未读清单、疑问病例的筛选；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支持筛选与病案首页不一致的清单；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支持筛选与初始清单不一致的清单，区分因数据源变更、清单调整变更原因导致的不一致清单。</w:t>
            </w:r>
            <w:r>
              <w:rPr>
                <w:rFonts w:hint="eastAsia" w:ascii="仿宋" w:hAnsi="仿宋" w:eastAsia="仿宋" w:cs="仿宋"/>
                <w:sz w:val="28"/>
                <w:szCs w:val="28"/>
                <w:highlight w:val="none"/>
              </w:rPr>
            </w:r>
            <w:r/>
          </w:p>
        </w:tc>
      </w:tr>
      <w:tr>
        <w:trPr/>
        <w:tc>
          <w:tcPr>
            <w:gridSpan w:val="2"/>
            <w:tcW w:w="2127"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消息中心</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支持分类查看当前用户收到的、发起的、仅保存的批注，同时支持按照待处理、已接受、不接受进行分类筛选；</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支持对于整改批注消息进行处理，选择是否接受，支持填写不接受理由；</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消息列表支持直接打开清单详情页，支持对清单进行编辑与审核操作；</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支持在收到批注、批注回复消息时在系统内主动弹窗提示。</w:t>
            </w:r>
            <w:r>
              <w:rPr>
                <w:rFonts w:hint="eastAsia" w:ascii="仿宋" w:hAnsi="仿宋" w:eastAsia="仿宋" w:cs="仿宋"/>
                <w:sz w:val="28"/>
                <w:szCs w:val="28"/>
                <w:highlight w:val="none"/>
              </w:rPr>
            </w:r>
            <w:r/>
          </w:p>
        </w:tc>
      </w:tr>
      <w:tr>
        <w:trPr/>
        <w:tc>
          <w:tcPr>
            <w:tcW w:w="993"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清单质量分析</w:t>
            </w:r>
            <w:r>
              <w:rPr>
                <w:rFonts w:hint="eastAsia" w:ascii="仿宋" w:hAnsi="仿宋" w:eastAsia="仿宋" w:cs="仿宋"/>
                <w:sz w:val="28"/>
                <w:szCs w:val="28"/>
                <w:highlight w:val="none"/>
              </w:rPr>
            </w:r>
            <w:r/>
          </w:p>
        </w:tc>
        <w:tc>
          <w:tcPr>
            <w:tcW w:w="1134"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问题分布情况</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支持以月、季、年为统计区间，按院内结算时间或出院时间、科室、医疗组等维度分析问题清单。</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支持按重要性、质控内容、影响范围维度查看问题清单分布概况，包括强制性问题、提示性问题、编码问题、非编码问题、影响入组问题、可能影响入组问题、不影响入组问题清单的数量和占比；</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支持按问题清单类型，查看各科室的分布情况及占比，支持查看科室下对应的清单问题类型分布及占比情况，可下钻查看对应的清单详情；</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支持按主治医师、编码员分析问题清单的数量，可下钻查看对应的清单详情，支持下载导出列表。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问题清单趋势</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支持多维度筛选条件，通过图表展示问题清单数量、占比的变化趋势。</w:t>
            </w:r>
            <w:r>
              <w:rPr>
                <w:rFonts w:hint="eastAsia" w:ascii="仿宋" w:hAnsi="仿宋" w:eastAsia="仿宋" w:cs="仿宋"/>
                <w:sz w:val="28"/>
                <w:szCs w:val="28"/>
                <w:highlight w:val="none"/>
              </w:rPr>
            </w:r>
            <w:r/>
          </w:p>
        </w:tc>
      </w:tr>
      <w:tr>
        <w:trPr/>
        <w:tc>
          <w:tcPr>
            <w:tcW w:w="993"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清单成就分析</w:t>
            </w:r>
            <w:r>
              <w:rPr>
                <w:rFonts w:hint="eastAsia" w:ascii="仿宋" w:hAnsi="仿宋" w:eastAsia="仿宋" w:cs="仿宋"/>
                <w:sz w:val="28"/>
                <w:szCs w:val="28"/>
                <w:highlight w:val="none"/>
              </w:rPr>
            </w:r>
            <w:r/>
          </w:p>
        </w:tc>
        <w:tc>
          <w:tcPr>
            <w:tcW w:w="1134"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清单调整情况</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支持以月、季、年为统计区间，按院内结算时间或出院时间、科室、医疗组等维度分析清单调整情况。</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支持多维度筛选结算清单，可视化展示已调整清单和未调整清单的具体数量及占比。</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支持对已调整清单进行分类筛选，包括调整前后分组不一致、主要诊断不一致、其它诊断不一致、主要手术不一致、其它手术不一致；</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支持查看调整清单分类的具体数量及占比，支持查看每一分类下具体科室和病例情况，支持查看具体科室清单调整前后分值差、结余差、修正问题数，支持查看清单调整前后具体对比，支持下载导出列表。</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清单调整前后对比分析</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支持多维度筛选条件，通过图表展示清单调整前后结余分析、质控问题分析，支持查看总分值差、结余差、修正问题数。</w:t>
            </w:r>
            <w:r>
              <w:rPr>
                <w:rFonts w:hint="eastAsia" w:ascii="仿宋" w:hAnsi="仿宋" w:eastAsia="仿宋" w:cs="仿宋"/>
                <w:sz w:val="28"/>
                <w:szCs w:val="28"/>
                <w:highlight w:val="none"/>
              </w:rPr>
            </w:r>
            <w:r/>
          </w:p>
        </w:tc>
      </w:tr>
      <w:tr>
        <w:trPr/>
        <w:tc>
          <w:tcPr>
            <w:tcW w:w="993" w:type="dxa"/>
            <w:vAlign w:val="center"/>
            <w:vMerge w:val="restart"/>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系统设置</w:t>
            </w: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医保结算清单质控规则</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系统提供专家知识库规则、DIP专项规则，费用专项规则，通过实时质控保证清单的完整性、逻辑性和准确性；</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支持个性化开启/关闭质控规则，支持批量启用/停用；</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支持个性化配置质控规则的强制性/提示性属性，强制性规则校验不通过时，不允许提交结算清单。</w:t>
            </w:r>
            <w:r>
              <w:rPr>
                <w:rFonts w:hint="eastAsia" w:ascii="仿宋" w:hAnsi="仿宋" w:eastAsia="仿宋" w:cs="仿宋"/>
                <w:sz w:val="28"/>
                <w:szCs w:val="28"/>
                <w:highlight w:val="none"/>
              </w:rPr>
            </w:r>
            <w:r/>
          </w:p>
        </w:tc>
      </w:tr>
      <w:tr>
        <w:trPr/>
        <w:tc>
          <w:tcPr>
            <w:tcW w:w="993" w:type="dxa"/>
            <w:vAlign w:val="center"/>
            <w:vMerge w:val="continue"/>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34"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清单流程设置</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支持根据医院实际情况，自定义配置结算清单管理流程；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1) 支持个性化配置结算清单管理全流程，例如：生成-初审-上报、生成-初审-复审-上报、生成-初审-复审-终审-上报；</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2) 支持在结算清单管理流程节点中配置对应角色和用户；</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3) 流程节点支持多种审核类型，包括全量人工审核、人工+条件自动审核、无条件自动审核；</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4) 支持按照患者结算时间、出院时间、上报日期设置审核时限；支持对审核超时的清单配置进入下一流程或保持当前流程；</w:t>
            </w:r>
            <w:r>
              <w:rPr>
                <w:rFonts w:hint="eastAsia" w:ascii="仿宋" w:hAnsi="仿宋" w:eastAsia="仿宋" w:cs="仿宋"/>
                <w:sz w:val="28"/>
                <w:szCs w:val="28"/>
                <w:highlight w:val="none"/>
              </w:rPr>
              <w:br w:type="textWrapping" w:clear="all"/>
            </w:r>
            <w:r>
              <w:rPr>
                <w:rFonts w:hint="eastAsia" w:ascii="仿宋" w:hAnsi="仿宋" w:eastAsia="仿宋" w:cs="仿宋"/>
                <w:sz w:val="28"/>
                <w:szCs w:val="28"/>
                <w:highlight w:val="none"/>
              </w:rPr>
              <w:t xml:space="preserve">5) 支持按病例类型、质控问题、异常入院的维度配置自动审核条件；满足校验条件通过的清单可自动进入下一个流程。</w:t>
            </w:r>
            <w:r>
              <w:rPr>
                <w:rFonts w:hint="eastAsia" w:ascii="仿宋" w:hAnsi="仿宋" w:eastAsia="仿宋" w:cs="仿宋"/>
                <w:sz w:val="28"/>
                <w:szCs w:val="28"/>
                <w:highlight w:val="none"/>
              </w:rPr>
            </w:r>
            <w:r/>
          </w:p>
        </w:tc>
      </w:tr>
      <w:tr>
        <w:trPr/>
        <w:tc>
          <w:tcPr>
            <w:gridSpan w:val="2"/>
            <w:tcW w:w="2127"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结算清单开放标准接口</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以标准视图方式提供质控完成的清单数据，支持HIS及第三方调用获取并上传医保局。</w:t>
            </w:r>
            <w:r>
              <w:rPr>
                <w:rFonts w:hint="eastAsia" w:ascii="仿宋" w:hAnsi="仿宋" w:eastAsia="仿宋" w:cs="仿宋"/>
                <w:sz w:val="28"/>
                <w:szCs w:val="28"/>
                <w:highlight w:val="none"/>
              </w:rPr>
            </w:r>
            <w:r/>
          </w:p>
        </w:tc>
      </w:tr>
      <w:tr>
        <w:trPr/>
        <w:tc>
          <w:tcPr>
            <w:gridSpan w:val="2"/>
            <w:tcW w:w="2127"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医保上报管理</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提供清单上传可视化界面，方便医院对清单上报进行管理；</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支持按姓名、住院号、病案号、医生、主诊断、主手术等搜索清单；</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支持手动上报和定时自动上报，支持批量一键上报，对自动上传失败的结算清单进行手动上报；</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支持对未上传清单进行批量退回操作，可选择退回至指定审核流程；</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支持对已上报的清单，撤销提交后重新进行上报；</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支持查看清单上报日志，包括上报时间、上报结果、接口返回信息；</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支持筛选查看自定义时间范围内上报的结算清单和对应诊断的统计情况；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支持预览结算清单，支持下载导出pdf版结算清单，可选择默认模板和紧凑模板。</w:t>
            </w:r>
            <w:r>
              <w:rPr>
                <w:rFonts w:hint="eastAsia" w:ascii="仿宋" w:hAnsi="仿宋" w:eastAsia="仿宋" w:cs="仿宋"/>
                <w:sz w:val="28"/>
                <w:szCs w:val="28"/>
                <w:highlight w:val="none"/>
              </w:rPr>
            </w:r>
            <w:r/>
          </w:p>
        </w:tc>
      </w:tr>
      <w:tr>
        <w:trPr/>
        <w:tc>
          <w:tcPr>
            <w:gridSpan w:val="2"/>
            <w:tcW w:w="2127"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医保结算清单上报接口</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支持适配医保局端加密对接方式，适配签到接口，完成上报前的身份验证；</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支持对接医保局端医疗保障基金结算清单信息上传接口，支持将所有完成审核的清单上传至医保局；</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支持对接医保局端医疗保障基金结算清单信息状态修改接口，修改结算清单提交状态；</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支持对接医保局端医疗保障基金结算清单信息查询接口，获取医保局端返回的上报结果；</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支持对不同院区配置不同的上报参数，使用不同的定点医疗机构编码、定点医疗机构名称、就医地医保区划，完成不同院区数据的上报。</w:t>
            </w:r>
            <w:r>
              <w:rPr>
                <w:rFonts w:hint="eastAsia" w:ascii="仿宋" w:hAnsi="仿宋" w:eastAsia="仿宋" w:cs="仿宋"/>
                <w:sz w:val="28"/>
                <w:szCs w:val="28"/>
                <w:highlight w:val="none"/>
              </w:rPr>
            </w:r>
            <w:r/>
          </w:p>
        </w:tc>
      </w:tr>
      <w:tr>
        <w:trPr/>
        <w:tc>
          <w:tcPr>
            <w:gridSpan w:val="2"/>
            <w:tcW w:w="2127" w:type="dxa"/>
            <w:vAlign w:val="center"/>
            <w:textDirection w:val="lrTb"/>
            <w:noWrap w:val="false"/>
          </w:tcPr>
          <w:p>
            <w:pPr>
              <w:pStyle w:val="933"/>
              <w:jc w:val="center"/>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医保结算清单上报服务</w:t>
            </w:r>
            <w:r>
              <w:rPr>
                <w:rFonts w:hint="eastAsia" w:ascii="仿宋" w:hAnsi="仿宋" w:eastAsia="仿宋" w:cs="仿宋"/>
                <w:sz w:val="28"/>
                <w:szCs w:val="28"/>
                <w:highlight w:val="none"/>
              </w:rPr>
            </w:r>
            <w:r/>
          </w:p>
        </w:tc>
        <w:tc>
          <w:tcPr>
            <w:tcW w:w="6591" w:type="dxa"/>
            <w:vAlign w:val="center"/>
            <w:textDirection w:val="lrTb"/>
            <w:noWrap w:val="false"/>
          </w:tcPr>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根据医保局结算清单上传要求，为医院提供在要求的时限内完成结算清单上传至医保局的全流程上传服务；</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支持对清单上传过程中发生的问题进行自动化识别，分派任务至指定服务工程师进行及时处理，可视化跟踪问题处理进度和完成情况；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提供因患者或其他非技术原因，需要医院重新生成清单并上传的处理服务，如：自费转医保、医保反交易、跨月冲销等情况；</w:t>
            </w:r>
            <w:r>
              <w:rPr>
                <w:rFonts w:hint="eastAsia" w:ascii="仿宋" w:hAnsi="仿宋" w:eastAsia="仿宋" w:cs="仿宋"/>
                <w:sz w:val="28"/>
                <w:szCs w:val="28"/>
                <w:highlight w:val="none"/>
              </w:rPr>
            </w:r>
            <w:r/>
          </w:p>
          <w:p>
            <w:pPr>
              <w:pStyle w:val="933"/>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提供上传失败清单的问题定位、协调处理、重新上传、补传服务，确保每一份有效清单均成功上传至医保局。</w:t>
            </w:r>
            <w:r>
              <w:rPr>
                <w:rFonts w:hint="eastAsia" w:ascii="仿宋" w:hAnsi="仿宋" w:eastAsia="仿宋" w:cs="仿宋"/>
                <w:sz w:val="28"/>
                <w:szCs w:val="28"/>
                <w:highlight w:val="none"/>
              </w:rPr>
            </w:r>
            <w:r/>
          </w:p>
        </w:tc>
      </w:tr>
    </w:tbl>
    <w:p>
      <w:pPr>
        <w:pStyle w:val="933"/>
        <w:keepLines w:val="0"/>
        <w:keepNext w:val="0"/>
        <w:pageBreakBefore w:val="0"/>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（四）</w:t>
      </w:r>
      <w:bookmarkStart w:id="39" w:name="_Toc172567374"/>
      <w:r>
        <w:rPr>
          <w:rFonts w:hint="eastAsia" w:ascii="仿宋" w:hAnsi="仿宋" w:eastAsia="仿宋" w:cs="仿宋"/>
          <w:sz w:val="28"/>
          <w:szCs w:val="28"/>
          <w:highlight w:val="none"/>
        </w:rPr>
        <w:t xml:space="preserve">医保智能审核系统</w:t>
      </w:r>
      <w:bookmarkEnd w:id="39"/>
      <w:r>
        <w:rPr>
          <w:rFonts w:hint="eastAsia" w:ascii="仿宋" w:hAnsi="仿宋" w:eastAsia="仿宋" w:cs="仿宋"/>
          <w:sz w:val="28"/>
          <w:szCs w:val="28"/>
          <w:highlight w:val="none"/>
        </w:rPr>
      </w:r>
      <w:r/>
    </w:p>
    <w:tbl>
      <w:tblPr>
        <w:tblStyle w:val="973"/>
        <w:tblW w:w="4902" w:type="pct"/>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120"/>
        <w:gridCol w:w="6799"/>
      </w:tblGrid>
      <w:tr>
        <w:trPr/>
        <w:tc>
          <w:tcPr>
            <w:tcW w:w="466" w:type="dxa"/>
            <w:vAlign w:val="center"/>
            <w:textDirection w:val="lrTb"/>
            <w:noWrap w:val="false"/>
          </w:tcPr>
          <w:p>
            <w:pPr>
              <w:pStyle w:val="933"/>
              <w:jc w:val="cente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模块</w:t>
            </w:r>
            <w:r>
              <w:rPr>
                <w:rFonts w:hint="eastAsia" w:ascii="仿宋" w:hAnsi="仿宋" w:eastAsia="仿宋" w:cs="仿宋"/>
                <w:b/>
                <w:bCs/>
                <w:sz w:val="28"/>
                <w:szCs w:val="28"/>
                <w:highlight w:val="none"/>
              </w:rPr>
            </w:r>
            <w:r/>
          </w:p>
        </w:tc>
        <w:tc>
          <w:tcPr>
            <w:tcW w:w="641" w:type="dxa"/>
            <w:vAlign w:val="center"/>
            <w:textDirection w:val="lrTb"/>
            <w:noWrap w:val="false"/>
          </w:tcPr>
          <w:p>
            <w:pPr>
              <w:pStyle w:val="933"/>
              <w:jc w:val="cente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功能点</w:t>
            </w:r>
            <w:r>
              <w:rPr>
                <w:rFonts w:hint="eastAsia" w:ascii="仿宋" w:hAnsi="仿宋" w:eastAsia="仿宋" w:cs="仿宋"/>
                <w:b/>
                <w:bCs/>
                <w:sz w:val="28"/>
                <w:szCs w:val="28"/>
                <w:highlight w:val="none"/>
              </w:rPr>
            </w:r>
            <w:r/>
          </w:p>
        </w:tc>
        <w:tc>
          <w:tcPr>
            <w:tcW w:w="3892" w:type="dxa"/>
            <w:vAlign w:val="center"/>
            <w:textDirection w:val="lrTb"/>
            <w:noWrap w:val="false"/>
          </w:tcPr>
          <w:p>
            <w:pPr>
              <w:pStyle w:val="933"/>
              <w:jc w:val="cente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功能描述</w:t>
            </w:r>
            <w:r>
              <w:rPr>
                <w:rFonts w:hint="eastAsia" w:ascii="仿宋" w:hAnsi="仿宋" w:eastAsia="仿宋" w:cs="仿宋"/>
                <w:b/>
                <w:bCs/>
                <w:sz w:val="28"/>
                <w:szCs w:val="28"/>
                <w:highlight w:val="none"/>
              </w:rPr>
            </w:r>
            <w:r/>
          </w:p>
        </w:tc>
      </w:tr>
      <w:tr>
        <w:trPr/>
        <w:tc>
          <w:tcPr>
            <w:tcW w:w="466" w:type="dxa"/>
            <w:vAlign w:val="center"/>
            <w:vMerge w:val="restart"/>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HIS业务场景违规实时预警</w:t>
            </w: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场景：门诊处方保存，急诊处方保存，住院医嘱保存</w:t>
            </w:r>
            <w:r>
              <w:rPr>
                <w:rFonts w:hint="eastAsia" w:ascii="仿宋" w:hAnsi="仿宋" w:eastAsia="仿宋" w:cs="仿宋"/>
                <w:sz w:val="28"/>
                <w:szCs w:val="28"/>
                <w:highlight w:val="none"/>
              </w:rPr>
            </w:r>
            <w:r/>
          </w:p>
        </w:tc>
        <w:tc>
          <w:tcPr>
            <w:tcW w:w="3892" w:type="dxa"/>
            <w:vAlign w:val="center"/>
            <w:textDirection w:val="lrTb"/>
            <w:noWrap w:val="false"/>
          </w:tcPr>
          <w:p>
            <w:pPr>
              <w:pStyle w:val="933"/>
              <w:numPr>
                <w:ilvl w:val="0"/>
                <w:numId w:val="1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支持医生在开具处方、开医嘱时，通过规则审核是否存在违反医保规定，并在HIS端展示审核返回违规行为的内容</w:t>
            </w:r>
            <w:r>
              <w:rPr>
                <w:rFonts w:hint="eastAsia" w:ascii="仿宋" w:hAnsi="仿宋" w:eastAsia="仿宋" w:cs="仿宋"/>
                <w:sz w:val="28"/>
                <w:szCs w:val="28"/>
                <w:highlight w:val="none"/>
              </w:rPr>
            </w:r>
            <w:r/>
          </w:p>
          <w:p>
            <w:pPr>
              <w:pStyle w:val="933"/>
              <w:numPr>
                <w:ilvl w:val="0"/>
                <w:numId w:val="1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支持对接HIS系统，当出现强制拦截的规则时，医嘱不可执行或收费</w:t>
            </w:r>
            <w:r>
              <w:rPr>
                <w:rFonts w:hint="eastAsia" w:ascii="仿宋" w:hAnsi="仿宋" w:eastAsia="仿宋" w:cs="仿宋"/>
                <w:sz w:val="28"/>
                <w:szCs w:val="28"/>
                <w:highlight w:val="none"/>
              </w:rPr>
            </w:r>
            <w:r/>
          </w:p>
          <w:p>
            <w:pPr>
              <w:pStyle w:val="933"/>
              <w:numPr>
                <w:ilvl w:val="0"/>
                <w:numId w:val="1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对医保限定相关的预警，可以勾选条件后继续执行，也可以将项目转自费进行收取</w:t>
            </w:r>
            <w:r>
              <w:rPr>
                <w:rFonts w:hint="eastAsia" w:ascii="仿宋" w:hAnsi="仿宋" w:eastAsia="仿宋" w:cs="仿宋"/>
                <w:sz w:val="28"/>
                <w:szCs w:val="28"/>
                <w:highlight w:val="none"/>
              </w:rPr>
            </w:r>
            <w:r/>
          </w:p>
          <w:p>
            <w:pPr>
              <w:pStyle w:val="933"/>
              <w:numPr>
                <w:ilvl w:val="0"/>
                <w:numId w:val="1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支持对违规填写理由后继续使用</w:t>
            </w:r>
            <w:r>
              <w:rPr>
                <w:rFonts w:hint="eastAsia" w:ascii="仿宋" w:hAnsi="仿宋" w:eastAsia="仿宋" w:cs="仿宋"/>
                <w:sz w:val="28"/>
                <w:szCs w:val="28"/>
                <w:highlight w:val="none"/>
              </w:rPr>
            </w:r>
            <w:r/>
          </w:p>
          <w:p>
            <w:pPr>
              <w:pStyle w:val="933"/>
              <w:numPr>
                <w:ilvl w:val="0"/>
                <w:numId w:val="1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支持查看违规下具体的费用明细，包括违规数量、违规金额、开单科室、开单医生、计费时间等</w:t>
            </w:r>
            <w:r>
              <w:rPr>
                <w:rFonts w:hint="eastAsia" w:ascii="仿宋" w:hAnsi="仿宋" w:eastAsia="仿宋" w:cs="仿宋"/>
                <w:sz w:val="28"/>
                <w:szCs w:val="28"/>
                <w:highlight w:val="none"/>
              </w:rPr>
            </w:r>
            <w:r/>
          </w:p>
        </w:tc>
      </w:tr>
      <w:tr>
        <w:trPr/>
        <w:tc>
          <w:tcPr>
            <w:tcW w:w="466" w:type="dxa"/>
            <w:vAlign w:val="center"/>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场景：住院医嘱执行，住院医嘱收费，住院医技收费</w:t>
            </w:r>
            <w:r>
              <w:rPr>
                <w:rFonts w:hint="eastAsia" w:ascii="仿宋" w:hAnsi="仿宋" w:eastAsia="仿宋" w:cs="仿宋"/>
                <w:sz w:val="28"/>
                <w:szCs w:val="28"/>
                <w:highlight w:val="none"/>
              </w:rPr>
            </w:r>
            <w:r/>
          </w:p>
        </w:tc>
        <w:tc>
          <w:tcPr>
            <w:tcW w:w="3892" w:type="dxa"/>
            <w:vAlign w:val="center"/>
            <w:textDirection w:val="lrTb"/>
            <w:noWrap w:val="false"/>
          </w:tcPr>
          <w:p>
            <w:pPr>
              <w:pStyle w:val="933"/>
              <w:numPr>
                <w:ilvl w:val="0"/>
                <w:numId w:val="1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支持护士在执行医嘱、收费时，通过规则审核是否存在违反医保规定，并在HIS端展示审核返回违规行为的内容。</w:t>
            </w:r>
            <w:r>
              <w:rPr>
                <w:rFonts w:hint="eastAsia" w:ascii="仿宋" w:hAnsi="仿宋" w:eastAsia="仿宋" w:cs="仿宋"/>
                <w:sz w:val="28"/>
                <w:szCs w:val="28"/>
                <w:highlight w:val="none"/>
              </w:rPr>
            </w:r>
            <w:r/>
          </w:p>
          <w:p>
            <w:pPr>
              <w:pStyle w:val="933"/>
              <w:numPr>
                <w:ilvl w:val="0"/>
                <w:numId w:val="1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支持对接HIS系统，当出现强制拦截的规则时，医嘱不可执行或收费。</w:t>
            </w:r>
            <w:r>
              <w:rPr>
                <w:rFonts w:hint="eastAsia" w:ascii="仿宋" w:hAnsi="仿宋" w:eastAsia="仿宋" w:cs="仿宋"/>
                <w:sz w:val="28"/>
                <w:szCs w:val="28"/>
                <w:highlight w:val="none"/>
              </w:rPr>
            </w:r>
            <w:r/>
          </w:p>
          <w:p>
            <w:pPr>
              <w:pStyle w:val="933"/>
              <w:numPr>
                <w:ilvl w:val="0"/>
                <w:numId w:val="1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对医保限定相关的预警，可以勾选条件后继续执行，也可以将项目转自费进行收取。</w:t>
            </w:r>
            <w:r>
              <w:rPr>
                <w:rFonts w:hint="eastAsia" w:ascii="仿宋" w:hAnsi="仿宋" w:eastAsia="仿宋" w:cs="仿宋"/>
                <w:sz w:val="28"/>
                <w:szCs w:val="28"/>
                <w:highlight w:val="none"/>
              </w:rPr>
            </w:r>
            <w:r/>
          </w:p>
          <w:p>
            <w:pPr>
              <w:pStyle w:val="933"/>
              <w:numPr>
                <w:ilvl w:val="0"/>
                <w:numId w:val="1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支持对违规填写理由后继续使用。</w:t>
            </w:r>
            <w:r>
              <w:rPr>
                <w:rFonts w:hint="eastAsia" w:ascii="仿宋" w:hAnsi="仿宋" w:eastAsia="仿宋" w:cs="仿宋"/>
                <w:sz w:val="28"/>
                <w:szCs w:val="28"/>
                <w:highlight w:val="none"/>
              </w:rPr>
            </w:r>
            <w:r/>
          </w:p>
          <w:p>
            <w:pPr>
              <w:pStyle w:val="933"/>
              <w:numPr>
                <w:ilvl w:val="0"/>
                <w:numId w:val="1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支持查看违规下具体的费用明细，包括违规数量、违规金额、开单科室、开单医生、计费时间等。</w:t>
            </w:r>
            <w:r>
              <w:rPr>
                <w:rFonts w:hint="eastAsia" w:ascii="仿宋" w:hAnsi="仿宋" w:eastAsia="仿宋" w:cs="仿宋"/>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场景：住院录入诊断、手术</w:t>
            </w:r>
            <w:r>
              <w:rPr>
                <w:rFonts w:hint="eastAsia" w:ascii="仿宋" w:hAnsi="仿宋" w:eastAsia="仿宋" w:cs="仿宋"/>
                <w:sz w:val="28"/>
                <w:szCs w:val="28"/>
                <w:highlight w:val="none"/>
              </w:rPr>
            </w:r>
            <w:r/>
          </w:p>
        </w:tc>
        <w:tc>
          <w:tcPr>
            <w:tcW w:w="3892"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支持医生在录入诊断、手术时，通过规则审核是否存在诊断手术缺漏等违规行为。</w:t>
            </w:r>
            <w:r>
              <w:rPr>
                <w:rFonts w:hint="eastAsia" w:ascii="仿宋" w:hAnsi="仿宋" w:eastAsia="仿宋" w:cs="仿宋"/>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场景：住院实时查询、开出院医嘱</w:t>
            </w:r>
            <w:r>
              <w:rPr>
                <w:rFonts w:hint="eastAsia" w:ascii="仿宋" w:hAnsi="仿宋" w:eastAsia="仿宋" w:cs="仿宋"/>
                <w:sz w:val="28"/>
                <w:szCs w:val="28"/>
                <w:highlight w:val="none"/>
              </w:rPr>
            </w:r>
            <w:r/>
          </w:p>
        </w:tc>
        <w:tc>
          <w:tcPr>
            <w:tcW w:w="3892" w:type="dxa"/>
            <w:vAlign w:val="center"/>
            <w:textDirection w:val="lrTb"/>
            <w:noWrap w:val="false"/>
          </w:tcPr>
          <w:p>
            <w:pPr>
              <w:pStyle w:val="933"/>
              <w:numPr>
                <w:ilvl w:val="0"/>
                <w:numId w:val="1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支持医生实时查询在院患者违规情况，包括当前违规预警条数、规则名称、违规原因、违规项目、预警级别等信息；</w:t>
            </w:r>
            <w:r>
              <w:rPr>
                <w:rFonts w:hint="eastAsia" w:ascii="仿宋" w:hAnsi="仿宋" w:eastAsia="仿宋" w:cs="仿宋"/>
                <w:sz w:val="28"/>
                <w:szCs w:val="28"/>
                <w:highlight w:val="none"/>
              </w:rPr>
            </w:r>
            <w:r/>
          </w:p>
          <w:p>
            <w:pPr>
              <w:pStyle w:val="933"/>
              <w:numPr>
                <w:ilvl w:val="0"/>
                <w:numId w:val="1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对医保限定相关的预警，医生可以勾选条件后继续使用，也可以将项目转自费使用</w:t>
            </w:r>
            <w:r>
              <w:rPr>
                <w:rFonts w:hint="eastAsia" w:ascii="仿宋" w:hAnsi="仿宋" w:eastAsia="仿宋" w:cs="仿宋"/>
                <w:sz w:val="28"/>
                <w:szCs w:val="28"/>
                <w:highlight w:val="none"/>
              </w:rPr>
            </w:r>
            <w:r/>
          </w:p>
          <w:p>
            <w:pPr>
              <w:pStyle w:val="933"/>
              <w:numPr>
                <w:ilvl w:val="0"/>
                <w:numId w:val="1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支持对违规填写理由后继续使用</w:t>
            </w:r>
            <w:r>
              <w:rPr>
                <w:rFonts w:hint="eastAsia" w:ascii="仿宋" w:hAnsi="仿宋" w:eastAsia="仿宋" w:cs="仿宋"/>
                <w:sz w:val="28"/>
                <w:szCs w:val="28"/>
                <w:highlight w:val="none"/>
              </w:rPr>
            </w:r>
            <w:r/>
          </w:p>
          <w:p>
            <w:pPr>
              <w:pStyle w:val="933"/>
              <w:numPr>
                <w:ilvl w:val="0"/>
                <w:numId w:val="1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支持查看违规下具体的费用明细，包括违规数量、违规金额、开单科室、开单医生、计费时间等</w:t>
            </w:r>
            <w:r>
              <w:rPr>
                <w:rFonts w:hint="eastAsia" w:ascii="仿宋" w:hAnsi="仿宋" w:eastAsia="仿宋" w:cs="仿宋"/>
                <w:sz w:val="28"/>
                <w:szCs w:val="28"/>
                <w:highlight w:val="none"/>
              </w:rPr>
            </w:r>
            <w:r/>
          </w:p>
          <w:p>
            <w:pPr>
              <w:pStyle w:val="933"/>
              <w:numPr>
                <w:ilvl w:val="0"/>
                <w:numId w:val="1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支持同时查看智审违规和DRG分组信息</w:t>
            </w:r>
            <w:r>
              <w:rPr>
                <w:rFonts w:hint="eastAsia" w:ascii="仿宋" w:hAnsi="仿宋" w:eastAsia="仿宋" w:cs="仿宋"/>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场景：办理预出院</w:t>
            </w:r>
            <w:r>
              <w:rPr>
                <w:rFonts w:hint="eastAsia" w:ascii="仿宋" w:hAnsi="仿宋" w:eastAsia="仿宋" w:cs="仿宋"/>
                <w:sz w:val="28"/>
                <w:szCs w:val="28"/>
                <w:highlight w:val="none"/>
              </w:rPr>
            </w:r>
            <w:r/>
          </w:p>
        </w:tc>
        <w:tc>
          <w:tcPr>
            <w:tcW w:w="3892" w:type="dxa"/>
            <w:vAlign w:val="center"/>
            <w:textDirection w:val="lrTb"/>
            <w:noWrap w:val="false"/>
          </w:tcPr>
          <w:p>
            <w:pPr>
              <w:pStyle w:val="933"/>
              <w:numPr>
                <w:ilvl w:val="0"/>
                <w:numId w:val="18"/>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支持护士在办理预出院时，通过规则审核是否存在违反医保规定，并在HIS端展示审核返回违规行为的内容</w:t>
            </w:r>
            <w:r>
              <w:rPr>
                <w:rFonts w:hint="eastAsia" w:ascii="仿宋" w:hAnsi="仿宋" w:eastAsia="仿宋" w:cs="仿宋"/>
                <w:sz w:val="28"/>
                <w:szCs w:val="28"/>
                <w:highlight w:val="none"/>
              </w:rPr>
            </w:r>
            <w:r/>
          </w:p>
          <w:p>
            <w:pPr>
              <w:pStyle w:val="933"/>
              <w:numPr>
                <w:ilvl w:val="0"/>
                <w:numId w:val="18"/>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支持对接HIS系统，当出现强制拦截的规则时，需要处理完才可办理预出院</w:t>
            </w:r>
            <w:r>
              <w:rPr>
                <w:rFonts w:hint="eastAsia" w:ascii="仿宋" w:hAnsi="仿宋" w:eastAsia="仿宋" w:cs="仿宋"/>
                <w:sz w:val="28"/>
                <w:szCs w:val="28"/>
                <w:highlight w:val="none"/>
              </w:rPr>
            </w:r>
            <w:r/>
          </w:p>
          <w:p>
            <w:pPr>
              <w:pStyle w:val="933"/>
              <w:numPr>
                <w:ilvl w:val="0"/>
                <w:numId w:val="18"/>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支持对违规填写理由后继续使用</w:t>
            </w:r>
            <w:r>
              <w:rPr>
                <w:rFonts w:hint="eastAsia" w:ascii="仿宋" w:hAnsi="仿宋" w:eastAsia="仿宋" w:cs="仿宋"/>
                <w:sz w:val="28"/>
                <w:szCs w:val="28"/>
                <w:highlight w:val="none"/>
              </w:rPr>
            </w:r>
            <w:r/>
          </w:p>
          <w:p>
            <w:pPr>
              <w:pStyle w:val="933"/>
              <w:numPr>
                <w:ilvl w:val="0"/>
                <w:numId w:val="18"/>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支持查看违规下具体的费用明细，包括违规数量、违规金额、开单科室、开单医生、计费时间等</w:t>
            </w:r>
            <w:r>
              <w:rPr>
                <w:rFonts w:hint="eastAsia" w:ascii="仿宋" w:hAnsi="仿宋" w:eastAsia="仿宋" w:cs="仿宋"/>
                <w:sz w:val="28"/>
                <w:szCs w:val="28"/>
                <w:highlight w:val="none"/>
              </w:rPr>
            </w:r>
            <w:r/>
          </w:p>
        </w:tc>
      </w:tr>
      <w:tr>
        <w:trPr/>
        <w:tc>
          <w:tcPr>
            <w:tcW w:w="466"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总览</w:t>
            </w: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jc w:val="center"/>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系统审核结果总览</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支持查看依从金额、依从金额占比、依从金额环比的统计数据；支持查看依从率、依从次数、依从率环比的统计数据展示；</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支持查看依从率最低TOP10的科室数据；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支持查看提醒触发操作次数、提醒触发操作占比、提醒触发操作环比的统计数据；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支持按操作类型查看提醒触发操作次数占比的数据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支持下钻到依从性统计分析进一步查看依从性更详细的分析数据；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支持查看违规金额、违规金额占比、违规金额环比的统计数据；支持查违规人次、违规人次占比、违规人次环比的统计数据展示；</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支持以分析图形式，查看全院违规金额、违规人次趋势数据分析；</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支持查看违规金额最高TOP5的科室、院内违规项目数据；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支持按违规等级、规则分类查看违规金额占比的数据。</w:t>
            </w:r>
            <w:r>
              <w:rPr>
                <w:rFonts w:hint="eastAsia" w:ascii="仿宋" w:hAnsi="仿宋" w:eastAsia="仿宋" w:cs="仿宋"/>
                <w:sz w:val="28"/>
                <w:szCs w:val="28"/>
                <w:highlight w:val="none"/>
              </w:rPr>
            </w:r>
            <w:r/>
          </w:p>
          <w:p>
            <w:pPr>
              <w:pStyle w:val="933"/>
              <w:numPr>
                <w:ilvl w:val="0"/>
                <w:numId w:val="19"/>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支持下钻到科室违规分析、项目违规分析分析进一步查看更详细的分析数据；</w:t>
            </w:r>
            <w:r>
              <w:rPr>
                <w:rFonts w:hint="eastAsia" w:ascii="仿宋" w:hAnsi="仿宋" w:eastAsia="仿宋" w:cs="仿宋"/>
                <w:color w:val="000000"/>
                <w:sz w:val="28"/>
                <w:szCs w:val="28"/>
                <w:highlight w:val="none"/>
              </w:rPr>
            </w:r>
            <w:r/>
          </w:p>
        </w:tc>
      </w:tr>
      <w:tr>
        <w:trPr/>
        <w:tc>
          <w:tcPr>
            <w:tcW w:w="466" w:type="dxa"/>
            <w:vAlign w:val="center"/>
            <w:vMerge w:val="restart"/>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提醒与预警</w:t>
            </w: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提醒触发记录</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提供门诊、住院提醒触发记录追溯功能，支持提醒维度查看具体违规提醒触发记录；</w:t>
            </w:r>
            <w:r>
              <w:rPr>
                <w:rFonts w:hint="eastAsia" w:ascii="仿宋" w:hAnsi="仿宋" w:eastAsia="仿宋" w:cs="仿宋"/>
                <w:sz w:val="28"/>
                <w:szCs w:val="28"/>
                <w:highlight w:val="none"/>
              </w:rPr>
            </w:r>
            <w:r/>
          </w:p>
          <w:p>
            <w:pPr>
              <w:pStyle w:val="933"/>
              <w:numPr>
                <w:ilvl w:val="0"/>
                <w:numId w:val="20"/>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支持在选定的时间范围，按医院项目名称、规则、医保类型、科室、医生、统筹区等条件筛查违规数据；支持按违规等级筛选违规数据，可分别筛选明确违规与疑似违规行为；违规数据支持自</w:t>
            </w:r>
            <w:r>
              <w:rPr>
                <w:rFonts w:hint="eastAsia" w:ascii="仿宋" w:hAnsi="仿宋" w:eastAsia="仿宋" w:cs="仿宋"/>
                <w:color w:val="000000"/>
                <w:sz w:val="28"/>
                <w:szCs w:val="28"/>
                <w:highlight w:val="none"/>
              </w:rPr>
              <w:t xml:space="preserve">动更新；</w:t>
            </w:r>
            <w:r>
              <w:rPr>
                <w:rFonts w:hint="eastAsia" w:ascii="仿宋" w:hAnsi="仿宋" w:eastAsia="仿宋" w:cs="仿宋"/>
                <w:color w:val="000000"/>
                <w:sz w:val="28"/>
                <w:szCs w:val="28"/>
                <w:highlight w:val="none"/>
              </w:rPr>
            </w:r>
            <w:r/>
          </w:p>
          <w:p>
            <w:pPr>
              <w:pStyle w:val="933"/>
              <w:numPr>
                <w:ilvl w:val="0"/>
                <w:numId w:val="2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病例门诊、住院详情信息，包括患者基本信息、参保信息、就诊信息、医疗费用总额、违规金额等，支持模糊搜索患者姓名快速定位；支持查看患者门诊违规明细，包含具体规则名称、违规原因、违规项目、总价、预警级别、责任医生、责任科室、计费时间等内容；</w:t>
            </w:r>
            <w:r>
              <w:rPr>
                <w:rFonts w:hint="eastAsia" w:ascii="仿宋" w:hAnsi="仿宋" w:eastAsia="仿宋" w:cs="仿宋"/>
                <w:sz w:val="28"/>
                <w:szCs w:val="28"/>
                <w:highlight w:val="none"/>
              </w:rPr>
            </w:r>
            <w:r/>
          </w:p>
          <w:p>
            <w:pPr>
              <w:pStyle w:val="933"/>
              <w:numPr>
                <w:ilvl w:val="0"/>
                <w:numId w:val="2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支持筛选和查看临床对提醒触发的具体操作类型；</w:t>
            </w:r>
            <w:r>
              <w:rPr>
                <w:rFonts w:hint="eastAsia" w:ascii="仿宋" w:hAnsi="仿宋" w:eastAsia="仿宋" w:cs="仿宋"/>
                <w:sz w:val="28"/>
                <w:szCs w:val="28"/>
                <w:highlight w:val="none"/>
              </w:rPr>
            </w:r>
            <w:r/>
          </w:p>
          <w:p>
            <w:pPr>
              <w:pStyle w:val="933"/>
              <w:numPr>
                <w:ilvl w:val="0"/>
                <w:numId w:val="2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支持筛选和查看临床对违规项目的忽略记录和备案理由；</w:t>
            </w:r>
            <w:r>
              <w:rPr>
                <w:rFonts w:hint="eastAsia" w:ascii="仿宋" w:hAnsi="仿宋" w:eastAsia="仿宋" w:cs="仿宋"/>
                <w:sz w:val="28"/>
                <w:szCs w:val="28"/>
                <w:highlight w:val="none"/>
              </w:rPr>
            </w:r>
            <w:r/>
          </w:p>
          <w:p>
            <w:pPr>
              <w:pStyle w:val="933"/>
              <w:numPr>
                <w:ilvl w:val="0"/>
                <w:numId w:val="20"/>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支持下载导出、住院门诊预警记录统计表。</w:t>
            </w:r>
            <w:r>
              <w:rPr>
                <w:rFonts w:hint="eastAsia" w:ascii="仿宋" w:hAnsi="仿宋" w:eastAsia="仿宋" w:cs="仿宋"/>
                <w:color w:val="000000"/>
                <w:sz w:val="28"/>
                <w:szCs w:val="28"/>
                <w:highlight w:val="none"/>
              </w:rPr>
            </w:r>
            <w:r/>
          </w:p>
        </w:tc>
      </w:tr>
      <w:tr>
        <w:trPr/>
        <w:tc>
          <w:tcPr>
            <w:tcW w:w="466" w:type="dxa"/>
            <w:vAlign w:val="center"/>
            <w:vMerge w:val="continue"/>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在院预警审核</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提供住院疑似违规预警记录追溯功能，支持按违规维度查看违规记录数据，支持按患者维度查看存在违规的患者数据；</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支持在选定的时间范围，支持高级筛选进行对比表格数据的复杂筛选；支持按预警级别筛选违规病例，可分别筛选明确违规与疑似违规行为；违规数据支持自动更新；</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支持查看时间筛选范围内整体违规数据，包括违规总金额、违规次数、违规病例数；</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支持查看按项目分类查看违规金额、次数占比统计；</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支持查看违规金额、次数top10的项目；支持查看违规金额、次数top10的开单科室；</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违规病例住院详情信息，包括患者基本信息、参保信息、住院信息、医疗费用总额、违规金额等，支持模糊搜索患者姓名快速定位；支持查看患者住院违规明细，包含具体规则名称、违规原因、违规项目、总价、预警级别、责任医生、责任科室、医嘱类型、医嘱时间、计费时间等内容；</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支持下钻进入患者详情查看，包括违规明细数据、费用明细数据、基本信息数据、诊断手术数据；</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支持对规则明细进行调整，包括预警等级、预警应用场景</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支持对规则进行关闭，针对规则明细按患者、按科室进行关闭</w:t>
            </w:r>
            <w:r>
              <w:rPr>
                <w:rFonts w:hint="eastAsia" w:ascii="仿宋" w:hAnsi="仿宋" w:eastAsia="仿宋" w:cs="仿宋"/>
                <w:sz w:val="28"/>
                <w:szCs w:val="28"/>
                <w:highlight w:val="none"/>
              </w:rPr>
            </w:r>
            <w:r/>
          </w:p>
          <w:p>
            <w:pPr>
              <w:pStyle w:val="933"/>
              <w:numPr>
                <w:ilvl w:val="0"/>
                <w:numId w:val="21"/>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支持支持按违规维度/违规患者维度下载导出住院违规数据、违规患者数据。</w:t>
            </w:r>
            <w:r>
              <w:rPr>
                <w:rFonts w:hint="eastAsia" w:ascii="仿宋" w:hAnsi="仿宋" w:eastAsia="仿宋" w:cs="仿宋"/>
                <w:color w:val="000000"/>
                <w:sz w:val="28"/>
                <w:szCs w:val="28"/>
                <w:highlight w:val="none"/>
              </w:rPr>
            </w:r>
            <w:r/>
          </w:p>
        </w:tc>
      </w:tr>
      <w:tr>
        <w:trPr/>
        <w:tc>
          <w:tcPr>
            <w:tcW w:w="466" w:type="dxa"/>
            <w:vAlign w:val="center"/>
            <w:vMerge w:val="restart"/>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审核与申诉</w:t>
            </w: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违规审核</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2"/>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提供已就诊、已出院患者违规数据查看功能，支持按患者维度查看具体违规数据；</w:t>
            </w:r>
            <w:r>
              <w:rPr>
                <w:rFonts w:hint="eastAsia" w:ascii="仿宋" w:hAnsi="仿宋" w:eastAsia="仿宋" w:cs="仿宋"/>
                <w:sz w:val="28"/>
                <w:szCs w:val="28"/>
                <w:highlight w:val="none"/>
              </w:rPr>
            </w:r>
            <w:r/>
          </w:p>
          <w:p>
            <w:pPr>
              <w:pStyle w:val="933"/>
              <w:numPr>
                <w:ilvl w:val="0"/>
                <w:numId w:val="22"/>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支持在选定的时间范围，按医院项目名称、规则、医保类型、科室、医生、统筹区等条件筛查违规病例；支持按预警级别筛选违规病例，可分别筛选明确违规与疑似违规行为；违规数据支持自动更新；</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费用明细信息，包括违规费用明细以及未违规的费用明细；支持医院项目名称模糊搜索快速定位；支持仅查看人工审核，支持仅看违规；支持查看违规详情，按违规原因查看违规明细，支持查看联合判断项以及多项目关联违规；并支持手动添加扣款功能；</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p>
            <w:pPr>
              <w:pStyle w:val="933"/>
              <w:numPr>
                <w:ilvl w:val="0"/>
                <w:numId w:val="22"/>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支持查看单据扣款信息；并支持手动添加扣款功能；</w:t>
            </w:r>
            <w:r>
              <w:rPr>
                <w:rFonts w:hint="eastAsia" w:ascii="仿宋" w:hAnsi="仿宋" w:eastAsia="仿宋" w:cs="仿宋"/>
                <w:color w:val="000000"/>
                <w:sz w:val="28"/>
                <w:szCs w:val="28"/>
                <w:highlight w:val="none"/>
              </w:rPr>
            </w:r>
            <w:r/>
          </w:p>
        </w:tc>
      </w:tr>
      <w:tr>
        <w:trPr/>
        <w:tc>
          <w:tcPr>
            <w:tcW w:w="466" w:type="dxa"/>
            <w:vAlign w:val="center"/>
            <w:vMerge w:val="continue"/>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违规申诉管理</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支持根据登录用户权限范围查看对应的违规单详情列表，包括违规科室、医生、违规项目信息、违规金额、规则名称、申诉状态；</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支持按规则名称、科室、医生、患者姓名、违规项目等维度筛选进行查看；</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支持对违规项目进行申诉，填写申诉理由，支持添加上传申诉支撑材料；</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提供患者诊断手术信息、费用结算信息查询</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支持将违规项目转交给其他用户处理</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支持对违规进行手动分配操作</w:t>
            </w:r>
            <w:r>
              <w:rPr>
                <w:rFonts w:hint="eastAsia" w:ascii="仿宋" w:hAnsi="仿宋" w:eastAsia="仿宋" w:cs="仿宋"/>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支持下载导出全机构申诉列表和材料；并支持按照违规单导入时的数据进行原表导出</w:t>
            </w:r>
            <w:r>
              <w:rPr>
                <w:rFonts w:hint="eastAsia" w:ascii="仿宋" w:hAnsi="仿宋" w:eastAsia="仿宋" w:cs="仿宋"/>
                <w:color w:val="000000"/>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支持申诉截止剩余时间查看，支持调整申诉截止时间</w:t>
            </w:r>
            <w:r>
              <w:rPr>
                <w:rFonts w:hint="eastAsia" w:ascii="仿宋" w:hAnsi="仿宋" w:eastAsia="仿宋" w:cs="仿宋"/>
                <w:color w:val="000000"/>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支持医生直接在工作站查看和填写申诉信息</w:t>
            </w:r>
            <w:r>
              <w:rPr>
                <w:rFonts w:hint="eastAsia" w:ascii="仿宋" w:hAnsi="仿宋" w:eastAsia="仿宋" w:cs="仿宋"/>
                <w:color w:val="000000"/>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对于限制性药品规则，系统自动梳理申诉重点，辅助医生填写申诉</w:t>
            </w:r>
            <w:r>
              <w:rPr>
                <w:rFonts w:hint="eastAsia" w:ascii="仿宋" w:hAnsi="仿宋" w:eastAsia="仿宋" w:cs="仿宋"/>
                <w:color w:val="000000"/>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支持查看和复制事前违规提醒填写过的备案理由</w:t>
            </w:r>
            <w:r>
              <w:rPr>
                <w:rFonts w:hint="eastAsia" w:ascii="仿宋" w:hAnsi="仿宋" w:eastAsia="仿宋" w:cs="仿宋"/>
                <w:color w:val="000000"/>
                <w:sz w:val="28"/>
                <w:szCs w:val="28"/>
                <w:highlight w:val="none"/>
              </w:rPr>
            </w:r>
            <w:r/>
          </w:p>
          <w:p>
            <w:pPr>
              <w:pStyle w:val="933"/>
              <w:numPr>
                <w:ilvl w:val="0"/>
                <w:numId w:val="2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支持对接HIS，可快速添加支持申诉材料，包括电子病历首页，出院小结等</w:t>
            </w:r>
            <w:r>
              <w:rPr>
                <w:rFonts w:hint="eastAsia" w:ascii="仿宋" w:hAnsi="仿宋" w:eastAsia="仿宋" w:cs="仿宋"/>
                <w:color w:val="000000"/>
                <w:sz w:val="28"/>
                <w:szCs w:val="28"/>
                <w:highlight w:val="none"/>
              </w:rPr>
            </w:r>
            <w:r/>
          </w:p>
        </w:tc>
      </w:tr>
      <w:tr>
        <w:trPr/>
        <w:tc>
          <w:tcPr>
            <w:tcW w:w="466" w:type="dxa"/>
            <w:vAlign w:val="center"/>
            <w:vMerge w:val="continue"/>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违规单导入</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4"/>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支持导入多种类型的违规单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支持导入行为类违规单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支持导入费用类违规单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支持导入含合并项的违规单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支持导入初审违规单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支持导入终审违规单</w:t>
            </w:r>
            <w:r>
              <w:rPr>
                <w:rFonts w:hint="eastAsia" w:ascii="仿宋" w:hAnsi="仿宋" w:eastAsia="仿宋" w:cs="仿宋"/>
                <w:sz w:val="28"/>
                <w:szCs w:val="28"/>
                <w:highlight w:val="none"/>
              </w:rPr>
            </w:r>
            <w:r/>
          </w:p>
          <w:p>
            <w:pPr>
              <w:pStyle w:val="1025"/>
              <w:numPr>
                <w:ilvl w:val="0"/>
                <w:numId w:val="2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支持不同局端的违规单</w:t>
            </w:r>
            <w:r>
              <w:rPr>
                <w:rFonts w:hint="eastAsia" w:ascii="仿宋" w:hAnsi="仿宋" w:eastAsia="仿宋" w:cs="仿宋"/>
                <w:sz w:val="28"/>
                <w:szCs w:val="28"/>
                <w:highlight w:val="none"/>
              </w:rPr>
            </w:r>
            <w:r/>
          </w:p>
          <w:p>
            <w:pPr>
              <w:pStyle w:val="933"/>
              <w:numPr>
                <w:ilvl w:val="0"/>
                <w:numId w:val="24"/>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支持查看已导入违规单数据</w:t>
            </w:r>
            <w:r>
              <w:rPr>
                <w:rFonts w:hint="eastAsia" w:ascii="仿宋" w:hAnsi="仿宋" w:eastAsia="仿宋" w:cs="仿宋"/>
                <w:sz w:val="28"/>
                <w:szCs w:val="28"/>
                <w:highlight w:val="none"/>
              </w:rPr>
            </w:r>
            <w:r/>
          </w:p>
          <w:p>
            <w:pPr>
              <w:pStyle w:val="933"/>
              <w:numPr>
                <w:ilvl w:val="0"/>
                <w:numId w:val="24"/>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当违规单导入异常时，支持手动处理异常数据</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支持搜索患者数据</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支持手动匹配患者、取消匹配患者</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支持搜索患者的费用数据</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支持手动匹配费用项目、取消匹配费用项目</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支持查看匹配成功的患者或费用</w:t>
            </w:r>
            <w:r>
              <w:rPr>
                <w:rFonts w:hint="eastAsia" w:ascii="仿宋" w:hAnsi="仿宋" w:eastAsia="仿宋" w:cs="仿宋"/>
                <w:sz w:val="28"/>
                <w:szCs w:val="28"/>
                <w:highlight w:val="none"/>
              </w:rPr>
            </w:r>
            <w:r/>
          </w:p>
          <w:p>
            <w:pPr>
              <w:pStyle w:val="1025"/>
              <w:numPr>
                <w:ilvl w:val="0"/>
                <w:numId w:val="26"/>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支持查看重复数据</w:t>
            </w:r>
            <w:r>
              <w:rPr>
                <w:rFonts w:hint="eastAsia" w:ascii="仿宋" w:hAnsi="仿宋" w:eastAsia="仿宋" w:cs="仿宋"/>
                <w:sz w:val="28"/>
                <w:szCs w:val="28"/>
                <w:highlight w:val="none"/>
              </w:rPr>
            </w:r>
            <w:r/>
          </w:p>
          <w:p>
            <w:pPr>
              <w:pStyle w:val="933"/>
              <w:numPr>
                <w:ilvl w:val="0"/>
                <w:numId w:val="24"/>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支持人工录入违规</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支持手动查询住院或门诊患者</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支持查看患者基本信息、诊断和手术</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支持查看患者费用明细</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支持手动添加费用类违规</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支持手动添加行为违规</w:t>
            </w:r>
            <w:r>
              <w:rPr>
                <w:rFonts w:hint="eastAsia" w:ascii="仿宋" w:hAnsi="仿宋" w:eastAsia="仿宋" w:cs="仿宋"/>
                <w:sz w:val="28"/>
                <w:szCs w:val="28"/>
                <w:highlight w:val="none"/>
              </w:rPr>
            </w:r>
            <w:r/>
          </w:p>
          <w:p>
            <w:pPr>
              <w:pStyle w:val="1025"/>
              <w:numPr>
                <w:ilvl w:val="0"/>
                <w:numId w:val="27"/>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支持手动填写违规金额</w:t>
            </w:r>
            <w:r>
              <w:rPr>
                <w:rFonts w:hint="eastAsia" w:ascii="仿宋" w:hAnsi="仿宋" w:eastAsia="仿宋" w:cs="仿宋"/>
                <w:sz w:val="28"/>
                <w:szCs w:val="28"/>
                <w:highlight w:val="none"/>
              </w:rPr>
            </w:r>
            <w:r/>
          </w:p>
        </w:tc>
      </w:tr>
      <w:tr>
        <w:trPr/>
        <w:tc>
          <w:tcPr>
            <w:tcW w:w="466" w:type="dxa"/>
            <w:vAlign w:val="center"/>
            <w:vMerge w:val="continue"/>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扣款管理</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8"/>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支持根据登录用户权限范围查看对应的违规单详情列表，包括违规科室、医生、违规项目信息、违规金额、规则名称、局端最终金额；支持填写院端最终扣款金额；</w:t>
            </w:r>
            <w:r>
              <w:rPr>
                <w:rFonts w:hint="eastAsia" w:ascii="仿宋" w:hAnsi="仿宋" w:eastAsia="仿宋" w:cs="仿宋"/>
                <w:sz w:val="28"/>
                <w:szCs w:val="28"/>
                <w:highlight w:val="none"/>
              </w:rPr>
            </w:r>
            <w:r/>
          </w:p>
          <w:p>
            <w:pPr>
              <w:pStyle w:val="933"/>
              <w:numPr>
                <w:ilvl w:val="0"/>
                <w:numId w:val="28"/>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支持展示当前数据筛选范围的扣款总计金额</w:t>
            </w:r>
            <w:r>
              <w:rPr>
                <w:rFonts w:hint="eastAsia" w:ascii="仿宋" w:hAnsi="仿宋" w:eastAsia="仿宋" w:cs="仿宋"/>
                <w:color w:val="000000"/>
                <w:sz w:val="28"/>
                <w:szCs w:val="28"/>
                <w:highlight w:val="none"/>
              </w:rPr>
            </w:r>
            <w:r/>
          </w:p>
        </w:tc>
      </w:tr>
      <w:tr>
        <w:trPr/>
        <w:tc>
          <w:tcPr>
            <w:tcW w:w="466" w:type="dxa"/>
            <w:vAlign w:val="center"/>
            <w:vMerge w:val="restart"/>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统计分析</w:t>
            </w: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依从性分析</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2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支持按门诊/住院维度分析所有已就诊/已出院患者发生费用的违规</w:t>
            </w:r>
            <w:r>
              <w:rPr>
                <w:rFonts w:hint="eastAsia" w:ascii="仿宋" w:hAnsi="仿宋" w:eastAsia="仿宋" w:cs="仿宋"/>
                <w:color w:val="000000"/>
                <w:sz w:val="28"/>
                <w:szCs w:val="28"/>
                <w:highlight w:val="none"/>
              </w:rPr>
              <w:t xml:space="preserve">依从性统计以及提醒触发数据统计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3"/>
              <w:numPr>
                <w:ilvl w:val="0"/>
                <w:numId w:val="2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支持查看依从金额、提醒触发金额、依从金额占比的统计数据；支持查看依从率、依从次数、提醒触发次数的统计数据；</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▲支持以分析图形式，查看依从金额、提醒触发金额趋势数据分析；支持以分析图形式，查看依从次数、提醒触发次数趋势数据分析；</w:t>
            </w:r>
            <w:r>
              <w:rPr>
                <w:rFonts w:hint="eastAsia" w:ascii="仿宋" w:hAnsi="仿宋" w:eastAsia="仿宋" w:cs="仿宋"/>
                <w:sz w:val="28"/>
                <w:szCs w:val="28"/>
                <w:highlight w:val="none"/>
              </w:rPr>
            </w:r>
            <w:r/>
          </w:p>
          <w:p>
            <w:pPr>
              <w:pStyle w:val="948"/>
              <w:spacing w:line="4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注：</w:t>
            </w:r>
            <w:r>
              <w:rPr>
                <w:rFonts w:hint="eastAsia" w:ascii="仿宋" w:hAnsi="仿宋" w:eastAsia="仿宋" w:cs="仿宋"/>
                <w:b/>
                <w:bCs/>
                <w:sz w:val="28"/>
                <w:szCs w:val="28"/>
                <w:highlight w:val="none"/>
              </w:rPr>
              <w:t xml:space="preserve">需要提供</w:t>
            </w:r>
            <w:r>
              <w:rPr>
                <w:rFonts w:hint="eastAsia" w:ascii="仿宋" w:hAnsi="仿宋" w:eastAsia="仿宋" w:cs="仿宋"/>
                <w:b/>
                <w:bCs/>
                <w:sz w:val="28"/>
                <w:szCs w:val="28"/>
                <w:highlight w:val="none"/>
                <w:lang w:val="en-US" w:eastAsia="zh-CN"/>
              </w:rPr>
              <w:t xml:space="preserve">支撑材料（</w:t>
            </w:r>
            <w:r>
              <w:rPr>
                <w:rFonts w:hint="eastAsia" w:ascii="仿宋" w:hAnsi="仿宋" w:eastAsia="仿宋" w:cs="仿宋"/>
                <w:b/>
                <w:bCs/>
                <w:sz w:val="28"/>
                <w:szCs w:val="28"/>
                <w:highlight w:val="none"/>
              </w:rPr>
              <w:t xml:space="preserve">截图</w:t>
            </w:r>
            <w:r>
              <w:rPr>
                <w:rFonts w:hint="eastAsia" w:ascii="仿宋" w:hAnsi="仿宋" w:eastAsia="仿宋" w:cs="仿宋"/>
                <w:b/>
                <w:bCs/>
                <w:sz w:val="28"/>
                <w:szCs w:val="28"/>
                <w:highlight w:val="none"/>
                <w:lang w:val="en-US" w:eastAsia="zh-CN"/>
              </w:rPr>
              <w:t xml:space="preserve">或其他证明材料）</w:t>
            </w:r>
            <w:r>
              <w:rPr>
                <w:rFonts w:hint="eastAsia" w:ascii="仿宋" w:hAnsi="仿宋" w:eastAsia="仿宋" w:cs="仿宋"/>
                <w:b/>
                <w:bCs/>
                <w:sz w:val="28"/>
                <w:szCs w:val="28"/>
                <w:highlight w:val="none"/>
              </w:rPr>
              <w:t xml:space="preserve">，未提供的不予认可。</w:t>
            </w:r>
            <w:r>
              <w:rPr>
                <w:rFonts w:hint="eastAsia" w:ascii="仿宋" w:hAnsi="仿宋" w:eastAsia="仿宋" w:cs="仿宋"/>
                <w:sz w:val="28"/>
                <w:szCs w:val="28"/>
                <w:highlight w:val="none"/>
              </w:rPr>
            </w:r>
            <w:r/>
          </w:p>
          <w:p>
            <w:pPr>
              <w:pStyle w:val="933"/>
              <w:numPr>
                <w:ilvl w:val="0"/>
                <w:numId w:val="2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支持查看处理次数、提醒触发次数、医生处理率的统计数据；</w:t>
            </w:r>
            <w:r>
              <w:rPr>
                <w:rFonts w:hint="eastAsia" w:ascii="仿宋" w:hAnsi="仿宋" w:eastAsia="仿宋" w:cs="仿宋"/>
                <w:sz w:val="28"/>
                <w:szCs w:val="28"/>
                <w:highlight w:val="none"/>
              </w:rPr>
            </w:r>
            <w:r/>
          </w:p>
          <w:p>
            <w:pPr>
              <w:pStyle w:val="933"/>
              <w:numPr>
                <w:ilvl w:val="0"/>
                <w:numId w:val="29"/>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支持以分析图形式，查看处理次数、提醒触发次数趋势数据分析；</w:t>
            </w:r>
            <w:r>
              <w:rPr>
                <w:rFonts w:hint="eastAsia" w:ascii="仿宋" w:hAnsi="仿宋" w:eastAsia="仿宋" w:cs="仿宋"/>
                <w:sz w:val="28"/>
                <w:szCs w:val="28"/>
                <w:highlight w:val="none"/>
              </w:rPr>
            </w:r>
            <w:r/>
          </w:p>
          <w:p>
            <w:pPr>
              <w:pStyle w:val="933"/>
              <w:numPr>
                <w:ilvl w:val="0"/>
                <w:numId w:val="29"/>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按科室维度进行依从金额、提醒触发金额、依从金额、处理次数、提醒触发次数、医生处理率的统计数据查看、下载；支持按规则维度进行依从金额、提醒触发金额、依从金额、处理次数、提醒触发次数、医生处理率的统计数据查看、下载；支持按场景维度进行依从金额、提醒触发金额、依从金额、处理次数、提醒触发次数、医生处理率的统计数据查看、下载；</w:t>
            </w:r>
            <w:r>
              <w:rPr>
                <w:rFonts w:hint="eastAsia" w:ascii="仿宋" w:hAnsi="仿宋" w:eastAsia="仿宋" w:cs="仿宋"/>
                <w:color w:val="000000"/>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科室违规分析</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支持按门诊/住院维度分析所有已就诊/已出院患者发生费用的违规</w:t>
            </w:r>
            <w:r>
              <w:rPr>
                <w:rFonts w:hint="eastAsia" w:ascii="仿宋" w:hAnsi="仿宋" w:eastAsia="仿宋" w:cs="仿宋"/>
                <w:color w:val="000000"/>
                <w:sz w:val="28"/>
                <w:szCs w:val="28"/>
                <w:highlight w:val="none"/>
              </w:rPr>
              <w:t xml:space="preserve">数据统计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3"/>
              <w:numPr>
                <w:ilvl w:val="0"/>
                <w:numId w:val="3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支持以科室为主维度，查看违规金额、违规金额占比、违规人次、违规人次占比的统计分析数据；</w:t>
            </w:r>
            <w:r>
              <w:rPr>
                <w:rFonts w:hint="eastAsia" w:ascii="仿宋" w:hAnsi="仿宋" w:eastAsia="仿宋" w:cs="仿宋"/>
                <w:sz w:val="28"/>
                <w:szCs w:val="28"/>
                <w:highlight w:val="none"/>
              </w:rPr>
            </w:r>
            <w:r/>
          </w:p>
          <w:p>
            <w:pPr>
              <w:pStyle w:val="933"/>
              <w:numPr>
                <w:ilvl w:val="0"/>
                <w:numId w:val="3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支持根据科室维度查看违规金额、违规人次的趋势图；支持根据违规费用类型进行违规金额占比统计数据查看；支持根据违规等级进行违规金额占比统计数据查看；</w:t>
            </w:r>
            <w:r>
              <w:rPr>
                <w:rFonts w:hint="eastAsia" w:ascii="仿宋" w:hAnsi="仿宋" w:eastAsia="仿宋" w:cs="仿宋"/>
                <w:sz w:val="28"/>
                <w:szCs w:val="28"/>
                <w:highlight w:val="none"/>
              </w:rPr>
            </w:r>
            <w:r/>
          </w:p>
          <w:p>
            <w:pPr>
              <w:pStyle w:val="933"/>
              <w:numPr>
                <w:ilvl w:val="0"/>
                <w:numId w:val="30"/>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支持以项目作第二级维度，进一步进行违规数据统计分析，并支持下钻查看详细数据；</w:t>
            </w:r>
            <w:r>
              <w:rPr>
                <w:rFonts w:hint="eastAsia" w:ascii="仿宋" w:hAnsi="仿宋" w:eastAsia="仿宋" w:cs="仿宋"/>
                <w:sz w:val="28"/>
                <w:szCs w:val="28"/>
                <w:highlight w:val="none"/>
              </w:rPr>
            </w:r>
            <w:r/>
          </w:p>
          <w:p>
            <w:pPr>
              <w:pStyle w:val="933"/>
              <w:numPr>
                <w:ilvl w:val="0"/>
                <w:numId w:val="30"/>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支持以病组作第二级维度，进一步进行违规数据统计分析；</w:t>
            </w:r>
            <w:r>
              <w:rPr>
                <w:rFonts w:hint="eastAsia" w:ascii="仿宋" w:hAnsi="仿宋" w:eastAsia="仿宋" w:cs="仿宋"/>
                <w:color w:val="000000"/>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项目违规分析</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支持按门诊/住院维度分析所有已就诊/已出院患者发生费用的违规</w:t>
            </w:r>
            <w:r>
              <w:rPr>
                <w:rFonts w:hint="eastAsia" w:ascii="仿宋" w:hAnsi="仿宋" w:eastAsia="仿宋" w:cs="仿宋"/>
                <w:color w:val="000000"/>
                <w:sz w:val="28"/>
                <w:szCs w:val="28"/>
                <w:highlight w:val="none"/>
              </w:rPr>
              <w:t xml:space="preserve">数据统计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3"/>
              <w:numPr>
                <w:ilvl w:val="0"/>
                <w:numId w:val="3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支持以项目为主维度，查看违规金额、违规金额占比、违规人次、违规人次占比的统计分析数据；</w:t>
            </w:r>
            <w:r>
              <w:rPr>
                <w:rFonts w:hint="eastAsia" w:ascii="仿宋" w:hAnsi="仿宋" w:eastAsia="仿宋" w:cs="仿宋"/>
                <w:sz w:val="28"/>
                <w:szCs w:val="28"/>
                <w:highlight w:val="none"/>
              </w:rPr>
            </w:r>
            <w:r/>
          </w:p>
          <w:p>
            <w:pPr>
              <w:pStyle w:val="933"/>
              <w:numPr>
                <w:ilvl w:val="0"/>
                <w:numId w:val="3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支持根据项目维度查看违规金额、违规人次的趋势图；支持根据违规费用类型进行违规金额占比统计数据查看；支持根据违规等级进行违规金额占比统计数据查看；</w:t>
            </w:r>
            <w:r>
              <w:rPr>
                <w:rFonts w:hint="eastAsia" w:ascii="仿宋" w:hAnsi="仿宋" w:eastAsia="仿宋" w:cs="仿宋"/>
                <w:sz w:val="28"/>
                <w:szCs w:val="28"/>
                <w:highlight w:val="none"/>
              </w:rPr>
            </w:r>
            <w:r/>
          </w:p>
          <w:p>
            <w:pPr>
              <w:pStyle w:val="933"/>
              <w:numPr>
                <w:ilvl w:val="0"/>
                <w:numId w:val="31"/>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支持以科室作第二级维度，进一步进行违规数据统计分析，并支持下钻查看详细数据；</w:t>
            </w:r>
            <w:r>
              <w:rPr>
                <w:rFonts w:hint="eastAsia" w:ascii="仿宋" w:hAnsi="仿宋" w:eastAsia="仿宋" w:cs="仿宋"/>
                <w:sz w:val="28"/>
                <w:szCs w:val="28"/>
                <w:highlight w:val="none"/>
              </w:rPr>
            </w:r>
            <w:r/>
          </w:p>
          <w:p>
            <w:pPr>
              <w:pStyle w:val="933"/>
              <w:numPr>
                <w:ilvl w:val="0"/>
                <w:numId w:val="31"/>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支持以病组作第二级维度，进一步进行违规数据统计分析；</w:t>
            </w:r>
            <w:r>
              <w:rPr>
                <w:rFonts w:hint="eastAsia" w:ascii="仿宋" w:hAnsi="仿宋" w:eastAsia="仿宋" w:cs="仿宋"/>
                <w:color w:val="000000"/>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病组违规分析</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2"/>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支持按住院维度分析所有已出院患者发生费用的违规</w:t>
            </w:r>
            <w:r>
              <w:rPr>
                <w:rFonts w:hint="eastAsia" w:ascii="仿宋" w:hAnsi="仿宋" w:eastAsia="仿宋" w:cs="仿宋"/>
                <w:color w:val="000000"/>
                <w:sz w:val="28"/>
                <w:szCs w:val="28"/>
                <w:highlight w:val="none"/>
              </w:rPr>
              <w:t xml:space="preserve">数据统计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33"/>
              <w:numPr>
                <w:ilvl w:val="0"/>
                <w:numId w:val="32"/>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支持以病组为主维度，查看违规金额、违规金额占比、违规人次、违规人次占比的统计分析数据；</w:t>
            </w:r>
            <w:r>
              <w:rPr>
                <w:rFonts w:hint="eastAsia" w:ascii="仿宋" w:hAnsi="仿宋" w:eastAsia="仿宋" w:cs="仿宋"/>
                <w:sz w:val="28"/>
                <w:szCs w:val="28"/>
                <w:highlight w:val="none"/>
              </w:rPr>
            </w:r>
            <w:r/>
          </w:p>
          <w:p>
            <w:pPr>
              <w:pStyle w:val="933"/>
              <w:numPr>
                <w:ilvl w:val="0"/>
                <w:numId w:val="32"/>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支持根据病组维度查看违规金额、违规人次的趋势图；支持根据违规费用类型进行违规金额占比统计数据查看；支持根据违规等级进行违规金额占比统计数据查看；</w:t>
            </w:r>
            <w:r>
              <w:rPr>
                <w:rFonts w:hint="eastAsia" w:ascii="仿宋" w:hAnsi="仿宋" w:eastAsia="仿宋" w:cs="仿宋"/>
                <w:sz w:val="28"/>
                <w:szCs w:val="28"/>
                <w:highlight w:val="none"/>
              </w:rPr>
            </w:r>
            <w:r/>
          </w:p>
          <w:p>
            <w:pPr>
              <w:pStyle w:val="933"/>
              <w:numPr>
                <w:ilvl w:val="0"/>
                <w:numId w:val="32"/>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支持以科室作第二级维度，进一步进行违规数据统计分析；</w:t>
            </w:r>
            <w:r>
              <w:rPr>
                <w:rFonts w:hint="eastAsia" w:ascii="仿宋" w:hAnsi="仿宋" w:eastAsia="仿宋" w:cs="仿宋"/>
                <w:color w:val="000000"/>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违规单分析</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支持按门诊/住院维度对通过违规单导入功能进入系统的违规数据进行统计分析；</w:t>
            </w:r>
            <w:r>
              <w:rPr>
                <w:rFonts w:hint="eastAsia" w:ascii="仿宋" w:hAnsi="仿宋" w:eastAsia="仿宋" w:cs="仿宋"/>
                <w:sz w:val="28"/>
                <w:szCs w:val="28"/>
                <w:highlight w:val="none"/>
              </w:rPr>
            </w:r>
            <w:r/>
          </w:p>
          <w:p>
            <w:pPr>
              <w:pStyle w:val="933"/>
              <w:numPr>
                <w:ilvl w:val="0"/>
                <w:numId w:val="3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支持查看最终扣款金额、申诉成功金额、初审违规金额的统计数据；支持查看最终扣款占比、最终扣款次数、初审违规次数的统计数据；</w:t>
            </w:r>
            <w:r>
              <w:rPr>
                <w:rFonts w:hint="eastAsia" w:ascii="仿宋" w:hAnsi="仿宋" w:eastAsia="仿宋" w:cs="仿宋"/>
                <w:sz w:val="28"/>
                <w:szCs w:val="28"/>
                <w:highlight w:val="none"/>
              </w:rPr>
            </w:r>
            <w:r/>
          </w:p>
          <w:p>
            <w:pPr>
              <w:pStyle w:val="933"/>
              <w:numPr>
                <w:ilvl w:val="0"/>
                <w:numId w:val="3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支持根据时间周期查看违规数据趋势，包括最终扣款金额、申诉成功金额、初审违规金额的统计数据趋势；</w:t>
            </w:r>
            <w:r>
              <w:rPr>
                <w:rFonts w:hint="eastAsia" w:ascii="仿宋" w:hAnsi="仿宋" w:eastAsia="仿宋" w:cs="仿宋"/>
                <w:sz w:val="28"/>
                <w:szCs w:val="28"/>
                <w:highlight w:val="none"/>
              </w:rPr>
            </w:r>
            <w:r/>
          </w:p>
          <w:p>
            <w:pPr>
              <w:pStyle w:val="933"/>
              <w:numPr>
                <w:ilvl w:val="0"/>
                <w:numId w:val="3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支持根据违规规则分类进行违规金额占比统计数据查看，并支持下钻按违规规则维度进行进一步统计分析；</w:t>
            </w:r>
            <w:r>
              <w:rPr>
                <w:rFonts w:hint="eastAsia" w:ascii="仿宋" w:hAnsi="仿宋" w:eastAsia="仿宋" w:cs="仿宋"/>
                <w:sz w:val="28"/>
                <w:szCs w:val="28"/>
                <w:highlight w:val="none"/>
              </w:rPr>
            </w:r>
            <w:r/>
          </w:p>
          <w:p>
            <w:pPr>
              <w:pStyle w:val="933"/>
              <w:numPr>
                <w:ilvl w:val="0"/>
                <w:numId w:val="33"/>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支持根据违规金额维度进行违规金额最高的10个科室，并支持下钻按科室进行进一步统计分析；支持根据违规金额维度进行违规金额最高的10个医生；，并支持下钻查看按医生进行进一步统计分析；</w:t>
            </w:r>
            <w:r>
              <w:rPr>
                <w:rFonts w:hint="eastAsia" w:ascii="仿宋" w:hAnsi="仿宋" w:eastAsia="仿宋" w:cs="仿宋"/>
                <w:sz w:val="28"/>
                <w:szCs w:val="28"/>
                <w:highlight w:val="none"/>
              </w:rPr>
            </w:r>
            <w:r/>
          </w:p>
          <w:p>
            <w:pPr>
              <w:pStyle w:val="933"/>
              <w:numPr>
                <w:ilvl w:val="0"/>
                <w:numId w:val="33"/>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支持按违规规则、科室、医生维度的查看违规扣款金额次数统计信息；支持按违规规则、科室、医生查看违规金额的趋势分析；支持按违规规则、科室、医生查看违规次数的趋势分析；支持按违规规则、科室、医生为第一级维度，项目为第二级维度的查看违规扣款金额、次数统计信息，并支持下载；</w:t>
            </w:r>
            <w:r>
              <w:rPr>
                <w:rFonts w:hint="eastAsia" w:ascii="仿宋" w:hAnsi="仿宋" w:eastAsia="仿宋" w:cs="仿宋"/>
                <w:color w:val="000000"/>
                <w:sz w:val="28"/>
                <w:szCs w:val="28"/>
                <w:highlight w:val="none"/>
              </w:rPr>
            </w:r>
            <w:r/>
          </w:p>
        </w:tc>
      </w:tr>
      <w:tr>
        <w:trPr/>
        <w:tc>
          <w:tcPr>
            <w:tcW w:w="466" w:type="dxa"/>
            <w:vAlign w:val="center"/>
            <w:vMerge w:val="restart"/>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综合管理</w:t>
            </w:r>
            <w:r>
              <w:rPr>
                <w:rFonts w:hint="eastAsia" w:ascii="仿宋" w:hAnsi="仿宋" w:eastAsia="仿宋" w:cs="仿宋"/>
                <w:color w:val="000000"/>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常用规则管理</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支持多种方式查看和筛选系统所有规则，包括按规则大类和项目分类进行查询，按预警级别、应用场景、项目名称、规则提示等搜索规则</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可以根据不同场景设置启用规则和强制拦截功能</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每个规则明细都支持设置科室白名单、医生白名单</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支持新增规则，通过可视化操作，配置规则逻辑和各项参数后即可快速完成</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支持调整规则预警级别、适用医保类型、自费项目审核、规则提示等参数</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支持批量修改和批量开关操作</w:t>
            </w:r>
            <w:r>
              <w:rPr>
                <w:rFonts w:hint="eastAsia" w:ascii="仿宋" w:hAnsi="仿宋" w:eastAsia="仿宋" w:cs="仿宋"/>
                <w:sz w:val="28"/>
                <w:szCs w:val="28"/>
                <w:highlight w:val="none"/>
              </w:rPr>
            </w:r>
            <w:r/>
          </w:p>
          <w:p>
            <w:pPr>
              <w:pStyle w:val="933"/>
              <w:numPr>
                <w:ilvl w:val="0"/>
                <w:numId w:val="34"/>
              </w:numPr>
              <w:jc w:val="left"/>
              <w:keepLines w:val="0"/>
              <w:keepNext w:val="0"/>
              <w:pageBreakBefore w:val="0"/>
              <w:spacing w:line="480" w:lineRule="exact"/>
              <w:widowControl/>
              <w:tabs>
                <w:tab w:val="left" w:pos="312"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支持设置规则提示语，包括通用规则提示和结构化提示</w:t>
            </w:r>
            <w:r>
              <w:rPr>
                <w:rFonts w:hint="eastAsia" w:ascii="仿宋" w:hAnsi="仿宋" w:eastAsia="仿宋" w:cs="仿宋"/>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规则管理日志</w:t>
            </w:r>
            <w:r>
              <w:rPr>
                <w:rFonts w:hint="eastAsia" w:ascii="仿宋" w:hAnsi="仿宋" w:eastAsia="仿宋" w:cs="仿宋"/>
                <w:color w:val="000000"/>
                <w:sz w:val="28"/>
                <w:szCs w:val="28"/>
                <w:highlight w:val="none"/>
              </w:rPr>
            </w:r>
            <w:r/>
          </w:p>
        </w:tc>
        <w:tc>
          <w:tcPr>
            <w:tcW w:w="3892" w:type="dxa"/>
            <w:vAlign w:val="center"/>
            <w:textDirection w:val="lrTb"/>
            <w:noWrap w:val="false"/>
          </w:tcPr>
          <w:p>
            <w:pPr>
              <w:pStyle w:val="933"/>
              <w:numPr>
                <w:ilvl w:val="0"/>
                <w:numId w:val="3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支持根据规则名称、项目名称、变更内容、变更理由等进行搜索查询</w:t>
            </w:r>
            <w:r>
              <w:rPr>
                <w:rFonts w:hint="eastAsia" w:ascii="仿宋" w:hAnsi="仿宋" w:eastAsia="仿宋" w:cs="仿宋"/>
                <w:sz w:val="28"/>
                <w:szCs w:val="28"/>
                <w:highlight w:val="none"/>
              </w:rPr>
            </w:r>
            <w:r/>
          </w:p>
          <w:p>
            <w:pPr>
              <w:pStyle w:val="933"/>
              <w:numPr>
                <w:ilvl w:val="0"/>
                <w:numId w:val="3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支持查询规则明细的调整、新增、关闭记录</w:t>
            </w:r>
            <w:r>
              <w:rPr>
                <w:rFonts w:hint="eastAsia" w:ascii="仿宋" w:hAnsi="仿宋" w:eastAsia="仿宋" w:cs="仿宋"/>
                <w:sz w:val="28"/>
                <w:szCs w:val="28"/>
                <w:highlight w:val="none"/>
              </w:rPr>
            </w:r>
            <w:r/>
          </w:p>
          <w:p>
            <w:pPr>
              <w:pStyle w:val="933"/>
              <w:numPr>
                <w:ilvl w:val="0"/>
                <w:numId w:val="35"/>
              </w:numPr>
              <w:jc w:val="left"/>
              <w:keepLines w:val="0"/>
              <w:keepNext w:val="0"/>
              <w:pageBreakBefore w:val="0"/>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支持查询规则包导入记录</w:t>
            </w:r>
            <w:r>
              <w:rPr>
                <w:rFonts w:hint="eastAsia" w:ascii="仿宋" w:hAnsi="仿宋" w:eastAsia="仿宋" w:cs="仿宋"/>
                <w:sz w:val="28"/>
                <w:szCs w:val="28"/>
                <w:highlight w:val="none"/>
              </w:rPr>
            </w:r>
            <w:r/>
          </w:p>
        </w:tc>
      </w:tr>
      <w:tr>
        <w:trPr/>
        <w:tc>
          <w:tcPr>
            <w:tcW w:w="466" w:type="dxa"/>
            <w:vAlign w:val="top"/>
            <w:vMerge w:val="continue"/>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641" w:type="dxa"/>
            <w:vAlign w:val="center"/>
            <w:textDirection w:val="lrTb"/>
            <w:noWrap w:val="false"/>
          </w:tcPr>
          <w:p>
            <w:pPr>
              <w:pStyle w:val="933"/>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参数配置</w:t>
            </w:r>
            <w:r>
              <w:rPr>
                <w:rFonts w:hint="eastAsia" w:ascii="仿宋" w:hAnsi="仿宋" w:eastAsia="仿宋" w:cs="仿宋"/>
                <w:sz w:val="28"/>
                <w:szCs w:val="28"/>
                <w:highlight w:val="none"/>
              </w:rPr>
            </w:r>
            <w:r/>
          </w:p>
        </w:tc>
        <w:tc>
          <w:tcPr>
            <w:tcW w:w="3892" w:type="dxa"/>
            <w:vAlign w:val="center"/>
            <w:textDirection w:val="lrTb"/>
            <w:noWrap w:val="false"/>
          </w:tcPr>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支持不同违规单的表头映射，患者和项目的匹配逻辑配置</w:t>
            </w:r>
            <w:r>
              <w:rPr>
                <w:rFonts w:hint="eastAsia" w:ascii="仿宋" w:hAnsi="仿宋" w:eastAsia="仿宋" w:cs="仿宋"/>
                <w:color w:val="000000"/>
                <w:sz w:val="28"/>
                <w:szCs w:val="28"/>
                <w:highlight w:val="none"/>
              </w:rPr>
            </w:r>
            <w:r/>
          </w:p>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支持设置申诉注意事项，申诉理由限制字数</w:t>
            </w:r>
            <w:r>
              <w:rPr>
                <w:rFonts w:hint="eastAsia" w:ascii="仿宋" w:hAnsi="仿宋" w:eastAsia="仿宋" w:cs="仿宋"/>
                <w:color w:val="000000"/>
                <w:sz w:val="28"/>
                <w:szCs w:val="28"/>
                <w:highlight w:val="none"/>
              </w:rPr>
            </w:r>
            <w:r/>
          </w:p>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支持实时审核不同场景卡片和列表样式的配置</w:t>
            </w:r>
            <w:r>
              <w:rPr>
                <w:rFonts w:hint="eastAsia" w:ascii="仿宋" w:hAnsi="仿宋" w:eastAsia="仿宋" w:cs="仿宋"/>
                <w:color w:val="000000"/>
                <w:sz w:val="28"/>
                <w:szCs w:val="28"/>
                <w:highlight w:val="none"/>
              </w:rPr>
            </w:r>
            <w:r/>
          </w:p>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支持事中场景规则过滤设置</w:t>
            </w:r>
            <w:r>
              <w:rPr>
                <w:rFonts w:hint="eastAsia" w:ascii="仿宋" w:hAnsi="仿宋" w:eastAsia="仿宋" w:cs="仿宋"/>
                <w:color w:val="000000"/>
                <w:sz w:val="28"/>
                <w:szCs w:val="28"/>
                <w:highlight w:val="none"/>
              </w:rPr>
            </w:r>
            <w:r/>
          </w:p>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支持第三方违规提醒支付监管融合样式的设置</w:t>
            </w:r>
            <w:r>
              <w:rPr>
                <w:rFonts w:hint="eastAsia" w:ascii="仿宋" w:hAnsi="仿宋" w:eastAsia="仿宋" w:cs="仿宋"/>
                <w:color w:val="000000"/>
                <w:sz w:val="28"/>
                <w:szCs w:val="28"/>
                <w:highlight w:val="none"/>
              </w:rPr>
            </w:r>
            <w:r/>
          </w:p>
          <w:p>
            <w:pPr>
              <w:pStyle w:val="933"/>
              <w:numPr>
                <w:ilvl w:val="0"/>
                <w:numId w:val="36"/>
              </w:numPr>
              <w:jc w:val="left"/>
              <w:keepLines w:val="0"/>
              <w:keepNext w:val="0"/>
              <w:pageBreakBefore w:val="0"/>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支持人工审核规则名称的设置</w:t>
            </w:r>
            <w:r>
              <w:rPr>
                <w:rFonts w:hint="eastAsia" w:ascii="仿宋" w:hAnsi="仿宋" w:eastAsia="仿宋" w:cs="仿宋"/>
                <w:color w:val="000000"/>
                <w:sz w:val="28"/>
                <w:szCs w:val="28"/>
                <w:highlight w:val="none"/>
              </w:rPr>
            </w:r>
            <w:r/>
          </w:p>
        </w:tc>
      </w:tr>
    </w:tbl>
    <w:p>
      <w:pPr>
        <w:pStyle w:val="955"/>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三</w:t>
      </w:r>
      <w:r>
        <w:rPr>
          <w:rFonts w:hint="eastAsia" w:ascii="仿宋" w:hAnsi="仿宋" w:eastAsia="仿宋" w:cs="仿宋"/>
          <w:bCs/>
          <w:sz w:val="28"/>
          <w:szCs w:val="28"/>
          <w:highlight w:val="none"/>
        </w:rPr>
        <w:t xml:space="preserve">、售后服务</w:t>
      </w:r>
      <w:r>
        <w:rPr>
          <w:rFonts w:hint="eastAsia" w:ascii="仿宋" w:hAnsi="仿宋" w:eastAsia="仿宋" w:cs="仿宋"/>
          <w:bCs/>
          <w:sz w:val="28"/>
          <w:szCs w:val="28"/>
          <w:highlight w:val="none"/>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（一）整体系统验收合格之日起免费维保1年。</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（二）在系统的服务期内，投标人应确保系统的正常使用。在接到用户服务要求后应立即做出回应，并在承诺的服务时间内实施服务。</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（三）07×24小时的免费上门保修服务半小时内响应，4小时内到达现场，24小时内解决故障。</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（四）热线电话服务提供技术咨询、故障诊断、故障排除、以及现场支持等具体的技术支持工作，并对客户投诉做出相应处理。</w:t>
      </w:r>
      <w:r>
        <w:rPr>
          <w:rFonts w:hint="eastAsia" w:ascii="仿宋" w:hAnsi="仿宋" w:eastAsia="仿宋" w:cs="仿宋"/>
          <w:bCs/>
          <w:sz w:val="28"/>
          <w:szCs w:val="28"/>
          <w:highlight w:val="none"/>
          <w:lang w:val="en-US" w:eastAsia="zh-CN" w:bidi="ar-SA"/>
        </w:rPr>
      </w:r>
      <w:r/>
    </w:p>
    <w:p>
      <w:pPr>
        <w:pStyle w:val="955"/>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（五）定期巡检及调优系统，使系统始终处于高效率运行状态。</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四、培训</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的运行。</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所有的培训费用必须计入投标总价。</w:t>
      </w:r>
      <w:r>
        <w:rPr>
          <w:rFonts w:hint="eastAsia" w:ascii="仿宋" w:hAnsi="仿宋" w:eastAsia="仿宋" w:cs="仿宋"/>
          <w:bCs/>
          <w:sz w:val="28"/>
          <w:szCs w:val="28"/>
          <w:highlight w:val="none"/>
          <w:lang w:val="en-US" w:eastAsia="zh-CN" w:bidi="ar-SA"/>
        </w:rPr>
      </w:r>
      <w:r/>
    </w:p>
    <w:p>
      <w:pPr>
        <w:pStyle w:val="955"/>
        <w:ind w:firstLine="280"/>
        <w:keepLines w:val="0"/>
        <w:keepNext w:val="0"/>
        <w:pageBreakBefore w:val="0"/>
        <w:spacing w:line="48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五、验收</w:t>
      </w:r>
      <w:r>
        <w:rPr>
          <w:rFonts w:hint="eastAsia" w:ascii="仿宋" w:hAnsi="仿宋" w:eastAsia="仿宋" w:cs="仿宋"/>
          <w:bCs/>
          <w:sz w:val="28"/>
          <w:szCs w:val="28"/>
          <w:highlight w:val="none"/>
          <w:lang w:val="en-US" w:eastAsia="zh-CN"/>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一）投标人应提供项目相关软件、设备的有效验收文件，经用户认可后，作为验收标准。用户对项目验收合格后，双方共同签署验收合格证书并加盖公章。验收中发现软件、设备达不到验收标准或合同规定的性能指标，卖方必须修改相应内容，以满足用户需求。</w:t>
      </w:r>
      <w:r>
        <w:rPr>
          <w:rFonts w:hint="eastAsia" w:ascii="仿宋" w:hAnsi="仿宋" w:eastAsia="仿宋" w:cs="仿宋"/>
          <w:bCs/>
          <w:sz w:val="28"/>
          <w:szCs w:val="28"/>
          <w:highlight w:val="none"/>
          <w:lang w:val="en-US" w:eastAsia="zh-CN" w:bidi="ar-SA"/>
        </w:rPr>
      </w:r>
      <w:r/>
    </w:p>
    <w:p>
      <w:pPr>
        <w:pStyle w:val="933"/>
        <w:ind w:firstLine="560"/>
        <w:keepLines w:val="0"/>
        <w:keepNext w:val="0"/>
        <w:pageBreakBefore w:val="0"/>
        <w:spacing w:line="48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（二）自合同签订后，3个月内完成系统的初试，试运行正常一个月后，组织项目终验。</w:t>
      </w:r>
      <w:r>
        <w:rPr>
          <w:rFonts w:hint="eastAsia" w:ascii="仿宋" w:hAnsi="仿宋" w:eastAsia="仿宋" w:cs="仿宋"/>
          <w:bCs/>
          <w:sz w:val="28"/>
          <w:szCs w:val="28"/>
          <w:highlight w:val="none"/>
          <w:lang w:val="en-US" w:eastAsia="zh-CN" w:bidi="ar-SA"/>
        </w:rPr>
      </w:r>
      <w:r/>
    </w:p>
    <w:p>
      <w:pPr>
        <w:pStyle w:val="955"/>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★六、现场踏勘</w:t>
      </w:r>
      <w:r>
        <w:rPr>
          <w:rFonts w:hint="eastAsia" w:ascii="仿宋" w:hAnsi="仿宋" w:eastAsia="仿宋" w:cs="仿宋"/>
          <w:b/>
          <w:bCs w:val="0"/>
          <w:sz w:val="28"/>
          <w:szCs w:val="28"/>
          <w:highlight w:val="none"/>
          <w:lang w:val="en-US" w:eastAsia="zh-CN"/>
        </w:rPr>
      </w:r>
      <w:r/>
    </w:p>
    <w:p>
      <w:pPr>
        <w:pStyle w:val="955"/>
        <w:ind w:firstLine="562"/>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踏勘时间：请各投标人与踏勘联系人确定到达时间并前往勘察现场，过后不再另行组织现场勘察。</w:t>
      </w:r>
      <w:r>
        <w:rPr>
          <w:rFonts w:hint="eastAsia" w:ascii="仿宋" w:hAnsi="仿宋" w:eastAsia="仿宋" w:cs="仿宋"/>
          <w:b/>
          <w:bCs w:val="0"/>
          <w:sz w:val="28"/>
          <w:szCs w:val="28"/>
          <w:highlight w:val="none"/>
          <w:lang w:val="en-US" w:eastAsia="zh-CN"/>
        </w:rPr>
      </w:r>
      <w:r/>
    </w:p>
    <w:p>
      <w:pPr>
        <w:pStyle w:val="955"/>
        <w:ind w:firstLine="562"/>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踏勘地点：洪泽区人民医院。</w:t>
      </w:r>
      <w:r>
        <w:rPr>
          <w:rFonts w:hint="eastAsia" w:ascii="仿宋" w:hAnsi="仿宋" w:eastAsia="仿宋" w:cs="仿宋"/>
          <w:b/>
          <w:bCs w:val="0"/>
          <w:sz w:val="28"/>
          <w:szCs w:val="28"/>
          <w:highlight w:val="none"/>
          <w:lang w:val="en-US" w:eastAsia="zh-CN"/>
        </w:rPr>
      </w:r>
      <w:r/>
    </w:p>
    <w:p>
      <w:pPr>
        <w:pStyle w:val="955"/>
        <w:ind w:firstLine="562"/>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联系人：蒋先生。</w:t>
      </w:r>
      <w:r>
        <w:rPr>
          <w:rFonts w:hint="eastAsia" w:ascii="仿宋" w:hAnsi="仿宋" w:eastAsia="仿宋" w:cs="仿宋"/>
          <w:b/>
          <w:bCs w:val="0"/>
          <w:sz w:val="28"/>
          <w:szCs w:val="28"/>
          <w:highlight w:val="none"/>
          <w:lang w:val="en-US" w:eastAsia="zh-CN"/>
        </w:rPr>
      </w:r>
      <w:r/>
    </w:p>
    <w:p>
      <w:pPr>
        <w:pStyle w:val="955"/>
        <w:ind w:firstLine="562"/>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联系电话：89691112。</w:t>
      </w:r>
      <w:r>
        <w:rPr>
          <w:rFonts w:hint="eastAsia" w:ascii="仿宋" w:hAnsi="仿宋" w:eastAsia="仿宋" w:cs="仿宋"/>
          <w:b/>
          <w:bCs w:val="0"/>
          <w:sz w:val="28"/>
          <w:szCs w:val="28"/>
          <w:highlight w:val="none"/>
          <w:lang w:val="en-US" w:eastAsia="zh-CN"/>
        </w:rPr>
      </w:r>
      <w:r/>
    </w:p>
    <w:p>
      <w:pPr>
        <w:pStyle w:val="955"/>
        <w:ind w:firstLine="562"/>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投标人在编制投标文件时，须提供招标人加盖公章的现场勘察证明。因未参加现场踏勘导致对项目实际情况不了解而影响投标文件编制，由投标人自行承担后果。</w:t>
      </w:r>
      <w:r>
        <w:rPr>
          <w:rFonts w:hint="eastAsia" w:ascii="仿宋" w:hAnsi="仿宋" w:eastAsia="仿宋" w:cs="仿宋"/>
          <w:b/>
          <w:bCs w:val="0"/>
          <w:sz w:val="28"/>
          <w:szCs w:val="28"/>
          <w:highlight w:val="none"/>
          <w:lang w:val="en-US" w:eastAsia="zh-CN"/>
        </w:rPr>
      </w:r>
      <w:r/>
    </w:p>
    <w:p>
      <w:pPr>
        <w:pStyle w:val="955"/>
        <w:numPr>
          <w:ilvl w:val="0"/>
          <w:numId w:val="0"/>
        </w:numPr>
        <w:keepLines w:val="0"/>
        <w:keepNext w:val="0"/>
        <w:pageBreakBefore w:val="0"/>
        <w:spacing w:line="480" w:lineRule="exac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七、其他要求</w:t>
      </w:r>
      <w:r>
        <w:rPr>
          <w:rFonts w:hint="eastAsia" w:ascii="仿宋" w:hAnsi="仿宋" w:eastAsia="仿宋" w:cs="仿宋"/>
          <w:b/>
          <w:bCs w:val="0"/>
          <w:sz w:val="28"/>
          <w:szCs w:val="28"/>
          <w:highlight w:val="none"/>
          <w:lang w:val="en-US" w:eastAsia="zh-CN"/>
        </w:rPr>
      </w:r>
      <w:r/>
    </w:p>
    <w:p>
      <w:pPr>
        <w:pStyle w:val="955"/>
        <w:numPr>
          <w:ilvl w:val="0"/>
          <w:numId w:val="0"/>
        </w:numPr>
        <w:ind w:firstLine="562"/>
        <w:keepLines w:val="0"/>
        <w:keepNext w:val="0"/>
        <w:pageBreakBefore w:val="0"/>
        <w:spacing w:line="480" w:lineRule="exact"/>
        <w:rPr>
          <w:rFonts w:ascii="仿宋" w:hAnsi="仿宋" w:eastAsia="仿宋" w:cs="仿宋"/>
          <w:b/>
          <w:bCs w:val="0"/>
          <w:sz w:val="28"/>
          <w:szCs w:val="28"/>
          <w:highlight w:val="none"/>
          <w:lang w:val="en-US" w:eastAsia="zh-CN"/>
        </w:rPr>
      </w:pPr>
      <w:r>
        <w:rPr>
          <w:rFonts w:ascii="仿宋" w:hAnsi="仿宋" w:eastAsia="仿宋" w:cs="仿宋"/>
          <w:b/>
          <w:bCs w:val="0"/>
          <w:sz w:val="28"/>
          <w:szCs w:val="28"/>
          <w:highlight w:val="none"/>
          <w:lang w:val="en-US" w:eastAsia="zh-CN"/>
        </w:rPr>
        <w:t xml:space="preserve">自中标公告发布后，中标</w:t>
      </w:r>
      <w:r>
        <w:rPr>
          <w:rFonts w:hint="eastAsia" w:ascii="仿宋" w:hAnsi="仿宋" w:eastAsia="仿宋" w:cs="仿宋"/>
          <w:b/>
          <w:bCs w:val="0"/>
          <w:sz w:val="28"/>
          <w:szCs w:val="28"/>
          <w:highlight w:val="none"/>
          <w:lang w:val="en-US" w:eastAsia="zh-CN"/>
        </w:rPr>
        <w:t xml:space="preserve">人</w:t>
      </w:r>
      <w:r>
        <w:rPr>
          <w:rFonts w:ascii="仿宋" w:hAnsi="仿宋" w:eastAsia="仿宋" w:cs="仿宋"/>
          <w:b/>
          <w:bCs w:val="0"/>
          <w:sz w:val="28"/>
          <w:szCs w:val="28"/>
          <w:highlight w:val="none"/>
          <w:lang w:val="en-US" w:eastAsia="zh-CN"/>
        </w:rPr>
        <w:t xml:space="preserve">接到代理公司的通知后领取中标通知书，按照采购单位规定的时间携带参数测试所需中标软件到采购单位进行参数符合性测试，测试时间为一小时，不得借助与本次招标无关的辅助设备。如果中标</w:t>
      </w:r>
      <w:r>
        <w:rPr>
          <w:rFonts w:hint="eastAsia" w:ascii="仿宋" w:hAnsi="仿宋" w:eastAsia="仿宋" w:cs="仿宋"/>
          <w:b/>
          <w:bCs w:val="0"/>
          <w:sz w:val="28"/>
          <w:szCs w:val="28"/>
          <w:highlight w:val="none"/>
          <w:lang w:val="en-US" w:eastAsia="zh-CN"/>
        </w:rPr>
        <w:t xml:space="preserve">人</w:t>
      </w:r>
      <w:r>
        <w:rPr>
          <w:rFonts w:ascii="仿宋" w:hAnsi="仿宋" w:eastAsia="仿宋" w:cs="仿宋"/>
          <w:b/>
          <w:bCs w:val="0"/>
          <w:sz w:val="28"/>
          <w:szCs w:val="28"/>
          <w:highlight w:val="none"/>
          <w:lang w:val="en-US" w:eastAsia="zh-CN"/>
        </w:rPr>
        <w:t xml:space="preserve">参数未能实质性满足招标文件要求或与其投标响应文件参数描述不一致报采购监管部门核查后则取消其中标资格，由排名第二的中标候选人接受参数测试，依次类推或由采购人决定是否重新组织招标。</w:t>
      </w:r>
      <w:r>
        <w:rPr>
          <w:rFonts w:ascii="仿宋" w:hAnsi="仿宋" w:eastAsia="仿宋" w:cs="仿宋"/>
          <w:b/>
          <w:bCs w:val="0"/>
          <w:sz w:val="28"/>
          <w:szCs w:val="28"/>
          <w:highlight w:val="none"/>
          <w:lang w:val="en-US" w:eastAsia="zh-CN"/>
        </w:rPr>
      </w:r>
      <w:r/>
    </w:p>
    <w:p>
      <w:pPr>
        <w:pStyle w:val="955"/>
        <w:ind w:firstLine="560"/>
        <w:keepLines w:val="0"/>
        <w:keepNext w:val="0"/>
        <w:pageBreakBefore w:val="0"/>
        <w:spacing w:line="480" w:lineRule="exact"/>
        <w:rPr>
          <w:rFonts w:ascii="仿宋" w:hAnsi="仿宋" w:eastAsia="仿宋" w:cs="仿宋"/>
          <w:bCs/>
          <w:sz w:val="28"/>
          <w:szCs w:val="28"/>
          <w:highlight w:val="none"/>
          <w:lang w:val="en-US" w:eastAsia="zh-CN"/>
        </w:rPr>
      </w:pPr>
      <w:r>
        <w:rPr>
          <w:rFonts w:ascii="仿宋" w:hAnsi="仿宋" w:eastAsia="仿宋" w:cs="仿宋"/>
          <w:bCs/>
          <w:sz w:val="28"/>
          <w:szCs w:val="28"/>
          <w:highlight w:val="none"/>
          <w:lang w:val="en-US" w:eastAsia="zh-CN"/>
        </w:rPr>
      </w:r>
      <w:r/>
    </w:p>
    <w:p>
      <w:pPr>
        <w:pStyle w:val="955"/>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八</w:t>
      </w:r>
      <w:r>
        <w:rPr>
          <w:rFonts w:hint="eastAsia" w:ascii="仿宋" w:hAnsi="仿宋" w:eastAsia="仿宋" w:cs="仿宋"/>
          <w:bCs/>
          <w:sz w:val="28"/>
          <w:szCs w:val="28"/>
          <w:highlight w:val="none"/>
        </w:rPr>
        <w:t xml:space="preserve">、商务部分</w:t>
      </w:r>
      <w:r>
        <w:rPr>
          <w:rFonts w:hint="eastAsia" w:ascii="仿宋" w:hAnsi="仿宋" w:eastAsia="仿宋" w:cs="仿宋"/>
          <w:bCs/>
          <w:sz w:val="28"/>
          <w:szCs w:val="28"/>
          <w:highlight w:val="none"/>
        </w:rPr>
      </w:r>
      <w:r/>
    </w:p>
    <w:p>
      <w:pPr>
        <w:pStyle w:val="933"/>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供货时间:自合同签订后3个月内，软件系统到货、安装完成。(可不包含采购人硬件环境准备、第三方系统接口对接、政策文件未下发等造成的工期延迟)。如在规定的时间内由于投标人的原因不能完成安装和调试，投标人应承担由此给用户造成的损失。</w:t>
      </w:r>
      <w:r>
        <w:rPr>
          <w:rFonts w:hint="eastAsia" w:ascii="仿宋" w:hAnsi="仿宋" w:eastAsia="仿宋" w:cs="仿宋"/>
          <w:sz w:val="28"/>
          <w:szCs w:val="28"/>
          <w:highlight w:val="none"/>
        </w:rPr>
      </w:r>
      <w:r/>
    </w:p>
    <w:p>
      <w:pPr>
        <w:pStyle w:val="933"/>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（二）供货地点:由采购人指定。</w:t>
      </w:r>
      <w:r>
        <w:rPr>
          <w:rFonts w:hint="eastAsia" w:ascii="仿宋" w:hAnsi="仿宋" w:eastAsia="仿宋" w:cs="仿宋"/>
          <w:sz w:val="28"/>
          <w:szCs w:val="28"/>
          <w:highlight w:val="none"/>
        </w:rPr>
      </w:r>
      <w:r/>
    </w:p>
    <w:p>
      <w:pPr>
        <w:pStyle w:val="933"/>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（三）付款方式:</w:t>
      </w:r>
      <w:r>
        <w:rPr>
          <w:rFonts w:hint="eastAsia" w:ascii="仿宋" w:hAnsi="仿宋" w:eastAsia="仿宋" w:cs="仿宋"/>
          <w:sz w:val="28"/>
          <w:szCs w:val="28"/>
          <w:highlight w:val="none"/>
        </w:rPr>
      </w:r>
      <w:r/>
    </w:p>
    <w:p>
      <w:pPr>
        <w:pStyle w:val="933"/>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合同生效之日起15个工作日内，甲方向乙方支付合同总额的30%；合同内软件系统安装上线后15个工作日内，甲方向乙方支付合同总额的30%；项目验收通过后，甲方向乙方出具项目验收报告之日起的15个工作日内，甲方向乙方支付总价款的40%。</w:t>
      </w:r>
      <w:r>
        <w:rPr>
          <w:rFonts w:hint="eastAsia" w:ascii="仿宋" w:hAnsi="仿宋" w:eastAsia="仿宋" w:cs="仿宋"/>
          <w:sz w:val="28"/>
          <w:szCs w:val="28"/>
          <w:highlight w:val="none"/>
        </w:rPr>
      </w:r>
      <w:r/>
    </w:p>
    <w:p>
      <w:pPr>
        <w:pStyle w:val="955"/>
        <w:ind w:firstLine="700"/>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ind w:firstLine="1100"/>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55"/>
        <w:keepLines w:val="0"/>
        <w:keepNext w:val="0"/>
        <w:pageBreakBefore w:val="0"/>
        <w:spacing w:line="480" w:lineRule="exact"/>
        <w:rPr>
          <w:rFonts w:hint="eastAsia" w:hAnsi="宋体"/>
          <w:b/>
          <w:bCs/>
          <w:sz w:val="44"/>
          <w:szCs w:val="44"/>
          <w:highlight w:val="none"/>
        </w:rPr>
      </w:pPr>
      <w:r>
        <w:rPr>
          <w:rFonts w:hint="eastAsia" w:hAnsi="宋体"/>
          <w:b/>
          <w:bCs/>
          <w:sz w:val="44"/>
          <w:szCs w:val="44"/>
          <w:highlight w:val="none"/>
        </w:rPr>
      </w:r>
      <w:r/>
    </w:p>
    <w:p>
      <w:pPr>
        <w:pStyle w:val="933"/>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933"/>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投  标  文  件</w:t>
      </w:r>
      <w:r>
        <w:rPr>
          <w:rFonts w:hint="eastAsia" w:ascii="黑体" w:hAnsi="黑体" w:eastAsia="黑体"/>
          <w:b/>
          <w:bCs/>
          <w:sz w:val="36"/>
          <w:highlight w:val="none"/>
        </w:rPr>
      </w:r>
      <w:r/>
    </w:p>
    <w:p>
      <w:pPr>
        <w:pStyle w:val="955"/>
        <w:rPr>
          <w:rFonts w:hint="eastAsia" w:ascii="黑体" w:hAnsi="黑体" w:eastAsia="黑体"/>
          <w:sz w:val="44"/>
          <w:szCs w:val="44"/>
          <w:highlight w:val="none"/>
        </w:rPr>
      </w:pPr>
      <w:r>
        <w:rPr>
          <w:rFonts w:hint="eastAsia" w:ascii="黑体" w:hAnsi="黑体" w:eastAsia="黑体"/>
          <w:sz w:val="44"/>
          <w:szCs w:val="44"/>
          <w:highlight w:val="none"/>
        </w:rPr>
      </w:r>
      <w:r/>
    </w:p>
    <w:p>
      <w:pPr>
        <w:pStyle w:val="955"/>
        <w:rPr>
          <w:rFonts w:hint="eastAsia" w:ascii="黑体" w:hAnsi="黑体" w:eastAsia="黑体"/>
          <w:sz w:val="32"/>
          <w:highlight w:val="none"/>
        </w:rPr>
      </w:pPr>
      <w:r>
        <w:rPr>
          <w:rFonts w:hint="eastAsia" w:ascii="黑体" w:hAnsi="黑体" w:eastAsia="黑体"/>
          <w:sz w:val="32"/>
          <w:highlight w:val="none"/>
        </w:rPr>
      </w:r>
      <w:r/>
    </w:p>
    <w:p>
      <w:pPr>
        <w:pStyle w:val="955"/>
        <w:rPr>
          <w:rFonts w:hint="eastAsia" w:ascii="黑体" w:hAnsi="黑体" w:eastAsia="黑体"/>
          <w:sz w:val="32"/>
          <w:highlight w:val="none"/>
        </w:rPr>
      </w:pPr>
      <w:r>
        <w:rPr>
          <w:rFonts w:hint="eastAsia" w:ascii="黑体" w:hAnsi="黑体" w:eastAsia="黑体"/>
          <w:sz w:val="32"/>
          <w:highlight w:val="none"/>
        </w:rPr>
      </w:r>
      <w:r/>
    </w:p>
    <w:p>
      <w:pPr>
        <w:pStyle w:val="955"/>
        <w:rPr>
          <w:rFonts w:hint="eastAsia" w:ascii="黑体" w:hAnsi="黑体" w:eastAsia="黑体"/>
          <w:sz w:val="32"/>
          <w:highlight w:val="none"/>
        </w:rPr>
      </w:pPr>
      <w:r>
        <w:rPr>
          <w:rFonts w:hint="eastAsia" w:ascii="黑体" w:hAnsi="黑体" w:eastAsia="黑体"/>
          <w:sz w:val="32"/>
          <w:highlight w:val="none"/>
        </w:rPr>
      </w:r>
      <w:r/>
    </w:p>
    <w:p>
      <w:pPr>
        <w:pStyle w:val="955"/>
        <w:rPr>
          <w:rFonts w:hint="eastAsia" w:ascii="黑体" w:hAnsi="黑体" w:eastAsia="黑体"/>
          <w:sz w:val="32"/>
          <w:highlight w:val="none"/>
        </w:rPr>
      </w:pPr>
      <w:r>
        <w:rPr>
          <w:rFonts w:hint="eastAsia" w:ascii="黑体" w:hAnsi="黑体" w:eastAsia="黑体"/>
          <w:sz w:val="32"/>
          <w:highlight w:val="none"/>
        </w:rPr>
      </w:r>
      <w:r/>
    </w:p>
    <w:p>
      <w:pPr>
        <w:pStyle w:val="933"/>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955"/>
        <w:rPr>
          <w:rFonts w:hint="eastAsia" w:ascii="黑体" w:hAnsi="黑体" w:eastAsia="黑体"/>
          <w:sz w:val="32"/>
          <w:highlight w:val="none"/>
        </w:rPr>
      </w:pPr>
      <w:r>
        <w:rPr>
          <w:rFonts w:hint="eastAsia" w:ascii="黑体" w:hAnsi="黑体" w:eastAsia="黑体"/>
          <w:sz w:val="32"/>
          <w:highlight w:val="none"/>
        </w:rPr>
      </w:r>
      <w:r/>
    </w:p>
    <w:p>
      <w:pPr>
        <w:pStyle w:val="9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5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955"/>
        <w:ind w:firstLine="1066"/>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933"/>
        <w:ind w:firstLine="1066"/>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投 标 人:</w:t>
      </w:r>
      <w:r>
        <w:rPr>
          <w:rFonts w:hint="eastAsia" w:ascii="黑体" w:hAnsi="黑体" w:eastAsia="黑体"/>
          <w:b/>
          <w:bCs/>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1904"/>
        <w:rPr>
          <w:rFonts w:hint="eastAsia" w:ascii="黑体" w:hAnsi="黑体" w:eastAsia="黑体"/>
          <w:sz w:val="32"/>
          <w:highlight w:val="none"/>
        </w:rPr>
      </w:pPr>
      <w:r>
        <w:rPr>
          <w:rFonts w:hint="eastAsia" w:ascii="黑体" w:hAnsi="黑体" w:eastAsia="黑体"/>
          <w:sz w:val="32"/>
          <w:highlight w:val="none"/>
        </w:rPr>
      </w:r>
      <w:r/>
    </w:p>
    <w:p>
      <w:pPr>
        <w:pStyle w:val="955"/>
        <w:ind w:firstLine="2103"/>
        <w:rPr>
          <w:rFonts w:hint="eastAsia" w:ascii="黑体" w:hAnsi="黑体" w:eastAsia="黑体"/>
          <w:b/>
          <w:sz w:val="32"/>
          <w:highlight w:val="none"/>
        </w:rPr>
      </w:pPr>
      <w:r>
        <w:rPr>
          <w:rFonts w:hint="eastAsia" w:ascii="黑体" w:hAnsi="黑体" w:eastAsia="黑体"/>
          <w:b/>
          <w:sz w:val="36"/>
          <w:szCs w:val="24"/>
          <w:highlight w:val="none"/>
        </w:rPr>
        <w:t xml:space="preserve">二0二四年    月    日</w:t>
      </w:r>
      <w:r>
        <w:rPr>
          <w:rFonts w:hint="eastAsia" w:ascii="黑体" w:hAnsi="黑体" w:eastAsia="黑体"/>
          <w:b/>
          <w:sz w:val="32"/>
          <w:highlight w:val="none"/>
        </w:rPr>
      </w:r>
      <w:r/>
    </w:p>
    <w:p>
      <w:pPr>
        <w:pStyle w:val="933"/>
        <w:spacing w:line="600" w:lineRule="exact"/>
        <w:rPr>
          <w:rFonts w:eastAsia="方正仿宋_GBK"/>
          <w:b/>
          <w:bCs/>
          <w:sz w:val="28"/>
          <w:szCs w:val="28"/>
          <w:highlight w:val="none"/>
          <w:lang w:val="zh-CN"/>
        </w:rPr>
      </w:pPr>
      <w:r>
        <w:rPr>
          <w:rFonts w:hint="eastAsia" w:ascii="仿宋" w:hAnsi="仿宋" w:eastAsia="仿宋"/>
          <w:b/>
          <w:sz w:val="32"/>
          <w:szCs w:val="32"/>
          <w:highlight w:val="none"/>
        </w:rPr>
        <w:br w:type="page" w:clear="all"/>
      </w:r>
      <w:r>
        <w:rPr>
          <w:rFonts w:eastAsia="方正仿宋_GBK"/>
          <w:b/>
          <w:bCs/>
          <w:sz w:val="28"/>
          <w:szCs w:val="28"/>
          <w:highlight w:val="none"/>
          <w:lang w:val="zh-CN"/>
        </w:rPr>
      </w:r>
      <w:r/>
    </w:p>
    <w:p>
      <w:pPr>
        <w:pStyle w:val="955"/>
        <w:ind w:firstLine="2875"/>
        <w:spacing w:line="6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lang w:eastAsia="zh-CN"/>
        </w:rPr>
        <w:t xml:space="preserve">淮安市洪泽区人民医院</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1014"/>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933"/>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933"/>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1014"/>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101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101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1014"/>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101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1014"/>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1014"/>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1014"/>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933"/>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55"/>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933"/>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33"/>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pStyle w:val="933"/>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933"/>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3"/>
              <w:jc w:val="center"/>
              <w:rPr>
                <w:rFonts w:hint="eastAsia" w:ascii="仿宋" w:hAnsi="仿宋" w:eastAsia="仿宋"/>
                <w:sz w:val="28"/>
                <w:szCs w:val="28"/>
                <w:highlight w:val="none"/>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933"/>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933"/>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933"/>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933"/>
              <w:spacing w:line="7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933"/>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933"/>
              <w:ind w:firstLine="140"/>
              <w:rPr>
                <w:rFonts w:hint="eastAsia" w:ascii="仿宋" w:hAnsi="仿宋" w:eastAsia="仿宋"/>
                <w:sz w:val="28"/>
                <w:szCs w:val="28"/>
                <w:highlight w:val="none"/>
              </w:rPr>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933"/>
              <w:ind w:firstLine="1540"/>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33"/>
        <w:ind w:firstLine="411"/>
        <w:spacing w:line="440" w:lineRule="exact"/>
        <w:rPr>
          <w:rFonts w:hint="eastAsia" w:ascii="仿宋" w:hAnsi="仿宋" w:eastAsia="仿宋"/>
          <w:sz w:val="28"/>
          <w:szCs w:val="28"/>
          <w:highlight w:val="none"/>
        </w:rPr>
      </w:pPr>
      <w:r/>
      <w:bookmarkStart w:id="40" w:name="_Toc136924766"/>
      <w:r/>
      <w:bookmarkStart w:id="41" w:name="_Toc157775459"/>
      <w:r>
        <w:rPr>
          <w:rFonts w:hint="eastAsia" w:ascii="仿宋" w:hAnsi="仿宋" w:eastAsia="仿宋"/>
          <w:sz w:val="28"/>
          <w:szCs w:val="28"/>
          <w:highlight w:val="none"/>
        </w:rPr>
      </w:r>
      <w:r/>
    </w:p>
    <w:p>
      <w:pPr>
        <w:pStyle w:val="933"/>
        <w:ind w:firstLine="41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55"/>
        <w:ind w:firstLine="2875"/>
        <w:rPr>
          <w:rFonts w:hint="eastAsia" w:hAnsi="宋体"/>
          <w:b/>
          <w:sz w:val="32"/>
          <w:szCs w:val="32"/>
          <w:highlight w:val="none"/>
        </w:rPr>
      </w:pPr>
      <w:r/>
      <w:bookmarkEnd w:id="40"/>
      <w:r/>
      <w:bookmarkEnd w:id="41"/>
      <w:r/>
      <w:bookmarkStart w:id="42" w:name="_Toc157775468"/>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ind w:firstLine="2875"/>
        <w:rPr>
          <w:rFonts w:hint="eastAsia" w:hAnsi="宋体"/>
          <w:b/>
          <w:sz w:val="32"/>
          <w:szCs w:val="32"/>
          <w:highlight w:val="none"/>
        </w:rPr>
      </w:pPr>
      <w:r>
        <w:rPr>
          <w:rFonts w:hint="eastAsia" w:hAnsi="宋体"/>
          <w:b/>
          <w:sz w:val="32"/>
          <w:szCs w:val="32"/>
          <w:highlight w:val="none"/>
        </w:rPr>
      </w:r>
      <w:r/>
    </w:p>
    <w:p>
      <w:pPr>
        <w:pStyle w:val="955"/>
        <w:jc w:val="center"/>
        <w:rPr>
          <w:rFonts w:hint="eastAsia" w:ascii="仿宋" w:hAnsi="仿宋" w:eastAsia="仿宋"/>
          <w:b/>
          <w:sz w:val="32"/>
          <w:szCs w:val="32"/>
          <w:highlight w:val="none"/>
        </w:rPr>
      </w:pPr>
      <w:r>
        <w:rPr>
          <w:rFonts w:hint="eastAsia" w:ascii="仿宋" w:hAnsi="仿宋" w:eastAsia="仿宋"/>
          <w:b/>
          <w:sz w:val="32"/>
          <w:highlight w:val="none"/>
          <w:lang w:val="en-US" w:eastAsia="zh-CN"/>
        </w:rPr>
        <w:t xml:space="preserve">三</w:t>
      </w:r>
      <w:r>
        <w:rPr>
          <w:rFonts w:hint="eastAsia" w:ascii="仿宋" w:hAnsi="仿宋" w:eastAsia="仿宋"/>
          <w:b/>
          <w:sz w:val="32"/>
          <w:highlight w:val="none"/>
        </w:rPr>
        <w:t xml:space="preserve">、</w:t>
      </w:r>
      <w:r>
        <w:rPr>
          <w:rFonts w:hint="eastAsia" w:ascii="仿宋" w:hAnsi="仿宋" w:eastAsia="仿宋"/>
          <w:b/>
          <w:sz w:val="32"/>
          <w:szCs w:val="32"/>
          <w:highlight w:val="none"/>
        </w:rPr>
        <w:t xml:space="preserve">投标报价明细表</w:t>
      </w:r>
      <w:r>
        <w:rPr>
          <w:rFonts w:hint="eastAsia" w:ascii="仿宋" w:hAnsi="仿宋" w:eastAsia="仿宋"/>
          <w:b/>
          <w:sz w:val="32"/>
          <w:szCs w:val="32"/>
          <w:highlight w:val="none"/>
        </w:rPr>
      </w:r>
      <w:r/>
    </w:p>
    <w:p>
      <w:pPr>
        <w:pStyle w:val="955"/>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894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771"/>
        <w:gridCol w:w="1467"/>
        <w:gridCol w:w="2083"/>
        <w:gridCol w:w="1667"/>
      </w:tblGrid>
      <w:tr>
        <w:trPr>
          <w:trHeight w:val="544"/>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产品</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950"/>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医保综合管理平台</w:t>
            </w: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包</w:t>
            </w:r>
            <w:r>
              <w:rPr>
                <w:rFonts w:hint="eastAsia" w:ascii="仿宋" w:hAnsi="仿宋" w:eastAsia="仿宋"/>
                <w:sz w:val="24"/>
                <w:szCs w:val="24"/>
                <w:highlight w:val="none"/>
                <w:lang w:val="en-US" w:eastAsia="zh-CN"/>
              </w:rPr>
              <w:t xml:space="preserve">含</w:t>
            </w:r>
            <w:r>
              <w:rPr>
                <w:rFonts w:hint="eastAsia" w:ascii="仿宋" w:hAnsi="仿宋" w:eastAsia="仿宋"/>
                <w:sz w:val="24"/>
                <w:szCs w:val="24"/>
                <w:highlight w:val="none"/>
              </w:rPr>
              <w:t xml:space="preserve">与院内信息系统接口的费用</w:t>
            </w: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763"/>
        </w:trPr>
        <w:tc>
          <w:tcPr>
            <w:tcMar>
              <w:left w:w="108" w:type="dxa"/>
              <w:top w:w="0" w:type="dxa"/>
              <w:right w:w="108" w:type="dxa"/>
              <w:bottom w:w="0" w:type="dxa"/>
            </w:tcMar>
            <w:tcW w:w="959"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2771"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4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2083"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67" w:type="dxa"/>
            <w:vAlign w:val="center"/>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1030"/>
        </w:trPr>
        <w:tc>
          <w:tcPr>
            <w:gridSpan w:val="4"/>
            <w:tcMar>
              <w:left w:w="108" w:type="dxa"/>
              <w:top w:w="0" w:type="dxa"/>
              <w:right w:w="108" w:type="dxa"/>
              <w:bottom w:w="0" w:type="dxa"/>
            </w:tcMar>
            <w:tcW w:w="7280" w:type="dxa"/>
            <w:vAlign w:val="center"/>
            <w:textDirection w:val="lrTb"/>
            <w:noWrap w:val="false"/>
          </w:tcPr>
          <w:p>
            <w:pPr>
              <w:pStyle w:val="95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投标总报价（人民币：元）</w:t>
            </w:r>
            <w:r>
              <w:rPr>
                <w:rFonts w:ascii="仿宋" w:hAnsi="仿宋" w:eastAsia="仿宋"/>
                <w:sz w:val="24"/>
                <w:szCs w:val="24"/>
                <w:highlight w:val="none"/>
              </w:rPr>
            </w:r>
            <w:r/>
          </w:p>
        </w:tc>
        <w:tc>
          <w:tcPr>
            <w:tcMar>
              <w:left w:w="108" w:type="dxa"/>
              <w:top w:w="0" w:type="dxa"/>
              <w:right w:w="108" w:type="dxa"/>
              <w:bottom w:w="0" w:type="dxa"/>
            </w:tcMar>
            <w:tcW w:w="1667" w:type="dxa"/>
            <w:vAlign w:val="top"/>
            <w:textDirection w:val="lrTb"/>
            <w:noWrap w:val="false"/>
          </w:tcPr>
          <w:p>
            <w:pPr>
              <w:pStyle w:val="95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bl>
    <w:p>
      <w:pPr>
        <w:pStyle w:val="955"/>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955"/>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55"/>
        <w:ind w:firstLine="840"/>
        <w:spacing w:line="440" w:lineRule="exact"/>
        <w:rPr>
          <w:rFonts w:ascii="仿宋" w:hAnsi="仿宋" w:eastAsia="仿宋"/>
          <w:sz w:val="28"/>
          <w:szCs w:val="24"/>
          <w:highlight w:val="none"/>
        </w:rPr>
      </w:pPr>
      <w:r>
        <w:rPr>
          <w:rFonts w:ascii="仿宋" w:hAnsi="仿宋" w:eastAsia="仿宋"/>
          <w:sz w:val="28"/>
          <w:szCs w:val="24"/>
          <w:highlight w:val="none"/>
        </w:rPr>
        <w:t xml:space="preserve">2</w:t>
      </w:r>
      <w:r>
        <w:rPr>
          <w:rFonts w:hint="eastAsia" w:ascii="仿宋" w:hAnsi="仿宋" w:eastAsia="仿宋"/>
          <w:sz w:val="28"/>
          <w:szCs w:val="24"/>
          <w:highlight w:val="none"/>
        </w:rPr>
        <w:t xml:space="preserve">、</w:t>
      </w:r>
      <w:r>
        <w:rPr>
          <w:rFonts w:ascii="仿宋" w:hAnsi="仿宋" w:eastAsia="仿宋"/>
          <w:sz w:val="28"/>
          <w:szCs w:val="24"/>
          <w:highlight w:val="none"/>
        </w:rPr>
        <w:t xml:space="preserve">“</w:t>
      </w:r>
      <w:r>
        <w:rPr>
          <w:rFonts w:ascii="仿宋" w:hAnsi="仿宋" w:eastAsia="仿宋" w:cs="Times New Roman"/>
          <w:sz w:val="28"/>
          <w:szCs w:val="24"/>
          <w:highlight w:val="none"/>
        </w:rPr>
        <w:t xml:space="preserve">投标分</w:t>
      </w:r>
      <w:r>
        <w:rPr>
          <w:rFonts w:ascii="仿宋" w:hAnsi="仿宋" w:eastAsia="仿宋"/>
          <w:sz w:val="28"/>
          <w:szCs w:val="24"/>
          <w:highlight w:val="none"/>
        </w:rPr>
        <w:t xml:space="preserve">项报价表”中“投标总报价”数额应当与“开标一览表”中“投标总报价”数额一致。</w:t>
      </w:r>
      <w:r>
        <w:rPr>
          <w:rFonts w:ascii="仿宋" w:hAnsi="仿宋" w:eastAsia="仿宋"/>
          <w:sz w:val="28"/>
          <w:szCs w:val="24"/>
          <w:highlight w:val="none"/>
        </w:rPr>
      </w:r>
      <w:r/>
    </w:p>
    <w:p>
      <w:pPr>
        <w:pStyle w:val="955"/>
        <w:ind w:firstLine="840"/>
        <w:spacing w:line="440" w:lineRule="exact"/>
        <w:rPr>
          <w:rFonts w:hint="eastAsia" w:ascii="仿宋" w:hAnsi="仿宋" w:eastAsia="仿宋" w:cs="Times New Roman"/>
          <w:sz w:val="28"/>
          <w:szCs w:val="24"/>
          <w:highlight w:val="none"/>
          <w:lang w:val="en-US" w:eastAsia="zh-CN"/>
        </w:rPr>
      </w:pPr>
      <w:r>
        <w:rPr>
          <w:rFonts w:hint="eastAsia" w:ascii="仿宋" w:hAnsi="仿宋" w:eastAsia="仿宋" w:cs="Times New Roman"/>
          <w:sz w:val="28"/>
          <w:szCs w:val="24"/>
          <w:highlight w:val="none"/>
          <w:lang w:val="en-US" w:eastAsia="zh-CN"/>
        </w:rPr>
        <w:t xml:space="preserve">3、总价包括与院内信息系统接口的费用。</w:t>
      </w:r>
      <w:r>
        <w:rPr>
          <w:rFonts w:hint="eastAsia" w:ascii="仿宋" w:hAnsi="仿宋" w:eastAsia="仿宋" w:cs="Times New Roman"/>
          <w:sz w:val="28"/>
          <w:szCs w:val="24"/>
          <w:highlight w:val="none"/>
          <w:lang w:val="en-US" w:eastAsia="zh-CN"/>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bCs/>
          <w:sz w:val="32"/>
          <w:szCs w:val="32"/>
          <w:highlight w:val="none"/>
        </w:rPr>
      </w:pPr>
      <w:r>
        <w:rPr>
          <w:rFonts w:hint="eastAsia" w:ascii="仿宋" w:hAnsi="仿宋" w:eastAsia="仿宋"/>
          <w:b/>
          <w:sz w:val="32"/>
          <w:highlight w:val="none"/>
        </w:rPr>
      </w:r>
      <w:r>
        <w:rPr>
          <w:rFonts w:hint="eastAsia" w:ascii="仿宋" w:hAnsi="仿宋" w:eastAsia="仿宋"/>
          <w:b/>
          <w:sz w:val="32"/>
          <w:highlight w:val="none"/>
        </w:rPr>
      </w:r>
      <w:r/>
    </w:p>
    <w:p>
      <w:pPr>
        <w:pStyle w:val="955"/>
        <w:jc w:val="center"/>
        <w:spacing w:line="440" w:lineRule="exact"/>
        <w:rPr>
          <w:rFonts w:hint="eastAsia" w:ascii="仿宋" w:hAnsi="仿宋" w:eastAsia="仿宋"/>
          <w:b/>
          <w:bCs/>
          <w:sz w:val="32"/>
          <w:szCs w:val="32"/>
          <w:highlight w:val="none"/>
        </w:rPr>
      </w:pPr>
      <w:r>
        <w:rPr>
          <w:rFonts w:hint="eastAsia" w:ascii="仿宋" w:hAnsi="仿宋" w:eastAsia="仿宋"/>
          <w:b/>
          <w:sz w:val="32"/>
          <w:highlight w:val="none"/>
        </w:rPr>
      </w:r>
      <w:r/>
    </w:p>
    <w:p>
      <w:pPr>
        <w:pStyle w:val="955"/>
        <w:jc w:val="center"/>
        <w:spacing w:line="440" w:lineRule="exact"/>
        <w:rPr>
          <w:rFonts w:hint="eastAsia" w:ascii="仿宋" w:hAnsi="仿宋" w:eastAsia="仿宋"/>
          <w:b/>
          <w:sz w:val="32"/>
          <w:highlight w:val="none"/>
        </w:rPr>
      </w:pPr>
      <w:r>
        <w:rPr>
          <w:rFonts w:hint="eastAsia" w:ascii="仿宋" w:hAnsi="仿宋" w:eastAsia="仿宋"/>
          <w:b/>
          <w:sz w:val="32"/>
          <w:highlight w:val="none"/>
          <w:lang w:val="en-US" w:eastAsia="zh-CN"/>
        </w:rPr>
        <w:t xml:space="preserve">四、</w:t>
      </w:r>
      <w:r>
        <w:rPr>
          <w:rFonts w:hint="eastAsia" w:ascii="仿宋" w:hAnsi="仿宋" w:eastAsia="仿宋"/>
          <w:b/>
          <w:sz w:val="32"/>
          <w:highlight w:val="none"/>
        </w:rPr>
        <w:t xml:space="preserve">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990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80"/>
        <w:gridCol w:w="1074"/>
      </w:tblGrid>
      <w:tr>
        <w:trPr>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933"/>
              <w:jc w:val="center"/>
              <w:rPr>
                <w:rFonts w:hint="eastAsia" w:ascii="仿宋" w:hAnsi="仿宋" w:eastAsia="仿宋" w:cs="Arial"/>
                <w:sz w:val="24"/>
                <w:highlight w:val="none"/>
              </w:rPr>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933"/>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933"/>
              <w:rPr>
                <w:rFonts w:hint="eastAsia"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933"/>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933"/>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bl>
    <w:p>
      <w:pPr>
        <w:pStyle w:val="933"/>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33"/>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highlight w:val="none"/>
        </w:rPr>
      </w:r>
      <w:r/>
    </w:p>
    <w:p>
      <w:pPr>
        <w:pStyle w:val="933"/>
        <w:ind w:firstLine="480"/>
        <w:spacing w:line="440" w:lineRule="exact"/>
        <w:rPr>
          <w:rFonts w:hint="eastAsia" w:ascii="宋体" w:hAnsi="宋体"/>
          <w:bCs/>
          <w:sz w:val="32"/>
          <w:highlight w:val="none"/>
        </w:rPr>
      </w:pPr>
      <w:r>
        <w:rPr>
          <w:rFonts w:hint="eastAsia" w:ascii="宋体" w:hAnsi="宋体"/>
          <w:bCs/>
          <w:sz w:val="32"/>
          <w:highlight w:val="none"/>
        </w:rPr>
      </w:r>
      <w:r/>
    </w:p>
    <w:p>
      <w:pPr>
        <w:pStyle w:val="9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9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9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9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953"/>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955"/>
        <w:ind w:firstLine="948"/>
        <w:spacing w:line="520" w:lineRule="exact"/>
        <w:rPr>
          <w:rFonts w:hint="eastAsia" w:ascii="仿宋" w:hAnsi="仿宋" w:eastAsia="仿宋"/>
          <w:b/>
          <w:bCs/>
          <w:sz w:val="32"/>
          <w:szCs w:val="32"/>
          <w:highlight w:val="none"/>
        </w:rPr>
      </w:pPr>
      <w:r/>
      <w:bookmarkEnd w:id="42"/>
      <w:r>
        <w:rPr>
          <w:rFonts w:hint="eastAsia" w:ascii="仿宋" w:hAnsi="仿宋" w:eastAsia="仿宋"/>
          <w:b/>
          <w:bCs/>
          <w:sz w:val="32"/>
          <w:highlight w:val="none"/>
          <w:lang w:val="en-US" w:eastAsia="zh-CN"/>
        </w:rPr>
        <w:t xml:space="preserve">五</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5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93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933"/>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2、投标人符合《政府采购法》第二十二条规定条件的承诺函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933"/>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933"/>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提供下列材料之一：</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①投标人为企业的：提供营业执照（三证合一）（扫描件并加盖投标人电子签章，必须提供）。</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②投标人为事业单位的：提供事业单位法人证书（扫描件并加盖投标人电子签章，必须提供）。</w:t>
      </w:r>
      <w:r>
        <w:rPr>
          <w:rFonts w:hint="eastAsia" w:ascii="仿宋" w:hAnsi="仿宋" w:eastAsia="仿宋" w:cs="Times New Roman"/>
          <w:sz w:val="28"/>
          <w:szCs w:val="28"/>
          <w:highlight w:val="none"/>
        </w:rPr>
      </w:r>
      <w:r/>
    </w:p>
    <w:p>
      <w:pPr>
        <w:pStyle w:val="933"/>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拒绝下述条件的投标人参加本次采购活动（提供承诺书，格式详见示范格式</w:t>
      </w:r>
      <w:r>
        <w:rPr>
          <w:rFonts w:hint="eastAsia" w:ascii="仿宋" w:hAnsi="仿宋" w:eastAsia="仿宋" w:cs="Times New Roman"/>
          <w:sz w:val="28"/>
          <w:szCs w:val="28"/>
          <w:highlight w:val="none"/>
          <w:lang w:val="en-US" w:eastAsia="zh-CN"/>
        </w:rPr>
        <w:t xml:space="preserve">六</w:t>
      </w:r>
      <w:r>
        <w:rPr>
          <w:rFonts w:hint="eastAsia" w:ascii="仿宋" w:hAnsi="仿宋" w:eastAsia="仿宋" w:cs="Times New Roman"/>
          <w:sz w:val="28"/>
          <w:szCs w:val="28"/>
          <w:highlight w:val="none"/>
        </w:rPr>
        <w:t xml:space="preserve">，扫描件加盖投标人电子签章）。</w:t>
      </w:r>
      <w:r>
        <w:rPr>
          <w:rFonts w:hint="eastAsia" w:ascii="仿宋" w:hAnsi="仿宋" w:eastAsia="仿宋" w:cs="Times New Roman"/>
          <w:sz w:val="28"/>
          <w:szCs w:val="28"/>
          <w:highlight w:val="none"/>
        </w:rPr>
      </w:r>
      <w:r/>
    </w:p>
    <w:p>
      <w:pPr>
        <w:pStyle w:val="93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①投标人单位负责人为同一人或者存在直接控股、管理关系的不同投标人，同时参加同一合同项下的政府采购活动。</w:t>
      </w:r>
      <w:r>
        <w:rPr>
          <w:rFonts w:ascii="仿宋" w:hAnsi="仿宋" w:eastAsia="仿宋" w:cs="仿宋"/>
          <w:sz w:val="28"/>
          <w:szCs w:val="28"/>
          <w:highlight w:val="none"/>
        </w:rPr>
      </w:r>
      <w:r/>
    </w:p>
    <w:p>
      <w:pPr>
        <w:pStyle w:val="93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②凡为采购项目提供整体设计、规范编制或者项目管理、监理、检测等服务的投标人，再参加本项目的采购活动。</w:t>
      </w:r>
      <w:r>
        <w:rPr>
          <w:rFonts w:ascii="仿宋" w:hAnsi="仿宋" w:eastAsia="仿宋" w:cs="仿宋"/>
          <w:sz w:val="28"/>
          <w:szCs w:val="28"/>
          <w:highlight w:val="none"/>
        </w:rPr>
      </w:r>
      <w:r/>
    </w:p>
    <w:p>
      <w:pPr>
        <w:pStyle w:val="933"/>
        <w:ind w:firstLine="560"/>
        <w:spacing w:line="520" w:lineRule="exact"/>
        <w:rPr>
          <w:rFonts w:ascii="仿宋" w:hAnsi="仿宋" w:eastAsia="仿宋" w:cs="仿宋"/>
          <w:b/>
          <w:bCs/>
          <w:sz w:val="28"/>
          <w:szCs w:val="28"/>
          <w:highlight w:val="none"/>
        </w:rPr>
      </w:pPr>
      <w:r>
        <w:rPr>
          <w:rFonts w:hint="eastAsia" w:ascii="仿宋" w:hAnsi="仿宋" w:eastAsia="仿宋" w:cs="仿宋"/>
          <w:sz w:val="28"/>
          <w:szCs w:val="28"/>
          <w:highlight w:val="none"/>
        </w:rPr>
        <w:t xml:space="preserve">③投标人被“信用中国”网站、“中国政府采购网”列入失信被执行人、重大税收违法案件当事人名单、政府采购严重违法失信行为记录名单。</w:t>
      </w:r>
      <w:r>
        <w:rPr>
          <w:rFonts w:ascii="仿宋" w:hAnsi="仿宋" w:eastAsia="仿宋" w:cs="仿宋"/>
          <w:b/>
          <w:bCs/>
          <w:sz w:val="28"/>
          <w:szCs w:val="28"/>
          <w:highlight w:val="none"/>
        </w:rPr>
      </w:r>
      <w:r/>
    </w:p>
    <w:p>
      <w:pPr>
        <w:pStyle w:val="933"/>
        <w:ind w:firstLine="417"/>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本项目不接受联合体投标</w:t>
      </w:r>
      <w:r>
        <w:rPr>
          <w:rFonts w:hint="eastAsia" w:ascii="仿宋" w:hAnsi="仿宋" w:eastAsia="仿宋" w:cs="仿宋"/>
          <w:sz w:val="28"/>
          <w:szCs w:val="28"/>
          <w:highlight w:val="none"/>
          <w:lang w:eastAsia="zh-CN"/>
        </w:rPr>
        <w:t xml:space="preserve">（符合即可）。</w:t>
      </w:r>
      <w:r>
        <w:rPr>
          <w:rFonts w:hint="eastAsia" w:ascii="仿宋" w:hAnsi="仿宋" w:eastAsia="仿宋" w:cs="仿宋"/>
          <w:sz w:val="28"/>
          <w:szCs w:val="28"/>
          <w:highlight w:val="none"/>
        </w:rPr>
      </w:r>
      <w:r/>
    </w:p>
    <w:p>
      <w:pPr>
        <w:pStyle w:val="933"/>
        <w:ind w:firstLine="1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33"/>
        <w:jc w:val="left"/>
        <w:widowControl/>
        <w:rPr>
          <w:rFonts w:hint="eastAsia" w:ascii="宋体" w:hAnsi="宋体" w:cs="Arial"/>
          <w:b/>
          <w:bCs/>
          <w:sz w:val="32"/>
          <w:highlight w:val="none"/>
        </w:rPr>
      </w:pPr>
      <w:r>
        <w:rPr>
          <w:rFonts w:hint="eastAsia" w:ascii="宋体" w:hAnsi="宋体" w:cs="Arial"/>
          <w:b/>
          <w:bCs/>
          <w:sz w:val="32"/>
          <w:highlight w:val="none"/>
        </w:rPr>
      </w:r>
      <w:r/>
    </w:p>
    <w:p>
      <w:pPr>
        <w:pStyle w:val="933"/>
        <w:ind w:firstLine="1428"/>
        <w:jc w:val="left"/>
        <w:spacing w:line="520" w:lineRule="exact"/>
        <w:widowControl/>
        <w:rPr>
          <w:rFonts w:hint="eastAsia" w:ascii="仿宋" w:hAnsi="仿宋" w:eastAsia="仿宋" w:cs="Arial"/>
          <w:b/>
          <w:bCs/>
          <w:sz w:val="32"/>
          <w:highlight w:val="none"/>
        </w:rPr>
      </w:pPr>
      <w:r>
        <w:rPr>
          <w:rFonts w:ascii="宋体" w:hAnsi="宋体"/>
          <w:b/>
          <w:sz w:val="36"/>
          <w:highlight w:val="none"/>
        </w:rPr>
        <w:br w:type="page" w:clear="all"/>
      </w:r>
      <w:bookmarkStart w:id="43" w:name="_Toc157775454"/>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、综合评分时投标人需提供的证明文件</w:t>
      </w:r>
      <w:r>
        <w:rPr>
          <w:rFonts w:hint="eastAsia" w:ascii="仿宋" w:hAnsi="仿宋" w:eastAsia="仿宋" w:cs="Arial"/>
          <w:b/>
          <w:bCs/>
          <w:sz w:val="32"/>
          <w:highlight w:val="none"/>
        </w:rPr>
      </w:r>
      <w:r/>
    </w:p>
    <w:p>
      <w:pPr>
        <w:pStyle w:val="933"/>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877"/>
        <w:spacing w:line="440" w:lineRule="exact"/>
        <w:rPr>
          <w:rFonts w:hint="eastAsia" w:ascii="宋体" w:hAnsi="宋体"/>
          <w:b/>
          <w:sz w:val="36"/>
          <w:highlight w:val="none"/>
        </w:rPr>
      </w:pPr>
      <w:r>
        <w:rPr>
          <w:rFonts w:hint="eastAsia" w:ascii="宋体" w:hAnsi="宋体"/>
          <w:b/>
          <w:sz w:val="36"/>
          <w:highlight w:val="none"/>
        </w:rPr>
      </w:r>
      <w:r/>
    </w:p>
    <w:p>
      <w:pPr>
        <w:pStyle w:val="933"/>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七</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933"/>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933"/>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933"/>
        <w:ind w:firstLine="2891"/>
        <w:spacing w:line="640" w:lineRule="exact"/>
        <w:rPr>
          <w:rFonts w:ascii="仿宋" w:hAnsi="仿宋" w:eastAsia="仿宋" w:cs="楷体_GB2312"/>
          <w:b/>
          <w:bCs/>
          <w:sz w:val="32"/>
          <w:szCs w:val="32"/>
          <w:highlight w:val="none"/>
          <w:lang w:val="zh-CN"/>
        </w:rPr>
      </w:pPr>
      <w:r/>
      <w:bookmarkEnd w:id="43"/>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933"/>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933"/>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933"/>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933"/>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933"/>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933"/>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933"/>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014"/>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933"/>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rPr>
          <w:rFonts w:hint="eastAsia" w:ascii="仿宋" w:hAnsi="仿宋" w:eastAsia="仿宋"/>
          <w:bCs/>
          <w:color w:val="000000"/>
          <w:sz w:val="28"/>
          <w:szCs w:val="28"/>
          <w:highlight w:val="none"/>
        </w:rPr>
      </w:r>
      <w:r/>
    </w:p>
    <w:p>
      <w:pPr>
        <w:pStyle w:val="933"/>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933"/>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933"/>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933"/>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淮安市洪泽区人民医院</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淮安市洪泽区人民医院</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淮安市公共资源交易中心洪泽分中心</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933"/>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3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33"/>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933"/>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933"/>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rPr>
          <w:rFonts w:hint="eastAsia" w:ascii="仿宋" w:hAnsi="仿宋" w:eastAsia="仿宋"/>
          <w:color w:val="000000"/>
          <w:sz w:val="28"/>
          <w:szCs w:val="28"/>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943"/>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淮安市洪泽区人民医院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933"/>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93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933"/>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933"/>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93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93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933"/>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933"/>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93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33"/>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933"/>
        <w:numPr>
          <w:ilvl w:val="0"/>
          <w:numId w:val="37"/>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943"/>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淮安市洪泽区人民医院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43"/>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33"/>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943"/>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淮安市洪泽区人民医院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4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43"/>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43"/>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933"/>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43"/>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淮安市洪泽区人民医院</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94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4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4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4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933"/>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933"/>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33"/>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43"/>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43"/>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943"/>
        <w:ind w:firstLine="0"/>
        <w:jc w:val="left"/>
        <w:spacing w:line="520" w:lineRule="exact"/>
        <w:rPr>
          <w:rFonts w:hint="eastAsia" w:ascii="仿宋" w:hAnsi="仿宋" w:eastAsia="仿宋" w:cs="仿宋"/>
          <w:b/>
          <w:sz w:val="32"/>
          <w:highlight w:val="none"/>
          <w:lang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六</w:t>
      </w:r>
      <w:r>
        <w:rPr>
          <w:rFonts w:hint="eastAsia" w:ascii="仿宋" w:hAnsi="仿宋" w:eastAsia="仿宋" w:cs="仿宋"/>
          <w:b/>
          <w:sz w:val="32"/>
          <w:highlight w:val="none"/>
          <w:lang w:eastAsia="zh-CN"/>
        </w:rPr>
      </w:r>
      <w:r/>
    </w:p>
    <w:p>
      <w:pPr>
        <w:pStyle w:val="933"/>
        <w:ind w:hanging="2"/>
        <w:jc w:val="center"/>
        <w:spacing w:line="600" w:lineRule="exact"/>
        <w:rPr>
          <w:rFonts w:ascii="仿宋" w:hAnsi="仿宋" w:eastAsia="仿宋" w:cs="仿宋"/>
          <w:b/>
          <w:sz w:val="32"/>
          <w:highlight w:val="none"/>
        </w:rPr>
      </w:pPr>
      <w:r>
        <w:rPr>
          <w:rFonts w:hint="eastAsia" w:ascii="仿宋" w:hAnsi="仿宋" w:eastAsia="仿宋" w:cs="仿宋"/>
          <w:b/>
          <w:sz w:val="32"/>
          <w:highlight w:val="none"/>
        </w:rPr>
        <w:t xml:space="preserve">承诺书</w:t>
      </w:r>
      <w:r>
        <w:rPr>
          <w:rFonts w:ascii="仿宋" w:hAnsi="仿宋" w:eastAsia="仿宋" w:cs="仿宋"/>
          <w:b/>
          <w:sz w:val="32"/>
          <w:highlight w:val="none"/>
        </w:rPr>
      </w:r>
      <w:r/>
    </w:p>
    <w:p>
      <w:pPr>
        <w:pStyle w:val="933"/>
        <w:spacing w:line="400" w:lineRule="exact"/>
        <w:rPr>
          <w:rFonts w:ascii="仿宋" w:hAnsi="仿宋" w:eastAsia="仿宋" w:cs="仿宋"/>
          <w:b/>
          <w:sz w:val="32"/>
          <w:highlight w:val="none"/>
        </w:rPr>
      </w:pPr>
      <w:r>
        <w:rPr>
          <w:rFonts w:hint="eastAsia" w:ascii="仿宋" w:hAnsi="仿宋" w:eastAsia="仿宋" w:cs="仿宋"/>
          <w:b/>
          <w:sz w:val="28"/>
          <w:szCs w:val="28"/>
          <w:highlight w:val="none"/>
        </w:rPr>
        <w:t xml:space="preserve">致：</w:t>
      </w:r>
      <w:r>
        <w:rPr>
          <w:rFonts w:hint="eastAsia" w:ascii="仿宋" w:hAnsi="仿宋" w:eastAsia="仿宋" w:cs="仿宋"/>
          <w:b/>
          <w:sz w:val="28"/>
          <w:szCs w:val="28"/>
          <w:highlight w:val="none"/>
          <w:u w:val="single"/>
        </w:rPr>
        <w:t xml:space="preserve">（采购人）</w:t>
      </w:r>
      <w:r>
        <w:rPr>
          <w:rFonts w:hint="eastAsia" w:ascii="仿宋" w:hAnsi="仿宋" w:eastAsia="仿宋" w:cs="仿宋"/>
          <w:sz w:val="28"/>
          <w:szCs w:val="28"/>
          <w:highlight w:val="none"/>
        </w:rPr>
        <w:t xml:space="preserve">：</w:t>
      </w:r>
      <w:r>
        <w:rPr>
          <w:rFonts w:ascii="仿宋" w:hAnsi="仿宋" w:eastAsia="仿宋" w:cs="仿宋"/>
          <w:b/>
          <w:sz w:val="32"/>
          <w:highlight w:val="none"/>
        </w:rPr>
      </w:r>
      <w:r/>
    </w:p>
    <w:p>
      <w:pPr>
        <w:pStyle w:val="1026"/>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我</w:t>
      </w:r>
      <w:r>
        <w:rPr>
          <w:rFonts w:hint="eastAsia" w:ascii="仿宋" w:hAnsi="仿宋" w:eastAsia="仿宋" w:cs="仿宋"/>
          <w:sz w:val="28"/>
          <w:szCs w:val="28"/>
          <w:highlight w:val="none"/>
          <w:lang w:val="en-US" w:eastAsia="zh-CN"/>
        </w:rPr>
        <w:t xml:space="preserve">公</w:t>
      </w:r>
      <w:r>
        <w:rPr>
          <w:rFonts w:hint="eastAsia" w:ascii="仿宋" w:hAnsi="仿宋" w:eastAsia="仿宋" w:cs="仿宋"/>
          <w:sz w:val="28"/>
          <w:szCs w:val="28"/>
          <w:highlight w:val="none"/>
        </w:rPr>
        <w:t xml:space="preserve">司在此郑重承诺：</w:t>
      </w:r>
      <w:r>
        <w:rPr>
          <w:rFonts w:ascii="仿宋" w:hAnsi="仿宋" w:eastAsia="仿宋" w:cs="仿宋"/>
          <w:sz w:val="28"/>
          <w:szCs w:val="28"/>
          <w:highlight w:val="none"/>
        </w:rPr>
      </w:r>
      <w:r/>
    </w:p>
    <w:p>
      <w:pPr>
        <w:pStyle w:val="933"/>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我公司负责人不存在同一人或者存在直接控股、管理关系的不同投标人，未同时参加同一合同项下的政府采购活动。</w:t>
      </w:r>
      <w:r>
        <w:rPr>
          <w:rFonts w:ascii="仿宋" w:hAnsi="仿宋" w:eastAsia="仿宋" w:cs="仿宋"/>
          <w:sz w:val="28"/>
          <w:szCs w:val="28"/>
          <w:highlight w:val="none"/>
        </w:rPr>
      </w:r>
      <w:r/>
    </w:p>
    <w:p>
      <w:pPr>
        <w:pStyle w:val="933"/>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我公司没有为本项目提供整体设计、规范编制或者项目管理、监理、检测等服务</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1027"/>
        <w:ind w:firstLine="560"/>
        <w:jc w:val="both"/>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highlight w:val="none"/>
        </w:rPr>
        <w:t xml:space="preserve">参加本次采购活动前，我方没有</w:t>
      </w:r>
      <w:r>
        <w:rPr>
          <w:rFonts w:hint="eastAsia" w:ascii="仿宋" w:hAnsi="仿宋" w:eastAsia="仿宋" w:cs="仿宋"/>
          <w:sz w:val="28"/>
          <w:szCs w:val="28"/>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）列入失信被执行人、重大税收违法案件当事人名单、政府采购严重违法失信行为记录名单。</w:t>
      </w:r>
      <w:r>
        <w:rPr>
          <w:rFonts w:ascii="仿宋" w:hAnsi="仿宋" w:eastAsia="仿宋" w:cs="仿宋"/>
          <w:sz w:val="28"/>
          <w:szCs w:val="28"/>
          <w:highlight w:val="none"/>
        </w:rPr>
      </w:r>
      <w:r/>
    </w:p>
    <w:p>
      <w:pPr>
        <w:pStyle w:val="1026"/>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在参与本次招标投标活动中，如果采购人发现我司存在上述任何情况的，我司愿意承担由此造成的一切法律后果。</w:t>
      </w:r>
      <w:r>
        <w:rPr>
          <w:rFonts w:ascii="仿宋" w:hAnsi="仿宋" w:eastAsia="仿宋" w:cs="仿宋"/>
          <w:sz w:val="28"/>
          <w:szCs w:val="28"/>
          <w:highlight w:val="none"/>
        </w:rPr>
      </w:r>
      <w:r/>
    </w:p>
    <w:p>
      <w:pPr>
        <w:pStyle w:val="933"/>
        <w:ind w:firstLine="56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特此声明！</w:t>
      </w:r>
      <w:r>
        <w:rPr>
          <w:rFonts w:ascii="仿宋" w:hAnsi="仿宋" w:eastAsia="仿宋" w:cs="仿宋"/>
          <w:sz w:val="28"/>
          <w:szCs w:val="28"/>
          <w:highlight w:val="none"/>
        </w:rPr>
      </w:r>
      <w:r/>
    </w:p>
    <w:p>
      <w:pPr>
        <w:pStyle w:val="933"/>
        <w:ind w:firstLine="28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3"/>
        <w:ind w:firstLine="280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（电子签章）  </w:t>
      </w:r>
      <w:r>
        <w:rPr>
          <w:rFonts w:ascii="仿宋" w:hAnsi="仿宋" w:eastAsia="仿宋" w:cs="仿宋"/>
          <w:sz w:val="28"/>
          <w:szCs w:val="28"/>
          <w:highlight w:val="none"/>
        </w:rPr>
      </w:r>
      <w:r/>
    </w:p>
    <w:p>
      <w:pPr>
        <w:pStyle w:val="933"/>
        <w:jc w:val="cente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（电子签章或电子签字 ）   </w:t>
      </w:r>
      <w:r>
        <w:rPr>
          <w:rFonts w:ascii="仿宋" w:hAnsi="仿宋" w:eastAsia="仿宋" w:cs="仿宋"/>
          <w:sz w:val="28"/>
          <w:szCs w:val="28"/>
          <w:highlight w:val="none"/>
          <w:u w:val="single"/>
        </w:rPr>
      </w:r>
      <w:r/>
    </w:p>
    <w:p>
      <w:pPr>
        <w:pStyle w:val="972"/>
        <w:ind w:lef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972"/>
        <w:ind w:left="0" w:firstLine="0"/>
        <w:jc w:val="center"/>
        <w:rPr>
          <w:rFonts w:ascii="仿宋" w:hAnsi="仿宋" w:eastAsia="仿宋" w:cs="仿宋"/>
          <w:sz w:val="32"/>
          <w:szCs w:val="24"/>
          <w:highlight w:val="none"/>
          <w:lang w:val="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w:t>
      </w:r>
      <w:r>
        <w:rPr>
          <w:rFonts w:ascii="仿宋" w:hAnsi="仿宋" w:eastAsia="仿宋" w:cs="仿宋"/>
          <w:sz w:val="32"/>
          <w:szCs w:val="24"/>
          <w:highlight w:val="none"/>
          <w:lang w:val="zh-CN"/>
        </w:rPr>
      </w:r>
      <w:r/>
    </w:p>
    <w:p>
      <w:pPr>
        <w:pStyle w:val="933"/>
        <w:jc w:val="both"/>
        <w:rPr>
          <w:rFonts w:hint="eastAsia" w:ascii="宋体" w:hAnsi="宋体"/>
          <w:b/>
          <w:color w:val="000000"/>
          <w:sz w:val="30"/>
          <w:szCs w:val="30"/>
          <w:highlight w:val="none"/>
        </w:rPr>
      </w:pPr>
      <w:r>
        <w:rPr>
          <w:rFonts w:hint="eastAsia" w:ascii="宋体" w:hAnsi="宋体"/>
          <w:b/>
          <w:color w:val="000000"/>
          <w:sz w:val="30"/>
          <w:szCs w:val="30"/>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Courier New">
    <w:panose1 w:val="02070309020205020404"/>
  </w:font>
  <w:font w:name="华文彩云">
    <w:panose1 w:val="02010800040101010101"/>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50</w:t>
    </w:r>
    <w:r>
      <w:fldChar w:fldCharType="end"/>
    </w:r>
    <w:r>
      <w:rPr>
        <w:rStyle w:val="975"/>
      </w:rPr>
    </w:r>
    <w:r/>
  </w:p>
  <w:p>
    <w:pPr>
      <w:pStyle w:val="9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end"/>
    </w:r>
    <w:r>
      <w:rPr>
        <w:rStyle w:val="975"/>
      </w:rPr>
    </w:r>
    <w:r/>
  </w:p>
  <w:p>
    <w:pPr>
      <w:pStyle w:val="9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004"/>
      <w:isLgl w:val="false"/>
      <w:suff w:val="nothing"/>
      <w:lvlText w:val="第%1章"/>
      <w:lvlJc w:val="left"/>
      <w:pPr>
        <w:pStyle w:val="933"/>
        <w:ind w:left="640" w:firstLine="0"/>
      </w:pPr>
      <w:rPr>
        <w:rFonts w:hint="eastAsia"/>
      </w:rPr>
    </w:lvl>
    <w:lvl w:ilvl="1">
      <w:start w:val="1"/>
      <w:numFmt w:val="decimal"/>
      <w:isLgl w:val="false"/>
      <w:suff w:val="nothing"/>
      <w:lvlText w:val=""/>
      <w:lvlJc w:val="left"/>
      <w:pPr>
        <w:pStyle w:val="933"/>
        <w:ind w:left="640" w:firstLine="0"/>
      </w:pPr>
      <w:rPr>
        <w:rFonts w:hint="eastAsia"/>
      </w:rPr>
    </w:lvl>
    <w:lvl w:ilvl="2">
      <w:start w:val="1"/>
      <w:numFmt w:val="decimal"/>
      <w:isLgl w:val="false"/>
      <w:suff w:val="nothing"/>
      <w:lvlText w:val=""/>
      <w:lvlJc w:val="left"/>
      <w:pPr>
        <w:pStyle w:val="933"/>
        <w:ind w:left="640" w:firstLine="0"/>
      </w:pPr>
      <w:rPr>
        <w:rFonts w:hint="eastAsia"/>
      </w:rPr>
    </w:lvl>
    <w:lvl w:ilvl="3">
      <w:start w:val="1"/>
      <w:numFmt w:val="decimal"/>
      <w:isLgl w:val="false"/>
      <w:suff w:val="nothing"/>
      <w:lvlText w:val=""/>
      <w:lvlJc w:val="left"/>
      <w:pPr>
        <w:pStyle w:val="933"/>
        <w:ind w:left="640" w:firstLine="0"/>
      </w:pPr>
      <w:rPr>
        <w:rFonts w:hint="eastAsia"/>
      </w:rPr>
    </w:lvl>
    <w:lvl w:ilvl="4">
      <w:start w:val="1"/>
      <w:numFmt w:val="decimal"/>
      <w:isLgl w:val="false"/>
      <w:suff w:val="nothing"/>
      <w:lvlText w:val=""/>
      <w:lvlJc w:val="left"/>
      <w:pPr>
        <w:pStyle w:val="933"/>
        <w:ind w:left="640" w:firstLine="0"/>
      </w:pPr>
      <w:rPr>
        <w:rFonts w:hint="eastAsia"/>
      </w:rPr>
    </w:lvl>
    <w:lvl w:ilvl="5">
      <w:start w:val="1"/>
      <w:numFmt w:val="decimal"/>
      <w:isLgl w:val="false"/>
      <w:suff w:val="nothing"/>
      <w:lvlText w:val=""/>
      <w:lvlJc w:val="left"/>
      <w:pPr>
        <w:pStyle w:val="933"/>
        <w:ind w:left="640" w:firstLine="0"/>
      </w:pPr>
      <w:rPr>
        <w:rFonts w:hint="eastAsia"/>
      </w:rPr>
    </w:lvl>
    <w:lvl w:ilvl="6">
      <w:start w:val="1"/>
      <w:numFmt w:val="decimal"/>
      <w:isLgl w:val="false"/>
      <w:suff w:val="nothing"/>
      <w:lvlText w:val=""/>
      <w:lvlJc w:val="left"/>
      <w:pPr>
        <w:pStyle w:val="933"/>
        <w:ind w:left="640" w:firstLine="0"/>
      </w:pPr>
      <w:rPr>
        <w:rFonts w:hint="eastAsia"/>
      </w:rPr>
    </w:lvl>
    <w:lvl w:ilvl="7">
      <w:start w:val="1"/>
      <w:numFmt w:val="decimal"/>
      <w:isLgl w:val="false"/>
      <w:suff w:val="nothing"/>
      <w:lvlText w:val=""/>
      <w:lvlJc w:val="left"/>
      <w:pPr>
        <w:pStyle w:val="933"/>
        <w:ind w:left="640" w:firstLine="0"/>
      </w:pPr>
      <w:rPr>
        <w:rFonts w:hint="eastAsia"/>
      </w:rPr>
    </w:lvl>
    <w:lvl w:ilvl="8">
      <w:start w:val="1"/>
      <w:numFmt w:val="decimal"/>
      <w:isLgl w:val="false"/>
      <w:suff w:val="nothing"/>
      <w:lvlText w:val=""/>
      <w:lvlJc w:val="left"/>
      <w:pPr>
        <w:pStyle w:val="933"/>
        <w:ind w:left="640" w:firstLine="0"/>
      </w:pPr>
      <w:rPr>
        <w:rFonts w:hint="eastAsia"/>
      </w:rPr>
    </w:lvl>
  </w:abstractNum>
  <w:abstractNum w:abstractNumId="16">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lowerLetter"/>
      <w:isLgl w:val="false"/>
      <w:suff w:val="tab"/>
      <w:lvlText w:val="%1)"/>
      <w:lvlJc w:val="left"/>
      <w:pPr>
        <w:pStyle w:val="933"/>
        <w:ind w:left="672" w:hanging="360"/>
      </w:pPr>
    </w:lvl>
    <w:lvl w:ilvl="1">
      <w:start w:val="1"/>
      <w:numFmt w:val="lowerLetter"/>
      <w:isLgl w:val="false"/>
      <w:suff w:val="tab"/>
      <w:lvlText w:val="%2)"/>
      <w:lvlJc w:val="left"/>
      <w:pPr>
        <w:pStyle w:val="933"/>
        <w:ind w:left="1152" w:hanging="420"/>
      </w:pPr>
    </w:lvl>
    <w:lvl w:ilvl="2">
      <w:start w:val="1"/>
      <w:numFmt w:val="lowerRoman"/>
      <w:isLgl w:val="false"/>
      <w:suff w:val="tab"/>
      <w:lvlText w:val="%3."/>
      <w:lvlJc w:val="right"/>
      <w:pPr>
        <w:pStyle w:val="933"/>
        <w:ind w:left="1572" w:hanging="420"/>
      </w:pPr>
    </w:lvl>
    <w:lvl w:ilvl="3">
      <w:start w:val="1"/>
      <w:numFmt w:val="decimal"/>
      <w:isLgl w:val="false"/>
      <w:suff w:val="tab"/>
      <w:lvlText w:val="%4."/>
      <w:lvlJc w:val="left"/>
      <w:pPr>
        <w:pStyle w:val="933"/>
        <w:ind w:left="1992" w:hanging="420"/>
      </w:pPr>
    </w:lvl>
    <w:lvl w:ilvl="4">
      <w:start w:val="1"/>
      <w:numFmt w:val="lowerLetter"/>
      <w:isLgl w:val="false"/>
      <w:suff w:val="tab"/>
      <w:lvlText w:val="%5)"/>
      <w:lvlJc w:val="left"/>
      <w:pPr>
        <w:pStyle w:val="933"/>
        <w:ind w:left="2412" w:hanging="420"/>
      </w:pPr>
    </w:lvl>
    <w:lvl w:ilvl="5">
      <w:start w:val="1"/>
      <w:numFmt w:val="lowerRoman"/>
      <w:isLgl w:val="false"/>
      <w:suff w:val="tab"/>
      <w:lvlText w:val="%6."/>
      <w:lvlJc w:val="right"/>
      <w:pPr>
        <w:pStyle w:val="933"/>
        <w:ind w:left="2832" w:hanging="420"/>
      </w:pPr>
    </w:lvl>
    <w:lvl w:ilvl="6">
      <w:start w:val="1"/>
      <w:numFmt w:val="decimal"/>
      <w:isLgl w:val="false"/>
      <w:suff w:val="tab"/>
      <w:lvlText w:val="%7."/>
      <w:lvlJc w:val="left"/>
      <w:pPr>
        <w:pStyle w:val="933"/>
        <w:ind w:left="3252" w:hanging="420"/>
      </w:pPr>
    </w:lvl>
    <w:lvl w:ilvl="7">
      <w:start w:val="1"/>
      <w:numFmt w:val="lowerLetter"/>
      <w:isLgl w:val="false"/>
      <w:suff w:val="tab"/>
      <w:lvlText w:val="%8)"/>
      <w:lvlJc w:val="left"/>
      <w:pPr>
        <w:pStyle w:val="933"/>
        <w:ind w:left="3672" w:hanging="420"/>
      </w:pPr>
    </w:lvl>
    <w:lvl w:ilvl="8">
      <w:start w:val="1"/>
      <w:numFmt w:val="lowerRoman"/>
      <w:isLgl w:val="false"/>
      <w:suff w:val="tab"/>
      <w:lvlText w:val="%9."/>
      <w:lvlJc w:val="right"/>
      <w:pPr>
        <w:pStyle w:val="933"/>
        <w:ind w:left="4092" w:hanging="420"/>
      </w:pPr>
    </w:lvl>
  </w:abstractNum>
  <w:abstractNum w:abstractNumId="18">
    <w:multiLevelType w:val="hybridMultilevel"/>
    <w:lvl w:ilvl="0">
      <w:start w:val="3"/>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lowerLetter"/>
      <w:isLgl w:val="false"/>
      <w:suff w:val="tab"/>
      <w:lvlText w:val="%1)"/>
      <w:lvlJc w:val="left"/>
      <w:pPr>
        <w:pStyle w:val="933"/>
        <w:ind w:left="675" w:hanging="360"/>
      </w:pPr>
    </w:lvl>
    <w:lvl w:ilvl="1">
      <w:start w:val="1"/>
      <w:numFmt w:val="lowerLetter"/>
      <w:isLgl w:val="false"/>
      <w:suff w:val="tab"/>
      <w:lvlText w:val="%2)"/>
      <w:lvlJc w:val="left"/>
      <w:pPr>
        <w:pStyle w:val="933"/>
        <w:ind w:left="1155" w:hanging="420"/>
      </w:pPr>
    </w:lvl>
    <w:lvl w:ilvl="2">
      <w:start w:val="1"/>
      <w:numFmt w:val="lowerRoman"/>
      <w:isLgl w:val="false"/>
      <w:suff w:val="tab"/>
      <w:lvlText w:val="%3."/>
      <w:lvlJc w:val="right"/>
      <w:pPr>
        <w:pStyle w:val="933"/>
        <w:ind w:left="1575" w:hanging="420"/>
      </w:pPr>
    </w:lvl>
    <w:lvl w:ilvl="3">
      <w:start w:val="1"/>
      <w:numFmt w:val="decimal"/>
      <w:isLgl w:val="false"/>
      <w:suff w:val="tab"/>
      <w:lvlText w:val="%4."/>
      <w:lvlJc w:val="left"/>
      <w:pPr>
        <w:pStyle w:val="933"/>
        <w:ind w:left="1995" w:hanging="420"/>
      </w:pPr>
    </w:lvl>
    <w:lvl w:ilvl="4">
      <w:start w:val="1"/>
      <w:numFmt w:val="lowerLetter"/>
      <w:isLgl w:val="false"/>
      <w:suff w:val="tab"/>
      <w:lvlText w:val="%5)"/>
      <w:lvlJc w:val="left"/>
      <w:pPr>
        <w:pStyle w:val="933"/>
        <w:ind w:left="2415" w:hanging="420"/>
      </w:pPr>
    </w:lvl>
    <w:lvl w:ilvl="5">
      <w:start w:val="1"/>
      <w:numFmt w:val="lowerRoman"/>
      <w:isLgl w:val="false"/>
      <w:suff w:val="tab"/>
      <w:lvlText w:val="%6."/>
      <w:lvlJc w:val="right"/>
      <w:pPr>
        <w:pStyle w:val="933"/>
        <w:ind w:left="2835" w:hanging="420"/>
      </w:pPr>
    </w:lvl>
    <w:lvl w:ilvl="6">
      <w:start w:val="1"/>
      <w:numFmt w:val="decimal"/>
      <w:isLgl w:val="false"/>
      <w:suff w:val="tab"/>
      <w:lvlText w:val="%7."/>
      <w:lvlJc w:val="left"/>
      <w:pPr>
        <w:pStyle w:val="933"/>
        <w:ind w:left="3255" w:hanging="420"/>
      </w:pPr>
    </w:lvl>
    <w:lvl w:ilvl="7">
      <w:start w:val="1"/>
      <w:numFmt w:val="lowerLetter"/>
      <w:isLgl w:val="false"/>
      <w:suff w:val="tab"/>
      <w:lvlText w:val="%8)"/>
      <w:lvlJc w:val="left"/>
      <w:pPr>
        <w:pStyle w:val="933"/>
        <w:ind w:left="3675" w:hanging="420"/>
      </w:pPr>
    </w:lvl>
    <w:lvl w:ilvl="8">
      <w:start w:val="1"/>
      <w:numFmt w:val="lowerRoman"/>
      <w:isLgl w:val="false"/>
      <w:suff w:val="tab"/>
      <w:lvlText w:val="%9."/>
      <w:lvlJc w:val="right"/>
      <w:pPr>
        <w:pStyle w:val="933"/>
        <w:ind w:left="4095" w:hanging="420"/>
      </w:pPr>
    </w:lvl>
  </w:abstractNum>
  <w:abstractNum w:abstractNumId="24">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nothing"/>
      <w:lvlText w:val="%1、"/>
      <w:lvlJc w:val="left"/>
      <w:pPr>
        <w:pStyle w:val="93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Thousand"/>
      <w:pStyle w:val="1018"/>
      <w:isLgl w:val="false"/>
      <w:suff w:val="tab"/>
      <w:lvlText w:val="%1、"/>
      <w:lvlJc w:val="left"/>
      <w:pPr>
        <w:pStyle w:val="933"/>
        <w:ind w:left="420" w:hanging="420"/>
        <w:tabs>
          <w:tab w:val="num" w:pos="420" w:leader="none"/>
        </w:tabs>
      </w:pPr>
      <w:rPr>
        <w:rFonts w:hint="eastAsia"/>
        <w:b/>
        <w:i w:val="0"/>
      </w:rPr>
    </w:lvl>
    <w:lvl w:ilvl="1">
      <w:start w:val="1"/>
      <w:numFmt w:val="lowerLetter"/>
      <w:isLgl w:val="false"/>
      <w:suff w:val="tab"/>
      <w:lvlText w:val="%2)"/>
      <w:lvlJc w:val="left"/>
      <w:pPr>
        <w:pStyle w:val="933"/>
        <w:ind w:left="840" w:hanging="420"/>
        <w:tabs>
          <w:tab w:val="num" w:pos="840" w:leader="none"/>
        </w:tabs>
      </w:pPr>
    </w:lvl>
    <w:lvl w:ilvl="2">
      <w:start w:val="1"/>
      <w:numFmt w:val="lowerRoman"/>
      <w:isLgl w:val="false"/>
      <w:suff w:val="tab"/>
      <w:lvlText w:val="%3."/>
      <w:lvlJc w:val="right"/>
      <w:pPr>
        <w:pStyle w:val="933"/>
        <w:ind w:left="1260" w:hanging="420"/>
        <w:tabs>
          <w:tab w:val="num" w:pos="1260" w:leader="none"/>
        </w:tabs>
      </w:pPr>
    </w:lvl>
    <w:lvl w:ilvl="3">
      <w:start w:val="1"/>
      <w:numFmt w:val="decimal"/>
      <w:isLgl w:val="false"/>
      <w:suff w:val="tab"/>
      <w:lvlText w:val="%4."/>
      <w:lvlJc w:val="left"/>
      <w:pPr>
        <w:pStyle w:val="933"/>
        <w:ind w:left="1680" w:hanging="420"/>
        <w:tabs>
          <w:tab w:val="num" w:pos="1680" w:leader="none"/>
        </w:tabs>
      </w:pPr>
    </w:lvl>
    <w:lvl w:ilvl="4">
      <w:start w:val="1"/>
      <w:numFmt w:val="lowerLetter"/>
      <w:isLgl w:val="false"/>
      <w:suff w:val="tab"/>
      <w:lvlText w:val="%5)"/>
      <w:lvlJc w:val="left"/>
      <w:pPr>
        <w:pStyle w:val="933"/>
        <w:ind w:left="2100" w:hanging="420"/>
        <w:tabs>
          <w:tab w:val="num" w:pos="2100" w:leader="none"/>
        </w:tabs>
      </w:pPr>
    </w:lvl>
    <w:lvl w:ilvl="5">
      <w:start w:val="1"/>
      <w:numFmt w:val="lowerRoman"/>
      <w:isLgl w:val="false"/>
      <w:suff w:val="tab"/>
      <w:lvlText w:val="%6."/>
      <w:lvlJc w:val="right"/>
      <w:pPr>
        <w:pStyle w:val="933"/>
        <w:ind w:left="2520" w:hanging="420"/>
        <w:tabs>
          <w:tab w:val="num" w:pos="2520" w:leader="none"/>
        </w:tabs>
      </w:pPr>
    </w:lvl>
    <w:lvl w:ilvl="6">
      <w:start w:val="1"/>
      <w:numFmt w:val="decimal"/>
      <w:isLgl w:val="false"/>
      <w:suff w:val="tab"/>
      <w:lvlText w:val="%7."/>
      <w:lvlJc w:val="left"/>
      <w:pPr>
        <w:pStyle w:val="933"/>
        <w:ind w:left="2940" w:hanging="420"/>
        <w:tabs>
          <w:tab w:val="num" w:pos="2940" w:leader="none"/>
        </w:tabs>
      </w:pPr>
    </w:lvl>
    <w:lvl w:ilvl="7">
      <w:start w:val="1"/>
      <w:numFmt w:val="lowerLetter"/>
      <w:isLgl w:val="false"/>
      <w:suff w:val="tab"/>
      <w:lvlText w:val="%8)"/>
      <w:lvlJc w:val="left"/>
      <w:pPr>
        <w:pStyle w:val="933"/>
        <w:ind w:left="3360" w:hanging="420"/>
        <w:tabs>
          <w:tab w:val="num" w:pos="3360" w:leader="none"/>
        </w:tabs>
      </w:pPr>
    </w:lvl>
    <w:lvl w:ilvl="8">
      <w:start w:val="1"/>
      <w:numFmt w:val="lowerRoman"/>
      <w:isLgl w:val="false"/>
      <w:suff w:val="tab"/>
      <w:lvlText w:val="%9."/>
      <w:lvlJc w:val="right"/>
      <w:pPr>
        <w:pStyle w:val="933"/>
        <w:ind w:left="3780" w:hanging="420"/>
        <w:tabs>
          <w:tab w:val="num" w:pos="3780" w:leader="none"/>
        </w:tabs>
      </w:pPr>
    </w:lvl>
  </w:abstractNum>
  <w:abstractNum w:abstractNumId="30">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3"/>
      <w:numFmt w:val="decimal"/>
      <w:isLgl w:val="false"/>
      <w:suff w:val="nothing"/>
      <w:lvlText w:val="（%1）"/>
      <w:lvlJc w:val="left"/>
      <w:pPr>
        <w:pStyle w:val="933"/>
        <w:ind w:left="-5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chineseCountingThousand"/>
      <w:pStyle w:val="1002"/>
      <w:isLgl w:val="false"/>
      <w:suff w:val="nothing"/>
      <w:lvlText w:val="第%1部分"/>
      <w:lvlJc w:val="center"/>
      <w:pPr>
        <w:pStyle w:val="933"/>
        <w:ind w:left="432" w:firstLine="288"/>
      </w:pPr>
      <w:rPr>
        <w:rFonts w:hint="eastAsia"/>
        <w:sz w:val="28"/>
        <w:szCs w:val="28"/>
        <w:lang w:val="en-US"/>
      </w:rPr>
    </w:lvl>
    <w:lvl w:ilvl="1">
      <w:start w:val="1"/>
      <w:numFmt w:val="chineseCountingThousand"/>
      <w:isLgl w:val="false"/>
      <w:suff w:val="nothing"/>
      <w:lvlText w:val="%2、"/>
      <w:lvlJc w:val="left"/>
      <w:pPr>
        <w:pStyle w:val="933"/>
        <w:ind w:left="360" w:firstLine="0"/>
      </w:pPr>
      <w:rPr>
        <w:rFonts w:hint="eastAsia"/>
        <w:lang w:val="en-US"/>
      </w:rPr>
    </w:lvl>
    <w:lvl w:ilvl="2">
      <w:start w:val="1"/>
      <w:numFmt w:val="chineseCountingThousand"/>
      <w:isLgl w:val="false"/>
      <w:suff w:val="nothing"/>
      <w:lvlText w:val="(%3)"/>
      <w:lvlJc w:val="left"/>
      <w:pPr>
        <w:pStyle w:val="933"/>
        <w:ind w:left="0" w:firstLine="0"/>
      </w:pPr>
      <w:rPr>
        <w:rFonts w:hint="eastAsia"/>
      </w:rPr>
    </w:lvl>
    <w:lvl w:ilvl="3">
      <w:start w:val="1"/>
      <w:numFmt w:val="decimal"/>
      <w:isLgl w:val="false"/>
      <w:suff w:val="nothing"/>
      <w:lvlText w:val="%4、"/>
      <w:lvlJc w:val="left"/>
      <w:pPr>
        <w:pStyle w:val="933"/>
        <w:ind w:left="0" w:firstLine="0"/>
      </w:pPr>
      <w:rPr>
        <w:rFonts w:hint="eastAsia"/>
      </w:rPr>
    </w:lvl>
    <w:lvl w:ilvl="4">
      <w:start w:val="1"/>
      <w:numFmt w:val="upperLetter"/>
      <w:isLgl w:val="false"/>
      <w:suff w:val="nothing"/>
      <w:lvlText w:val="%5、"/>
      <w:lvlJc w:val="left"/>
      <w:pPr>
        <w:pStyle w:val="933"/>
        <w:ind w:left="0" w:firstLine="0"/>
      </w:pPr>
      <w:rPr>
        <w:rFonts w:hint="eastAsia"/>
      </w:rPr>
    </w:lvl>
    <w:lvl w:ilvl="5">
      <w:start w:val="1"/>
      <w:numFmt w:val="decimal"/>
      <w:isLgl w:val="false"/>
      <w:suff w:val="nothing"/>
      <w:lvlText w:val=""/>
      <w:lvlJc w:val="left"/>
      <w:pPr>
        <w:pStyle w:val="933"/>
        <w:ind w:left="0" w:firstLine="0"/>
      </w:pPr>
      <w:rPr>
        <w:rFonts w:hint="eastAsia"/>
      </w:rPr>
    </w:lvl>
    <w:lvl w:ilvl="6">
      <w:start w:val="1"/>
      <w:numFmt w:val="decimal"/>
      <w:isLgl w:val="false"/>
      <w:suff w:val="nothing"/>
      <w:lvlText w:val=""/>
      <w:lvlJc w:val="left"/>
      <w:pPr>
        <w:pStyle w:val="933"/>
        <w:ind w:left="0" w:firstLine="0"/>
      </w:pPr>
      <w:rPr>
        <w:rFonts w:hint="eastAsia"/>
      </w:rPr>
    </w:lvl>
    <w:lvl w:ilvl="7">
      <w:start w:val="1"/>
      <w:numFmt w:val="decimal"/>
      <w:isLgl w:val="false"/>
      <w:suff w:val="nothing"/>
      <w:lvlText w:val=""/>
      <w:lvlJc w:val="left"/>
      <w:pPr>
        <w:pStyle w:val="933"/>
        <w:ind w:left="0" w:firstLine="0"/>
      </w:pPr>
      <w:rPr>
        <w:rFonts w:hint="eastAsia"/>
      </w:rPr>
    </w:lvl>
    <w:lvl w:ilvl="8">
      <w:start w:val="1"/>
      <w:numFmt w:val="decimal"/>
      <w:isLgl w:val="false"/>
      <w:suff w:val="nothing"/>
      <w:lvlText w:val=""/>
      <w:lvlJc w:val="left"/>
      <w:pPr>
        <w:pStyle w:val="933"/>
        <w:ind w:left="0" w:firstLine="0"/>
      </w:pPr>
      <w:rPr>
        <w:rFonts w:hint="eastAsia"/>
      </w:rPr>
    </w:lvl>
  </w:abstractNum>
  <w:abstractNum w:abstractNumId="34">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lowerLetter"/>
      <w:isLgl w:val="false"/>
      <w:suff w:val="tab"/>
      <w:lvlText w:val="%1)"/>
      <w:lvlJc w:val="left"/>
      <w:pPr>
        <w:pStyle w:val="933"/>
        <w:ind w:left="678" w:hanging="360"/>
      </w:pPr>
    </w:lvl>
    <w:lvl w:ilvl="1">
      <w:start w:val="1"/>
      <w:numFmt w:val="lowerLetter"/>
      <w:isLgl w:val="false"/>
      <w:suff w:val="tab"/>
      <w:lvlText w:val="%2)"/>
      <w:lvlJc w:val="left"/>
      <w:pPr>
        <w:pStyle w:val="933"/>
        <w:ind w:left="1158" w:hanging="420"/>
      </w:pPr>
    </w:lvl>
    <w:lvl w:ilvl="2">
      <w:start w:val="1"/>
      <w:numFmt w:val="lowerRoman"/>
      <w:isLgl w:val="false"/>
      <w:suff w:val="tab"/>
      <w:lvlText w:val="%3."/>
      <w:lvlJc w:val="right"/>
      <w:pPr>
        <w:pStyle w:val="933"/>
        <w:ind w:left="1578" w:hanging="420"/>
      </w:pPr>
    </w:lvl>
    <w:lvl w:ilvl="3">
      <w:start w:val="1"/>
      <w:numFmt w:val="decimal"/>
      <w:isLgl w:val="false"/>
      <w:suff w:val="tab"/>
      <w:lvlText w:val="%4."/>
      <w:lvlJc w:val="left"/>
      <w:pPr>
        <w:pStyle w:val="933"/>
        <w:ind w:left="1998" w:hanging="420"/>
      </w:pPr>
    </w:lvl>
    <w:lvl w:ilvl="4">
      <w:start w:val="1"/>
      <w:numFmt w:val="lowerLetter"/>
      <w:isLgl w:val="false"/>
      <w:suff w:val="tab"/>
      <w:lvlText w:val="%5)"/>
      <w:lvlJc w:val="left"/>
      <w:pPr>
        <w:pStyle w:val="933"/>
        <w:ind w:left="2418" w:hanging="420"/>
      </w:pPr>
    </w:lvl>
    <w:lvl w:ilvl="5">
      <w:start w:val="1"/>
      <w:numFmt w:val="lowerRoman"/>
      <w:isLgl w:val="false"/>
      <w:suff w:val="tab"/>
      <w:lvlText w:val="%6."/>
      <w:lvlJc w:val="right"/>
      <w:pPr>
        <w:pStyle w:val="933"/>
        <w:ind w:left="2838" w:hanging="420"/>
      </w:pPr>
    </w:lvl>
    <w:lvl w:ilvl="6">
      <w:start w:val="1"/>
      <w:numFmt w:val="decimal"/>
      <w:isLgl w:val="false"/>
      <w:suff w:val="tab"/>
      <w:lvlText w:val="%7."/>
      <w:lvlJc w:val="left"/>
      <w:pPr>
        <w:pStyle w:val="933"/>
        <w:ind w:left="3258" w:hanging="420"/>
      </w:pPr>
    </w:lvl>
    <w:lvl w:ilvl="7">
      <w:start w:val="1"/>
      <w:numFmt w:val="lowerLetter"/>
      <w:isLgl w:val="false"/>
      <w:suff w:val="tab"/>
      <w:lvlText w:val="%8)"/>
      <w:lvlJc w:val="left"/>
      <w:pPr>
        <w:pStyle w:val="933"/>
        <w:ind w:left="3678" w:hanging="420"/>
      </w:pPr>
    </w:lvl>
    <w:lvl w:ilvl="8">
      <w:start w:val="1"/>
      <w:numFmt w:val="lowerRoman"/>
      <w:isLgl w:val="false"/>
      <w:suff w:val="tab"/>
      <w:lvlText w:val="%9."/>
      <w:lvlJc w:val="right"/>
      <w:pPr>
        <w:pStyle w:val="933"/>
        <w:ind w:left="4098" w:hanging="420"/>
      </w:pPr>
    </w:lvl>
  </w:abstractNum>
  <w:num w:numId="1">
    <w:abstractNumId w:val="33"/>
  </w:num>
  <w:num w:numId="2">
    <w:abstractNumId w:val="15"/>
  </w:num>
  <w:num w:numId="3">
    <w:abstractNumId w:val="29"/>
  </w:num>
  <w:num w:numId="4">
    <w:abstractNumId w:val="18"/>
  </w:num>
  <w:num w:numId="5">
    <w:abstractNumId w:val="14"/>
  </w:num>
  <w:num w:numId="6">
    <w:abstractNumId w:val="1"/>
  </w:num>
  <w:num w:numId="7">
    <w:abstractNumId w:val="31"/>
  </w:num>
  <w:num w:numId="8">
    <w:abstractNumId w:val="26"/>
  </w:num>
  <w:num w:numId="9">
    <w:abstractNumId w:val="34"/>
  </w:num>
  <w:num w:numId="10">
    <w:abstractNumId w:val="24"/>
  </w:num>
  <w:num w:numId="11">
    <w:abstractNumId w:val="11"/>
  </w:num>
  <w:num w:numId="12">
    <w:abstractNumId w:val="13"/>
  </w:num>
  <w:num w:numId="13">
    <w:abstractNumId w:val="8"/>
  </w:num>
  <w:num w:numId="14">
    <w:abstractNumId w:val="9"/>
  </w:num>
  <w:num w:numId="15">
    <w:abstractNumId w:val="2"/>
  </w:num>
  <w:num w:numId="16">
    <w:abstractNumId w:val="5"/>
  </w:num>
  <w:num w:numId="17">
    <w:abstractNumId w:val="4"/>
  </w:num>
  <w:num w:numId="18">
    <w:abstractNumId w:val="12"/>
  </w:num>
  <w:num w:numId="19">
    <w:abstractNumId w:val="30"/>
  </w:num>
  <w:num w:numId="20">
    <w:abstractNumId w:val="22"/>
  </w:num>
  <w:num w:numId="21">
    <w:abstractNumId w:val="0"/>
  </w:num>
  <w:num w:numId="22">
    <w:abstractNumId w:val="19"/>
  </w:num>
  <w:num w:numId="23">
    <w:abstractNumId w:val="16"/>
  </w:num>
  <w:num w:numId="24">
    <w:abstractNumId w:val="27"/>
  </w:num>
  <w:num w:numId="25">
    <w:abstractNumId w:val="17"/>
  </w:num>
  <w:num w:numId="26">
    <w:abstractNumId w:val="36"/>
  </w:num>
  <w:num w:numId="27">
    <w:abstractNumId w:val="23"/>
  </w:num>
  <w:num w:numId="28">
    <w:abstractNumId w:val="35"/>
  </w:num>
  <w:num w:numId="29">
    <w:abstractNumId w:val="25"/>
  </w:num>
  <w:num w:numId="30">
    <w:abstractNumId w:val="20"/>
  </w:num>
  <w:num w:numId="31">
    <w:abstractNumId w:val="21"/>
  </w:num>
  <w:num w:numId="32">
    <w:abstractNumId w:val="6"/>
  </w:num>
  <w:num w:numId="33">
    <w:abstractNumId w:val="10"/>
  </w:num>
  <w:num w:numId="34">
    <w:abstractNumId w:val="32"/>
  </w:num>
  <w:num w:numId="35">
    <w:abstractNumId w:val="7"/>
  </w:num>
  <w:num w:numId="36">
    <w:abstractNumId w:val="3"/>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3"/>
    <w:next w:val="933"/>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3"/>
    <w:next w:val="933"/>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3"/>
    <w:next w:val="933"/>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3"/>
    <w:next w:val="93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3"/>
    <w:next w:val="93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3"/>
    <w:next w:val="93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3"/>
    <w:next w:val="93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3"/>
    <w:next w:val="93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3"/>
    <w:next w:val="93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4"/>
      <w:lang w:val="en-US" w:eastAsia="zh-CN" w:bidi="ar-SA"/>
    </w:rPr>
  </w:style>
  <w:style w:type="paragraph" w:styleId="934">
    <w:name w:val="标题 1"/>
    <w:basedOn w:val="933"/>
    <w:next w:val="933"/>
    <w:link w:val="933"/>
    <w:uiPriority w:val="9"/>
    <w:qFormat/>
    <w:pPr>
      <w:keepLines/>
      <w:keepNext/>
      <w:spacing w:before="340" w:after="330" w:line="578" w:lineRule="auto"/>
      <w:outlineLvl w:val="0"/>
    </w:pPr>
    <w:rPr>
      <w:b/>
      <w:bCs/>
      <w:sz w:val="44"/>
      <w:szCs w:val="44"/>
    </w:rPr>
  </w:style>
  <w:style w:type="paragraph" w:styleId="935">
    <w:name w:val="标题 2"/>
    <w:basedOn w:val="933"/>
    <w:next w:val="933"/>
    <w:link w:val="933"/>
    <w:uiPriority w:val="9"/>
    <w:qFormat/>
    <w:pPr>
      <w:keepLines/>
      <w:keepNext/>
      <w:spacing w:before="260" w:after="260" w:line="413" w:lineRule="auto"/>
      <w:outlineLvl w:val="1"/>
    </w:pPr>
    <w:rPr>
      <w:rFonts w:ascii="Arial" w:hAnsi="Arial" w:eastAsia="黑体"/>
      <w:b/>
      <w:sz w:val="32"/>
      <w:szCs w:val="20"/>
    </w:rPr>
  </w:style>
  <w:style w:type="paragraph" w:styleId="936">
    <w:name w:val="标题 3"/>
    <w:basedOn w:val="933"/>
    <w:next w:val="933"/>
    <w:link w:val="933"/>
    <w:uiPriority w:val="9"/>
    <w:qFormat/>
    <w:pPr>
      <w:keepLines/>
      <w:keepNext/>
      <w:spacing w:before="260" w:after="260" w:line="413" w:lineRule="auto"/>
      <w:outlineLvl w:val="2"/>
    </w:pPr>
    <w:rPr>
      <w:rFonts w:ascii="Arial" w:hAnsi="Arial"/>
      <w:b/>
      <w:sz w:val="32"/>
      <w:szCs w:val="20"/>
    </w:rPr>
  </w:style>
  <w:style w:type="paragraph" w:styleId="937">
    <w:name w:val="标题 4"/>
    <w:basedOn w:val="933"/>
    <w:next w:val="933"/>
    <w:link w:val="941"/>
    <w:uiPriority w:val="9"/>
    <w:qFormat/>
    <w:pPr>
      <w:keepLines/>
      <w:keepNext/>
      <w:spacing w:before="280" w:after="290" w:line="376" w:lineRule="auto"/>
      <w:outlineLvl w:val="3"/>
    </w:pPr>
    <w:rPr>
      <w:rFonts w:ascii="Cambria" w:hAnsi="Cambria"/>
      <w:b/>
      <w:bCs/>
      <w:sz w:val="28"/>
      <w:szCs w:val="28"/>
    </w:rPr>
  </w:style>
  <w:style w:type="paragraph" w:styleId="938">
    <w:name w:val="标题 5"/>
    <w:basedOn w:val="933"/>
    <w:next w:val="933"/>
    <w:link w:val="942"/>
    <w:uiPriority w:val="9"/>
    <w:qFormat/>
    <w:pPr>
      <w:keepLines/>
      <w:keepNext/>
      <w:spacing w:before="280" w:after="290" w:line="376" w:lineRule="auto"/>
      <w:outlineLvl w:val="4"/>
    </w:pPr>
    <w:rPr>
      <w:b/>
      <w:bCs/>
      <w:sz w:val="28"/>
      <w:szCs w:val="28"/>
    </w:rPr>
  </w:style>
  <w:style w:type="character" w:styleId="939">
    <w:name w:val="默认段落字体"/>
    <w:next w:val="939"/>
    <w:link w:val="933"/>
    <w:semiHidden/>
  </w:style>
  <w:style w:type="table" w:styleId="940">
    <w:name w:val="普通表格"/>
    <w:next w:val="940"/>
    <w:link w:val="93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1">
    <w:name w:val="标题 4 Char"/>
    <w:next w:val="941"/>
    <w:link w:val="937"/>
    <w:uiPriority w:val="9"/>
    <w:rPr>
      <w:rFonts w:ascii="Cambria" w:hAnsi="Cambria"/>
      <w:b/>
      <w:bCs/>
      <w:sz w:val="28"/>
      <w:szCs w:val="28"/>
    </w:rPr>
  </w:style>
  <w:style w:type="character" w:styleId="942">
    <w:name w:val="标题 5 Char"/>
    <w:next w:val="942"/>
    <w:link w:val="938"/>
    <w:uiPriority w:val="9"/>
    <w:rPr>
      <w:b/>
      <w:bCs/>
      <w:sz w:val="28"/>
      <w:szCs w:val="28"/>
    </w:rPr>
  </w:style>
  <w:style w:type="paragraph" w:styleId="943">
    <w:name w:val="正文缩进"/>
    <w:basedOn w:val="933"/>
    <w:next w:val="945"/>
    <w:link w:val="944"/>
    <w:pPr>
      <w:ind w:firstLine="420"/>
    </w:pPr>
    <w:rPr>
      <w:szCs w:val="20"/>
    </w:rPr>
  </w:style>
  <w:style w:type="character" w:styleId="944">
    <w:name w:val="正文缩进 Char"/>
    <w:next w:val="944"/>
    <w:link w:val="943"/>
    <w:rPr>
      <w:sz w:val="21"/>
    </w:rPr>
  </w:style>
  <w:style w:type="paragraph" w:styleId="945">
    <w:name w:val="目录 4"/>
    <w:basedOn w:val="933"/>
    <w:next w:val="933"/>
    <w:link w:val="933"/>
    <w:uiPriority w:val="39"/>
    <w:unhideWhenUsed/>
    <w:qFormat/>
    <w:pPr>
      <w:ind w:left="630"/>
      <w:jc w:val="left"/>
    </w:pPr>
    <w:rPr>
      <w:sz w:val="18"/>
      <w:szCs w:val="18"/>
    </w:rPr>
  </w:style>
  <w:style w:type="paragraph" w:styleId="946">
    <w:name w:val="题注"/>
    <w:basedOn w:val="933"/>
    <w:next w:val="933"/>
    <w:link w:val="933"/>
    <w:uiPriority w:val="35"/>
    <w:qFormat/>
    <w:pPr>
      <w:jc w:val="center"/>
      <w:spacing w:before="156" w:after="156" w:line="360" w:lineRule="auto"/>
    </w:pPr>
    <w:rPr>
      <w:rFonts w:ascii="Arial" w:hAnsi="Arial" w:cs="Arial"/>
      <w:sz w:val="24"/>
      <w:szCs w:val="20"/>
    </w:rPr>
  </w:style>
  <w:style w:type="paragraph" w:styleId="947">
    <w:name w:val="文档结构图"/>
    <w:basedOn w:val="933"/>
    <w:next w:val="947"/>
    <w:link w:val="933"/>
    <w:semiHidden/>
    <w:pPr>
      <w:shd w:val="clear" w:color="auto" w:fill="000080"/>
    </w:pPr>
  </w:style>
  <w:style w:type="paragraph" w:styleId="948">
    <w:name w:val="批注文字"/>
    <w:basedOn w:val="933"/>
    <w:next w:val="948"/>
    <w:link w:val="949"/>
    <w:uiPriority w:val="99"/>
    <w:unhideWhenUsed/>
    <w:pPr>
      <w:jc w:val="left"/>
    </w:pPr>
  </w:style>
  <w:style w:type="character" w:styleId="949">
    <w:name w:val="批注文字 Char"/>
    <w:next w:val="949"/>
    <w:link w:val="948"/>
    <w:uiPriority w:val="99"/>
    <w:rPr>
      <w:sz w:val="21"/>
      <w:szCs w:val="24"/>
    </w:rPr>
  </w:style>
  <w:style w:type="paragraph" w:styleId="950">
    <w:name w:val="正文文本 3"/>
    <w:basedOn w:val="933"/>
    <w:next w:val="950"/>
    <w:link w:val="933"/>
    <w:rPr>
      <w:rFonts w:ascii="楷体_GB2312" w:hAnsi="Arial" w:eastAsia="楷体_GB2312" w:cs="Arial"/>
      <w:b/>
      <w:bCs/>
      <w:color w:val="000000"/>
      <w:sz w:val="24"/>
    </w:rPr>
  </w:style>
  <w:style w:type="paragraph" w:styleId="951">
    <w:name w:val="正文文本"/>
    <w:basedOn w:val="933"/>
    <w:next w:val="933"/>
    <w:link w:val="93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2">
    <w:name w:val="正文文本缩进"/>
    <w:basedOn w:val="933"/>
    <w:next w:val="933"/>
    <w:link w:val="933"/>
    <w:pPr>
      <w:ind w:firstLine="630"/>
    </w:pPr>
    <w:rPr>
      <w:rFonts w:ascii="楷体_GB2312" w:eastAsia="楷体_GB2312"/>
      <w:sz w:val="32"/>
      <w:szCs w:val="20"/>
    </w:rPr>
  </w:style>
  <w:style w:type="paragraph" w:styleId="953">
    <w:name w:val="文本块"/>
    <w:basedOn w:val="933"/>
    <w:next w:val="953"/>
    <w:link w:val="933"/>
    <w:pPr>
      <w:ind w:left="420" w:right="33"/>
      <w:jc w:val="left"/>
    </w:pPr>
    <w:rPr>
      <w:sz w:val="24"/>
      <w:szCs w:val="20"/>
    </w:rPr>
  </w:style>
  <w:style w:type="paragraph" w:styleId="954">
    <w:name w:val="目录 3"/>
    <w:basedOn w:val="933"/>
    <w:next w:val="933"/>
    <w:link w:val="933"/>
    <w:semiHidden/>
    <w:pPr>
      <w:ind w:left="840"/>
      <w:spacing w:line="300" w:lineRule="auto"/>
      <w:tabs>
        <w:tab w:val="right" w:pos="9344" w:leader="dot"/>
      </w:tabs>
    </w:pPr>
    <w:rPr>
      <w:rFonts w:ascii="Arial" w:hAnsi="Arial" w:cs="Arial"/>
      <w:szCs w:val="21"/>
    </w:rPr>
  </w:style>
  <w:style w:type="paragraph" w:styleId="955">
    <w:name w:val="纯文本"/>
    <w:basedOn w:val="933"/>
    <w:next w:val="955"/>
    <w:link w:val="956"/>
    <w:rPr>
      <w:rFonts w:ascii="宋体" w:hAnsi="Courier New"/>
      <w:szCs w:val="20"/>
    </w:rPr>
  </w:style>
  <w:style w:type="character" w:styleId="956">
    <w:name w:val="纯文本 Char"/>
    <w:next w:val="956"/>
    <w:link w:val="955"/>
    <w:rPr>
      <w:rFonts w:ascii="宋体" w:hAnsi="Courier New" w:eastAsia="宋体"/>
      <w:sz w:val="21"/>
      <w:lang w:val="en-US" w:eastAsia="zh-CN" w:bidi="ar-SA"/>
    </w:rPr>
  </w:style>
  <w:style w:type="paragraph" w:styleId="957">
    <w:name w:val="正文文本缩进 2"/>
    <w:basedOn w:val="933"/>
    <w:next w:val="957"/>
    <w:link w:val="933"/>
    <w:pPr>
      <w:ind w:left="420"/>
      <w:spacing w:after="120" w:line="480" w:lineRule="auto"/>
    </w:pPr>
  </w:style>
  <w:style w:type="paragraph" w:styleId="958">
    <w:name w:val="批注框文本"/>
    <w:basedOn w:val="933"/>
    <w:next w:val="958"/>
    <w:link w:val="959"/>
    <w:rPr>
      <w:sz w:val="18"/>
      <w:szCs w:val="18"/>
    </w:rPr>
  </w:style>
  <w:style w:type="character" w:styleId="959">
    <w:name w:val="批注框文本 Char"/>
    <w:next w:val="959"/>
    <w:link w:val="958"/>
    <w:rPr>
      <w:sz w:val="18"/>
      <w:szCs w:val="18"/>
    </w:rPr>
  </w:style>
  <w:style w:type="paragraph" w:styleId="960">
    <w:name w:val="页脚"/>
    <w:basedOn w:val="933"/>
    <w:next w:val="960"/>
    <w:link w:val="961"/>
    <w:pPr>
      <w:jc w:val="left"/>
      <w:tabs>
        <w:tab w:val="center" w:pos="4153" w:leader="none"/>
        <w:tab w:val="right" w:pos="8306" w:leader="none"/>
      </w:tabs>
    </w:pPr>
    <w:rPr>
      <w:sz w:val="18"/>
      <w:szCs w:val="18"/>
    </w:rPr>
  </w:style>
  <w:style w:type="character" w:styleId="961">
    <w:name w:val="页脚 Char"/>
    <w:next w:val="961"/>
    <w:link w:val="960"/>
    <w:rPr>
      <w:sz w:val="18"/>
      <w:szCs w:val="18"/>
    </w:rPr>
  </w:style>
  <w:style w:type="paragraph" w:styleId="962">
    <w:name w:val="页眉"/>
    <w:basedOn w:val="933"/>
    <w:next w:val="962"/>
    <w:link w:val="963"/>
    <w:pPr>
      <w:jc w:val="center"/>
      <w:tabs>
        <w:tab w:val="center" w:pos="4153" w:leader="none"/>
        <w:tab w:val="right" w:pos="8306" w:leader="none"/>
      </w:tabs>
      <w:pBdr>
        <w:bottom w:val="single" w:color="000000" w:sz="6" w:space="1"/>
      </w:pBdr>
    </w:pPr>
    <w:rPr>
      <w:sz w:val="18"/>
      <w:szCs w:val="18"/>
    </w:rPr>
  </w:style>
  <w:style w:type="character" w:styleId="963">
    <w:name w:val="页眉 Char"/>
    <w:next w:val="963"/>
    <w:link w:val="962"/>
    <w:rPr>
      <w:sz w:val="18"/>
      <w:szCs w:val="18"/>
    </w:rPr>
  </w:style>
  <w:style w:type="paragraph" w:styleId="964">
    <w:name w:val="目录 1"/>
    <w:basedOn w:val="933"/>
    <w:next w:val="933"/>
    <w:link w:val="933"/>
    <w:semiHidden/>
  </w:style>
  <w:style w:type="paragraph" w:styleId="965">
    <w:name w:val="正文文本缩进 3"/>
    <w:basedOn w:val="933"/>
    <w:next w:val="965"/>
    <w:link w:val="933"/>
    <w:uiPriority w:val="99"/>
    <w:pPr>
      <w:ind w:firstLine="420"/>
    </w:pPr>
    <w:rPr>
      <w:rFonts w:eastAsia="楷体_GB2312"/>
    </w:rPr>
  </w:style>
  <w:style w:type="paragraph" w:styleId="966">
    <w:name w:val="目录 2"/>
    <w:basedOn w:val="933"/>
    <w:next w:val="933"/>
    <w:link w:val="933"/>
    <w:semiHidden/>
    <w:pPr>
      <w:ind w:left="420"/>
    </w:pPr>
    <w:rPr>
      <w:szCs w:val="20"/>
    </w:rPr>
  </w:style>
  <w:style w:type="paragraph" w:styleId="967">
    <w:name w:val="正文文本 2"/>
    <w:basedOn w:val="933"/>
    <w:next w:val="967"/>
    <w:link w:val="968"/>
    <w:pPr>
      <w:spacing w:line="440" w:lineRule="exact"/>
    </w:pPr>
    <w:rPr>
      <w:rFonts w:ascii="楷体_GB2312" w:eastAsia="楷体_GB2312"/>
      <w:sz w:val="28"/>
    </w:rPr>
  </w:style>
  <w:style w:type="character" w:styleId="968">
    <w:name w:val="正文文本 2 Char"/>
    <w:next w:val="968"/>
    <w:link w:val="967"/>
    <w:rPr>
      <w:rFonts w:ascii="楷体_GB2312" w:eastAsia="楷体_GB2312"/>
      <w:sz w:val="28"/>
      <w:szCs w:val="24"/>
    </w:rPr>
  </w:style>
  <w:style w:type="paragraph" w:styleId="969">
    <w:name w:val="普通(网站)"/>
    <w:basedOn w:val="933"/>
    <w:next w:val="969"/>
    <w:link w:val="933"/>
    <w:pPr>
      <w:ind w:left="0" w:right="0"/>
      <w:jc w:val="left"/>
      <w:spacing w:before="100" w:beforeAutospacing="1" w:after="100" w:afterAutospacing="1"/>
    </w:pPr>
    <w:rPr>
      <w:sz w:val="24"/>
      <w:lang w:val="en-US" w:eastAsia="zh-CN" w:bidi="ar"/>
    </w:rPr>
  </w:style>
  <w:style w:type="paragraph" w:styleId="970">
    <w:name w:val="批注主题"/>
    <w:basedOn w:val="948"/>
    <w:next w:val="948"/>
    <w:link w:val="971"/>
    <w:rPr>
      <w:b/>
      <w:bCs/>
    </w:rPr>
  </w:style>
  <w:style w:type="character" w:styleId="971">
    <w:name w:val="批注主题 Char"/>
    <w:next w:val="971"/>
    <w:link w:val="970"/>
    <w:rPr>
      <w:b/>
      <w:bCs/>
      <w:sz w:val="21"/>
      <w:szCs w:val="24"/>
    </w:rPr>
  </w:style>
  <w:style w:type="paragraph" w:styleId="972">
    <w:name w:val="正文首行缩进 2"/>
    <w:basedOn w:val="952"/>
    <w:next w:val="943"/>
    <w:link w:val="933"/>
    <w:pPr>
      <w:ind w:left="420" w:firstLine="420"/>
      <w:spacing w:after="120"/>
      <w:widowControl/>
    </w:pPr>
    <w:rPr>
      <w:rFonts w:ascii="仿宋_GB2312" w:eastAsia="仿宋_GB2312"/>
      <w:color w:val="ff6600"/>
      <w:sz w:val="21"/>
    </w:rPr>
  </w:style>
  <w:style w:type="table" w:styleId="973">
    <w:name w:val="网格型"/>
    <w:basedOn w:val="940"/>
    <w:next w:val="973"/>
    <w:link w:val="93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4">
    <w:name w:val="要点"/>
    <w:next w:val="974"/>
    <w:link w:val="933"/>
    <w:qFormat/>
    <w:rPr>
      <w:b w:val="0"/>
      <w:i w:val="0"/>
    </w:rPr>
  </w:style>
  <w:style w:type="character" w:styleId="975">
    <w:name w:val="页码"/>
    <w:next w:val="975"/>
    <w:link w:val="933"/>
  </w:style>
  <w:style w:type="character" w:styleId="976">
    <w:name w:val="已访问的超链接"/>
    <w:next w:val="976"/>
    <w:link w:val="933"/>
    <w:rPr>
      <w:color w:val="800080"/>
      <w:u w:val="none"/>
    </w:rPr>
  </w:style>
  <w:style w:type="character" w:styleId="977">
    <w:name w:val="强调"/>
    <w:next w:val="977"/>
    <w:link w:val="933"/>
    <w:qFormat/>
    <w:rPr>
      <w:b w:val="0"/>
      <w:i w:val="0"/>
    </w:rPr>
  </w:style>
  <w:style w:type="character" w:styleId="978">
    <w:name w:val="HTML 定义"/>
    <w:next w:val="978"/>
    <w:link w:val="933"/>
    <w:rPr>
      <w:b w:val="0"/>
      <w:i w:val="0"/>
    </w:rPr>
  </w:style>
  <w:style w:type="character" w:styleId="979">
    <w:name w:val="HTML 打字机"/>
    <w:next w:val="979"/>
    <w:link w:val="933"/>
    <w:rPr>
      <w:rFonts w:ascii="monospace" w:hAnsi="monospace" w:eastAsia="monospace" w:cs="monospace"/>
      <w:sz w:val="20"/>
    </w:rPr>
  </w:style>
  <w:style w:type="character" w:styleId="980">
    <w:name w:val="HTML 缩写"/>
    <w:next w:val="980"/>
    <w:link w:val="933"/>
  </w:style>
  <w:style w:type="character" w:styleId="981">
    <w:name w:val="HTML 变量"/>
    <w:next w:val="981"/>
    <w:link w:val="933"/>
    <w:rPr>
      <w:b w:val="0"/>
      <w:i w:val="0"/>
    </w:rPr>
  </w:style>
  <w:style w:type="character" w:styleId="982">
    <w:name w:val="超链接"/>
    <w:next w:val="982"/>
    <w:link w:val="933"/>
    <w:rPr>
      <w:color w:val="0000ff"/>
      <w:u w:val="none"/>
    </w:rPr>
  </w:style>
  <w:style w:type="character" w:styleId="983">
    <w:name w:val="HTML 代码"/>
    <w:next w:val="983"/>
    <w:link w:val="933"/>
    <w:rPr>
      <w:rFonts w:ascii="monospace" w:hAnsi="monospace" w:eastAsia="monospace" w:cs="monospace"/>
      <w:b w:val="0"/>
      <w:i w:val="0"/>
      <w:sz w:val="20"/>
    </w:rPr>
  </w:style>
  <w:style w:type="character" w:styleId="984">
    <w:name w:val="批注引用"/>
    <w:next w:val="984"/>
    <w:link w:val="933"/>
    <w:rPr>
      <w:sz w:val="21"/>
      <w:szCs w:val="21"/>
    </w:rPr>
  </w:style>
  <w:style w:type="character" w:styleId="985">
    <w:name w:val="HTML 引文"/>
    <w:next w:val="985"/>
    <w:link w:val="933"/>
    <w:rPr>
      <w:b w:val="0"/>
      <w:i w:val="0"/>
    </w:rPr>
  </w:style>
  <w:style w:type="character" w:styleId="986">
    <w:name w:val="HTML 键盘"/>
    <w:next w:val="986"/>
    <w:link w:val="933"/>
    <w:rPr>
      <w:rFonts w:ascii="monospace" w:hAnsi="monospace" w:eastAsia="monospace" w:cs="monospace"/>
      <w:sz w:val="20"/>
    </w:rPr>
  </w:style>
  <w:style w:type="character" w:styleId="987">
    <w:name w:val="HTML 样本"/>
    <w:next w:val="987"/>
    <w:link w:val="933"/>
    <w:rPr>
      <w:rFonts w:ascii="monospace" w:hAnsi="monospace" w:eastAsia="monospace" w:cs="monospace"/>
    </w:rPr>
  </w:style>
  <w:style w:type="paragraph" w:styleId="988">
    <w:name w:val="Default"/>
    <w:next w:val="988"/>
    <w:link w:val="933"/>
    <w:pPr>
      <w:widowControl w:val="off"/>
    </w:pPr>
    <w:rPr>
      <w:rFonts w:ascii="仿宋" w:eastAsia="仿宋" w:cs="仿宋"/>
      <w:color w:val="000000"/>
      <w:sz w:val="24"/>
      <w:szCs w:val="24"/>
      <w:lang w:val="en-US" w:eastAsia="zh-CN" w:bidi="ar-SA"/>
    </w:rPr>
  </w:style>
  <w:style w:type="character" w:styleId="989">
    <w:name w:val="hour_pm"/>
    <w:next w:val="989"/>
    <w:link w:val="933"/>
  </w:style>
  <w:style w:type="character" w:styleId="990">
    <w:name w:val="Font Style37"/>
    <w:next w:val="990"/>
    <w:link w:val="933"/>
    <w:rPr>
      <w:rFonts w:ascii="Arial" w:hAnsi="Arial" w:cs="Arial"/>
      <w:sz w:val="16"/>
      <w:szCs w:val="16"/>
    </w:rPr>
  </w:style>
  <w:style w:type="character" w:styleId="991">
    <w:name w:val="Plain Text Char"/>
    <w:next w:val="991"/>
    <w:link w:val="933"/>
    <w:rPr>
      <w:rFonts w:ascii="宋体" w:hAnsi="Courier New" w:eastAsia="宋体"/>
      <w:sz w:val="21"/>
      <w:lang w:val="en-US" w:eastAsia="zh-CN" w:bidi="ar-SA"/>
    </w:rPr>
  </w:style>
  <w:style w:type="character" w:styleId="992">
    <w:name w:val="hour_am"/>
    <w:next w:val="992"/>
    <w:link w:val="933"/>
  </w:style>
  <w:style w:type="character" w:styleId="993">
    <w:name w:val="old"/>
    <w:next w:val="993"/>
    <w:link w:val="933"/>
    <w:rPr>
      <w:color w:val="999999"/>
    </w:rPr>
  </w:style>
  <w:style w:type="character" w:styleId="994">
    <w:name w:val="glyphicon"/>
    <w:next w:val="994"/>
    <w:link w:val="933"/>
  </w:style>
  <w:style w:type="character" w:styleId="995">
    <w:name w:val="Font Style29"/>
    <w:next w:val="995"/>
    <w:link w:val="933"/>
    <w:rPr>
      <w:rFonts w:ascii="Arial" w:hAnsi="Arial" w:cs="Arial"/>
      <w:sz w:val="14"/>
      <w:szCs w:val="14"/>
    </w:rPr>
  </w:style>
  <w:style w:type="character" w:styleId="996">
    <w:name w:val="标题 2 Char,节 Char,Heading 2 Hidden Char,Heading 2 CCBS Char,H2 Char,sect 1.2 Char,H21 Char,sect 1.21 Char,H22 Char,sect 1.22 Char,H211 Char,sect 1.211 Char,H23 Char,sect 1.23 Char,H212 Char,sect 1.212 Char,2nd level Char,h2 Char,2 Char,Header 2 Char"/>
    <w:next w:val="996"/>
    <w:link w:val="933"/>
    <w:rPr>
      <w:rFonts w:ascii="Arial" w:hAnsi="Arial" w:eastAsia="黑体"/>
      <w:b/>
      <w:sz w:val="32"/>
      <w:lang w:val="en-US" w:eastAsia="zh-CN"/>
    </w:rPr>
  </w:style>
  <w:style w:type="character" w:styleId="997">
    <w:name w:val="Font Style30"/>
    <w:next w:val="997"/>
    <w:link w:val="933"/>
    <w:rPr>
      <w:rFonts w:ascii="宋体" w:eastAsia="宋体" w:cs="宋体"/>
      <w:sz w:val="14"/>
      <w:szCs w:val="14"/>
    </w:rPr>
  </w:style>
  <w:style w:type="character" w:styleId="998">
    <w:name w:val="hover"/>
    <w:next w:val="998"/>
    <w:link w:val="933"/>
    <w:rPr>
      <w:shd w:val="clear" w:color="auto" w:fill="eeeeee"/>
    </w:rPr>
  </w:style>
  <w:style w:type="character" w:styleId="999">
    <w:name w:val="Font Style36"/>
    <w:next w:val="999"/>
    <w:link w:val="933"/>
    <w:rPr>
      <w:rFonts w:ascii="宋体" w:eastAsia="宋体" w:cs="宋体"/>
      <w:sz w:val="16"/>
      <w:szCs w:val="16"/>
    </w:rPr>
  </w:style>
  <w:style w:type="character" w:styleId="1000">
    <w:name w:val="Font Style28"/>
    <w:next w:val="1000"/>
    <w:link w:val="933"/>
    <w:rPr>
      <w:rFonts w:ascii="Constantia" w:hAnsi="Constantia" w:cs="Constantia"/>
      <w:sz w:val="28"/>
      <w:szCs w:val="28"/>
    </w:rPr>
  </w:style>
  <w:style w:type="paragraph" w:styleId="1001">
    <w:name w:val="正文（无缩进）"/>
    <w:basedOn w:val="933"/>
    <w:next w:val="1001"/>
    <w:link w:val="933"/>
    <w:qFormat/>
    <w:pPr>
      <w:spacing w:line="360" w:lineRule="auto"/>
    </w:pPr>
    <w:rPr>
      <w:rFonts w:ascii="Calibri" w:hAnsi="Calibri"/>
      <w:sz w:val="24"/>
      <w:szCs w:val="21"/>
    </w:rPr>
  </w:style>
  <w:style w:type="paragraph" w:styleId="1002">
    <w:name w:val="标题1"/>
    <w:basedOn w:val="934"/>
    <w:next w:val="933"/>
    <w:link w:val="933"/>
    <w:pPr>
      <w:numPr>
        <w:ilvl w:val="0"/>
        <w:numId w:val="1"/>
      </w:numPr>
      <w:jc w:val="left"/>
      <w:spacing w:line="578" w:lineRule="atLeast"/>
    </w:pPr>
  </w:style>
  <w:style w:type="paragraph" w:styleId="1003">
    <w:name w:val=" Char Char Char Char Char Char Char Char Char Char Char Char Char"/>
    <w:basedOn w:val="933"/>
    <w:next w:val="1003"/>
    <w:link w:val="933"/>
    <w:pPr>
      <w:jc w:val="left"/>
      <w:spacing w:after="160" w:line="240" w:lineRule="exact"/>
      <w:widowControl/>
    </w:pPr>
    <w:rPr>
      <w:rFonts w:ascii="Verdana" w:hAnsi="Verdana"/>
      <w:sz w:val="20"/>
      <w:szCs w:val="20"/>
      <w:lang w:eastAsia="en-US"/>
    </w:rPr>
  </w:style>
  <w:style w:type="paragraph" w:styleId="1004">
    <w:name w:val="我的样式"/>
    <w:basedOn w:val="934"/>
    <w:next w:val="933"/>
    <w:link w:val="933"/>
    <w:pPr>
      <w:numPr>
        <w:ilvl w:val="0"/>
        <w:numId w:val="2"/>
      </w:numPr>
      <w:spacing w:line="360" w:lineRule="auto"/>
    </w:pPr>
    <w:rPr>
      <w:rFonts w:ascii="仿宋_GB2312" w:eastAsia="仿宋_GB2312"/>
      <w:sz w:val="32"/>
      <w:szCs w:val="30"/>
    </w:rPr>
  </w:style>
  <w:style w:type="paragraph" w:styleId="1005">
    <w:name w:val="默认段落字体 Para Char Char Char Char Char Char Char Char Char1 Char Char Char Char Char Char Char"/>
    <w:basedOn w:val="947"/>
    <w:next w:val="1005"/>
    <w:link w:val="933"/>
    <w:rPr>
      <w:rFonts w:ascii="Tahoma" w:hAnsi="Tahoma"/>
      <w:sz w:val="24"/>
    </w:rPr>
  </w:style>
  <w:style w:type="paragraph" w:styleId="1006">
    <w:name w:val="样式1"/>
    <w:basedOn w:val="933"/>
    <w:next w:val="1006"/>
    <w:link w:val="933"/>
    <w:pPr>
      <w:numPr>
        <w:ilvl w:val="0"/>
        <w:numId w:val="1"/>
      </w:numPr>
      <w:tabs>
        <w:tab w:val="left" w:pos="1110" w:leader="none"/>
      </w:tabs>
    </w:pPr>
    <w:rPr>
      <w:rFonts w:ascii="宋体" w:hAnsi="宋体"/>
      <w:szCs w:val="21"/>
    </w:rPr>
  </w:style>
  <w:style w:type="paragraph" w:styleId="1007">
    <w:name w:val=" Char Char Char1 Char Char Char Char"/>
    <w:basedOn w:val="933"/>
    <w:next w:val="1007"/>
    <w:link w:val="933"/>
    <w:pPr>
      <w:jc w:val="left"/>
      <w:spacing w:after="160" w:line="240" w:lineRule="exact"/>
      <w:widowControl/>
    </w:pPr>
    <w:rPr>
      <w:rFonts w:ascii="宋体" w:hAnsi="宋体"/>
      <w:b/>
      <w:sz w:val="28"/>
      <w:szCs w:val="28"/>
    </w:rPr>
  </w:style>
  <w:style w:type="paragraph" w:styleId="1008">
    <w:name w:val="Style9"/>
    <w:basedOn w:val="933"/>
    <w:next w:val="1008"/>
    <w:link w:val="933"/>
    <w:pPr>
      <w:jc w:val="left"/>
    </w:pPr>
    <w:rPr>
      <w:rFonts w:ascii="宋体"/>
      <w:sz w:val="24"/>
    </w:rPr>
  </w:style>
  <w:style w:type="paragraph" w:styleId="1009">
    <w:name w:val="Char Char1 Char Char Char Char Char Char"/>
    <w:basedOn w:val="933"/>
    <w:next w:val="1009"/>
    <w:link w:val="933"/>
    <w:pPr>
      <w:jc w:val="center"/>
      <w:widowControl/>
    </w:pPr>
    <w:rPr>
      <w:rFonts w:ascii="宋体" w:hAnsi="宋体"/>
      <w:b/>
      <w:sz w:val="24"/>
      <w:lang w:eastAsia="en-US"/>
    </w:rPr>
  </w:style>
  <w:style w:type="paragraph" w:styleId="1010">
    <w:name w:val="_Style 56"/>
    <w:basedOn w:val="947"/>
    <w:next w:val="1010"/>
    <w:link w:val="933"/>
    <w:pPr>
      <w:spacing w:line="436" w:lineRule="exact"/>
    </w:pPr>
    <w:rPr>
      <w:szCs w:val="20"/>
    </w:rPr>
  </w:style>
  <w:style w:type="paragraph" w:styleId="1011">
    <w:name w:val="Style10"/>
    <w:basedOn w:val="933"/>
    <w:next w:val="1011"/>
    <w:link w:val="933"/>
    <w:pPr>
      <w:jc w:val="left"/>
    </w:pPr>
    <w:rPr>
      <w:rFonts w:ascii="宋体"/>
      <w:sz w:val="24"/>
    </w:rPr>
  </w:style>
  <w:style w:type="paragraph" w:styleId="1012">
    <w:name w:val="Char Char Char Char"/>
    <w:basedOn w:val="947"/>
    <w:next w:val="1012"/>
    <w:link w:val="933"/>
    <w:pPr>
      <w:spacing w:line="360" w:lineRule="auto"/>
    </w:pPr>
    <w:rPr>
      <w:rFonts w:ascii="Tahoma" w:hAnsi="Tahoma"/>
      <w:sz w:val="24"/>
    </w:rPr>
  </w:style>
  <w:style w:type="paragraph" w:styleId="1013">
    <w:name w:val="正文（缩进） Char1"/>
    <w:basedOn w:val="933"/>
    <w:next w:val="1013"/>
    <w:link w:val="933"/>
    <w:pPr>
      <w:ind w:firstLine="480"/>
      <w:spacing w:before="156" w:after="156" w:line="360" w:lineRule="auto"/>
    </w:pPr>
    <w:rPr>
      <w:sz w:val="24"/>
    </w:rPr>
  </w:style>
  <w:style w:type="paragraph" w:styleId="1014">
    <w:name w:val="普通正文"/>
    <w:basedOn w:val="933"/>
    <w:next w:val="1014"/>
    <w:link w:val="933"/>
    <w:pPr>
      <w:ind w:firstLine="480"/>
      <w:jc w:val="left"/>
      <w:spacing w:before="120" w:after="120" w:line="360" w:lineRule="auto"/>
    </w:pPr>
    <w:rPr>
      <w:rFonts w:ascii="Arial" w:hAnsi="Arial"/>
      <w:sz w:val="24"/>
    </w:rPr>
  </w:style>
  <w:style w:type="paragraph" w:styleId="1015">
    <w:name w:val="修订"/>
    <w:next w:val="1015"/>
    <w:link w:val="933"/>
    <w:uiPriority w:val="99"/>
    <w:semiHidden/>
    <w:rPr>
      <w:sz w:val="21"/>
      <w:szCs w:val="24"/>
      <w:lang w:val="en-US" w:eastAsia="zh-CN" w:bidi="ar-SA"/>
    </w:rPr>
  </w:style>
  <w:style w:type="paragraph" w:styleId="1016">
    <w:name w:val=" Char"/>
    <w:basedOn w:val="933"/>
    <w:next w:val="1016"/>
    <w:link w:val="933"/>
    <w:pPr>
      <w:ind w:left="420" w:hanging="420"/>
      <w:jc w:val="left"/>
      <w:tabs>
        <w:tab w:val="left" w:pos="420" w:leader="none"/>
      </w:tabs>
    </w:pPr>
    <w:rPr>
      <w:szCs w:val="20"/>
    </w:rPr>
  </w:style>
  <w:style w:type="paragraph" w:styleId="1017">
    <w:name w:val="文档正文"/>
    <w:basedOn w:val="933"/>
    <w:next w:val="1017"/>
    <w:link w:val="933"/>
    <w:pPr>
      <w:ind w:firstLine="567"/>
      <w:spacing w:line="480" w:lineRule="atLeast"/>
    </w:pPr>
    <w:rPr>
      <w:rFonts w:ascii="仿宋_GB2312"/>
      <w:szCs w:val="20"/>
    </w:rPr>
  </w:style>
  <w:style w:type="paragraph" w:styleId="1018">
    <w:name w:val="要点标题"/>
    <w:basedOn w:val="933"/>
    <w:next w:val="1018"/>
    <w:link w:val="933"/>
    <w:pPr>
      <w:numPr>
        <w:ilvl w:val="0"/>
        <w:numId w:val="3"/>
      </w:numPr>
      <w:jc w:val="left"/>
      <w:tabs>
        <w:tab w:val="left" w:pos="420" w:leader="none"/>
      </w:tabs>
    </w:pPr>
    <w:rPr>
      <w:rFonts w:ascii="宋体" w:hAnsi="宋体"/>
      <w:b/>
      <w:sz w:val="24"/>
    </w:rPr>
  </w:style>
  <w:style w:type="paragraph" w:styleId="1019">
    <w:name w:val="Style11"/>
    <w:basedOn w:val="933"/>
    <w:next w:val="1019"/>
    <w:link w:val="933"/>
    <w:pPr>
      <w:jc w:val="left"/>
      <w:spacing w:line="446" w:lineRule="exact"/>
    </w:pPr>
    <w:rPr>
      <w:rFonts w:ascii="宋体"/>
      <w:sz w:val="24"/>
    </w:rPr>
  </w:style>
  <w:style w:type="paragraph" w:styleId="1020">
    <w:name w:val="Char1"/>
    <w:basedOn w:val="933"/>
    <w:next w:val="1020"/>
    <w:link w:val="933"/>
    <w:pPr>
      <w:ind w:left="840" w:hanging="420"/>
      <w:tabs>
        <w:tab w:val="left" w:pos="840" w:leader="none"/>
      </w:tabs>
    </w:pPr>
    <w:rPr>
      <w:sz w:val="24"/>
    </w:rPr>
  </w:style>
  <w:style w:type="paragraph" w:styleId="1021">
    <w:name w:val="Char"/>
    <w:basedOn w:val="933"/>
    <w:next w:val="1021"/>
    <w:link w:val="933"/>
    <w:pPr>
      <w:tabs>
        <w:tab w:val="left" w:pos="360" w:leader="none"/>
      </w:tabs>
    </w:pPr>
    <w:rPr>
      <w:sz w:val="24"/>
    </w:rPr>
  </w:style>
  <w:style w:type="paragraph" w:styleId="1022">
    <w:name w:val="Style12"/>
    <w:basedOn w:val="933"/>
    <w:next w:val="1022"/>
    <w:link w:val="933"/>
    <w:pPr>
      <w:jc w:val="left"/>
    </w:pPr>
    <w:rPr>
      <w:rFonts w:ascii="宋体"/>
      <w:sz w:val="24"/>
    </w:rPr>
  </w:style>
  <w:style w:type="paragraph" w:styleId="1023">
    <w:name w:val="表格正文"/>
    <w:next w:val="1023"/>
    <w:link w:val="933"/>
    <w:pPr>
      <w:spacing w:line="0" w:lineRule="atLeast"/>
    </w:pPr>
    <w:rPr>
      <w:sz w:val="24"/>
      <w:szCs w:val="24"/>
      <w:lang w:val="en-US" w:eastAsia="zh-CN" w:bidi="he-IL"/>
    </w:rPr>
  </w:style>
  <w:style w:type="paragraph" w:styleId="1024">
    <w:name w:val="首行缩进"/>
    <w:basedOn w:val="933"/>
    <w:next w:val="1024"/>
    <w:link w:val="933"/>
    <w:qFormat/>
    <w:pPr>
      <w:ind w:firstLine="420"/>
      <w:spacing w:line="360" w:lineRule="auto"/>
    </w:pPr>
    <w:rPr>
      <w:sz w:val="20"/>
    </w:rPr>
  </w:style>
  <w:style w:type="paragraph" w:styleId="1025">
    <w:name w:val="List Paragraph"/>
    <w:basedOn w:val="933"/>
    <w:next w:val="1025"/>
    <w:link w:val="933"/>
    <w:uiPriority w:val="34"/>
    <w:qFormat/>
    <w:pPr>
      <w:ind w:firstLine="420"/>
    </w:pPr>
    <w:rPr>
      <w:rFonts w:ascii="Calibri" w:hAnsi="Calibri" w:eastAsia="宋体" w:cs="Times New Roman"/>
      <w:szCs w:val="22"/>
    </w:rPr>
  </w:style>
  <w:style w:type="paragraph" w:styleId="1026">
    <w:name w:val="p0"/>
    <w:basedOn w:val="933"/>
    <w:next w:val="1026"/>
    <w:link w:val="933"/>
    <w:qFormat/>
    <w:pPr>
      <w:widowControl/>
    </w:pPr>
    <w:rPr>
      <w:szCs w:val="21"/>
    </w:rPr>
  </w:style>
  <w:style w:type="paragraph" w:styleId="1027">
    <w:name w:val="正文1"/>
    <w:next w:val="933"/>
    <w:link w:val="933"/>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王美俊</cp:lastModifiedBy>
  <cp:revision>4</cp:revision>
  <dcterms:created xsi:type="dcterms:W3CDTF">2024-01-08T08:47:00Z</dcterms:created>
  <dcterms:modified xsi:type="dcterms:W3CDTF">2024-09-24T02:27:35Z</dcterms:modified>
</cp:coreProperties>
</file>