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tabs>
          <w:tab w:val="left" w:pos="2126" w:leader="none"/>
        </w:tabs>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b/>
          <w:color w:val="000000" w:themeColor="text1"/>
          <w:sz w:val="140"/>
          <w:szCs w:val="140"/>
          <w:highlight w:val="none"/>
          <w14:textFill>
            <w14:solidFill>
              <w14:schemeClr w14:val="tx1"/>
            </w14:solidFill>
          </w14:textFill>
        </w:rPr>
      </w:pPr>
      <w:r/>
      <w:bookmarkStart w:id="0" w:name="_Toc24222"/>
      <w:r/>
      <w:bookmarkStart w:id="1" w:name="_Toc20707"/>
      <w:r>
        <w:rPr>
          <w:rFonts w:hint="eastAsia"/>
          <w:b/>
          <w:color w:val="000000" w:themeColor="text1"/>
          <w:sz w:val="96"/>
          <w:szCs w:val="96"/>
          <w:highlight w:val="none"/>
          <w:lang w:val="en-US" w:eastAsia="zh-CN"/>
          <w14:textFill>
            <w14:solidFill>
              <w14:schemeClr w14:val="tx1"/>
            </w14:solidFill>
          </w14:textFill>
        </w:rPr>
        <w:t xml:space="preserve">无锡市</w:t>
      </w:r>
      <w:r>
        <w:rPr>
          <w:b/>
          <w:color w:val="000000" w:themeColor="text1"/>
          <w:sz w:val="96"/>
          <w:szCs w:val="96"/>
          <w:highlight w:val="none"/>
          <w14:textFill>
            <w14:solidFill>
              <w14:schemeClr w14:val="tx1"/>
            </w14:solidFill>
          </w14:textFill>
        </w:rPr>
        <w:t xml:space="preserve">政府采购</w:t>
      </w:r>
      <w:bookmarkEnd w:id="0"/>
      <w:r/>
      <w:bookmarkEnd w:id="1"/>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jc w:val="center"/>
        <w:shd w:val="clear" w:color="auto"/>
        <w:rPr>
          <w:b/>
          <w:color w:val="000000" w:themeColor="text1"/>
          <w:sz w:val="72"/>
          <w:szCs w:val="72"/>
          <w:highlight w:val="none"/>
          <w14:textFill>
            <w14:solidFill>
              <w14:schemeClr w14:val="tx1"/>
            </w14:solidFill>
          </w14:textFill>
        </w:rPr>
      </w:pPr>
      <w:r/>
      <w:bookmarkStart w:id="2" w:name="_Toc6267"/>
      <w:r/>
      <w:bookmarkStart w:id="3" w:name="_Toc8186"/>
      <w:r>
        <w:rPr>
          <w:rFonts w:hint="eastAsia"/>
          <w:b/>
          <w:color w:val="000000" w:themeColor="text1"/>
          <w:sz w:val="72"/>
          <w:szCs w:val="72"/>
          <w:highlight w:val="none"/>
          <w14:textFill>
            <w14:solidFill>
              <w14:schemeClr w14:val="tx1"/>
            </w14:solidFill>
          </w14:textFill>
        </w:rPr>
        <w:t xml:space="preserve">公开招标</w:t>
      </w:r>
      <w:r>
        <w:rPr>
          <w:b/>
          <w:color w:val="000000" w:themeColor="text1"/>
          <w:sz w:val="72"/>
          <w:szCs w:val="72"/>
          <w:highlight w:val="none"/>
          <w14:textFill>
            <w14:solidFill>
              <w14:schemeClr w14:val="tx1"/>
            </w14:solidFill>
          </w14:textFill>
        </w:rPr>
        <w:t xml:space="preserve">文</w:t>
      </w:r>
      <w:r>
        <w:rPr>
          <w:rFonts w:hint="eastAsia"/>
          <w:b/>
          <w:color w:val="000000" w:themeColor="text1"/>
          <w:sz w:val="72"/>
          <w:szCs w:val="72"/>
          <w:highlight w:val="none"/>
          <w14:textFill>
            <w14:solidFill>
              <w14:schemeClr w14:val="tx1"/>
            </w14:solidFill>
          </w14:textFill>
        </w:rPr>
        <w:t xml:space="preserve">件</w:t>
      </w:r>
      <w:bookmarkEnd w:id="2"/>
      <w:r/>
      <w:bookmarkEnd w:id="3"/>
      <w:r/>
      <w:r/>
    </w:p>
    <w:p>
      <w:pPr>
        <w:jc w:val="center"/>
        <w:shd w:val="clear" w:color="auto"/>
        <w:rPr>
          <w:b/>
          <w:color w:val="000000" w:themeColor="text1"/>
          <w:sz w:val="56"/>
          <w:szCs w:val="56"/>
          <w:highlight w:val="none"/>
          <w14:textFill>
            <w14:solidFill>
              <w14:schemeClr w14:val="tx1"/>
            </w14:solidFill>
          </w14:textFill>
        </w:rPr>
      </w:pPr>
      <w:r>
        <w:rPr>
          <w:rFonts w:hint="eastAsia"/>
          <w:b/>
          <w:color w:val="000000" w:themeColor="text1"/>
          <w:sz w:val="56"/>
          <w:szCs w:val="56"/>
          <w:highlight w:val="none"/>
          <w14:textFill>
            <w14:solidFill>
              <w14:schemeClr w14:val="tx1"/>
            </w14:solidFill>
          </w14:textFill>
        </w:rPr>
        <w:t xml:space="preserve">（暗标）</w:t>
      </w:r>
      <w:r/>
    </w:p>
    <w:p>
      <w:pPr>
        <w:jc w:val="center"/>
        <w:shd w:val="clear" w:color="auto"/>
        <w:rPr>
          <w:rFonts w:hint="eastAsia"/>
          <w:b/>
          <w:color w:val="000000" w:themeColor="text1"/>
          <w:sz w:val="28"/>
          <w:szCs w:val="28"/>
          <w:highlight w:val="none"/>
          <w14:textFill>
            <w14:solidFill>
              <w14:schemeClr w14:val="tx1"/>
            </w14:solidFill>
          </w14:textFill>
        </w:rPr>
      </w:pPr>
      <w:r>
        <w:t xml:space="preserve"> </w:t>
      </w:r>
      <w:bookmarkStart w:id="4" w:name="_Toc9350"/>
      <w:r/>
      <w:bookmarkStart w:id="5" w:name="_Toc607"/>
      <w:r/>
      <w:r/>
    </w:p>
    <w:p>
      <w:pPr>
        <w:jc w:val="center"/>
        <w:shd w:val="clear" w:color="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（全流程电子化）</w:t>
      </w:r>
      <w:bookmarkEnd w:id="4"/>
      <w:r/>
      <w:bookmarkEnd w:id="5"/>
      <w:r/>
      <w:r/>
    </w:p>
    <w:p>
      <w:pPr>
        <w:jc w:val="center"/>
        <w:shd w:val="clear" w:color="auto"/>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jc w:val="center"/>
        <w:shd w:val="clear" w:color="auto"/>
        <w:rPr>
          <w:rFonts w:hint="eastAsia"/>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bookmarkStart w:id="6" w:name="_Toc158"/>
      <w:r/>
      <w:bookmarkStart w:id="7" w:name="_Toc30450"/>
      <w:r>
        <w:rPr>
          <w:rFonts w:hint="eastAsia" w:ascii="宋体" w:hAnsi="宋体" w:cs="宋体"/>
          <w:color w:val="000000" w:themeColor="text1"/>
          <w:sz w:val="30"/>
          <w:szCs w:val="30"/>
          <w:highlight w:val="none"/>
          <w14:textFill>
            <w14:solidFill>
              <w14:schemeClr w14:val="tx1"/>
            </w14:solidFill>
          </w14:textFill>
        </w:rPr>
        <w:t xml:space="preserve">采购项目编号：</w:t>
      </w:r>
      <w:bookmarkEnd w:id="6"/>
      <w:r/>
      <w:bookmarkEnd w:id="7"/>
      <w:r>
        <w:rPr>
          <w:rFonts w:hint="eastAsia" w:ascii="宋体" w:hAnsi="宋体" w:cs="宋体"/>
          <w:color w:val="000000" w:themeColor="text1"/>
          <w:sz w:val="30"/>
          <w:szCs w:val="30"/>
          <w:highlight w:val="none"/>
          <w:lang w:eastAsia="zh-CN"/>
          <w14:textFill>
            <w14:solidFill>
              <w14:schemeClr w14:val="tx1"/>
            </w14:solidFill>
          </w14:textFill>
        </w:rPr>
        <w:t xml:space="preserve">JSZC-320292-JSAA-G2025-0015</w:t>
      </w:r>
      <w:r/>
    </w:p>
    <w:p>
      <w:pPr>
        <w:jc w:val="left"/>
        <w:spacing w:line="360" w:lineRule="auto"/>
        <w:shd w:val="clear" w:color="auto"/>
        <w:rPr>
          <w:rFonts w:hint="eastAsia" w:ascii="宋体" w:hAnsi="宋体"/>
          <w:bCs/>
          <w:color w:val="000000" w:themeColor="text1"/>
          <w:sz w:val="30"/>
          <w:szCs w:val="30"/>
          <w:highlight w:val="none"/>
          <w14:textFill>
            <w14:solidFill>
              <w14:schemeClr w14:val="tx1"/>
            </w14:solidFill>
          </w14:textFill>
        </w:rPr>
      </w:pPr>
      <w:r>
        <w:rPr>
          <w:rFonts w:hint="eastAsia" w:ascii="宋体" w:hAnsi="宋体"/>
          <w:bCs/>
          <w:color w:val="000000" w:themeColor="text1"/>
          <w:sz w:val="30"/>
          <w:szCs w:val="30"/>
          <w:highlight w:val="none"/>
          <w14:textFill>
            <w14:solidFill>
              <w14:schemeClr w14:val="tx1"/>
            </w14:solidFill>
          </w14:textFill>
        </w:rPr>
        <w:t xml:space="preserve">采购项目名称：</w:t>
      </w:r>
      <w:r>
        <w:rPr>
          <w:rFonts w:hint="eastAsia" w:ascii="宋体" w:hAnsi="宋体"/>
          <w:bCs/>
          <w:color w:val="000000" w:themeColor="text1"/>
          <w:sz w:val="30"/>
          <w:szCs w:val="30"/>
          <w:highlight w:val="none"/>
          <w:lang w:eastAsia="zh-CN"/>
          <w14:textFill>
            <w14:solidFill>
              <w14:schemeClr w14:val="tx1"/>
            </w14:solidFill>
          </w14:textFill>
        </w:rPr>
        <w:t xml:space="preserve">周新路(蠡湖大道-信成道)改造工程等2个项目全过程跟踪(含结算)审计服务</w:t>
      </w:r>
      <w:r/>
    </w:p>
    <w:p>
      <w:pPr>
        <w:jc w:val="left"/>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江苏无锡经济开发区财政局</w:t>
      </w:r>
      <w:r/>
    </w:p>
    <w:p>
      <w:pP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bookmarkStart w:id="8" w:name="_Toc12700"/>
      <w:r/>
      <w:bookmarkStart w:id="9" w:name="_Toc22627"/>
      <w:r>
        <w:rPr>
          <w:rFonts w:hint="eastAsia" w:ascii="宋体" w:hAnsi="宋体" w:cs="宋体"/>
          <w:color w:val="000000" w:themeColor="text1"/>
          <w:sz w:val="30"/>
          <w:szCs w:val="30"/>
          <w:highlight w:val="none"/>
          <w14:textFill>
            <w14:solidFill>
              <w14:schemeClr w14:val="tx1"/>
            </w14:solidFill>
          </w14:textFill>
        </w:rPr>
        <w:t xml:space="preserve">采购代理机构：</w:t>
      </w:r>
      <w:bookmarkEnd w:id="8"/>
      <w:r/>
      <w:bookmarkEnd w:id="9"/>
      <w:r>
        <w:rPr>
          <w:rFonts w:hint="eastAsia" w:ascii="宋体" w:hAnsi="宋体" w:cs="宋体"/>
          <w:color w:val="000000" w:themeColor="text1"/>
          <w:sz w:val="30"/>
          <w:szCs w:val="30"/>
          <w:highlight w:val="none"/>
          <w:lang w:eastAsia="zh-CN"/>
          <w14:textFill>
            <w14:solidFill>
              <w14:schemeClr w14:val="tx1"/>
            </w14:solidFill>
          </w14:textFill>
        </w:rPr>
        <w:t xml:space="preserve">居上工程咨询（无锡）有限公司</w:t>
      </w:r>
      <w:r/>
    </w:p>
    <w:p>
      <w:pPr>
        <w:shd w:val="clear" w:color="auto"/>
        <w:rPr>
          <w:rFonts w:ascii="华文中宋" w:hAnsi="华文中宋" w:eastAsia="华文中宋"/>
          <w:bCs/>
          <w:color w:val="000000" w:themeColor="text1"/>
          <w:sz w:val="30"/>
          <w:highlight w:val="none"/>
          <w14:textFill>
            <w14:solidFill>
              <w14:schemeClr w14:val="tx1"/>
            </w14:solidFill>
          </w14:textFill>
        </w:rPr>
      </w:pPr>
      <w:r>
        <w:rPr>
          <w:rFonts w:ascii="华文中宋" w:hAnsi="华文中宋" w:eastAsia="华文中宋"/>
          <w:bCs/>
          <w:color w:val="000000" w:themeColor="text1"/>
          <w:sz w:val="30"/>
          <w:highlight w:val="none"/>
          <w14:textFill>
            <w14:solidFill>
              <w14:schemeClr w14:val="tx1"/>
            </w14:solidFill>
          </w14:textFill>
        </w:rPr>
      </w:r>
      <w:r/>
    </w:p>
    <w:p>
      <w:pPr>
        <w:jc w:val="center"/>
        <w:shd w:val="clear" w:color="auto"/>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五</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jc w:val="center"/>
        <w:shd w:val="clear" w:color="auto"/>
        <w:rPr>
          <w:rStyle w:val="1290"/>
          <w:rFonts w:hint="eastAsia" w:eastAsia="黑体"/>
          <w:bCs/>
          <w:color w:val="000000" w:themeColor="text1"/>
          <w:sz w:val="48"/>
          <w:highlight w:val="none"/>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720" w:equalWidth="1"/>
          <w:docGrid w:linePitch="360"/>
        </w:sectPr>
      </w:pPr>
      <w:r/>
      <w:bookmarkStart w:id="10" w:name="_Toc27240"/>
      <w:r/>
      <w:r/>
    </w:p>
    <w:p>
      <w:pPr>
        <w:jc w:val="center"/>
        <w:shd w:val="clear" w:color="auto"/>
        <w:rPr>
          <w:rStyle w:val="1290"/>
          <w:rFonts w:hint="eastAsia" w:ascii="宋体" w:hAnsi="宋体" w:cs="宋体"/>
          <w:b/>
          <w:color w:val="000000" w:themeColor="text1"/>
          <w:sz w:val="44"/>
          <w:szCs w:val="44"/>
          <w:highlight w:val="none"/>
          <w14:textFill>
            <w14:solidFill>
              <w14:schemeClr w14:val="tx1"/>
            </w14:solidFill>
          </w14:textFill>
        </w:rPr>
      </w:pPr>
      <w:r/>
      <w:bookmarkStart w:id="11" w:name="_Toc32576"/>
      <w:r/>
      <w:bookmarkStart w:id="12" w:name="_Toc15618"/>
      <w:r/>
      <w:bookmarkStart w:id="13" w:name="_Toc23032"/>
      <w:r>
        <w:rPr>
          <w:rStyle w:val="1290"/>
          <w:rFonts w:hint="eastAsia" w:ascii="宋体" w:hAnsi="宋体" w:cs="宋体"/>
          <w:b/>
          <w:color w:val="000000" w:themeColor="text1"/>
          <w:sz w:val="44"/>
          <w:szCs w:val="44"/>
          <w:highlight w:val="none"/>
          <w14:textFill>
            <w14:solidFill>
              <w14:schemeClr w14:val="tx1"/>
            </w14:solidFill>
          </w14:textFill>
        </w:rPr>
        <w:t xml:space="preserve">目     录</w:t>
      </w:r>
      <w:bookmarkEnd w:id="10"/>
      <w:r/>
      <w:bookmarkEnd w:id="11"/>
      <w:r/>
      <w:bookmarkEnd w:id="12"/>
      <w:r/>
      <w:bookmarkEnd w:id="13"/>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6"/>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fldChar w:fldCharType="begin"/>
      </w:r>
      <w:r>
        <w:rPr>
          <w:rFonts w:hint="eastAsia" w:ascii="宋体" w:hAnsi="宋体" w:cs="宋体"/>
          <w:bCs/>
          <w:color w:val="000000" w:themeColor="text1"/>
          <w:sz w:val="28"/>
          <w:szCs w:val="28"/>
          <w:highlight w:val="none"/>
          <w14:textFill>
            <w14:solidFill>
              <w14:schemeClr w14:val="tx1"/>
            </w14:solidFill>
          </w14:textFill>
        </w:rPr>
        <w:instrText xml:space="preserve">TOC \o "1-1" \f \h \u </w:instrText>
      </w:r>
      <w:r>
        <w:rPr>
          <w:rFonts w:hint="eastAsia" w:ascii="宋体" w:hAnsi="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_Toc10721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一、投标邀请函</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_Toc10721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2</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6"/>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_Toc9899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二、投标人须知</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_Toc9899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7</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6"/>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_Toc18751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三、项目技术要求和有关说明</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_Toc18751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16</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6"/>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_Toc21591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四、合同书（格式文本）</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_Toc21591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20</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pStyle w:val="1076"/>
        <w:shd w:val="clear" w:color="auto"/>
        <w:tabs>
          <w:tab w:val="right" w:pos="8306" w:leader="dot"/>
        </w:tabs>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fldChar w:fldCharType="begin"/>
      </w:r>
      <w:r>
        <w:rPr>
          <w:rFonts w:hint="eastAsia" w:ascii="宋体" w:hAnsi="宋体" w:eastAsia="宋体" w:cs="宋体"/>
          <w:bCs/>
          <w:color w:val="000000" w:themeColor="text1"/>
          <w:sz w:val="36"/>
          <w:szCs w:val="36"/>
          <w:highlight w:val="none"/>
          <w14:textFill>
            <w14:solidFill>
              <w14:schemeClr w14:val="tx1"/>
            </w14:solidFill>
          </w14:textFill>
        </w:rPr>
        <w:instrText xml:space="preserve"> HYPERLINK \l _Toc24961 </w:instrText>
      </w:r>
      <w:r>
        <w:rPr>
          <w:rFonts w:hint="eastAsia" w:ascii="宋体" w:hAnsi="宋体" w:eastAsia="宋体" w:cs="宋体"/>
          <w:bC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olor w:val="000000" w:themeColor="text1"/>
          <w:sz w:val="36"/>
          <w:szCs w:val="36"/>
          <w:highlight w:val="none"/>
          <w14:textFill>
            <w14:solidFill>
              <w14:schemeClr w14:val="tx1"/>
            </w14:solidFill>
          </w14:textFill>
        </w:rPr>
        <w:t xml:space="preserve">五、附件</w:t>
      </w:r>
      <w:r>
        <w:rPr>
          <w:rFonts w:hint="eastAsia" w:ascii="宋体" w:hAnsi="宋体" w:eastAsia="宋体" w:cs="宋体"/>
          <w:color w:val="000000" w:themeColor="text1"/>
          <w:sz w:val="36"/>
          <w:szCs w:val="36"/>
          <w:highlight w:val="none"/>
          <w14:textFill>
            <w14:solidFill>
              <w14:schemeClr w14:val="tx1"/>
            </w14:solidFill>
          </w14:textFill>
        </w:rPr>
        <w:tab/>
      </w:r>
      <w:r>
        <w:rPr>
          <w:rFonts w:hint="eastAsia" w:ascii="宋体" w:hAnsi="宋体" w:eastAsia="宋体" w:cs="宋体"/>
          <w:color w:val="000000" w:themeColor="text1"/>
          <w:sz w:val="36"/>
          <w:szCs w:val="36"/>
          <w:highlight w:val="none"/>
          <w14:textFill>
            <w14:solidFill>
              <w14:schemeClr w14:val="tx1"/>
            </w14:solidFill>
          </w14:textFill>
        </w:rPr>
        <w:fldChar w:fldCharType="begin"/>
      </w:r>
      <w:r>
        <w:rPr>
          <w:rFonts w:hint="eastAsia" w:ascii="宋体" w:hAnsi="宋体" w:eastAsia="宋体" w:cs="宋体"/>
          <w:color w:val="000000" w:themeColor="text1"/>
          <w:sz w:val="36"/>
          <w:szCs w:val="36"/>
          <w:highlight w:val="none"/>
          <w14:textFill>
            <w14:solidFill>
              <w14:schemeClr w14:val="tx1"/>
            </w14:solidFill>
          </w14:textFill>
        </w:rPr>
        <w:instrText xml:space="preserve"> PAGEREF _Toc24961 \h </w:instrText>
      </w:r>
      <w:r>
        <w:rPr>
          <w:rFonts w:hint="eastAsia" w:ascii="宋体" w:hAnsi="宋体" w:eastAsia="宋体" w:cs="宋体"/>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sz w:val="36"/>
          <w:szCs w:val="36"/>
          <w:highlight w:val="none"/>
          <w14:textFill>
            <w14:solidFill>
              <w14:schemeClr w14:val="tx1"/>
            </w14:solidFill>
          </w14:textFill>
        </w:rPr>
        <w:t xml:space="preserve">29</w:t>
      </w:r>
      <w:r>
        <w:rPr>
          <w:rFonts w:hint="eastAsia" w:ascii="宋体" w:hAnsi="宋体" w:eastAsia="宋体" w:cs="宋体"/>
          <w:color w:val="000000" w:themeColor="text1"/>
          <w:sz w:val="36"/>
          <w:szCs w:val="36"/>
          <w:highlight w:val="none"/>
          <w14:textFill>
            <w14:solidFill>
              <w14:schemeClr w14:val="tx1"/>
            </w14:solidFill>
          </w14:textFill>
        </w:rPr>
        <w:fldChar w:fldCharType="end"/>
      </w:r>
      <w:r>
        <w:rPr>
          <w:rFonts w:hint="eastAsia" w:ascii="宋体" w:hAnsi="宋体" w:eastAsia="宋体" w:cs="宋体"/>
          <w:bCs/>
          <w:color w:val="000000" w:themeColor="text1"/>
          <w:sz w:val="36"/>
          <w:szCs w:val="36"/>
          <w:highlight w:val="none"/>
          <w14:textFill>
            <w14:solidFill>
              <w14:schemeClr w14:val="tx1"/>
            </w14:solidFill>
          </w14:textFill>
        </w:rPr>
        <w:fldChar w:fldCharType="end"/>
      </w:r>
      <w:r/>
    </w:p>
    <w:p>
      <w:pPr>
        <w:ind w:firstLine="420"/>
        <w:spacing w:line="360" w:lineRule="auto"/>
        <w:shd w:val="clear" w:color="auto"/>
        <w:rPr>
          <w:rFonts w:ascii="宋体"/>
          <w:bCs/>
          <w:color w:val="000000" w:themeColor="text1"/>
          <w:sz w:val="32"/>
          <w:highlight w:val="none"/>
          <w14:textFill>
            <w14:solidFill>
              <w14:schemeClr w14:val="tx1"/>
            </w14:solidFill>
          </w14:textFill>
        </w:rPr>
      </w:pPr>
      <w:r>
        <w:rPr>
          <w:rFonts w:hint="eastAsia" w:ascii="宋体" w:hAnsi="宋体" w:cs="宋体"/>
          <w:bCs/>
          <w:color w:val="000000" w:themeColor="text1"/>
          <w:szCs w:val="28"/>
          <w:highlight w:val="none"/>
          <w:lang w:val="en-US" w:eastAsia="zh-CN"/>
          <w14:textFill>
            <w14:solidFill>
              <w14:schemeClr w14:val="tx1"/>
            </w14:solidFill>
          </w14:textFill>
        </w:rPr>
        <w:t xml:space="preserve"> </w:t>
      </w:r>
      <w:r>
        <w:rPr>
          <w:rFonts w:hint="eastAsia" w:ascii="宋体" w:hAnsi="宋体" w:cs="宋体"/>
          <w:bCs/>
          <w:color w:val="000000" w:themeColor="text1"/>
          <w:szCs w:val="28"/>
          <w:highlight w:val="none"/>
          <w14:textFill>
            <w14:solidFill>
              <w14:schemeClr w14:val="tx1"/>
            </w14:solidFill>
          </w14:textFill>
        </w:rPr>
        <w:fldChar w:fldCharType="end"/>
      </w:r>
      <w:r/>
    </w:p>
    <w:p>
      <w:pPr>
        <w:jc w:val="center"/>
        <w:spacing w:line="360" w:lineRule="auto"/>
        <w:shd w:val="clear" w:color="auto"/>
        <w:rPr>
          <w:rFonts w:hint="eastAsia" w:ascii="宋体" w:hAnsi="宋体" w:cs="宋体"/>
          <w:b/>
          <w:color w:val="000000" w:themeColor="text1"/>
          <w:sz w:val="30"/>
          <w:szCs w:val="30"/>
          <w:highlight w:val="none"/>
          <w14:textFill>
            <w14:solidFill>
              <w14:schemeClr w14:val="tx1"/>
            </w14:solidFill>
          </w14:textFill>
        </w:rPr>
        <w:sectPr>
          <w:headerReference w:type="default" r:id="rId11"/>
          <w:footerReference w:type="default" r:id="rId16"/>
          <w:footerReference w:type="even" r:id="rId17"/>
          <w:footerReference w:type="first" r:id="rId18"/>
          <w:footnotePr/>
          <w:endnotePr/>
          <w:type w:val="nextPage"/>
          <w:pgSz w:w="11906" w:h="16838" w:orient="portrait"/>
          <w:pgMar w:top="1134" w:right="1134" w:bottom="720" w:left="1134" w:header="624" w:footer="907" w:gutter="0"/>
          <w:pgNumType w:start="1"/>
          <w:cols w:num="1" w:sep="0" w:space="720" w:equalWidth="1"/>
          <w:docGrid w:linePitch="360"/>
          <w:titlePg/>
        </w:sectPr>
        <w:outlineLvl w:val="0"/>
      </w:pPr>
      <w:r/>
      <w:bookmarkStart w:id="14" w:name="报价方须知前附表"/>
      <w:r/>
      <w:bookmarkEnd w:id="14"/>
      <w:r/>
      <w:bookmarkStart w:id="15" w:name="_Toc24814"/>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bookmarkStart w:id="16" w:name="_Toc10721"/>
      <w:r/>
      <w:bookmarkStart w:id="17" w:name="_Toc13603"/>
      <w:r>
        <w:rPr>
          <w:rFonts w:hint="eastAsia" w:hAnsi="宋体" w:cs="宋体"/>
          <w:b/>
          <w:bCs/>
          <w:color w:val="000000" w:themeColor="text1"/>
          <w:sz w:val="32"/>
          <w:szCs w:val="32"/>
          <w:highlight w:val="none"/>
          <w14:textFill>
            <w14:solidFill>
              <w14:schemeClr w14:val="tx1"/>
            </w14:solidFill>
          </w14:textFill>
        </w:rPr>
        <w:t xml:space="preserve">一、投标邀请函</w:t>
      </w:r>
      <w:bookmarkEnd w:id="15"/>
      <w:r/>
      <w:bookmarkEnd w:id="16"/>
      <w:r/>
      <w:bookmarkEnd w:id="17"/>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受</w:t>
      </w:r>
      <w:r>
        <w:rPr>
          <w:rFonts w:hint="eastAsia" w:ascii="宋体" w:hAnsi="宋体" w:cs="宋体"/>
          <w:color w:val="000000" w:themeColor="text1"/>
          <w:sz w:val="24"/>
          <w:szCs w:val="24"/>
          <w:highlight w:val="none"/>
          <w:lang w:eastAsia="zh-CN"/>
          <w14:textFill>
            <w14:solidFill>
              <w14:schemeClr w14:val="tx1"/>
            </w14:solidFill>
          </w14:textFill>
        </w:rPr>
        <w:t xml:space="preserve">江苏无锡经济开发区财政局</w:t>
      </w:r>
      <w:r>
        <w:rPr>
          <w:rFonts w:hint="eastAsia" w:ascii="宋体" w:hAnsi="宋体" w:cs="宋体"/>
          <w:color w:val="000000" w:themeColor="text1"/>
          <w:sz w:val="24"/>
          <w:szCs w:val="24"/>
          <w:highlight w:val="none"/>
          <w14:textFill>
            <w14:solidFill>
              <w14:schemeClr w14:val="tx1"/>
            </w14:solidFill>
          </w14:textFill>
        </w:rPr>
        <w:t xml:space="preserve">的委托，</w:t>
      </w:r>
      <w:r>
        <w:rPr>
          <w:rFonts w:hint="eastAsia" w:ascii="宋体" w:hAnsi="宋体" w:cs="宋体"/>
          <w:bCs/>
          <w:color w:val="000000" w:themeColor="text1"/>
          <w:sz w:val="24"/>
          <w:szCs w:val="24"/>
          <w:highlight w:val="none"/>
          <w14:textFill>
            <w14:solidFill>
              <w14:schemeClr w14:val="tx1"/>
            </w14:solidFill>
          </w14:textFill>
        </w:rPr>
        <w:t xml:space="preserve">对</w:t>
      </w:r>
      <w:r>
        <w:rPr>
          <w:rFonts w:hint="eastAsia" w:ascii="宋体" w:hAnsi="宋体" w:cs="宋体"/>
          <w:color w:val="000000" w:themeColor="text1"/>
          <w:sz w:val="24"/>
          <w:szCs w:val="24"/>
          <w:highlight w:val="none"/>
          <w:lang w:eastAsia="zh-CN"/>
          <w14:textFill>
            <w14:solidFill>
              <w14:schemeClr w14:val="tx1"/>
            </w14:solidFill>
          </w14:textFill>
        </w:rPr>
        <w:t xml:space="preserve">周新路(蠡湖大道-信成道)改造工程等2个项目全过程跟踪(含结算)审计服务</w:t>
      </w:r>
      <w:r>
        <w:rPr>
          <w:rFonts w:hint="eastAsia" w:ascii="宋体" w:hAnsi="宋体" w:cs="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p>
    <w:tbl>
      <w:tblPr>
        <w:tblStyle w:val="1064"/>
        <w:tblW w:w="9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8742"/>
      </w:tblGrid>
      <w:tr>
        <w:trPr>
          <w:jc w:val="center"/>
          <w:trHeight w:val="460"/>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8742"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内容</w:t>
            </w:r>
            <w:r/>
          </w:p>
        </w:tc>
      </w:tr>
      <w:tr>
        <w:trPr>
          <w:jc w:val="center"/>
          <w:trHeight w:val="1410"/>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周新路(蠡湖大道-信成道)改造工程等2个项目全过程跟踪(含结算)审计服务</w:t>
            </w:r>
            <w:r/>
          </w:p>
          <w:p>
            <w:pPr>
              <w:spacing w:line="360" w:lineRule="auto"/>
              <w:shd w:val="clear" w:color="auto"/>
              <w:widowControl/>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JSZC-320292-JSAA-G2025-0015</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采购方式：公开招标（暗标）</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8742" w:type="dxa"/>
            <w:vAlign w:val="center"/>
            <w:textDirection w:val="lrTb"/>
            <w:noWrap w:val="false"/>
          </w:tcPr>
          <w:p>
            <w:pPr>
              <w:ind w:firstLine="24"/>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江苏无锡经济开发区财政局</w:t>
            </w:r>
            <w:r/>
          </w:p>
          <w:p>
            <w:pPr>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采购人地址：</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江苏省无锡市滨湖区清舒道77号</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采购机构地址：</w:t>
            </w:r>
            <w:r>
              <w:rPr>
                <w:rFonts w:hint="eastAsia" w:ascii="宋体" w:hAnsi="宋体" w:cs="宋体"/>
                <w:color w:val="000000" w:themeColor="text1"/>
                <w:sz w:val="24"/>
                <w:szCs w:val="24"/>
                <w:highlight w:val="none"/>
                <w:lang w:val="zh-CN"/>
                <w14:textFill>
                  <w14:solidFill>
                    <w14:schemeClr w14:val="tx1"/>
                  </w14:solidFill>
                </w14:textFill>
              </w:rPr>
              <w:t xml:space="preserve">无锡市锡山区团结中路20号3-707</w:t>
            </w:r>
            <w:r/>
          </w:p>
        </w:tc>
      </w:tr>
      <w:tr>
        <w:trPr>
          <w:jc w:val="center"/>
          <w:trHeight w:val="558"/>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8742" w:type="dxa"/>
            <w:vAlign w:val="center"/>
            <w:textDirection w:val="lrTb"/>
            <w:noWrap w:val="false"/>
          </w:tcPr>
          <w:p>
            <w:pPr>
              <w:pStyle w:val="1281"/>
              <w:spacing w:before="0" w:beforeAutospacing="0" w:after="0" w:afterAutospacing="0" w:line="360" w:lineRule="auto"/>
              <w:shd w:val="clear" w:color="auto"/>
              <w:tabs>
                <w:tab w:val="left" w:pos="360" w:leader="none"/>
                <w:tab w:val="left" w:pos="9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采购项目概况、要求：</w:t>
            </w:r>
            <w:r/>
          </w:p>
          <w:p>
            <w:pPr>
              <w:pStyle w:val="1281"/>
              <w:spacing w:before="0" w:beforeAutospacing="0" w:after="0" w:afterAutospacing="0" w:line="360" w:lineRule="auto"/>
              <w:shd w:val="clear" w:color="auto"/>
              <w:tabs>
                <w:tab w:val="left" w:pos="360" w:leader="none"/>
                <w:tab w:val="left" w:pos="9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1、采购内容：</w:t>
            </w:r>
            <w:r>
              <w:rPr>
                <w:rFonts w:hint="eastAsia" w:cs="宋体"/>
                <w:color w:val="000000" w:themeColor="text1"/>
                <w:sz w:val="24"/>
                <w:szCs w:val="24"/>
                <w:highlight w:val="none"/>
                <w:lang w:eastAsia="zh-CN"/>
                <w14:textFill>
                  <w14:solidFill>
                    <w14:schemeClr w14:val="tx1"/>
                  </w14:solidFill>
                </w14:textFill>
              </w:rPr>
              <w:t xml:space="preserve">周新路(蠡湖大道-信成道)改造工程等2个项目全过程跟踪(含结算)审计服务</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详见“三、项目技术要求和有关说明”。</w:t>
            </w:r>
            <w:r/>
          </w:p>
          <w:p>
            <w:pPr>
              <w:pStyle w:val="1281"/>
              <w:spacing w:before="0" w:beforeAutospacing="0" w:after="0" w:afterAutospacing="0" w:line="360" w:lineRule="auto"/>
              <w:shd w:val="clear" w:color="auto"/>
              <w:tabs>
                <w:tab w:val="left" w:pos="360" w:leader="none"/>
                <w:tab w:val="left" w:pos="96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2、服务期限：</w:t>
            </w:r>
            <w:r>
              <w:rPr>
                <w:rFonts w:hint="eastAsia"/>
                <w:bCs/>
                <w:color w:val="000000" w:themeColor="text1"/>
                <w:sz w:val="24"/>
                <w:highlight w:val="none"/>
                <w:lang w:eastAsia="zh-CN"/>
                <w14:textFill>
                  <w14:solidFill>
                    <w14:schemeClr w14:val="tx1"/>
                  </w14:solidFill>
                </w14:textFill>
              </w:rPr>
              <w:t xml:space="preserve">自合同签订生效之日起至对应中标项目由无锡市审计局出具竣工决算审计报告止。</w:t>
            </w:r>
            <w:r>
              <w:rPr>
                <w:rFonts w:hint="eastAsia"/>
                <w:color w:val="000000" w:themeColor="text1"/>
                <w:highlight w:val="none"/>
                <w:lang w:eastAsia="zh-CN"/>
                <w14:textFill>
                  <w14:solidFill>
                    <w14:schemeClr w14:val="tx1"/>
                  </w14:solidFill>
                </w14:textFill>
              </w:rPr>
              <w:t xml:space="preserve"> </w:t>
            </w:r>
            <w:r/>
          </w:p>
          <w:p>
            <w:pPr>
              <w:pStyle w:val="1281"/>
              <w:spacing w:before="0" w:beforeAutospacing="0" w:after="0" w:afterAutospacing="0" w:line="360" w:lineRule="auto"/>
              <w:shd w:val="clear" w:color="auto"/>
              <w:tabs>
                <w:tab w:val="left" w:pos="360" w:leader="none"/>
                <w:tab w:val="left" w:pos="96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3、质量要求：</w:t>
            </w:r>
            <w:r>
              <w:rPr>
                <w:rFonts w:hint="eastAsia"/>
                <w:color w:val="000000" w:themeColor="text1"/>
                <w:highlight w:val="none"/>
                <w:lang w:eastAsia="zh-CN"/>
                <w14:textFill>
                  <w14:solidFill>
                    <w14:schemeClr w14:val="tx1"/>
                  </w14:solidFill>
                </w14:textFill>
              </w:rPr>
              <w:t xml:space="preserve">合格标准，符合国家、省、市以及相关管理部门相关规定和行业规范。</w:t>
            </w:r>
            <w:r>
              <w:rPr>
                <w:rFonts w:hint="eastAsia"/>
                <w:color w:val="000000" w:themeColor="text1"/>
                <w:highlight w:val="none"/>
                <w:lang w:val="en-US" w:eastAsia="zh-CN"/>
                <w14:textFill>
                  <w14:solidFill>
                    <w14:schemeClr w14:val="tx1"/>
                  </w14:solidFill>
                </w14:textFill>
              </w:rPr>
              <w:t xml:space="preserve"> </w:t>
            </w:r>
            <w:r/>
          </w:p>
          <w:p>
            <w:pPr>
              <w:pStyle w:val="1281"/>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4、项目投标预算价</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127</w:t>
            </w:r>
            <w:r>
              <w:rPr>
                <w:rFonts w:hint="eastAsia"/>
                <w:color w:val="000000" w:themeColor="text1"/>
                <w:highlight w:val="none"/>
                <w14:textFill>
                  <w14:solidFill>
                    <w14:schemeClr w14:val="tx1"/>
                  </w14:solidFill>
                </w14:textFill>
              </w:rPr>
              <w:t xml:space="preserve">万元</w:t>
            </w:r>
            <w:r>
              <w:rPr>
                <w:rFonts w:hint="eastAsia"/>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。其中：</w:t>
            </w:r>
            <w:r/>
          </w:p>
          <w:p>
            <w:pPr>
              <w:pStyle w:val="1281"/>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采购包1（</w:t>
            </w:r>
            <w:r>
              <w:rPr>
                <w:rFonts w:hint="eastAsia"/>
                <w:bCs/>
                <w:color w:val="000000" w:themeColor="text1"/>
                <w:highlight w:val="none"/>
                <w:lang w:eastAsia="zh-CN"/>
                <w14:textFill>
                  <w14:solidFill>
                    <w14:schemeClr w14:val="tx1"/>
                  </w14:solidFill>
                </w14:textFill>
              </w:rPr>
              <w:t xml:space="preserve">周新路（蠡湖大道-信成道）改造工程全过程跟踪审核（含结算审核）</w:t>
            </w:r>
            <w:r>
              <w:rPr>
                <w:rFonts w:hint="eastAsia"/>
                <w:bCs/>
                <w:color w:val="000000" w:themeColor="text1"/>
                <w:highlight w:val="none"/>
                <w14:textFill>
                  <w14:solidFill>
                    <w14:schemeClr w14:val="tx1"/>
                  </w14:solidFill>
                </w14:textFill>
              </w:rPr>
              <w:t xml:space="preserve">）项目预算为</w:t>
            </w:r>
            <w:r>
              <w:rPr>
                <w:rFonts w:hint="eastAsia"/>
                <w:bCs/>
                <w:color w:val="000000" w:themeColor="text1"/>
                <w:highlight w:val="none"/>
                <w:lang w:val="en-US" w:eastAsia="zh-CN"/>
                <w14:textFill>
                  <w14:solidFill>
                    <w14:schemeClr w14:val="tx1"/>
                  </w14:solidFill>
                </w14:textFill>
              </w:rPr>
              <w:t xml:space="preserve">70</w:t>
            </w:r>
            <w:r>
              <w:rPr>
                <w:rFonts w:hint="eastAsia"/>
                <w:bCs/>
                <w:color w:val="000000" w:themeColor="text1"/>
                <w:highlight w:val="none"/>
                <w14:textFill>
                  <w14:solidFill>
                    <w14:schemeClr w14:val="tx1"/>
                  </w14:solidFill>
                </w14:textFill>
              </w:rPr>
              <w:t xml:space="preserve">万元；</w:t>
            </w:r>
            <w:r/>
          </w:p>
          <w:p>
            <w:pPr>
              <w:pStyle w:val="1281"/>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采购包2（</w:t>
            </w:r>
            <w:r>
              <w:rPr>
                <w:rFonts w:hint="eastAsia"/>
                <w:bCs/>
                <w:color w:val="000000" w:themeColor="text1"/>
                <w:highlight w:val="none"/>
                <w:lang w:eastAsia="zh-CN"/>
                <w14:textFill>
                  <w14:solidFill>
                    <w14:schemeClr w14:val="tx1"/>
                  </w14:solidFill>
                </w14:textFill>
              </w:rPr>
              <w:t xml:space="preserve">碧水河（钱龙桥港-尚贤道）河道综合整治项目全过程跟踪审核（含结算审核）</w:t>
            </w:r>
            <w:r>
              <w:rPr>
                <w:rFonts w:hint="eastAsia"/>
                <w:bCs/>
                <w:color w:val="000000" w:themeColor="text1"/>
                <w:highlight w:val="none"/>
                <w14:textFill>
                  <w14:solidFill>
                    <w14:schemeClr w14:val="tx1"/>
                  </w14:solidFill>
                </w14:textFill>
              </w:rPr>
              <w:t xml:space="preserve">）项目预算为</w:t>
            </w:r>
            <w:r>
              <w:rPr>
                <w:rFonts w:hint="eastAsia"/>
                <w:bCs/>
                <w:color w:val="000000" w:themeColor="text1"/>
                <w:highlight w:val="none"/>
                <w:lang w:val="en-US" w:eastAsia="zh-CN"/>
                <w14:textFill>
                  <w14:solidFill>
                    <w14:schemeClr w14:val="tx1"/>
                  </w14:solidFill>
                </w14:textFill>
              </w:rPr>
              <w:t xml:space="preserve">57</w:t>
            </w:r>
            <w:r>
              <w:rPr>
                <w:rFonts w:hint="eastAsia"/>
                <w:bCs/>
                <w:color w:val="000000" w:themeColor="text1"/>
                <w:highlight w:val="none"/>
                <w14:textFill>
                  <w14:solidFill>
                    <w14:schemeClr w14:val="tx1"/>
                  </w14:solidFill>
                </w14:textFill>
              </w:rPr>
              <w:t xml:space="preserve">万元；</w:t>
            </w:r>
            <w:r/>
          </w:p>
          <w:p>
            <w:pPr>
              <w:pStyle w:val="1281"/>
              <w:spacing w:before="0" w:beforeAutospacing="0" w:after="0" w:afterAutospacing="0" w:line="360" w:lineRule="auto"/>
              <w:shd w:val="clear" w:color="auto"/>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5、本项目</w:t>
            </w:r>
            <w:r>
              <w:rPr>
                <w:rFonts w:hint="eastAsia"/>
                <w:b/>
                <w:color w:val="000000" w:themeColor="text1"/>
                <w:highlight w:val="none"/>
                <w:u w:val="single"/>
                <w14:textFill>
                  <w14:solidFill>
                    <w14:schemeClr w14:val="tx1"/>
                  </w14:solidFill>
                </w14:textFill>
              </w:rPr>
              <w:t xml:space="preserve">不接受</w:t>
            </w:r>
            <w:r>
              <w:rPr>
                <w:rFonts w:hint="eastAsia"/>
                <w:bCs/>
                <w:color w:val="000000" w:themeColor="text1"/>
                <w:highlight w:val="none"/>
                <w14:textFill>
                  <w14:solidFill>
                    <w14:schemeClr w14:val="tx1"/>
                  </w14:solidFill>
                </w14:textFill>
              </w:rPr>
              <w:t xml:space="preserve">联合体投标。</w:t>
            </w:r>
            <w:r/>
          </w:p>
          <w:p>
            <w:pPr>
              <w:pStyle w:val="1281"/>
              <w:spacing w:before="0" w:beforeAutospacing="0" w:after="0" w:afterAutospacing="0" w:line="360" w:lineRule="auto"/>
              <w:shd w:val="clear" w:color="auto"/>
              <w:tabs>
                <w:tab w:val="left" w:pos="360" w:leader="none"/>
                <w:tab w:val="left" w:pos="960" w:leader="none"/>
              </w:tabs>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6、本项目是否专门面向</w:t>
            </w:r>
            <w:r>
              <w:rPr>
                <w:rFonts w:hint="eastAsia"/>
                <w:b/>
                <w:color w:val="000000" w:themeColor="text1"/>
                <w:highlight w:val="none"/>
                <w:lang w:val="en-US" w:eastAsia="zh-CN"/>
                <w14:textFill>
                  <w14:solidFill>
                    <w14:schemeClr w14:val="tx1"/>
                  </w14:solidFill>
                </w14:textFill>
              </w:rPr>
              <w:t xml:space="preserve">中</w:t>
            </w:r>
            <w:r>
              <w:rPr>
                <w:rFonts w:hint="eastAsia"/>
                <w:b/>
                <w:color w:val="000000" w:themeColor="text1"/>
                <w:highlight w:val="none"/>
                <w14:textFill>
                  <w14:solidFill>
                    <w14:schemeClr w14:val="tx1"/>
                  </w14:solidFill>
                </w14:textFill>
              </w:rPr>
              <w:t xml:space="preserve">小微企业：是。</w:t>
            </w:r>
            <w:r/>
          </w:p>
          <w:p>
            <w:pPr>
              <w:pStyle w:val="1281"/>
              <w:spacing w:before="0" w:beforeAutospacing="0" w:after="0" w:afterAutospacing="0" w:line="360" w:lineRule="auto"/>
              <w:shd w:val="clear" w:color="auto"/>
              <w:tabs>
                <w:tab w:val="left" w:pos="360" w:leader="none"/>
                <w:tab w:val="left" w:pos="960" w:leader="none"/>
              </w:tabs>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tc>
      </w:tr>
      <w:tr>
        <w:trPr>
          <w:jc w:val="center"/>
        </w:trPr>
        <w:tc>
          <w:tcPr>
            <w:tcW w:w="845" w:type="dxa"/>
            <w:vAlign w:val="center"/>
            <w:textDirection w:val="lrTb"/>
            <w:noWrap w:val="false"/>
          </w:tcPr>
          <w:p>
            <w:pPr>
              <w:pStyle w:val="1281"/>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8742" w:type="dxa"/>
            <w:vAlign w:val="center"/>
            <w:textDirection w:val="lrTb"/>
            <w:noWrap w:val="false"/>
          </w:tcPr>
          <w:p>
            <w:pPr>
              <w:pStyle w:val="1281"/>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投标人资格要求：</w:t>
            </w:r>
            <w:r/>
          </w:p>
          <w:p>
            <w:pPr>
              <w:pStyle w:val="1281"/>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pStyle w:val="1281"/>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w:t>
            </w:r>
            <w:r/>
          </w:p>
          <w:p>
            <w:pPr>
              <w:pStyle w:val="1281"/>
              <w:spacing w:before="0" w:beforeAutospacing="0" w:after="0" w:afterAutospacing="0" w:line="360" w:lineRule="auto"/>
              <w:shd w:val="clear" w:color="auto"/>
              <w:tabs>
                <w:tab w:val="left" w:pos="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3.落实政府采购政策需满足的资格要求：本项目专门面向</w:t>
            </w:r>
            <w:r>
              <w:rPr>
                <w:rFonts w:hint="eastAsia"/>
                <w:color w:val="000000" w:themeColor="text1"/>
                <w:highlight w:val="none"/>
                <w:lang w:val="en-US" w:eastAsia="zh-CN"/>
                <w14:textFill>
                  <w14:solidFill>
                    <w14:schemeClr w14:val="tx1"/>
                  </w14:solidFill>
                </w14:textFill>
              </w:rPr>
              <w:t xml:space="preserve">中小微</w:t>
            </w:r>
            <w:r>
              <w:rPr>
                <w:rFonts w:hint="eastAsia"/>
                <w:color w:val="000000" w:themeColor="text1"/>
                <w:highlight w:val="none"/>
                <w14:textFill>
                  <w14:solidFill>
                    <w14:schemeClr w14:val="tx1"/>
                  </w14:solidFill>
                </w14:textFill>
              </w:rPr>
              <w:t xml:space="preserve">企业，投标供应商须提供《中小企业声明函》或《监狱企业证明文件》、《残疾人福利性单位声明函》；</w:t>
            </w:r>
            <w:r/>
          </w:p>
          <w:p>
            <w:pPr>
              <w:pStyle w:val="1281"/>
              <w:spacing w:before="0" w:beforeAutospacing="0" w:after="0" w:afterAutospacing="0" w:line="360" w:lineRule="auto"/>
              <w:shd w:val="clear" w:color="auto"/>
              <w:tabs>
                <w:tab w:val="left" w:pos="0" w:leader="none"/>
              </w:tabs>
              <w:rPr>
                <w:rFonts w:hint="eastAsia" w:eastAsia="宋体"/>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、本项目的特定资格要求：</w:t>
            </w:r>
            <w:r>
              <w:rPr>
                <w:rFonts w:hint="eastAsia"/>
                <w:color w:val="000000" w:themeColor="text1"/>
                <w:highlight w:val="none"/>
                <w:lang w:val="en-US" w:eastAsia="zh-CN"/>
                <w14:textFill>
                  <w14:solidFill>
                    <w14:schemeClr w14:val="tx1"/>
                  </w14:solidFill>
                </w14:textFill>
              </w:rPr>
              <w:t xml:space="preserve">/。</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8742" w:type="dxa"/>
            <w:vAlign w:val="center"/>
            <w:textDirection w:val="lrTb"/>
            <w:noWrap w:val="false"/>
          </w:tcPr>
          <w:p>
            <w:pPr>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发售采购文件时间：</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获取采购文件时间：</w:t>
            </w:r>
            <w:r>
              <w:rPr>
                <w:rFonts w:hint="eastAsia" w:ascii="宋体" w:hAnsi="宋体"/>
                <w:bCs/>
                <w:color w:val="000000" w:themeColor="text1"/>
                <w:sz w:val="24"/>
                <w:highlight w:val="none"/>
                <w:u w:val="single"/>
                <w14:textFill>
                  <w14:solidFill>
                    <w14:schemeClr w14:val="tx1"/>
                  </w14:solidFill>
                </w14:textFill>
              </w:rPr>
              <w:t xml:space="preserve">2025年10月11日至2025年10月17日</w:t>
            </w:r>
            <w:r>
              <w:rPr>
                <w:rFonts w:hint="eastAsia" w:ascii="宋体" w:hAnsi="宋体"/>
                <w:bCs/>
                <w:color w:val="000000" w:themeColor="text1"/>
                <w:sz w:val="24"/>
                <w:highlight w:val="none"/>
                <w14:textFill>
                  <w14:solidFill>
                    <w14:schemeClr w14:val="tx1"/>
                  </w14:solidFill>
                </w14:textFill>
              </w:rPr>
              <w:t xml:space="preserve">，每天上午0</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:00-12:00，下午12:00-23:59（北京时间，法定节假日除外）</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2、获取方式：本项目采用网上注册登记方式，网上注册登记成功后系统内免费下载。</w:t>
            </w:r>
            <w:r/>
          </w:p>
          <w:p>
            <w:pPr>
              <w:jc w:val="left"/>
              <w:keepLines w:val="0"/>
              <w:keepNext w:val="0"/>
              <w:pageBreakBefore w:val="0"/>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潜在报价供应商如确定投标，可在“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4、报价供应商应承担其编制响应文件以及递交响应文件所涉及的一切费用。无论投标结果如何，采购人对上述费用不负任何责任。</w:t>
            </w:r>
            <w:r/>
          </w:p>
          <w:p>
            <w:pPr>
              <w:jc w:val="left"/>
              <w:spacing w:line="360" w:lineRule="auto"/>
              <w:shd w:val="clear" w:color="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5、本项目无须缴纳投标保证金。</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8742" w:type="dxa"/>
            <w:vAlign w:val="center"/>
            <w:textDirection w:val="lrTb"/>
            <w:noWrap w:val="false"/>
          </w:tcPr>
          <w:p>
            <w:pPr>
              <w:spacing w:line="360" w:lineRule="auto"/>
              <w:shd w:val="clear" w:color="auto"/>
              <w:widowControl/>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投标供应商对采购文件提出修改、澄清要求的截止</w:t>
            </w:r>
            <w:r>
              <w:rPr>
                <w:rFonts w:hint="eastAsia" w:ascii="宋体" w:hAnsi="宋体" w:cs="宋体"/>
                <w:b w:val="0"/>
                <w:bCs w:val="0"/>
                <w:color w:val="000000" w:themeColor="text1"/>
                <w:sz w:val="24"/>
                <w:szCs w:val="24"/>
                <w:highlight w:val="none"/>
                <w14:textFill>
                  <w14:solidFill>
                    <w14:schemeClr w14:val="tx1"/>
                  </w14:solidFill>
                </w14:textFill>
              </w:rPr>
              <w:t xml:space="preserve">时间：</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2025年10月20日</w:t>
            </w:r>
            <w:r>
              <w:rPr>
                <w:rFonts w:hint="eastAsia" w:ascii="宋体" w:hAnsi="宋体" w:cs="宋体"/>
                <w:b w:val="0"/>
                <w:bCs w:val="0"/>
                <w:color w:val="000000" w:themeColor="text1"/>
                <w:sz w:val="24"/>
                <w:szCs w:val="24"/>
                <w:highlight w:val="none"/>
                <w14:textFill>
                  <w14:solidFill>
                    <w14:schemeClr w14:val="tx1"/>
                  </w14:solidFill>
                </w14:textFill>
              </w:rPr>
              <w:t xml:space="preserve">10:00时，以书面传真形式和电子邮件形式发送给采购代理机构。</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采购人对采购文件修改、澄清的截止时间：</w:t>
            </w:r>
            <w:r>
              <w:rPr>
                <w:rFonts w:hint="eastAsia" w:ascii="宋体" w:hAnsi="宋体" w:cs="宋体"/>
                <w:b w:val="0"/>
                <w:bCs w:val="0"/>
                <w:color w:val="000000" w:themeColor="text1"/>
                <w:sz w:val="24"/>
                <w:szCs w:val="24"/>
                <w:highlight w:val="none"/>
                <w:u w:val="single"/>
                <w14:textFill>
                  <w14:solidFill>
                    <w14:schemeClr w14:val="tx1"/>
                  </w14:solidFill>
                </w14:textFill>
              </w:rPr>
              <w:t xml:space="preserve">2025年10月20日</w:t>
            </w:r>
            <w:r>
              <w:rPr>
                <w:rFonts w:hint="eastAsia" w:ascii="宋体" w:hAnsi="宋体" w:cs="宋体"/>
                <w:color w:val="000000" w:themeColor="text1"/>
                <w:sz w:val="24"/>
                <w:szCs w:val="24"/>
                <w:highlight w:val="none"/>
                <w14:textFill>
                  <w14:solidFill>
                    <w14:schemeClr w14:val="tx1"/>
                  </w14:solidFill>
                </w14:textFill>
              </w:rPr>
              <w:t xml:space="preserve">16:00时前，</w:t>
            </w:r>
            <w:r>
              <w:rPr>
                <w:rFonts w:hint="eastAsia" w:hAnsi="宋体" w:cs="宋体"/>
                <w:color w:val="000000" w:themeColor="text1"/>
                <w:sz w:val="24"/>
                <w:highlight w:val="none"/>
                <w14:textFill>
                  <w14:solidFill>
                    <w14:schemeClr w14:val="tx1"/>
                  </w14:solidFill>
                </w14:textFill>
              </w:rPr>
              <w:t xml:space="preserve">以电子邮件形式告知</w:t>
            </w:r>
            <w:r>
              <w:rPr>
                <w:rFonts w:hint="eastAsia" w:ascii="宋体" w:hAnsi="宋体" w:cs="宋体"/>
                <w:color w:val="000000" w:themeColor="text1"/>
                <w:sz w:val="24"/>
                <w:szCs w:val="24"/>
                <w:highlight w:val="none"/>
                <w14:textFill>
                  <w14:solidFill>
                    <w14:schemeClr w14:val="tx1"/>
                  </w14:solidFill>
                </w14:textFill>
              </w:rPr>
              <w:t xml:space="preserve">各报名投标供应商。</w:t>
            </w:r>
            <w:r/>
          </w:p>
        </w:tc>
      </w:tr>
      <w:tr>
        <w:trPr>
          <w:jc w:val="center"/>
          <w:trHeight w:val="613"/>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本项目无需递交投标保证金</w:t>
            </w:r>
            <w:r/>
          </w:p>
        </w:tc>
      </w:tr>
      <w:tr>
        <w:trPr>
          <w:jc w:val="center"/>
          <w:trHeight w:val="621"/>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投标有效期：投标截止之日起90天</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8742" w:type="dxa"/>
            <w:vAlign w:val="center"/>
            <w:textDirection w:val="lrTb"/>
            <w:noWrap w:val="false"/>
          </w:tcPr>
          <w:p>
            <w:pPr>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投标文件开始接收时间：</w:t>
            </w:r>
            <w:r>
              <w:rPr>
                <w:rFonts w:hint="eastAsia" w:ascii="宋体" w:hAnsi="宋体" w:cs="宋体"/>
                <w:b w:val="0"/>
                <w:bCs w:val="0"/>
                <w:color w:val="0000ff"/>
                <w:sz w:val="24"/>
                <w:szCs w:val="24"/>
                <w:highlight w:val="none"/>
                <w:u w:val="single"/>
              </w:rPr>
              <w:t xml:space="preserve">2025年11月</w:t>
            </w:r>
            <w:r>
              <w:rPr>
                <w:rFonts w:hint="eastAsia" w:ascii="宋体" w:hAnsi="宋体" w:cs="宋体"/>
                <w:b w:val="0"/>
                <w:bCs w:val="0"/>
                <w:color w:val="0000ff"/>
                <w:sz w:val="24"/>
                <w:szCs w:val="24"/>
                <w:highlight w:val="none"/>
                <w:u w:val="single"/>
                <w:lang w:val="en-US" w:eastAsia="zh-CN"/>
              </w:rPr>
              <w:t xml:space="preserve">13</w:t>
            </w:r>
            <w:r>
              <w:rPr>
                <w:rFonts w:hint="eastAsia" w:ascii="宋体" w:hAnsi="宋体" w:cs="宋体"/>
                <w:b w:val="0"/>
                <w:bCs w:val="0"/>
                <w:color w:val="0000ff"/>
                <w:sz w:val="24"/>
                <w:szCs w:val="24"/>
                <w:highlight w:val="none"/>
                <w:u w:val="single"/>
              </w:rPr>
              <w:t xml:space="preserve">日</w:t>
            </w:r>
            <w:r>
              <w:rPr>
                <w:rFonts w:hint="eastAsia" w:ascii="宋体" w:hAnsi="宋体" w:cs="宋体"/>
                <w:color w:val="0000ff"/>
                <w:sz w:val="24"/>
                <w:szCs w:val="24"/>
                <w:highlight w:val="none"/>
                <w:u w:val="single"/>
              </w:rPr>
              <w:t xml:space="preserve">9:00</w:t>
            </w:r>
            <w:r>
              <w:rPr>
                <w:rFonts w:hint="eastAsia" w:ascii="宋体" w:hAnsi="宋体" w:cs="宋体"/>
                <w:color w:val="0000ff"/>
                <w:sz w:val="24"/>
                <w:szCs w:val="24"/>
                <w:highlight w:val="none"/>
              </w:rPr>
              <w:t xml:space="preserve">；</w:t>
            </w:r>
            <w:r/>
          </w:p>
          <w:p>
            <w:pPr>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投标文件接收截止时间：</w:t>
            </w:r>
            <w:r>
              <w:rPr>
                <w:rFonts w:hint="eastAsia" w:ascii="宋体" w:hAnsi="宋体" w:cs="宋体"/>
                <w:b w:val="0"/>
                <w:bCs w:val="0"/>
                <w:color w:val="0000ff"/>
                <w:sz w:val="24"/>
                <w:szCs w:val="24"/>
                <w:highlight w:val="none"/>
                <w:u w:val="single"/>
              </w:rPr>
              <w:t xml:space="preserve">2025年11月</w:t>
            </w:r>
            <w:r>
              <w:rPr>
                <w:rFonts w:hint="eastAsia" w:ascii="宋体" w:hAnsi="宋体" w:cs="宋体"/>
                <w:b w:val="0"/>
                <w:bCs w:val="0"/>
                <w:color w:val="0000ff"/>
                <w:sz w:val="24"/>
                <w:szCs w:val="24"/>
                <w:highlight w:val="none"/>
                <w:u w:val="single"/>
                <w:lang w:val="en-US" w:eastAsia="zh-CN"/>
              </w:rPr>
              <w:t xml:space="preserve">13</w:t>
            </w:r>
            <w:r>
              <w:rPr>
                <w:rFonts w:hint="eastAsia" w:ascii="宋体" w:hAnsi="宋体" w:cs="宋体"/>
                <w:b w:val="0"/>
                <w:bCs w:val="0"/>
                <w:color w:val="0000ff"/>
                <w:sz w:val="24"/>
                <w:szCs w:val="24"/>
                <w:highlight w:val="none"/>
                <w:u w:val="single"/>
              </w:rPr>
              <w:t xml:space="preserve">日</w:t>
            </w:r>
            <w:r>
              <w:rPr>
                <w:rFonts w:hint="eastAsia" w:ascii="宋体" w:hAnsi="宋体" w:cs="宋体"/>
                <w:color w:val="0000ff"/>
                <w:sz w:val="24"/>
                <w:szCs w:val="24"/>
                <w:highlight w:val="none"/>
                <w:u w:val="single"/>
              </w:rPr>
              <w:t xml:space="preserve">9:30</w:t>
            </w:r>
            <w:r>
              <w:rPr>
                <w:rFonts w:hint="eastAsia" w:ascii="宋体" w:hAnsi="宋体" w:cs="宋体"/>
                <w:color w:val="0000ff"/>
                <w:sz w:val="24"/>
                <w:szCs w:val="24"/>
                <w:highlight w:val="none"/>
              </w:rPr>
              <w:t xml:space="preserve">。</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截止时间后的投标文件恕不接受。</w:t>
            </w:r>
            <w:r/>
          </w:p>
          <w:p>
            <w:pPr>
              <w:pStyle w:val="1281"/>
              <w:spacing w:before="0" w:beforeAutospacing="0" w:after="0" w:afterAutospacing="0" w:line="360" w:lineRule="auto"/>
              <w:shd w:val="clear" w:color="auto"/>
              <w:tabs>
                <w:tab w:val="left" w:pos="284"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投标方式：网上投标截止时间前苏采云投标客户端投标</w:t>
            </w:r>
            <w:r/>
          </w:p>
          <w:p>
            <w:pPr>
              <w:pStyle w:val="1281"/>
              <w:spacing w:before="0" w:beforeAutospacing="0" w:after="0" w:afterAutospacing="0" w:line="360" w:lineRule="auto"/>
              <w:shd w:val="clear" w:color="auto"/>
              <w:tabs>
                <w:tab w:val="left" w:pos="284"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投标地点：江苏省政府采购（苏采云）平台投标，线上不见面开标</w:t>
            </w:r>
            <w:r/>
          </w:p>
          <w:p>
            <w:pPr>
              <w:spacing w:line="360" w:lineRule="auto"/>
              <w:shd w:val="clear" w:color="auto"/>
              <w:tabs>
                <w:tab w:val="left" w:pos="36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网上投标解密时间：开启解密后半小时；</w:t>
            </w:r>
            <w:r/>
          </w:p>
          <w:p>
            <w:pPr>
              <w:pStyle w:val="1257"/>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w:t>
            </w:r>
            <w:r/>
          </w:p>
          <w:p>
            <w:pPr>
              <w:pStyle w:val="1257"/>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pStyle w:val="1257"/>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出回复，则视为报价供应商默认资审结果或评审结果。</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8742" w:type="dxa"/>
            <w:vAlign w:val="center"/>
            <w:textDirection w:val="lrTb"/>
            <w:noWrap w:val="false"/>
          </w:tcPr>
          <w:p>
            <w:pPr>
              <w:keepLines w:val="0"/>
              <w:keepNext w:val="0"/>
              <w:pageBreakBefore w:val="0"/>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开标时间：</w:t>
            </w:r>
            <w:r>
              <w:rPr>
                <w:rFonts w:hint="eastAsia" w:ascii="宋体" w:hAnsi="宋体" w:cs="宋体"/>
                <w:b/>
                <w:bCs/>
                <w:color w:val="0000ff"/>
                <w:sz w:val="24"/>
                <w:szCs w:val="24"/>
                <w:highlight w:val="none"/>
                <w:u w:val="single"/>
              </w:rPr>
              <w:t xml:space="preserve">2025年11月</w:t>
            </w:r>
            <w:r>
              <w:rPr>
                <w:rFonts w:hint="eastAsia" w:ascii="宋体" w:hAnsi="宋体" w:cs="宋体"/>
                <w:b/>
                <w:bCs/>
                <w:color w:val="0000ff"/>
                <w:sz w:val="24"/>
                <w:szCs w:val="24"/>
                <w:highlight w:val="none"/>
                <w:u w:val="single"/>
                <w:lang w:val="en-US" w:eastAsia="zh-CN"/>
              </w:rPr>
              <w:t xml:space="preserve">13</w:t>
            </w:r>
            <w:r>
              <w:rPr>
                <w:rFonts w:hint="eastAsia" w:ascii="宋体" w:hAnsi="宋体" w:cs="宋体"/>
                <w:b/>
                <w:bCs/>
                <w:color w:val="0000ff"/>
                <w:sz w:val="24"/>
                <w:szCs w:val="24"/>
                <w:highlight w:val="none"/>
                <w:u w:val="single"/>
              </w:rPr>
              <w:t xml:space="preserve">日9:30</w:t>
            </w:r>
            <w:r/>
          </w:p>
          <w:p>
            <w:pPr>
              <w:keepLines w:val="0"/>
              <w:keepNext w:val="0"/>
              <w:pageBreakBefore w:val="0"/>
              <w:spacing w:line="360" w:lineRule="auto"/>
              <w:shd w:val="clear" w:color="auto"/>
              <w:tabs>
                <w:tab w:val="left" w:pos="36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开标地点：“苏采云”系统（网址：http://jszfcg.jsczt.cn/）“开标大厅”</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p>
        </w:tc>
        <w:tc>
          <w:tcPr>
            <w:tcW w:w="8742" w:type="dxa"/>
            <w:vAlign w:val="center"/>
            <w:textDirection w:val="lrTb"/>
            <w:noWrap w:val="false"/>
          </w:tcPr>
          <w:p>
            <w:pPr>
              <w:keepLines w:val="0"/>
              <w:keepNext w:val="0"/>
              <w:pageBreakBefore w:val="0"/>
              <w:spacing w:line="360" w:lineRule="auto"/>
              <w:shd w:val="clear" w:color="auto"/>
              <w:widowControl/>
              <w:rPr>
                <w:rFonts w:hint="eastAsia" w:ascii="宋体" w:hAnsi="宋体" w:cs="宋体"/>
                <w:color w:val="0000ff"/>
                <w:sz w:val="24"/>
                <w:szCs w:val="24"/>
                <w:highlight w:val="none"/>
              </w:rPr>
            </w:pPr>
            <w:r>
              <w:rPr>
                <w:rFonts w:hint="eastAsia" w:ascii="宋体" w:hAnsi="宋体" w:cs="宋体"/>
                <w:color w:val="0000ff"/>
                <w:sz w:val="24"/>
                <w:szCs w:val="24"/>
                <w:highlight w:val="none"/>
              </w:rPr>
              <w:t xml:space="preserve">确定中标单位时间：</w:t>
            </w:r>
            <w:r>
              <w:rPr>
                <w:rFonts w:hint="eastAsia" w:ascii="宋体" w:hAnsi="宋体" w:cs="宋体"/>
                <w:b/>
                <w:bCs/>
                <w:color w:val="0000ff"/>
                <w:sz w:val="24"/>
                <w:szCs w:val="24"/>
                <w:highlight w:val="none"/>
                <w:u w:val="single"/>
              </w:rPr>
              <w:t xml:space="preserve">2025年1</w:t>
            </w:r>
            <w:r>
              <w:rPr>
                <w:rFonts w:hint="eastAsia" w:ascii="宋体" w:hAnsi="宋体" w:cs="宋体"/>
                <w:b/>
                <w:bCs/>
                <w:color w:val="0000ff"/>
                <w:sz w:val="24"/>
                <w:szCs w:val="24"/>
                <w:highlight w:val="none"/>
                <w:u w:val="single"/>
                <w:lang w:val="en-US" w:eastAsia="zh-CN"/>
              </w:rPr>
              <w:t xml:space="preserve">1</w:t>
            </w:r>
            <w:r>
              <w:rPr>
                <w:rFonts w:hint="eastAsia" w:ascii="宋体" w:hAnsi="宋体" w:cs="宋体"/>
                <w:b/>
                <w:bCs/>
                <w:color w:val="0000ff"/>
                <w:sz w:val="24"/>
                <w:szCs w:val="24"/>
                <w:highlight w:val="none"/>
                <w:u w:val="single"/>
              </w:rPr>
              <w:t xml:space="preserve">月</w:t>
            </w:r>
            <w:r>
              <w:rPr>
                <w:rFonts w:hint="eastAsia" w:ascii="宋体" w:hAnsi="宋体" w:cs="宋体"/>
                <w:b/>
                <w:bCs/>
                <w:color w:val="0000ff"/>
                <w:sz w:val="24"/>
                <w:szCs w:val="24"/>
                <w:highlight w:val="none"/>
                <w:u w:val="single"/>
                <w:lang w:val="en-US" w:eastAsia="zh-CN"/>
              </w:rPr>
              <w:t xml:space="preserve">13</w:t>
            </w:r>
            <w:r>
              <w:rPr>
                <w:rFonts w:hint="eastAsia" w:ascii="宋体" w:hAnsi="宋体" w:cs="宋体"/>
                <w:b/>
                <w:bCs/>
                <w:color w:val="0000ff"/>
                <w:sz w:val="24"/>
                <w:szCs w:val="24"/>
                <w:highlight w:val="none"/>
                <w:u w:val="single"/>
              </w:rPr>
              <w:t xml:space="preserve">日</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确定中标单位地点：“苏采云”系统（网址：http://jszfcg.jsczt.cn/）“开标大厅”</w:t>
            </w:r>
            <w:r/>
          </w:p>
        </w:tc>
      </w:tr>
      <w:tr>
        <w:trPr>
          <w:jc w:val="center"/>
          <w:trHeight w:val="933"/>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投标文件制作要求：</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1、本项目采用线上电子开评标，供应商在开标截止时间前网上上传电子投标文件。</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2、开标当天请供应商联系人保持通讯畅通。</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3、供应商请仔细阅读供应商注册流程和采购文件中关于电子开评标等相关事项，如有问题可发送邮件或电话咨询。</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4、本次采购采用“苏采云”系统进行采购活动，招标文件发布、报价、评审和中标结果发布全程电子化。</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5、中标供应商在收到中标通知书后与采购人签订合同前，必须提供与系统中电子投标文件一致的纸质投标文件一式两份（一正</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两</w:t>
            </w:r>
            <w:r>
              <w:rPr>
                <w:rFonts w:hint="eastAsia" w:ascii="宋体" w:hAnsi="宋体" w:cs="宋体"/>
                <w:b/>
                <w:color w:val="000000" w:themeColor="text1"/>
                <w:sz w:val="24"/>
                <w:szCs w:val="24"/>
                <w:highlight w:val="none"/>
                <w14:textFill>
                  <w14:solidFill>
                    <w14:schemeClr w14:val="tx1"/>
                  </w14:solidFill>
                </w14:textFill>
              </w:rPr>
              <w:t xml:space="preserve">副）。</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tcW w:w="8742" w:type="dxa"/>
            <w:vAlign w:val="center"/>
            <w:textDirection w:val="lrTb"/>
            <w:noWrap w:val="false"/>
          </w:tcPr>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有关本次采购活动程序方面的问题，可来人、来函（传真）或电话联系。</w:t>
            </w:r>
            <w:r/>
          </w:p>
          <w:p>
            <w:pPr>
              <w:jc w:val="left"/>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w:t>
            </w:r>
            <w:r>
              <w:rPr>
                <w:rFonts w:hint="eastAsia" w:ascii="宋体" w:hAnsi="宋体" w:cs="宋体"/>
                <w:bCs/>
                <w:color w:val="000000" w:themeColor="text1"/>
                <w:sz w:val="24"/>
                <w:szCs w:val="24"/>
                <w:highlight w:val="none"/>
                <w:lang w:eastAsia="zh-CN"/>
                <w14:textFill>
                  <w14:solidFill>
                    <w14:schemeClr w14:val="tx1"/>
                  </w14:solidFill>
                </w14:textFill>
              </w:rPr>
              <w:t xml:space="preserve">江苏无锡经济开发区财政局</w:t>
            </w:r>
            <w:r/>
          </w:p>
          <w:p>
            <w:pPr>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联系地</w:t>
            </w:r>
            <w:r>
              <w:rPr>
                <w:rFonts w:hint="eastAsia" w:ascii="宋体" w:hAnsi="宋体" w:cs="宋体"/>
                <w:bCs/>
                <w:color w:val="000000" w:themeColor="text1"/>
                <w:sz w:val="24"/>
                <w:szCs w:val="24"/>
                <w:highlight w:val="none"/>
                <w:lang w:eastAsia="zh-CN"/>
                <w14:textFill>
                  <w14:solidFill>
                    <w14:schemeClr w14:val="tx1"/>
                  </w14:solidFill>
                </w14:textFill>
              </w:rPr>
              <w:t xml:space="preserve">址：江苏省无锡市滨湖区清舒道77号</w:t>
            </w:r>
            <w:r/>
          </w:p>
          <w:p>
            <w:pPr>
              <w:spacing w:line="360" w:lineRule="auto"/>
              <w:shd w:val="clear" w:color="auto"/>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采购单位联系人：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钱工</w:t>
            </w:r>
            <w:r/>
          </w:p>
          <w:p>
            <w:pPr>
              <w:spacing w:line="360" w:lineRule="auto"/>
              <w:shd w:val="clear" w:color="auto"/>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联系电话：0510-8058013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采购代理机构：</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p>
          <w:p>
            <w:pPr>
              <w:jc w:val="left"/>
              <w:spacing w:line="360" w:lineRule="auto"/>
              <w:shd w:val="clear" w:color="auto"/>
              <w:widowControl/>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高工</w:t>
            </w:r>
            <w:r/>
          </w:p>
          <w:p>
            <w:pPr>
              <w:jc w:val="left"/>
              <w:spacing w:line="360" w:lineRule="auto"/>
              <w:shd w:val="clear" w:color="auto"/>
              <w:widowControl/>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15190250568</w:t>
            </w:r>
            <w:r/>
          </w:p>
          <w:p>
            <w:pPr>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联系地址：</w:t>
            </w:r>
            <w:r>
              <w:rPr>
                <w:rFonts w:hint="eastAsia" w:ascii="宋体" w:hAnsi="宋体" w:cs="宋体"/>
                <w:color w:val="000000" w:themeColor="text1"/>
                <w:sz w:val="24"/>
                <w:szCs w:val="24"/>
                <w:highlight w:val="none"/>
                <w:lang w:val="zh-CN"/>
                <w14:textFill>
                  <w14:solidFill>
                    <w14:schemeClr w14:val="tx1"/>
                  </w14:solidFill>
                </w14:textFill>
              </w:rPr>
              <w:t xml:space="preserve">无锡市锡山区团结中路20号3-707</w:t>
            </w:r>
            <w:r/>
          </w:p>
          <w:p>
            <w:pPr>
              <w:jc w:val="left"/>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邮政编码：214000</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电子邮件地址：</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1327642402@qq.com</w:t>
            </w:r>
            <w:r/>
          </w:p>
        </w:tc>
      </w:tr>
      <w:tr>
        <w:trPr>
          <w:jc w:val="center"/>
        </w:trPr>
        <w:tc>
          <w:tcPr>
            <w:tcW w:w="845" w:type="dxa"/>
            <w:vAlign w:val="center"/>
            <w:textDirection w:val="lrTb"/>
            <w:noWrap w:val="false"/>
          </w:tcPr>
          <w:p>
            <w:pPr>
              <w:jc w:val="cente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14</w:t>
            </w:r>
            <w:r/>
          </w:p>
        </w:tc>
        <w:tc>
          <w:tcPr>
            <w:tcW w:w="8742" w:type="dxa"/>
            <w:vAlign w:val="center"/>
            <w:textDirection w:val="lrTb"/>
            <w:noWrap w:val="false"/>
          </w:tcPr>
          <w:p>
            <w:pPr>
              <w:spacing w:line="360" w:lineRule="auto"/>
              <w:shd w:val="clear" w:color="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CN"/>
                <w14:textFill>
                  <w14:solidFill>
                    <w14:schemeClr w14:val="tx1"/>
                  </w14:solidFill>
                </w14:textFill>
              </w:rPr>
              <w:t xml:space="preserve">潜在投标供应商访问江苏省政府采购（苏采云）平台的网络地址和方法：</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1、请有意参加本项目投标的供应商按以下流程进行操作：</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（1）访问“江苏省政府采购（苏采云）平台”——“用户注册”按钮进入注册界面进行账号注册并填写申请信息,也可以直接通过http://jszfcg.jscz.gov.cn/jszc/register进入注册界面。</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（2）领取CA：</w:t>
            </w:r>
            <w:r/>
          </w:p>
          <w:p>
            <w:pPr>
              <w:keepLines w:val="0"/>
              <w:keepNext w:val="0"/>
              <w:pageBreakBefore w:val="0"/>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报价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（3）CA驱动下载：</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在“江苏省政府采购（苏采云）平台”账号登</w:t>
            </w:r>
            <w:r>
              <w:rPr>
                <w:rFonts w:hint="eastAsia" w:ascii="宋体" w:hAnsi="宋体" w:cs="宋体"/>
                <w:color w:val="000000" w:themeColor="text1"/>
                <w:sz w:val="24"/>
                <w:szCs w:val="24"/>
                <w:highlight w:val="none"/>
                <w:lang w:val="en-US" w:eastAsia="zh-CN"/>
                <w14:textFill>
                  <w14:solidFill>
                    <w14:schemeClr w14:val="tx1"/>
                  </w14:solidFill>
                </w14:textFill>
              </w:rPr>
              <w:t xml:space="preserve">录</w:t>
            </w:r>
            <w:r>
              <w:rPr>
                <w:rFonts w:hint="eastAsia" w:ascii="宋体" w:hAnsi="宋体" w:cs="宋体"/>
                <w:color w:val="000000" w:themeColor="text1"/>
                <w:sz w:val="24"/>
                <w:szCs w:val="24"/>
                <w:highlight w:val="none"/>
                <w:lang w:val="zh-CN"/>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（5）采购文件（后缀名为“.kedt”）、“苏采云”系统供应商操作手册及政府采购客户端工具也可通过“苏采云”系统--已参与项目--报名详情页面内相应链接进行下载。</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w:t>
            </w:r>
            <w:r>
              <w:rPr>
                <w:rFonts w:hint="eastAsia" w:ascii="宋体" w:hAnsi="宋体" w:cs="宋体"/>
                <w:color w:val="000000" w:themeColor="text1"/>
                <w:sz w:val="24"/>
                <w:szCs w:val="24"/>
                <w:highlight w:val="none"/>
                <w:lang w:val="en-US" w:eastAsia="zh-CN"/>
                <w14:textFill>
                  <w14:solidFill>
                    <w14:schemeClr w14:val="tx1"/>
                  </w14:solidFill>
                </w14:textFill>
              </w:rPr>
              <w:t xml:space="preserve">江苏</w:t>
            </w:r>
            <w:r>
              <w:rPr>
                <w:rFonts w:hint="eastAsia" w:ascii="宋体" w:hAnsi="宋体" w:cs="宋体"/>
                <w:color w:val="000000" w:themeColor="text1"/>
                <w:sz w:val="24"/>
                <w:szCs w:val="24"/>
                <w:highlight w:val="none"/>
                <w:lang w:val="zh-CN"/>
                <w14:textFill>
                  <w14:solidFill>
                    <w14:schemeClr w14:val="tx1"/>
                  </w14:solidFill>
                </w14:textFill>
              </w:rPr>
              <w:t xml:space="preserve">政府采购网--“苏采云”栏目下载《“苏采云”系统供应商操作手册》。</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（7）采购代理机构将数据电文形式的采购文件加载至“苏采云”系统，供潜在供应商下载或者查阅。</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（8）苏采云系统应使用谷歌浏览器参与不见面开标。</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3、有关本次招标的事项若存在变动或修改，敬请及时关注“江苏政府采购网”发布的信息。</w:t>
            </w:r>
            <w:r/>
          </w:p>
          <w:p>
            <w:pPr>
              <w:spacing w:line="360" w:lineRule="auto"/>
              <w:shd w:val="clear" w:color="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4、如投标人未按上述要求操作，由此所产生的损失及风险由投标人自行承担。</w:t>
            </w:r>
            <w:r/>
          </w:p>
        </w:tc>
      </w:tr>
    </w:tbl>
    <w:p>
      <w:pPr>
        <w:pStyle w:val="1286"/>
        <w:ind w:left="0" w:firstLine="0"/>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shd w:val="clear" w:color="auto"/>
        <w:rPr>
          <w:rStyle w:val="1246"/>
          <w:rFonts w:hint="eastAsia"/>
          <w:color w:val="000000" w:themeColor="text1"/>
          <w:highlight w:val="none"/>
          <w14:textFill>
            <w14:solidFill>
              <w14:schemeClr w14:val="tx1"/>
            </w14:solidFill>
          </w14:textFill>
        </w:rPr>
        <w:sectPr>
          <w:footerReference w:type="default" r:id="rId19"/>
          <w:footnotePr/>
          <w:endnotePr/>
          <w:type w:val="nextPage"/>
          <w:pgSz w:w="11906" w:h="16838" w:orient="portrait"/>
          <w:pgMar w:top="720" w:right="720" w:bottom="720" w:left="720" w:header="851" w:footer="992" w:gutter="0"/>
          <w:cols w:num="1" w:sep="0" w:space="720" w:equalWidth="1"/>
          <w:docGrid w:linePitch="360"/>
        </w:sectPr>
      </w:pPr>
      <w:r/>
      <w:bookmarkStart w:id="18" w:name="_Toc23923"/>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bookmarkStart w:id="19" w:name="_Toc9899"/>
      <w:r>
        <w:rPr>
          <w:rFonts w:hint="eastAsia" w:hAnsi="宋体" w:cs="宋体"/>
          <w:b/>
          <w:bCs/>
          <w:color w:val="000000" w:themeColor="text1"/>
          <w:sz w:val="32"/>
          <w:szCs w:val="32"/>
          <w:highlight w:val="none"/>
          <w14:textFill>
            <w14:solidFill>
              <w14:schemeClr w14:val="tx1"/>
            </w14:solidFill>
          </w14:textFill>
        </w:rPr>
        <w:t xml:space="preserve">二、投标人须知</w:t>
      </w:r>
      <w:bookmarkEnd w:id="18"/>
      <w:r/>
      <w:bookmarkEnd w:id="19"/>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(一)遵循原则：</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(二)招标文件：</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1．招标文件包括本文件目录所列全部内容，投标人应仔细阅读，并在投标文件中充分响应招标文件的所有要求。</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潜在投标人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3．投标人一旦参加本项目投标，即表明承诺接受了本招标文件中的所有条件和规定。</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4．招标文件仅作为本次招投标使用。</w:t>
      </w:r>
      <w:r/>
    </w:p>
    <w:p>
      <w:pPr>
        <w:pStyle w:val="1090"/>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5．招标文件中的“法定代表人”是指投标人的营业执照或相关部门的登记证明文件中的“法定代表人”或“负责人”。</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(三)招标文件的解释：</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本文件的最终解释权归采购人及</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(四)招标文件的补充或修正：</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1．采购人或采购代理机构可在投标截止时间15日前对招标文件进行必要的澄清或者修改，不足15日的，将顺延提交投标文件的截止时间。</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2．如需对招标文件进行澄清或修正，</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将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将在收到符合上述要求的书面质疑后七个工作日内，对质疑内容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cs="宋体"/>
          <w:bCs/>
          <w:color w:val="000000" w:themeColor="text1"/>
          <w:sz w:val="24"/>
          <w:szCs w:val="24"/>
          <w:highlight w:val="none"/>
          <w14:textFill>
            <w14:solidFill>
              <w14:schemeClr w14:val="tx1"/>
            </w14:solidFill>
          </w14:textFill>
        </w:rPr>
        <w:t xml:space="preserve">出答复。投标人在法定质疑期限外送达的质疑函或法定质疑期限内送达的质疑函不符合上述要求的均为无效质疑，</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对无效质疑不予受理。</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(五)投标文件的组成</w:t>
      </w:r>
      <w:r>
        <w:rPr>
          <w:rFonts w:hint="eastAsia" w:ascii="宋体" w:hAnsi="宋体" w:cs="宋体"/>
          <w:b/>
          <w:color w:val="000000" w:themeColor="text1"/>
          <w:sz w:val="24"/>
          <w:szCs w:val="24"/>
          <w:highlight w:val="none"/>
          <w14:textFill>
            <w14:solidFill>
              <w14:schemeClr w14:val="tx1"/>
            </w14:solidFill>
          </w14:textFill>
        </w:rPr>
        <w:t xml:space="preserve">（相应内容上传至投标客户端）</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2．资格、资信证明文件：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（2）具有独立承担民事责任能力的投标人营业执照或相关部门的登记证明文件原件扫描件；</w:t>
      </w:r>
      <w:r/>
    </w:p>
    <w:p>
      <w:pPr>
        <w:ind w:firstLine="480"/>
        <w:spacing w:line="360" w:lineRule="auto"/>
        <w:shd w:val="clear" w:color="auto"/>
        <w:tabs>
          <w:tab w:val="left" w:pos="945" w:leader="none"/>
          <w:tab w:val="left" w:pos="126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（3）投标人法定代表人授权委托书</w:t>
      </w:r>
      <w:r>
        <w:rPr>
          <w:rFonts w:hint="eastAsia" w:ascii="宋体" w:hAnsi="宋体" w:cs="宋体"/>
          <w:b/>
          <w:bCs/>
          <w:color w:val="000000" w:themeColor="text1"/>
          <w:sz w:val="24"/>
          <w:szCs w:val="24"/>
          <w:highlight w:val="none"/>
          <w14:textFill>
            <w14:solidFill>
              <w14:schemeClr w14:val="tx1"/>
            </w14:solidFill>
          </w14:textFill>
        </w:rPr>
        <w:t xml:space="preserve">（格式见附件，法定代表人亲自参加投标的除外）</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（4）投标人法定代表人身份证原件扫描件（正、反面）；</w:t>
      </w:r>
      <w:r/>
    </w:p>
    <w:p>
      <w:pPr>
        <w:ind w:firstLine="480"/>
        <w:spacing w:line="360" w:lineRule="auto"/>
        <w:shd w:val="clear" w:color="auto"/>
        <w:tabs>
          <w:tab w:val="left" w:pos="945" w:leader="none"/>
          <w:tab w:val="left" w:pos="1276"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（5）投标人法定代表人授权代表身份证</w:t>
      </w:r>
      <w:r>
        <w:rPr>
          <w:rFonts w:hint="eastAsia" w:ascii="宋体" w:hAnsi="宋体" w:cs="宋体"/>
          <w:color w:val="000000" w:themeColor="text1"/>
          <w:sz w:val="24"/>
          <w:szCs w:val="24"/>
          <w:highlight w:val="none"/>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（正、反面，法定代表人亲自参加投标的除外）；</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bookmarkStart w:id="20" w:name="_Hlk39128912"/>
      <w:r>
        <w:rPr>
          <w:rFonts w:hint="eastAsia" w:ascii="宋体" w:hAnsi="宋体" w:cs="宋体"/>
          <w:bCs/>
          <w:color w:val="000000" w:themeColor="text1"/>
          <w:sz w:val="24"/>
          <w:szCs w:val="24"/>
          <w:highlight w:val="none"/>
          <w14:textFill>
            <w14:solidFill>
              <w14:schemeClr w14:val="tx1"/>
            </w14:solidFill>
          </w14:textFill>
        </w:rPr>
        <w:t xml:space="preserve">（6）投标人近三个月中任意一个月份（不含开标当月）的财务状况报告（资产负债表和利润表）或由会计师事务所出具的近两年中任意一个年度的审计报告和所附已审财务报告原件扫描件；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（7）投标人近三个月中任意一个月份（不含开标当月）的依法缴纳税收的相关材料（提供相关主管部门证明或银行代扣证明）原件扫描件；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（8）投标人近三个月中任意一个月份（不含开标当月）的依法缴纳社会保障资金的相关材料（提供相关主管部门证明或银行代扣证明）原件扫描件；</w:t>
      </w:r>
      <w:bookmarkEnd w:id="20"/>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（9）承诺书</w:t>
      </w:r>
      <w:r>
        <w:rPr>
          <w:rFonts w:hint="eastAsia" w:ascii="宋体" w:hAnsi="宋体" w:cs="宋体"/>
          <w:b/>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原件扫描件；</w:t>
      </w:r>
      <w:r/>
    </w:p>
    <w:p>
      <w:pPr>
        <w:ind w:firstLine="480"/>
        <w:spacing w:line="360" w:lineRule="auto"/>
        <w:shd w:val="clear" w:color="auto"/>
        <w:tabs>
          <w:tab w:val="left" w:pos="1050" w:leader="none"/>
        </w:tabs>
        <w:rPr>
          <w:rFonts w:eastAsia="华文中宋"/>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《中小企业声明函》</w:t>
      </w:r>
      <w:r>
        <w:rPr>
          <w:rFonts w:hint="eastAsia" w:ascii="宋体" w:hAnsi="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14:textFill>
            <w14:solidFill>
              <w14:schemeClr w14:val="tx1"/>
            </w14:solidFill>
          </w14:textFill>
        </w:rPr>
        <w:t xml:space="preserve">；如是残疾人福利性单位的，提供残疾人福利性单位声明函（格式见附件）；如是监狱企业的，提供由省级以上监狱管理局、戒毒管理局出具的属于监狱企业的证明文件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原件扫描件</w:t>
      </w:r>
      <w:r>
        <w:rPr>
          <w:rFonts w:hint="eastAsia" w:ascii="宋体" w:hAnsi="宋体" w:cs="宋体"/>
          <w:bCs/>
          <w:color w:val="000000" w:themeColor="text1"/>
          <w:sz w:val="24"/>
          <w:szCs w:val="24"/>
          <w:highlight w:val="none"/>
          <w14:textFill>
            <w14:solidFill>
              <w14:schemeClr w14:val="tx1"/>
            </w14:solidFill>
          </w14:textFill>
        </w:rPr>
        <w:t xml:space="preserve">加盖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电子签章后上</w:t>
      </w:r>
      <w:r>
        <w:rPr>
          <w:rFonts w:hint="eastAsia" w:ascii="宋体" w:hAnsi="宋体" w:cs="宋体"/>
          <w:bCs/>
          <w:color w:val="000000" w:themeColor="text1"/>
          <w:sz w:val="24"/>
          <w:szCs w:val="24"/>
          <w:highlight w:val="none"/>
          <w14:textFill>
            <w14:solidFill>
              <w14:schemeClr w14:val="tx1"/>
            </w14:solidFill>
          </w14:textFill>
        </w:rPr>
        <w:t xml:space="preserve">传至</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bCs/>
          <w:color w:val="000000" w:themeColor="text1"/>
          <w:sz w:val="24"/>
          <w:szCs w:val="24"/>
          <w:highlight w:val="none"/>
          <w14:textFill>
            <w14:solidFill>
              <w14:schemeClr w14:val="tx1"/>
            </w14:solidFill>
          </w14:textFill>
        </w:rPr>
        <w:t xml:space="preserve">中。</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3．开标一览表（格式见附件）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分项报价表（格式见附件）</w:t>
      </w:r>
      <w:r/>
    </w:p>
    <w:p>
      <w:pPr>
        <w:ind w:firstLine="480"/>
        <w:spacing w:line="360" w:lineRule="auto"/>
        <w:shd w:val="clear" w:color="auto"/>
        <w:tabs>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5. 投标偏离表（</w:t>
      </w:r>
      <w:r>
        <w:rPr>
          <w:rFonts w:hint="eastAsia" w:ascii="宋体" w:hAnsi="宋体" w:cs="宋体"/>
          <w:bCs/>
          <w:color w:val="000000" w:themeColor="text1"/>
          <w:sz w:val="24"/>
          <w:szCs w:val="24"/>
          <w:highlight w:val="none"/>
          <w14:textFill>
            <w14:solidFill>
              <w14:schemeClr w14:val="tx1"/>
            </w14:solidFill>
          </w14:textFill>
        </w:rPr>
        <w:t xml:space="preserve">格式见附件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．投标供应商基本情况表、项目人员配置清单（格式见附件）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．业绩汇总表（格式见附件）</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14:textFill>
            <w14:solidFill>
              <w14:schemeClr w14:val="tx1"/>
            </w14:solidFill>
          </w14:textFill>
        </w:rPr>
        <w:t xml:space="preserve">评分标准中对应的所需证明材料（如有自行添加，格式自拟）及技术方案</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．要求采购人提供的配合（如有自行添加，格式自拟）</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color w:val="000000" w:themeColor="text1"/>
          <w:sz w:val="24"/>
          <w:szCs w:val="24"/>
          <w:highlight w:val="none"/>
          <w14:textFill>
            <w14:solidFill>
              <w14:schemeClr w14:val="tx1"/>
            </w14:solidFill>
          </w14:textFill>
        </w:rPr>
        <w:t xml:space="preserve">．其它（投标人认为有必要提供的声明和文件，如有格式自拟）</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(六)投标文件的制作：</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1．所有文件、往来函件均应使用简体中文（规格、型号辅助符号例外）。</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2．投标文件由投标人按给定格式如实填写(编写)，须有法人(盖章)、法定代表人或法定代表人授权代表签字或盖章，方为有效，未尽事宜可自行补充。</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3．如无特别说明，投标人报价一律以人民币为投标结算货币，结算单位为“元”。</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4．投标文件格式部分，应由投标人按给定格式提供，不得更改。</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5．投标费用自理。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 在评分标准中须包含明标（商务部分）和暗标（技术部分）两大部分，其暗标排版要求如下：使用word文件形式，A4白色纸单面黑色字体，字体为小四号宋体，</w:t>
      </w:r>
      <w:r>
        <w:rPr>
          <w:rFonts w:hint="eastAsia" w:ascii="宋体" w:hAnsi="宋体" w:cs="宋体"/>
          <w:bCs/>
          <w:color w:val="0000ff"/>
          <w:sz w:val="24"/>
          <w:szCs w:val="24"/>
          <w:highlight w:val="none"/>
          <w:lang w:val="en-US" w:eastAsia="zh-CN"/>
        </w:rPr>
        <w:t xml:space="preserve">不可采用彩色图片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，不得出现手写。单倍行间距，不得有任何加粗、斜体、下划线、边框、底纹、阴影等标记，不得设置页眉，页脚只准出现页码，采用小五号阿拉伯数字格式，设在页脚对中位置，页码应当连续，不得有空白页。</w:t>
      </w:r>
      <w:r/>
    </w:p>
    <w:p>
      <w:pPr>
        <w:ind w:firstLine="480"/>
        <w:spacing w:line="360" w:lineRule="auto"/>
        <w:shd w:val="clear" w:color="auto"/>
        <w:tabs>
          <w:tab w:val="left" w:pos="525" w:leader="none"/>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0"/>
        <w:spacing w:line="360" w:lineRule="auto"/>
        <w:shd w:val="clear" w:color="auto"/>
        <w:tabs>
          <w:tab w:val="left" w:pos="525" w:leader="none"/>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default" w:ascii="宋体" w:hAnsi="宋体" w:cs="宋体"/>
          <w:bCs/>
          <w:color w:val="000000" w:themeColor="text1"/>
          <w:sz w:val="24"/>
          <w:szCs w:val="24"/>
          <w:highlight w:val="none"/>
          <w:lang w:val="en-US" w:eastAsia="zh-CN"/>
          <w14:textFill>
            <w14:solidFill>
              <w14:schemeClr w14:val="tx1"/>
            </w14:solidFill>
          </w14:textFill>
        </w:rPr>
        <w:t xml:space="preserve">上述《评标方法与评标标准》中技术部分不得有体现投标人身份的内容是指：</w:t>
      </w:r>
      <w:r/>
    </w:p>
    <w:p>
      <w:pPr>
        <w:ind w:firstLine="480"/>
        <w:spacing w:line="360" w:lineRule="auto"/>
        <w:shd w:val="clear" w:color="auto"/>
        <w:tabs>
          <w:tab w:val="left" w:pos="525" w:leader="none"/>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技术部分不得出现能够体现投标人身份、名称的相关描述、材料、文件等内容；</w:t>
      </w:r>
      <w:r/>
    </w:p>
    <w:p>
      <w:pPr>
        <w:ind w:firstLine="480"/>
        <w:spacing w:line="360" w:lineRule="auto"/>
        <w:shd w:val="clear" w:color="auto"/>
        <w:tabs>
          <w:tab w:val="left" w:pos="525" w:leader="none"/>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技术部分不得更改，不得在其中涂改、标注或做任何可以辨认投标人及所属人员身份的名称、印章、商标等标记；</w:t>
      </w:r>
      <w:r/>
    </w:p>
    <w:p>
      <w:pPr>
        <w:ind w:firstLine="480"/>
        <w:spacing w:line="360" w:lineRule="auto"/>
        <w:shd w:val="clear" w:color="auto"/>
        <w:tabs>
          <w:tab w:val="left" w:pos="525" w:leader="none"/>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技术部分应当版面整洁、字迹清楚、不许批注或进行底纹、阴影、水印等特殊设置，不得采用任何不符合常规、有别于其他投标人的特殊做法；</w:t>
      </w:r>
      <w:r/>
    </w:p>
    <w:p>
      <w:pPr>
        <w:ind w:firstLine="480"/>
        <w:spacing w:line="360" w:lineRule="auto"/>
        <w:shd w:val="clear" w:color="auto"/>
        <w:tabs>
          <w:tab w:val="left" w:pos="525" w:leader="none"/>
          <w:tab w:val="left" w:pos="1050" w:leader="none"/>
        </w:tabs>
        <w:rPr>
          <w:rFonts w:hint="default"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default" w:ascii="宋体" w:hAnsi="宋体" w:cs="宋体"/>
          <w:bCs/>
          <w:color w:val="000000" w:themeColor="text1"/>
          <w:sz w:val="24"/>
          <w:szCs w:val="24"/>
          <w:highlight w:val="none"/>
          <w:lang w:val="en-US" w:eastAsia="zh-CN"/>
          <w14:textFill>
            <w14:solidFill>
              <w14:schemeClr w14:val="tx1"/>
            </w14:solidFill>
          </w14:textFill>
        </w:rPr>
        <w:t xml:space="preserve">不得有其他体现投标人身份的内容。</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(七)网上投标</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1.投标供应商应由其法定代表人或法定代表人授权代表在规定的网上投标时间内，凭CA数字证书登</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录</w:t>
      </w:r>
      <w:r>
        <w:rPr>
          <w:rFonts w:hint="eastAsia" w:ascii="宋体" w:hAnsi="宋体" w:cs="宋体"/>
          <w:bCs/>
          <w:color w:val="000000" w:themeColor="text1"/>
          <w:sz w:val="24"/>
          <w:szCs w:val="24"/>
          <w:highlight w:val="none"/>
          <w14:textFill>
            <w14:solidFill>
              <w14:schemeClr w14:val="tx1"/>
            </w14:solidFill>
          </w14:textFill>
        </w:rPr>
        <w:t xml:space="preserve">苏采云平台获取招标文件，在投标客户端制作投标文件（电子数据），并在投标截止时间之前上传投标文件。</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2.投标人应对CA数字证书妥善保管，如被他人盗用投标，后果自负。</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3.投标人按招标文件规定的网上解密时间进行解密，如未按时解密后果自负。</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4.投标人应当对招标文件提出的要求和条件作出实质性响应，并在电子投标系统逐条应答。</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5.投标人应对要求提供的资格证明文件（如资质证书、资格证书）、技术资料（如白皮书、彩页、手册、检测报告等）扫描上传至投标系统。</w:t>
      </w:r>
      <w:r/>
    </w:p>
    <w:p>
      <w:pPr>
        <w:ind w:firstLine="482"/>
        <w:jc w:val="left"/>
        <w:keepLines w:val="0"/>
        <w:keepNext w:val="0"/>
        <w:pageBreakBefore w:val="0"/>
        <w:spacing w:line="360" w:lineRule="auto"/>
        <w:shd w:val="clear" w:color="auto"/>
        <w:widowControl w:val="off"/>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6.投标供应商进行网上报价请参照《江苏省政府采购管理交易系统（苏采云）供应商操作指南》（网址：http://www.ccgp-jiangsu.gov.cn/jiangsu/zlxz/ee/ee3a4bc5a3454aa2b0d9312230633ce9.html）。</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(八)无效投标文件的确认：</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1．投标人有下列情况之一者，投标文件无效：</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2．未按规定在无锡市政府采购供应商主体信息库注册的；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3．电子投标文件未按规定期限投标的；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4．电子投标文件未按招标文件要求签章的；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5．投标人未按招标文件要求解密电子投标文件的；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6．投标人的法定代表人授权代表，无法定代表人授权委托书的；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7．投标人的法定代表人或被授权代表，未准时参加开标会议的；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8．不具备招标文件中规定的资格要求或未按招标文件规定的要求提供资格、资信证明文件的；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9．被“信用中国”网站（www.creditchina.gov.cn）、中国政府采购网(www.ccgp.gov.cn)列入失信被执行人、重大税收违法案件当事人名单、政府采购严重违法失信行为记录名单的；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10．投标文件未按招标文件规定的内容和要求填写的；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11．投标文件书写潦草、字迹模糊不清、无法辨认的；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12．投标文件中有招标文件未允许提供的选择性内容；</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13．不同投标人委托同一单位或者个人办理投标事宜的；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14．不同投标人的单位负责人为同一人或者存在直接控股、管理关系的；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16．不同投标人的委托代理人、项目负责人以及其他相关人员有在同一个单位缴纳社会保险、同一投标文件中单位名称落款与公章不是同一单位的；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17．项目（标段）投标总价超过本项目（标段）预算或最高限价的；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18．提供虚假材料的（包括工商营业执照、财务报表、资格证明文件等）；</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19．投标文件含有采购人不能接受的附加条件的；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20．评标委员会认定投标人的报价明显低于其他通过符合性审</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查的</w:t>
      </w:r>
      <w:r>
        <w:rPr>
          <w:rFonts w:hint="eastAsia" w:ascii="宋体" w:hAnsi="宋体" w:cs="宋体"/>
          <w:bCs/>
          <w:color w:val="000000" w:themeColor="text1"/>
          <w:sz w:val="24"/>
          <w:szCs w:val="24"/>
          <w:highlight w:val="none"/>
          <w14:textFill>
            <w14:solidFill>
              <w14:schemeClr w14:val="tx1"/>
            </w14:solidFill>
          </w14:textFill>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除单一来源采购项目外，为采购项目提供招标代理、清单编制、整体设计、规范编制或者项目管理、监理、检测等服务的。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22．投标文件中无技术方案或技术方案编制粗糙、缺漏项较多</w:t>
      </w:r>
      <w:r>
        <w:rPr>
          <w:rFonts w:hint="eastAsia" w:ascii="宋体" w:hAnsi="宋体" w:cs="宋体"/>
          <w:bCs/>
          <w:color w:val="000000" w:themeColor="text1"/>
          <w:sz w:val="24"/>
          <w:szCs w:val="24"/>
          <w:highlight w:val="none"/>
          <w:lang w:eastAsia="zh-CN"/>
          <w14:textFill>
            <w14:solidFill>
              <w14:schemeClr w14:val="tx1"/>
            </w14:solidFill>
          </w14:textFill>
        </w:rPr>
        <w:t xml:space="preserve">；技术组织方案少于 30 页，多于 200 页。</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24．投标文件内容不全或不符合招标文件中规定的其它实质性要求的；</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25．法律法规和招标文件规定的其它无效情形。</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bookmarkStart w:id="21" w:name="_Toc14884"/>
      <w:r>
        <w:rPr>
          <w:rFonts w:hint="eastAsia" w:ascii="宋体" w:hAnsi="宋体" w:cs="宋体"/>
          <w:bCs/>
          <w:color w:val="000000" w:themeColor="text1"/>
          <w:sz w:val="24"/>
          <w:szCs w:val="24"/>
          <w:highlight w:val="none"/>
          <w14:textFill>
            <w14:solidFill>
              <w14:schemeClr w14:val="tx1"/>
            </w14:solidFill>
          </w14:textFill>
        </w:rPr>
        <w:t xml:space="preserve">(九)开标、评标：</w:t>
      </w:r>
      <w:r/>
    </w:p>
    <w:p>
      <w:pPr>
        <w:ind w:firstLine="480"/>
        <w:spacing w:line="360" w:lineRule="auto"/>
        <w:shd w:val="clear" w:color="auto"/>
        <w:tabs>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2．投标截止时间后参加投标的供应商或解密投标文件的供应商不足三家的，不开标；不进行开评标。</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(1)投标文件报价出现前后不一致的，按照下列规定修正：</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①投标文件中开标一览表内容与投标文件中相应内容不一致的，以开标一览表为准；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③总价金额与按折扣系数汇总金额不一致的，以折扣系数计算结果为准。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(2)对不同文字文本投标文件的解释发生异议的，以中文文本为准。</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(3)投标人未参加开标的，视同认可开标结果。</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评标工作由采购人和采购代理机构负责组织，具体评标事务由依法组建的评标委员会负责。</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(1)投标文件初审。初审分为资格性检查和符合性检查。</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shd w:val="clear" w:color="auto"/>
        <w:tabs>
          <w:tab w:val="left" w:pos="525" w:leader="none"/>
          <w:tab w:val="left" w:pos="945"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5．评标方法</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投标人通过初审的，方可进入比较与评价程序。</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比较与评价采用综合评分法。</w:t>
      </w:r>
      <w:r/>
    </w:p>
    <w:p>
      <w:pPr>
        <w:ind w:firstLine="480"/>
        <w:spacing w:line="360" w:lineRule="auto"/>
        <w:shd w:val="clear" w:color="auto"/>
        <w:tabs>
          <w:tab w:val="left" w:pos="525" w:leader="none"/>
          <w:tab w:val="left" w:pos="1050" w:leader="none"/>
        </w:tabs>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评标委员会遵循公平、公正、择优原则，独立按照评分标准分别评定投标人的分值；各投标人的评审后得分为各评委所评定分值的平均值，并按高低顺序排列。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为中标候选人。如总得分出现并列排名，按项目人员配置得分由高到低排列，如项目人员配置得分也相同，则按投标人综合情况得分由高到低排列，若项目人员配置、投标人综合情况得分均相同，则按投标人提供的协审方案得分情况排列，最优者确定为中标人。</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6．评标标准：详见附件。</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(十)定标：</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依法确定中标供应商。采购人将在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cs="宋体"/>
          <w:bCs/>
          <w:color w:val="000000" w:themeColor="text1"/>
          <w:sz w:val="24"/>
          <w:szCs w:val="24"/>
          <w:highlight w:val="none"/>
          <w14:textFill>
            <w14:solidFill>
              <w14:schemeClr w14:val="tx1"/>
            </w14:solidFill>
          </w14:textFill>
        </w:rPr>
        <w:t xml:space="preserve">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将向中标供应商发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出</w:t>
      </w:r>
      <w:r>
        <w:rPr>
          <w:rFonts w:hint="eastAsia" w:ascii="宋体" w:hAnsi="宋体" w:cs="宋体"/>
          <w:bCs/>
          <w:color w:val="000000" w:themeColor="text1"/>
          <w:sz w:val="24"/>
          <w:szCs w:val="24"/>
          <w:highlight w:val="none"/>
          <w14:textFill>
            <w14:solidFill>
              <w14:schemeClr w14:val="tx1"/>
            </w14:solidFill>
          </w14:textFill>
        </w:rPr>
        <w:t xml:space="preserve">中标通知书。</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3．投标供应商电子投标文件将作为电子档案保存。</w:t>
      </w:r>
      <w:r/>
    </w:p>
    <w:p>
      <w:pPr>
        <w:ind w:firstLine="480"/>
        <w:spacing w:line="360" w:lineRule="auto"/>
        <w:shd w:val="clear" w:color="auto"/>
        <w:rPr>
          <w:rFonts w:hint="eastAsia" w:ascii="宋体" w:hAnsi="宋体" w:cs="宋体"/>
          <w:b/>
          <w:bCs w:val="0"/>
          <w:color w:val="000000" w:themeColor="text1"/>
          <w:sz w:val="24"/>
          <w:szCs w:val="24"/>
          <w:highlight w:val="none"/>
          <w14:textFill>
            <w14:solidFill>
              <w14:schemeClr w14:val="tx1"/>
            </w14:solidFill>
          </w14:textFill>
        </w:rPr>
        <w:outlineLvl w:val="1"/>
      </w:pPr>
      <w:r>
        <w:rPr>
          <w:rFonts w:hint="eastAsia" w:ascii="宋体" w:hAnsi="宋体" w:cs="宋体"/>
          <w:b/>
          <w:bCs w:val="0"/>
          <w:color w:val="000000" w:themeColor="text1"/>
          <w:sz w:val="24"/>
          <w:szCs w:val="24"/>
          <w:highlight w:val="none"/>
          <w14:textFill>
            <w14:solidFill>
              <w14:schemeClr w14:val="tx1"/>
            </w14:solidFill>
          </w14:textFill>
        </w:rPr>
        <w:t xml:space="preserve">(十一)废标的确认：</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1．符合专业条件的投标人或者对招标文件作出实质性响应的投标人不足三家；</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3．投标人的报价均超过采购预算，采购人不能支付的；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4．因重大变故，采购任务取消。</w:t>
      </w:r>
      <w:r/>
    </w:p>
    <w:p>
      <w:pPr>
        <w:ind w:firstLine="480"/>
        <w:spacing w:line="360" w:lineRule="auto"/>
        <w:shd w:val="clear" w:color="auto"/>
        <w:rPr>
          <w:rFonts w:hint="eastAsia" w:ascii="宋体" w:hAnsi="宋体" w:cs="宋体"/>
          <w:b/>
          <w:bCs w:val="0"/>
          <w:color w:val="000000" w:themeColor="text1"/>
          <w:sz w:val="24"/>
          <w:szCs w:val="24"/>
          <w:highlight w:val="none"/>
          <w14:textFill>
            <w14:solidFill>
              <w14:schemeClr w14:val="tx1"/>
            </w14:solidFill>
          </w14:textFill>
        </w:rPr>
        <w:outlineLvl w:val="1"/>
      </w:pPr>
      <w:r>
        <w:rPr>
          <w:rFonts w:hint="eastAsia" w:ascii="宋体" w:hAnsi="宋体" w:cs="宋体"/>
          <w:b/>
          <w:bCs w:val="0"/>
          <w:color w:val="000000" w:themeColor="text1"/>
          <w:sz w:val="24"/>
          <w:szCs w:val="24"/>
          <w:highlight w:val="none"/>
          <w14:textFill>
            <w14:solidFill>
              <w14:schemeClr w14:val="tx1"/>
            </w14:solidFill>
          </w14:textFill>
        </w:rPr>
        <w:t xml:space="preserve">(十二)中标无效的确认：</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1．提供虚假材料谋取中标的；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2．采取不正当手段诋毁、排挤其他投标人的；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3．与招标采购单位、其他投标人恶意串通的；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4．向招标采购单位行贿或者提供其他不正当利益的；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除单一来源采购项目外，为采购项目提供招标代理、清单编制、整体设计、规范编制或者项目管理、监理、检测等服务的。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投标人有上述</w:t>
      </w:r>
      <w:r>
        <w:rPr>
          <w:rFonts w:hint="eastAsia" w:ascii="宋体" w:hAnsi="宋体" w:cs="宋体"/>
          <w:b/>
          <w:bCs w:val="0"/>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至</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val="0"/>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bookmarkStart w:id="22" w:name="_Toc32174"/>
      <w:r/>
      <w:bookmarkStart w:id="23" w:name="_Toc21337"/>
      <w:r>
        <w:rPr>
          <w:rFonts w:hint="eastAsia" w:ascii="宋体" w:hAnsi="宋体" w:cs="宋体"/>
          <w:bCs/>
          <w:color w:val="000000" w:themeColor="text1"/>
          <w:sz w:val="24"/>
          <w:szCs w:val="24"/>
          <w:highlight w:val="none"/>
          <w14:textFill>
            <w14:solidFill>
              <w14:schemeClr w14:val="tx1"/>
            </w14:solidFill>
          </w14:textFill>
        </w:rPr>
        <w:t xml:space="preserve">(十三)签订、履行合同：</w:t>
      </w:r>
      <w:bookmarkEnd w:id="22"/>
      <w:r/>
      <w:bookmarkEnd w:id="23"/>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cs="宋体"/>
          <w:bCs/>
          <w:color w:val="000000" w:themeColor="text1"/>
          <w:sz w:val="24"/>
          <w:szCs w:val="24"/>
          <w:highlight w:val="none"/>
          <w14:textFill>
            <w14:solidFill>
              <w14:schemeClr w14:val="tx1"/>
            </w14:solidFill>
          </w14:textFill>
        </w:rPr>
        <w:t xml:space="preserve">任何修改。</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cs="宋体"/>
          <w:bCs/>
          <w:color w:val="000000" w:themeColor="text1"/>
          <w:sz w:val="24"/>
          <w:szCs w:val="24"/>
          <w:highlight w:val="none"/>
          <w14:textFill>
            <w14:solidFill>
              <w14:schemeClr w14:val="tx1"/>
            </w14:solidFill>
          </w14:textFill>
        </w:rPr>
        <w:t xml:space="preserve">监督合同的履行。中标方非因不可抗力未履行招、投标文件和合同规定的义务，一经查实，采购人将根据具体情况提请政府采购管理部门作出相应处理。</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bookmarkStart w:id="24" w:name="_Toc28715"/>
      <w:r/>
      <w:bookmarkStart w:id="25" w:name="_Toc598"/>
      <w:r>
        <w:rPr>
          <w:rFonts w:hint="eastAsia" w:ascii="宋体" w:hAnsi="宋体" w:cs="宋体"/>
          <w:bCs/>
          <w:color w:val="000000" w:themeColor="text1"/>
          <w:sz w:val="24"/>
          <w:szCs w:val="24"/>
          <w:highlight w:val="none"/>
          <w14:textFill>
            <w14:solidFill>
              <w14:schemeClr w14:val="tx1"/>
            </w14:solidFill>
          </w14:textFill>
        </w:rPr>
        <w:t xml:space="preserve">(十四)注意事项：</w:t>
      </w:r>
      <w:bookmarkEnd w:id="24"/>
      <w:r/>
      <w:bookmarkEnd w:id="25"/>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(十五)政府采购信用担保</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(十六)政府采购合同融资：</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合同融资，是指参与政府采购的供应商，凭</w:t>
      </w:r>
      <w:r>
        <w:rPr>
          <w:rFonts w:hint="eastAsia" w:ascii="宋体" w:hAnsi="宋体" w:cs="宋体"/>
          <w:bCs/>
          <w:color w:val="000000" w:themeColor="text1"/>
          <w:sz w:val="24"/>
          <w:szCs w:val="24"/>
          <w:highlight w:val="none"/>
          <w14:textFill>
            <w14:solidFill>
              <w14:schemeClr w14:val="tx1"/>
            </w14:solidFill>
          </w14:textFill>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525" w:leader="none"/>
          <w:tab w:val="left" w:pos="1050" w:leader="none"/>
        </w:tabs>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中标、成交供应商可根据自身情况，自行决定是否选择采用合同融资形式，在</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w:t>
      </w:r>
      <w:r>
        <w:rPr>
          <w:rFonts w:hint="eastAsia" w:ascii="宋体" w:hAnsi="宋体" w:cs="宋体"/>
          <w:bCs/>
          <w:color w:val="000000" w:themeColor="text1"/>
          <w:sz w:val="24"/>
          <w:szCs w:val="24"/>
          <w:highlight w:val="none"/>
          <w14:textFill>
            <w14:solidFill>
              <w14:schemeClr w14:val="tx1"/>
            </w14:solidFill>
          </w14:textFill>
        </w:rPr>
        <w:t xml:space="preserve">政府采购网——政采贷专栏提供的银行名录内自主选择合作银行。</w:t>
      </w:r>
      <w:r/>
    </w:p>
    <w:p>
      <w:pPr>
        <w:ind w:firstLine="480"/>
        <w:spacing w:line="360" w:lineRule="auto"/>
        <w:shd w:val="clear" w:color="auto"/>
        <w:rPr>
          <w:rFonts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(十七)代理服务费：</w:t>
      </w:r>
      <w:r/>
    </w:p>
    <w:p>
      <w:pPr>
        <w:ind w:firstLine="480"/>
        <w:spacing w:line="360" w:lineRule="auto"/>
        <w:shd w:val="clear" w:color="auto"/>
        <w:rPr>
          <w:bCs/>
          <w:color w:val="000000" w:themeColor="text1"/>
          <w:sz w:val="24"/>
          <w:szCs w:val="24"/>
          <w:highlight w:val="none"/>
          <w14:textFill>
            <w14:solidFill>
              <w14:schemeClr w14:val="tx1"/>
            </w14:solidFill>
          </w14:textFill>
        </w:rPr>
        <w:outlineLvl w:val="1"/>
      </w:pPr>
      <w:r>
        <w:rPr>
          <w:rFonts w:hint="eastAsia" w:ascii="宋体" w:hAnsi="宋体"/>
          <w:bCs/>
          <w:color w:val="000000" w:themeColor="text1"/>
          <w:sz w:val="24"/>
          <w:szCs w:val="24"/>
          <w:highlight w:val="none"/>
          <w14:textFill>
            <w14:solidFill>
              <w14:schemeClr w14:val="tx1"/>
            </w14:solidFill>
          </w14:textFill>
        </w:rPr>
        <w:t xml:space="preserve">1.本项</w:t>
      </w:r>
      <w:r>
        <w:rPr>
          <w:rFonts w:hint="eastAsia"/>
          <w:bCs/>
          <w:color w:val="000000" w:themeColor="text1"/>
          <w:sz w:val="24"/>
          <w:szCs w:val="24"/>
          <w:highlight w:val="none"/>
          <w14:textFill>
            <w14:solidFill>
              <w14:schemeClr w14:val="tx1"/>
            </w14:solidFill>
          </w14:textFill>
        </w:rPr>
        <w:t xml:space="preserve">目代理费由</w:t>
      </w:r>
      <w:r>
        <w:rPr>
          <w:rFonts w:hint="eastAsia"/>
          <w:bCs/>
          <w:color w:val="000000" w:themeColor="text1"/>
          <w:sz w:val="24"/>
          <w:szCs w:val="24"/>
          <w:highlight w:val="none"/>
          <w:lang w:val="en-US" w:eastAsia="zh-CN"/>
          <w14:textFill>
            <w14:solidFill>
              <w14:schemeClr w14:val="tx1"/>
            </w14:solidFill>
          </w14:textFill>
        </w:rPr>
        <w:t xml:space="preserve">中标人</w:t>
      </w:r>
      <w:r>
        <w:rPr>
          <w:rFonts w:hint="eastAsia"/>
          <w:bCs/>
          <w:color w:val="000000" w:themeColor="text1"/>
          <w:sz w:val="24"/>
          <w:szCs w:val="24"/>
          <w:highlight w:val="none"/>
          <w14:textFill>
            <w14:solidFill>
              <w14:schemeClr w14:val="tx1"/>
            </w14:solidFill>
          </w14:textFill>
        </w:rPr>
        <w:t xml:space="preserve">支付。</w:t>
      </w:r>
      <w:r/>
    </w:p>
    <w:p>
      <w:pPr>
        <w:ind w:firstLine="480"/>
        <w:spacing w:line="360" w:lineRule="auto"/>
        <w:shd w:val="clear" w:color="auto"/>
        <w:rPr>
          <w:rFonts w:hint="eastAsia"/>
          <w:bCs/>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2.采购代理费按差额定率累进法，收费标准为中标金额100万以下费率为中标金额的1.5%，中标金额100万-500万费率为中标金额的0.8%。（各中标人按比例计取）。</w:t>
      </w:r>
      <w:r/>
    </w:p>
    <w:p>
      <w:pPr>
        <w:ind w:firstLine="480"/>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(十八)其他：</w:t>
      </w:r>
      <w:r/>
    </w:p>
    <w:p>
      <w:pPr>
        <w:ind w:firstLine="480"/>
        <w:spacing w:line="360" w:lineRule="auto"/>
        <w:shd w:val="clear" w:color="auto"/>
        <w:tabs>
          <w:tab w:val="left" w:pos="525" w:leader="none"/>
          <w:tab w:val="left" w:pos="105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采购文件的条款必须认真审阅，投标人应自行检查采购文件页数是否齐全。若有遗漏、重复或不清楚，需立刻通知采购人予以更正；凡属对条款的误解所造成的投标价格失误，由投标人负责。</w:t>
      </w:r>
      <w:r/>
    </w:p>
    <w:p>
      <w:pPr>
        <w:shd w:val="clear" w:color="auto"/>
        <w:rPr>
          <w:rFonts w:hint="eastAsia" w:hAnsi="宋体" w:cs="宋体"/>
          <w:b/>
          <w:bCs/>
          <w:color w:val="000000" w:themeColor="text1"/>
          <w:sz w:val="32"/>
          <w:szCs w:val="32"/>
          <w:highlight w:val="none"/>
          <w14:textFill>
            <w14:solidFill>
              <w14:schemeClr w14:val="tx1"/>
            </w14:solidFill>
          </w14:textFill>
        </w:rPr>
      </w:pPr>
      <w:r/>
      <w:bookmarkStart w:id="26" w:name="_Toc27586"/>
      <w:r/>
      <w:bookmarkStart w:id="27" w:name="_Toc18751"/>
      <w:r>
        <w:rPr>
          <w:rFonts w:hint="eastAsia" w:hAnsi="宋体" w:cs="宋体"/>
          <w:b/>
          <w:bCs/>
          <w:color w:val="000000" w:themeColor="text1"/>
          <w:sz w:val="32"/>
          <w:szCs w:val="32"/>
          <w:highlight w:val="none"/>
          <w14:textFill>
            <w14:solidFill>
              <w14:schemeClr w14:val="tx1"/>
            </w14:solidFill>
          </w14:textFill>
        </w:rPr>
        <w:br w:type="page" w:clear="all"/>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rPr>
          <w:rFonts w:hint="eastAsia" w:hAnsi="宋体" w:cs="宋体"/>
          <w:b/>
          <w:bCs/>
          <w:color w:val="000000" w:themeColor="text1"/>
          <w:sz w:val="32"/>
          <w:szCs w:val="32"/>
          <w:highlight w:val="none"/>
          <w14:textFill>
            <w14:solidFill>
              <w14:schemeClr w14:val="tx1"/>
            </w14:solidFill>
          </w14:textFill>
        </w:rPr>
        <w:t xml:space="preserve">三、项目技术要求和有关说明</w:t>
      </w:r>
      <w:bookmarkEnd w:id="21"/>
      <w:r/>
      <w:bookmarkEnd w:id="26"/>
      <w:r/>
      <w:bookmarkEnd w:id="27"/>
      <w:r/>
      <w:r/>
    </w:p>
    <w:p>
      <w:pPr>
        <w:ind w:firstLine="480"/>
        <w:spacing w:line="360" w:lineRule="auto"/>
        <w:shd w:val="clear" w:color="auto"/>
        <w:rPr>
          <w:rFonts w:ascii="宋体" w:hAnsi="宋体"/>
          <w:color w:val="000000" w:themeColor="text1"/>
          <w:sz w:val="24"/>
          <w:highlight w:val="none"/>
          <w14:textFill>
            <w14:solidFill>
              <w14:schemeClr w14:val="tx1"/>
            </w14:solidFill>
          </w14:textFill>
        </w:rPr>
      </w:pPr>
      <w:r/>
      <w:bookmarkStart w:id="28" w:name="_Toc26"/>
      <w:r>
        <w:rPr>
          <w:rFonts w:hint="eastAsia" w:ascii="宋体" w:hAnsi="宋体"/>
          <w:color w:val="000000" w:themeColor="text1"/>
          <w:sz w:val="24"/>
          <w:highlight w:val="none"/>
          <w14:textFill>
            <w14:solidFill>
              <w14:schemeClr w14:val="tx1"/>
            </w14:solidFill>
          </w14:textFill>
        </w:rPr>
        <w:t xml:space="preserve">投标人所投内容必须满足以下要求，不得有负偏离。（本招标文件中所指投标人专业技术力量、项目人员配置包括投标人及其无锡（含江阴、宜兴）分支机构人员，注册造价工程师均为一级注册造价工程师）。</w:t>
      </w:r>
      <w:r/>
    </w:p>
    <w:p>
      <w:pPr>
        <w:ind w:left="0" w:firstLine="640"/>
        <w:jc w:val="left"/>
        <w:keepLines w:val="0"/>
        <w:keepNext w:val="0"/>
        <w:pageBreakBefore w:val="0"/>
        <w:spacing w:line="360" w:lineRule="auto"/>
        <w:shd w:val="clear" w:color="auto"/>
        <w:rPr>
          <w:rFonts w:hint="eastAsia" w:ascii="微软雅黑" w:hAnsi="微软雅黑" w:eastAsia="微软雅黑" w:cs="微软雅黑"/>
          <w:b/>
          <w:color w:val="000000" w:themeColor="text1"/>
          <w:sz w:val="32"/>
          <w:szCs w:val="32"/>
          <w:highlight w:val="none"/>
          <w14:textFill>
            <w14:solidFill>
              <w14:schemeClr w14:val="tx1"/>
            </w14:solidFill>
          </w14:textFill>
        </w:rPr>
      </w:pPr>
      <w:r>
        <w:rPr>
          <w:rFonts w:hint="eastAsia" w:ascii="微软雅黑" w:hAnsi="微软雅黑" w:eastAsia="微软雅黑" w:cs="微软雅黑"/>
          <w:b/>
          <w:color w:val="000000" w:themeColor="text1"/>
          <w:sz w:val="32"/>
          <w:szCs w:val="32"/>
          <w:highlight w:val="none"/>
          <w14:textFill>
            <w14:solidFill>
              <w14:schemeClr w14:val="tx1"/>
            </w14:solidFill>
          </w14:textFill>
        </w:rPr>
        <w:t xml:space="preserve">第一部分</w:t>
      </w:r>
      <w:r>
        <w:rPr>
          <w:rFonts w:hint="eastAsia" w:ascii="微软雅黑" w:hAnsi="微软雅黑" w:eastAsia="微软雅黑" w:cs="微软雅黑"/>
          <w:b/>
          <w:color w:val="000000" w:themeColor="text1"/>
          <w:sz w:val="32"/>
          <w:szCs w:val="32"/>
          <w:highlight w:val="none"/>
          <w:lang w:val="en-US" w:eastAsia="zh-CN"/>
          <w14:textFill>
            <w14:solidFill>
              <w14:schemeClr w14:val="tx1"/>
            </w14:solidFill>
          </w14:textFill>
        </w:rPr>
        <w:t xml:space="preserve"> </w:t>
      </w:r>
      <w:r>
        <w:rPr>
          <w:rFonts w:hint="eastAsia" w:ascii="微软雅黑" w:hAnsi="微软雅黑" w:eastAsia="微软雅黑" w:cs="微软雅黑"/>
          <w:b/>
          <w:color w:val="000000" w:themeColor="text1"/>
          <w:sz w:val="32"/>
          <w:szCs w:val="32"/>
          <w:highlight w:val="none"/>
          <w14:textFill>
            <w14:solidFill>
              <w14:schemeClr w14:val="tx1"/>
            </w14:solidFill>
          </w14:textFill>
        </w:rPr>
        <w:t xml:space="preserve">项目技术要求</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本项目分为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个采购包，投标人可以根据自身能力及条件选择一个或几个采购包进行投标，但中标只能中其中一个采购包，即可兼投但不可兼中</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特殊情况除外</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具体规则详见</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五、附件</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：第一部分</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评标方法”</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（一）项目技术要求：</w:t>
      </w:r>
      <w:r/>
    </w:p>
    <w:p>
      <w:pPr>
        <w:ind w:left="0" w:firstLine="482"/>
        <w:keepLines w:val="0"/>
        <w:keepNext w:val="0"/>
        <w:pageBreakBefore w:val="0"/>
        <w:spacing w:line="360" w:lineRule="auto"/>
        <w:shd w:val="clear" w:color="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本招标文件中所指的注册造价工程师均为一级注册造价工程师。</w:t>
      </w:r>
      <w:r/>
    </w:p>
    <w:p>
      <w:pPr>
        <w:ind w:left="0" w:firstLine="48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1、服务内容：</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采购包1（</w:t>
      </w:r>
      <w:r>
        <w:rPr>
          <w:rFonts w:hint="eastAsia" w:ascii="宋体" w:hAnsi="宋体" w:cs="宋体"/>
          <w:bCs/>
          <w:color w:val="000000" w:themeColor="text1"/>
          <w:sz w:val="24"/>
          <w:szCs w:val="24"/>
          <w:highlight w:val="none"/>
          <w:lang w:eastAsia="zh-CN"/>
          <w14:textFill>
            <w14:solidFill>
              <w14:schemeClr w14:val="tx1"/>
            </w14:solidFill>
          </w14:textFill>
        </w:rPr>
        <w:t xml:space="preserve">周新路（蠡湖大道-信成道）改造工程全过程跟踪审核（含结算审核）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采购包2（</w:t>
      </w:r>
      <w:r>
        <w:rPr>
          <w:rFonts w:hint="eastAsia" w:ascii="宋体" w:hAnsi="宋体" w:cs="宋体"/>
          <w:bCs/>
          <w:color w:val="000000" w:themeColor="text1"/>
          <w:sz w:val="24"/>
          <w:szCs w:val="24"/>
          <w:highlight w:val="none"/>
          <w:lang w:eastAsia="zh-CN"/>
          <w14:textFill>
            <w14:solidFill>
              <w14:schemeClr w14:val="tx1"/>
            </w14:solidFill>
          </w14:textFill>
        </w:rPr>
        <w:t xml:space="preserve">碧水河（钱龙桥港-尚贤道）河道综合整治项目全过程跟踪审核（含结算审核）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shd w:val="clear" w:color="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实际项目总投资按各项目审计结算金额为准。</w:t>
      </w:r>
      <w:r/>
    </w:p>
    <w:p>
      <w:pPr>
        <w:ind w:firstLine="480"/>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人员配置要求：（以投标人填列的《项目人员配置清单》及按要求出具的证明材料为准，</w:t>
      </w:r>
      <w:r>
        <w:rPr>
          <w:rFonts w:hint="eastAsia" w:ascii="宋体" w:hAnsi="宋体"/>
          <w:color w:val="000000" w:themeColor="text1"/>
          <w:sz w:val="24"/>
          <w:szCs w:val="24"/>
          <w:highlight w:val="none"/>
          <w14:textFill>
            <w14:solidFill>
              <w14:schemeClr w14:val="tx1"/>
            </w14:solidFill>
          </w14:textFill>
        </w:rPr>
        <w:t xml:space="preserve">所有拟派专业技术人员均须提供投标人连续三个月(至少</w:t>
      </w:r>
      <w:bookmarkStart w:id="50" w:name="_GoBack"/>
      <w:r/>
      <w:bookmarkEnd w:id="50"/>
      <w:r>
        <w:rPr>
          <w:rFonts w:hint="eastAsia" w:ascii="宋体" w:hAnsi="宋体"/>
          <w:color w:val="000000" w:themeColor="text1"/>
          <w:sz w:val="24"/>
          <w:szCs w:val="24"/>
          <w:highlight w:val="none"/>
          <w14:textFill>
            <w14:solidFill>
              <w14:schemeClr w14:val="tx1"/>
            </w14:solidFill>
          </w14:textFill>
        </w:rPr>
        <w:t xml:space="preserve">包含近三个月中任意一个月份(不含投标当月))为其缴纳社保的证明扫描件</w:t>
      </w:r>
      <w:r>
        <w:rPr>
          <w:rFonts w:hint="eastAsia" w:ascii="宋体" w:hAnsi="宋体" w:cs="宋体"/>
          <w:color w:val="000000" w:themeColor="text1"/>
          <w:sz w:val="24"/>
          <w:szCs w:val="24"/>
          <w:highlight w:val="none"/>
          <w14:textFill>
            <w14:solidFill>
              <w14:schemeClr w14:val="tx1"/>
            </w14:solidFill>
          </w14:textFill>
        </w:rPr>
        <w:t xml:space="preserve">）</w:t>
      </w:r>
      <w:r/>
    </w:p>
    <w:p>
      <w:pPr>
        <w:contextualSpacing/>
        <w:ind w:left="0" w:firstLine="720"/>
        <w:jc w:val="left"/>
        <w:spacing w:line="360" w:lineRule="auto"/>
        <w:widowControl/>
        <w:tabs>
          <w:tab w:val="left" w:pos="105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en-US"/>
          <w14:textFill>
            <w14:solidFill>
              <w14:schemeClr w14:val="tx1"/>
            </w14:solidFill>
          </w14:textFill>
        </w:rPr>
        <w:t xml:space="preserve">本项目投标人需根据项目的专业特点组成项目组，并报项目人员配置清单</w:t>
      </w:r>
      <w:r>
        <w:rPr>
          <w:rFonts w:hint="eastAsia" w:ascii="宋体" w:hAnsi="宋体" w:eastAsia="宋体" w:cs="宋体"/>
          <w:color w:val="7030a0"/>
          <w:sz w:val="24"/>
          <w:szCs w:val="24"/>
          <w:highlight w:val="none"/>
          <w:lang w:val="en-US" w:eastAsia="zh-CN" w:bidi="en-US"/>
        </w:rPr>
        <w:t xml:space="preserve">（不得含有返聘、临聘及已退休人员）</w:t>
      </w:r>
      <w:r>
        <w:rPr>
          <w:rFonts w:hint="eastAsia" w:ascii="宋体" w:hAnsi="宋体" w:eastAsia="宋体" w:cs="宋体"/>
          <w:color w:val="000000" w:themeColor="text1"/>
          <w:sz w:val="24"/>
          <w:szCs w:val="24"/>
          <w:highlight w:val="none"/>
          <w:lang w:val="en-US" w:eastAsia="zh-CN" w:bidi="en-US"/>
          <w14:textFill>
            <w14:solidFill>
              <w14:schemeClr w14:val="tx1"/>
            </w14:solidFill>
          </w14:textFill>
        </w:rPr>
        <w:t xml:space="preserve">，拟派人员原则上不得变更。只有在项目人员配置清单上的人员才能参与评分。采购人有权根据工程特点要求中标单位配备符合项目需要的专业审核人员，中标单位须无条件服从采购人安排。</w:t>
      </w:r>
      <w:r/>
    </w:p>
    <w:p>
      <w:pPr>
        <w:contextualSpacing/>
        <w:ind w:left="0" w:firstLine="708"/>
        <w:jc w:val="left"/>
        <w:spacing w:line="360" w:lineRule="auto"/>
        <w:widowControl/>
        <w:tabs>
          <w:tab w:val="left" w:pos="1050" w:leader="none"/>
        </w:tabs>
        <w:rPr>
          <w:rFonts w:ascii="宋体" w:hAnsi="宋体" w:eastAsia="宋体" w:cs="宋体"/>
          <w:b/>
          <w:bCs/>
          <w:color w:val="000000" w:themeColor="text1"/>
          <w:sz w:val="24"/>
          <w:szCs w:val="20"/>
          <w:highlight w:val="none"/>
          <w:u w:val="single"/>
          <w14:textFill>
            <w14:solidFill>
              <w14:schemeClr w14:val="tx1"/>
            </w14:solidFill>
          </w14:textFill>
        </w:rPr>
      </w:pPr>
      <w:r>
        <w:rPr>
          <w:rFonts w:hint="eastAsia" w:ascii="宋体" w:hAnsi="宋体" w:eastAsia="宋体" w:cs="宋体"/>
          <w:b/>
          <w:bCs/>
          <w:color w:val="000000" w:themeColor="text1"/>
          <w:sz w:val="24"/>
          <w:szCs w:val="20"/>
          <w:highlight w:val="none"/>
          <w:u w:val="single"/>
          <w:lang w:val="en-US" w:eastAsia="zh-CN" w:bidi="en-US"/>
          <w14:textFill>
            <w14:solidFill>
              <w14:schemeClr w14:val="tx1"/>
            </w14:solidFill>
          </w14:textFill>
        </w:rPr>
        <w:t xml:space="preserve">项目负责人必须常驻，拟派专业技术人员中必须确保有一名档案管理员（需在《项目人员配置清单》中注明），否则投标无效。</w:t>
      </w:r>
      <w:r/>
    </w:p>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拟派专业技术人员数量和驻场时间最低要求表</w:t>
      </w:r>
      <w:r/>
    </w:p>
    <w:tbl>
      <w:tblPr>
        <w:tblStyle w:val="106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70"/>
        <w:gridCol w:w="848"/>
        <w:gridCol w:w="1119"/>
        <w:gridCol w:w="1491"/>
        <w:gridCol w:w="1346"/>
        <w:gridCol w:w="2329"/>
        <w:gridCol w:w="2575"/>
      </w:tblGrid>
      <w:tr>
        <w:trPr>
          <w:trHeight w:val="57"/>
        </w:trPr>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标段</w:t>
            </w:r>
            <w:r/>
          </w:p>
        </w:tc>
        <w:tc>
          <w:tcPr>
            <w:tcBorders>
              <w:top w:val="single" w:color="auto"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拟派总人员</w:t>
            </w:r>
            <w:r/>
          </w:p>
        </w:tc>
        <w:tc>
          <w:tcPr>
            <w:gridSpan w:val="3"/>
            <w:tcBorders>
              <w:top w:val="single" w:color="auto" w:sz="4" w:space="0"/>
              <w:left w:val="none" w:color="000000" w:sz="4" w:space="0"/>
              <w:bottom w:val="single" w:color="auto" w:sz="4" w:space="0"/>
              <w:right w:val="single" w:color="auto" w:sz="4" w:space="0"/>
            </w:tcBorders>
            <w:tcW w:w="1852"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其中注册造价工程师</w:t>
            </w:r>
            <w:r/>
          </w:p>
        </w:tc>
        <w:tc>
          <w:tcPr>
            <w:tcBorders>
              <w:top w:val="single" w:color="auto" w:sz="4" w:space="0"/>
              <w:left w:val="single" w:color="auto" w:sz="4" w:space="0"/>
              <w:bottom w:val="single" w:color="auto" w:sz="4" w:space="0"/>
              <w:right w:val="single" w:color="auto" w:sz="4" w:space="0"/>
            </w:tcBorders>
            <w:tcW w:w="1090" w:type="pct"/>
            <w:vAlign w:val="center"/>
            <w:vMerge w:val="restart"/>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常驻现场驻场时间</w:t>
            </w:r>
            <w:r/>
          </w:p>
        </w:tc>
        <w:tc>
          <w:tcPr>
            <w:tcBorders>
              <w:top w:val="single" w:color="auto" w:sz="4" w:space="0"/>
              <w:left w:val="single" w:color="auto" w:sz="4" w:space="0"/>
              <w:bottom w:val="single" w:color="auto" w:sz="4" w:space="0"/>
              <w:right w:val="single" w:color="auto" w:sz="4" w:space="0"/>
            </w:tcBorders>
            <w:tcW w:w="1205" w:type="pct"/>
            <w:vAlign w:val="center"/>
            <w:vMerge w:val="restart"/>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隐蔽工程、晚间施工等关键环节</w:t>
            </w:r>
            <w:r/>
          </w:p>
        </w:tc>
      </w:tr>
      <w:tr>
        <w:trPr>
          <w:trHeight w:val="57"/>
        </w:trPr>
        <w:tc>
          <w:tcPr>
            <w:tcBorders>
              <w:top w:val="single" w:color="auto" w:sz="4" w:space="0"/>
              <w:left w:val="single" w:color="auto" w:sz="4" w:space="0"/>
              <w:bottom w:val="single" w:color="auto" w:sz="4" w:space="0"/>
              <w:right w:val="single" w:color="auto" w:sz="4" w:space="0"/>
            </w:tcBorders>
            <w:tcW w:w="454" w:type="pct"/>
            <w:vAlign w:val="center"/>
            <w:vMerge w:val="continue"/>
            <w:textDirection w:val="lrTb"/>
            <w:noWrap w:val="false"/>
          </w:tcPr>
          <w:p>
            <w:pPr>
              <w:jc w:val="left"/>
              <w:widowControl/>
              <w:rPr>
                <w:rFonts w:hint="default" w:ascii="宋体" w:hAnsi="宋体" w:cs="宋体"/>
                <w:color w:val="000000"/>
                <w:sz w:val="24"/>
                <w:szCs w:val="22"/>
                <w:highlight w:val="none"/>
              </w:rPr>
            </w:pPr>
            <w:r>
              <w:rPr>
                <w:rFonts w:hint="default" w:ascii="宋体" w:hAnsi="宋体" w:cs="宋体"/>
                <w:color w:val="000000"/>
                <w:sz w:val="24"/>
                <w:szCs w:val="22"/>
                <w:highlight w:val="none"/>
              </w:rPr>
            </w:r>
            <w:r/>
          </w:p>
        </w:tc>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hint="default" w:ascii="宋体" w:hAnsi="宋体" w:cs="宋体"/>
                <w:color w:val="000000"/>
                <w:sz w:val="24"/>
                <w:szCs w:val="22"/>
                <w:highlight w:val="none"/>
              </w:rPr>
            </w:pPr>
            <w:r>
              <w:rPr>
                <w:rFonts w:hint="default" w:ascii="宋体" w:hAnsi="宋体" w:cs="宋体"/>
                <w:color w:val="000000"/>
                <w:sz w:val="24"/>
                <w:szCs w:val="22"/>
                <w:highlight w:val="none"/>
              </w:rPr>
            </w:r>
            <w:r/>
          </w:p>
        </w:tc>
        <w:tc>
          <w:tcPr>
            <w:tcBorders>
              <w:top w:val="none" w:color="000000" w:sz="4" w:space="0"/>
              <w:left w:val="none" w:color="000000" w:sz="4" w:space="0"/>
              <w:bottom w:val="single" w:color="auto" w:sz="4" w:space="0"/>
              <w:right w:val="single" w:color="auto" w:sz="4" w:space="0"/>
            </w:tcBorders>
            <w:tcW w:w="524"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本项目总配备</w:t>
            </w:r>
            <w:r/>
          </w:p>
        </w:tc>
        <w:tc>
          <w:tcPr>
            <w:tcBorders>
              <w:top w:val="single" w:color="auto" w:sz="4" w:space="0"/>
              <w:left w:val="none" w:color="000000" w:sz="4" w:space="0"/>
              <w:bottom w:val="single" w:color="auto" w:sz="4" w:space="0"/>
              <w:right w:val="single" w:color="auto" w:sz="4" w:space="0"/>
            </w:tcBorders>
            <w:tcW w:w="698"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其中：常驻项目负责人</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其中：常驻协审人员</w:t>
            </w:r>
            <w:r/>
          </w:p>
        </w:tc>
        <w:tc>
          <w:tcPr>
            <w:tcBorders>
              <w:top w:val="single" w:color="auto" w:sz="4" w:space="0"/>
              <w:left w:val="single" w:color="auto" w:sz="4" w:space="0"/>
              <w:bottom w:val="single" w:color="auto" w:sz="4" w:space="0"/>
              <w:right w:val="single" w:color="auto" w:sz="4" w:space="0"/>
            </w:tcBorders>
            <w:tcW w:w="1090" w:type="pct"/>
            <w:vAlign w:val="center"/>
            <w:vMerge w:val="continue"/>
            <w:textDirection w:val="lrTb"/>
            <w:noWrap w:val="false"/>
          </w:tcPr>
          <w:p>
            <w:pPr>
              <w:jc w:val="left"/>
              <w:widowControl/>
              <w:rPr>
                <w:rFonts w:hint="default" w:ascii="宋体" w:hAnsi="宋体" w:cs="宋体"/>
                <w:color w:val="000000"/>
                <w:sz w:val="24"/>
                <w:szCs w:val="22"/>
                <w:highlight w:val="none"/>
              </w:rPr>
            </w:pPr>
            <w:r>
              <w:rPr>
                <w:rFonts w:hint="default" w:ascii="宋体" w:hAnsi="宋体" w:cs="宋体"/>
                <w:color w:val="000000"/>
                <w:sz w:val="24"/>
                <w:szCs w:val="22"/>
                <w:highlight w:val="none"/>
              </w:rPr>
            </w:r>
            <w:r/>
          </w:p>
        </w:tc>
        <w:tc>
          <w:tcPr>
            <w:tcBorders>
              <w:top w:val="single" w:color="auto" w:sz="4" w:space="0"/>
              <w:left w:val="single" w:color="auto" w:sz="4" w:space="0"/>
              <w:bottom w:val="single" w:color="auto" w:sz="4" w:space="0"/>
              <w:right w:val="single" w:color="auto" w:sz="4" w:space="0"/>
            </w:tcBorders>
            <w:tcW w:w="1205" w:type="pct"/>
            <w:vAlign w:val="center"/>
            <w:vMerge w:val="continue"/>
            <w:textDirection w:val="lrTb"/>
            <w:noWrap w:val="false"/>
          </w:tcPr>
          <w:p>
            <w:pPr>
              <w:jc w:val="left"/>
              <w:widowControl/>
              <w:rPr>
                <w:rFonts w:hint="default" w:ascii="宋体" w:hAnsi="宋体" w:cs="宋体"/>
                <w:color w:val="000000"/>
                <w:sz w:val="24"/>
                <w:szCs w:val="22"/>
                <w:highlight w:val="none"/>
              </w:rPr>
            </w:pPr>
            <w:r>
              <w:rPr>
                <w:rFonts w:hint="default" w:ascii="宋体" w:hAnsi="宋体" w:cs="宋体"/>
                <w:color w:val="000000"/>
                <w:sz w:val="24"/>
                <w:szCs w:val="22"/>
                <w:highlight w:val="none"/>
              </w:rPr>
            </w:r>
            <w:r/>
          </w:p>
        </w:tc>
      </w:tr>
      <w:tr>
        <w:trPr>
          <w:trHeight w:val="57"/>
        </w:trPr>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01</w:t>
            </w:r>
            <w:r/>
          </w:p>
        </w:tc>
        <w:tc>
          <w:tcPr>
            <w:tcBorders>
              <w:top w:val="single" w:color="auto" w:sz="4" w:space="0"/>
              <w:left w:val="none" w:color="000000" w:sz="4" w:space="0"/>
              <w:bottom w:val="single" w:color="auto" w:sz="4" w:space="0"/>
              <w:right w:val="single" w:color="auto" w:sz="4" w:space="0"/>
            </w:tcBorders>
            <w:tcW w:w="397"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6</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698"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90"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工作日起止打卡时间不少于7小时</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2人及以上/环节</w:t>
            </w:r>
            <w:r/>
          </w:p>
        </w:tc>
      </w:tr>
      <w:tr>
        <w:trPr>
          <w:trHeight w:val="57"/>
        </w:trPr>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02</w:t>
            </w:r>
            <w:r/>
          </w:p>
        </w:tc>
        <w:tc>
          <w:tcPr>
            <w:tcBorders>
              <w:top w:val="single" w:color="auto" w:sz="4" w:space="0"/>
              <w:left w:val="none" w:color="000000" w:sz="4" w:space="0"/>
              <w:bottom w:val="single" w:color="auto" w:sz="4" w:space="0"/>
              <w:right w:val="single" w:color="auto" w:sz="4" w:space="0"/>
            </w:tcBorders>
            <w:tcW w:w="397"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6</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698"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90"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工作日起止打卡时间不少于7小时</w:t>
            </w:r>
            <w:r/>
          </w:p>
        </w:tc>
        <w:tc>
          <w:tcPr>
            <w:tcBorders>
              <w:top w:val="single" w:color="auto" w:sz="4" w:space="0"/>
              <w:left w:val="none" w:color="000000" w:sz="4" w:space="0"/>
              <w:bottom w:val="single" w:color="auto" w:sz="4" w:space="0"/>
              <w:right w:val="single" w:color="auto" w:sz="4" w:space="0"/>
            </w:tcBorders>
            <w:tcW w:w="1205" w:type="pct"/>
            <w:vAlign w:val="center"/>
            <w:textDirection w:val="lrTb"/>
            <w:noWrap w:val="false"/>
          </w:tcPr>
          <w:p>
            <w:pPr>
              <w:jc w:val="center"/>
              <w:widowControl/>
              <w:rPr>
                <w:rFonts w:hint="default"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2人及以上/环节</w:t>
            </w:r>
            <w:r/>
          </w:p>
        </w:tc>
      </w:tr>
    </w:tbl>
    <w:p>
      <w:pPr>
        <w:spacing w:after="5" w:line="360" w:lineRule="auto"/>
        <w:rPr>
          <w:rFonts w:hint="default" w:ascii="黑体" w:eastAsia="黑体"/>
          <w:bCs/>
          <w:color w:val="000000" w:themeColor="text1"/>
          <w:sz w:val="24"/>
          <w:szCs w:val="24"/>
          <w:highlight w:val="none"/>
          <w14:textFill>
            <w14:solidFill>
              <w14:schemeClr w14:val="tx1"/>
            </w14:solidFill>
          </w14:textFill>
        </w:rPr>
      </w:pPr>
      <w:r>
        <w:rPr>
          <w:rFonts w:hint="default" w:ascii="黑体" w:eastAsia="黑体"/>
          <w:bCs/>
          <w:color w:val="000000" w:themeColor="text1"/>
          <w:sz w:val="24"/>
          <w:szCs w:val="24"/>
          <w:highlight w:val="none"/>
          <w14:textFill>
            <w14:solidFill>
              <w14:schemeClr w14:val="tx1"/>
            </w14:solidFill>
          </w14:textFill>
        </w:rPr>
      </w:r>
      <w:r/>
    </w:p>
    <w:p>
      <w:pPr>
        <w:ind w:left="0" w:firstLine="482"/>
        <w:keepLines w:val="0"/>
        <w:keepNext w:val="0"/>
        <w:pageBreakBefore w:val="0"/>
        <w:spacing w:line="360" w:lineRule="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本项目投标人需根据项目的专业特点组成项目组。只有在拟派项目人员配置名单上的人员才能参与评分。</w:t>
      </w:r>
      <w:r>
        <w:rPr>
          <w:rFonts w:hint="eastAsia" w:ascii="宋体" w:hAnsi="宋体"/>
          <w:bCs/>
          <w:color w:val="000000" w:themeColor="text1"/>
          <w:sz w:val="24"/>
          <w:szCs w:val="24"/>
          <w:highlight w:val="none"/>
          <w14:textFill>
            <w14:solidFill>
              <w14:schemeClr w14:val="tx1"/>
            </w14:solidFill>
          </w14:textFill>
        </w:rPr>
        <w:t xml:space="preserve">采购人有权根据工程特点要求中标单位配备符合项目需要的专业审核人员，中标单位须无条件</w:t>
      </w:r>
      <w:r>
        <w:rPr>
          <w:rFonts w:hint="eastAsia" w:ascii="宋体" w:hAnsi="宋体"/>
          <w:bCs/>
          <w:color w:val="000000" w:themeColor="text1"/>
          <w:sz w:val="24"/>
          <w:szCs w:val="24"/>
          <w:highlight w:val="none"/>
          <w:lang w:eastAsia="zh-CN"/>
          <w14:textFill>
            <w14:solidFill>
              <w14:schemeClr w14:val="tx1"/>
            </w14:solidFill>
          </w14:textFill>
        </w:rPr>
        <w:t xml:space="preserve">服从</w:t>
      </w:r>
      <w:r>
        <w:rPr>
          <w:rFonts w:hint="eastAsia" w:ascii="宋体" w:hAnsi="宋体"/>
          <w:bCs/>
          <w:color w:val="000000" w:themeColor="text1"/>
          <w:sz w:val="24"/>
          <w:szCs w:val="24"/>
          <w:highlight w:val="none"/>
          <w14:textFill>
            <w14:solidFill>
              <w14:schemeClr w14:val="tx1"/>
            </w14:solidFill>
          </w14:textFill>
        </w:rPr>
        <w:t xml:space="preserve">采购人安排。在履行政府投资项目现场施工、后期对账期间拟派配置人员全部常驻无锡办公。</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在填列的《拟派项目人员配置名单》中需明确人员在</w:t>
      </w:r>
      <w:r>
        <w:rPr>
          <w:rFonts w:hint="eastAsia" w:ascii="宋体" w:hAnsi="宋体" w:cs="宋体"/>
          <w:color w:val="000000" w:themeColor="text1"/>
          <w:sz w:val="24"/>
          <w:szCs w:val="21"/>
          <w:highlight w:val="none"/>
          <w14:textFill>
            <w14:solidFill>
              <w14:schemeClr w14:val="tx1"/>
            </w14:solidFill>
          </w14:textFill>
        </w:rPr>
        <w:t xml:space="preserve">本项目的岗位</w:t>
      </w:r>
      <w:r>
        <w:rPr>
          <w:rFonts w:hint="eastAsia" w:ascii="宋体" w:hAnsi="宋体"/>
          <w:bCs/>
          <w:color w:val="000000" w:themeColor="text1"/>
          <w:sz w:val="24"/>
          <w:szCs w:val="24"/>
          <w:highlight w:val="none"/>
          <w14:textFill>
            <w14:solidFill>
              <w14:schemeClr w14:val="tx1"/>
            </w14:solidFill>
          </w14:textFill>
        </w:rPr>
        <w:t xml:space="preserve">，常驻人员必须由《拟派项目人员配置名单》中明确的常驻人员承担。投标人需编制每日出勤清单，记录常驻人员、出勤情况、赴建设单位、无锡市审计局工作情况、请假情况等。</w:t>
      </w:r>
      <w:r>
        <w:rPr>
          <w:rFonts w:hint="eastAsia" w:ascii="宋体" w:hAnsi="宋体"/>
          <w:color w:val="000000" w:themeColor="text1"/>
          <w:sz w:val="24"/>
          <w:szCs w:val="21"/>
          <w:highlight w:val="none"/>
          <w14:textFill>
            <w14:solidFill>
              <w14:schemeClr w14:val="tx1"/>
            </w14:solidFill>
          </w14:textFill>
        </w:rPr>
        <w:t xml:space="preserve">项目中标后不得以其他项目尚未完成等其他原因影响本项目的现场常驻。</w:t>
      </w:r>
      <w:r/>
    </w:p>
    <w:p>
      <w:pPr>
        <w:ind w:left="0" w:firstLine="482"/>
        <w:keepLines w:val="0"/>
        <w:keepNext w:val="0"/>
        <w:pageBreakBefore w:val="0"/>
        <w:spacing w:line="360" w:lineRule="auto"/>
        <w:rPr>
          <w:rFonts w:hint="default" w:ascii="宋体" w:hAnsi="宋体" w:cs="宋体"/>
          <w:b/>
          <w:bCs/>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lang w:eastAsia="zh-CN"/>
          <w14:textFill>
            <w14:solidFill>
              <w14:schemeClr w14:val="tx1"/>
            </w14:solidFill>
          </w14:textFill>
        </w:rPr>
        <w:t xml:space="preserve">周新路</w:t>
      </w:r>
      <w:r>
        <w:rPr>
          <w:rFonts w:hint="eastAsia" w:ascii="宋体" w:hAnsi="宋体"/>
          <w:b/>
          <w:bCs/>
          <w:color w:val="000000" w:themeColor="text1"/>
          <w:sz w:val="24"/>
          <w:szCs w:val="21"/>
          <w:highlight w:val="none"/>
          <w:lang w:val="en-US" w:eastAsia="zh-CN"/>
          <w14:textFill>
            <w14:solidFill>
              <w14:schemeClr w14:val="tx1"/>
            </w14:solidFill>
          </w14:textFill>
        </w:rPr>
        <w:t xml:space="preserve">、</w:t>
      </w:r>
      <w:r>
        <w:rPr>
          <w:rFonts w:hint="eastAsia" w:ascii="宋体" w:hAnsi="宋体"/>
          <w:b/>
          <w:bCs/>
          <w:color w:val="000000" w:themeColor="text1"/>
          <w:sz w:val="24"/>
          <w:szCs w:val="21"/>
          <w:highlight w:val="none"/>
          <w:lang w:eastAsia="zh-CN"/>
          <w14:textFill>
            <w14:solidFill>
              <w14:schemeClr w14:val="tx1"/>
            </w14:solidFill>
          </w14:textFill>
        </w:rPr>
        <w:t xml:space="preserve">碧水河</w:t>
      </w:r>
      <w:r>
        <w:rPr>
          <w:rFonts w:hint="eastAsia" w:ascii="黑体" w:eastAsia="黑体"/>
          <w:bCs/>
          <w:color w:val="000000" w:themeColor="text1"/>
          <w:sz w:val="24"/>
          <w:szCs w:val="24"/>
          <w:highlight w:val="none"/>
          <w14:textFill>
            <w14:solidFill>
              <w14:schemeClr w14:val="tx1"/>
            </w14:solidFill>
          </w14:textFill>
        </w:rPr>
        <w:t xml:space="preserve">工程</w:t>
      </w:r>
      <w:r>
        <w:rPr>
          <w:rFonts w:hint="eastAsia" w:ascii="宋体" w:hAnsi="宋体"/>
          <w:b/>
          <w:bCs/>
          <w:color w:val="000000" w:themeColor="text1"/>
          <w:sz w:val="24"/>
          <w:szCs w:val="21"/>
          <w:highlight w:val="none"/>
          <w14:textFill>
            <w14:solidFill>
              <w14:schemeClr w14:val="tx1"/>
            </w14:solidFill>
          </w14:textFill>
        </w:rPr>
        <w:t xml:space="preserve">常驻时</w:t>
      </w:r>
      <w:r>
        <w:rPr>
          <w:rFonts w:hint="eastAsia" w:ascii="宋体" w:hAnsi="宋体"/>
          <w:b/>
          <w:bCs/>
          <w:color w:val="000000" w:themeColor="text1"/>
          <w:sz w:val="24"/>
          <w:szCs w:val="24"/>
          <w:highlight w:val="none"/>
          <w14:textFill>
            <w14:solidFill>
              <w14:schemeClr w14:val="tx1"/>
            </w14:solidFill>
          </w14:textFill>
        </w:rPr>
        <w:t xml:space="preserve">间至协审标段范围内</w:t>
      </w:r>
      <w:r>
        <w:rPr>
          <w:rFonts w:hint="eastAsia" w:ascii="宋体" w:hAnsi="宋体"/>
          <w:b/>
          <w:bCs/>
          <w:color w:val="000000" w:themeColor="text1"/>
          <w:sz w:val="24"/>
          <w:szCs w:val="24"/>
          <w:highlight w:val="none"/>
          <w:lang w:val="en-US" w:eastAsia="zh-CN"/>
          <w14:textFill>
            <w14:solidFill>
              <w14:schemeClr w14:val="tx1"/>
            </w14:solidFill>
          </w14:textFill>
        </w:rPr>
        <w:t xml:space="preserve">主体</w:t>
      </w:r>
      <w:r>
        <w:rPr>
          <w:rFonts w:hint="eastAsia" w:ascii="宋体" w:hAnsi="宋体"/>
          <w:b/>
          <w:bCs/>
          <w:color w:val="000000" w:themeColor="text1"/>
          <w:sz w:val="24"/>
          <w:szCs w:val="24"/>
          <w:highlight w:val="none"/>
          <w14:textFill>
            <w14:solidFill>
              <w14:schemeClr w14:val="tx1"/>
            </w14:solidFill>
          </w14:textFill>
        </w:rPr>
        <w:t xml:space="preserve">工程主体验收完成。</w:t>
      </w:r>
      <w:r/>
    </w:p>
    <w:p>
      <w:pPr>
        <w:ind w:left="0" w:firstLine="482"/>
        <w:keepLines w:val="0"/>
        <w:keepNext w:val="0"/>
        <w:pageBreakBefore w:val="0"/>
        <w:spacing w:line="360" w:lineRule="auto"/>
        <w:rPr>
          <w:rFonts w:hint="default" w:ascii="黑体" w:eastAsia="黑体"/>
          <w:b/>
          <w:color w:val="000000" w:themeColor="text1"/>
          <w:sz w:val="24"/>
          <w:szCs w:val="24"/>
          <w:highlight w:val="none"/>
          <w:u w:val="single"/>
          <w14:textFill>
            <w14:solidFill>
              <w14:schemeClr w14:val="tx1"/>
            </w14:solidFill>
          </w14:textFill>
        </w:rPr>
      </w:pPr>
      <w:r>
        <w:rPr>
          <w:rFonts w:hint="eastAsia" w:ascii="黑体" w:eastAsia="黑体"/>
          <w:b/>
          <w:color w:val="000000" w:themeColor="text1"/>
          <w:sz w:val="24"/>
          <w:szCs w:val="24"/>
          <w:highlight w:val="none"/>
          <w:u w:val="single"/>
          <w14:textFill>
            <w14:solidFill>
              <w14:schemeClr w14:val="tx1"/>
            </w14:solidFill>
          </w14:textFill>
        </w:rPr>
        <w:t xml:space="preserve">投标人只需提交一个协审方案，无需分标段描述，但应同时包括01、02标段的主要协审内容。</w:t>
      </w:r>
      <w:r/>
    </w:p>
    <w:p>
      <w:pPr>
        <w:ind w:left="0" w:firstLine="482"/>
        <w:keepLines w:val="0"/>
        <w:keepNext w:val="0"/>
        <w:pageBreakBefore w:val="0"/>
        <w:spacing w:line="360" w:lineRule="auto"/>
        <w:rPr>
          <w:rFonts w:hint="default" w:ascii="宋体" w:hAnsi="宋体"/>
          <w:b/>
          <w:bCs/>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合同签订后，采购人有权对中标供应商的履约能力进行审查，在履行合同期限内，如发现中标供应商未能按照投标承诺提供相应人员服务的，则采购人有权依法解除协审服务合同，并通报行业主管部门或其他相关部门进行处理，并将相关情况报政府采购监督管理部门作为其虚假投标的证据，进行处理。</w:t>
      </w:r>
      <w:r/>
    </w:p>
    <w:p>
      <w:pPr>
        <w:contextualSpacing/>
        <w:ind w:left="0" w:firstLine="480"/>
        <w:jc w:val="left"/>
        <w:keepLines w:val="0"/>
        <w:keepNext w:val="0"/>
        <w:pageBreakBefore w:val="0"/>
        <w:spacing w:after="0" w:line="360" w:lineRule="auto"/>
        <w:widowControl/>
        <w:tabs>
          <w:tab w:val="left" w:pos="1050" w:leader="none"/>
        </w:tabs>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en-US"/>
          <w14:textFill>
            <w14:solidFill>
              <w14:schemeClr w14:val="tx1"/>
            </w14:solidFill>
          </w14:textFill>
        </w:rPr>
        <w:t xml:space="preserve">3、中标人确定后的</w:t>
      </w:r>
      <w:r>
        <w:rPr>
          <w:rFonts w:hint="eastAsia" w:ascii="宋体" w:hAnsi="宋体" w:eastAsia="宋体" w:cs="宋体"/>
          <w:color w:val="000000" w:themeColor="text1"/>
          <w:sz w:val="24"/>
          <w:szCs w:val="24"/>
          <w:highlight w:val="none"/>
          <w:lang w:val="en-US" w:eastAsia="zh-CN" w:bidi="en-US"/>
          <w14:textFill>
            <w14:solidFill>
              <w14:schemeClr w14:val="tx1"/>
            </w14:solidFill>
          </w14:textFill>
        </w:rPr>
        <w:t xml:space="preserve">协议签订、协审内容、计费方法、费用支付：</w:t>
      </w:r>
      <w:r/>
    </w:p>
    <w:p>
      <w:pPr>
        <w:ind w:left="0" w:firstLine="480"/>
        <w:keepLines w:val="0"/>
        <w:keepNext w:val="0"/>
        <w:pageBreakBefore w:val="0"/>
        <w:spacing w:line="360" w:lineRule="auto"/>
        <w:tabs>
          <w:tab w:val="left" w:pos="3360" w:leader="none"/>
        </w:tabs>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（1）签订协议</w:t>
      </w:r>
      <w:r/>
    </w:p>
    <w:p>
      <w:pPr>
        <w:ind w:left="0" w:firstLine="480"/>
        <w:keepLines w:val="0"/>
        <w:keepNext w:val="0"/>
        <w:pageBreakBefore w:val="0"/>
        <w:spacing w:line="360" w:lineRule="auto"/>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中标单位与</w:t>
      </w:r>
      <w:r>
        <w:rPr>
          <w:rFonts w:hint="eastAsia" w:ascii="宋体" w:hAnsi="宋体" w:cs="宋体"/>
          <w:color w:val="000000" w:themeColor="text1"/>
          <w:sz w:val="24"/>
          <w:szCs w:val="21"/>
          <w:highlight w:val="none"/>
          <w:lang w:val="en-US" w:eastAsia="zh-CN"/>
          <w14:textFill>
            <w14:solidFill>
              <w14:schemeClr w14:val="tx1"/>
            </w14:solidFill>
          </w14:textFill>
        </w:rPr>
        <w:t xml:space="preserve">江苏无锡经济开发区财政局</w:t>
      </w:r>
      <w:r>
        <w:rPr>
          <w:rFonts w:hint="eastAsia" w:ascii="宋体" w:hAnsi="宋体" w:cs="宋体"/>
          <w:color w:val="000000" w:themeColor="text1"/>
          <w:sz w:val="24"/>
          <w:szCs w:val="21"/>
          <w:highlight w:val="none"/>
          <w14:textFill>
            <w14:solidFill>
              <w14:schemeClr w14:val="tx1"/>
            </w14:solidFill>
          </w14:textFill>
        </w:rPr>
        <w:t xml:space="preserve">签订《合同书》。</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（2）协审内容</w:t>
      </w:r>
      <w:r/>
    </w:p>
    <w:p>
      <w:pPr>
        <w:ind w:left="0" w:firstLine="480"/>
        <w:keepLines w:val="0"/>
        <w:keepNext w:val="0"/>
        <w:pageBreakBefore w:val="0"/>
        <w:spacing w:line="360" w:lineRule="auto"/>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详见《合同书》要求。</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（3）计费方法</w:t>
      </w:r>
      <w:r/>
    </w:p>
    <w:p>
      <w:pPr>
        <w:ind w:left="0" w:firstLine="480"/>
        <w:jc w:val="left"/>
        <w:keepLines w:val="0"/>
        <w:keepNext w:val="0"/>
        <w:pageBreakBefore w:val="0"/>
        <w:spacing w:before="0" w:beforeAutospacing="0" w:after="0" w:afterAutospacing="0" w:line="360" w:lineRule="auto"/>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本项目无需报价，各标段费用按照附件规定的计费办法计算。投标人须在《开标一览表》（格式见附件）中填写是否响应招标文件规定的计费方法。工程费用计费基数为各中标单位所承接标段范围内的审定工程造价（包括采购方要求审核的管线迁移等费用，不含大型成套设备），不分项目、不分施工</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标段</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，不分专业。除此之外，包括因项目工期、资料延误、人身伤害保险等等在内的各种情况，中标单位不再收取其他任何费用，不得向与委托内容相关的施工等单位收取任何费用。</w:t>
      </w:r>
      <w:r/>
    </w:p>
    <w:p>
      <w:pPr>
        <w:ind w:left="0" w:firstLine="480"/>
        <w:jc w:val="left"/>
        <w:keepLines w:val="0"/>
        <w:keepNext w:val="0"/>
        <w:pageBreakBefore w:val="0"/>
        <w:spacing w:before="0" w:beforeAutospacing="0" w:after="0" w:afterAutospacing="0" w:line="360" w:lineRule="auto"/>
        <w:widowControl/>
        <w:tabs>
          <w:tab w:val="left" w:pos="2895" w:leader="none"/>
        </w:tabs>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(4)费用支付</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审核费用由经开区财政预算安排，不列入项目建设成本。审核费用经无锡市审计局审核后，支付给协审机构</w:t>
      </w:r>
      <w:r>
        <w:rPr>
          <w:rFonts w:hint="eastAsia" w:ascii="宋体" w:hAnsi="宋体"/>
          <w:color w:val="000000" w:themeColor="text1"/>
          <w:sz w:val="24"/>
          <w:szCs w:val="21"/>
          <w:highlight w:val="none"/>
          <w14:textFill>
            <w14:solidFill>
              <w14:schemeClr w14:val="tx1"/>
            </w14:solidFill>
          </w14:textFill>
        </w:rPr>
        <w:t xml:space="preserve">。</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（5）审核费用与考核得分关系</w:t>
      </w:r>
      <w:r/>
    </w:p>
    <w:p>
      <w:pPr>
        <w:ind w:left="0" w:firstLine="480"/>
        <w:jc w:val="left"/>
        <w:keepLines w:val="0"/>
        <w:keepNext w:val="0"/>
        <w:pageBreakBefore w:val="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考核得分和审计费计取说明：最终审计费=（基本费+追加费）*考核系数+合理化节约投资奖励费</w:t>
      </w:r>
      <w:r/>
    </w:p>
    <w:p>
      <w:pPr>
        <w:ind w:left="0" w:firstLine="480"/>
        <w:jc w:val="left"/>
        <w:keepLines w:val="0"/>
        <w:keepNext w:val="0"/>
        <w:pageBreakBefore w:val="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①得分≥95分时，考核系数=1</w:t>
      </w:r>
      <w:r/>
    </w:p>
    <w:p>
      <w:pPr>
        <w:ind w:left="0" w:firstLine="480"/>
        <w:jc w:val="left"/>
        <w:keepLines w:val="0"/>
        <w:keepNext w:val="0"/>
        <w:pageBreakBefore w:val="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②95分&gt;得分≥80分时，考核系数=[0.005*（得分-80)+0.9],考核系数在0.9—0.975内；</w:t>
      </w:r>
      <w:r/>
    </w:p>
    <w:p>
      <w:pPr>
        <w:ind w:left="0" w:firstLine="480"/>
        <w:jc w:val="left"/>
        <w:keepLines w:val="0"/>
        <w:keepNext w:val="0"/>
        <w:pageBreakBefore w:val="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③当80分&gt;得分≥60分时，考核系数=[0.015*（得分-60)+0.6]，考核系数在0.6—0.9内；</w:t>
      </w:r>
      <w:r/>
    </w:p>
    <w:p>
      <w:pPr>
        <w:ind w:left="0" w:firstLine="480"/>
        <w:jc w:val="left"/>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④得分＜60分时，考核系数=0.5。同时在无锡市审计局给予警告1</w:t>
      </w:r>
      <w:r>
        <w:rPr>
          <w:rFonts w:hint="eastAsia"/>
          <w:color w:val="000000" w:themeColor="text1"/>
          <w:szCs w:val="21"/>
          <w:highlight w:val="none"/>
          <w14:textFill>
            <w14:solidFill>
              <w14:schemeClr w14:val="tx1"/>
            </w14:solidFill>
          </w14:textFill>
        </w:rPr>
        <w:t xml:space="preserve">次</w:t>
      </w:r>
      <w:r>
        <w:rPr>
          <w:rFonts w:hint="eastAsia" w:ascii="宋体" w:hAnsi="宋体"/>
          <w:color w:val="000000" w:themeColor="text1"/>
          <w:sz w:val="24"/>
          <w:szCs w:val="24"/>
          <w:highlight w:val="none"/>
          <w14:textFill>
            <w14:solidFill>
              <w14:schemeClr w14:val="tx1"/>
            </w14:solidFill>
          </w14:textFill>
        </w:rPr>
        <w:t xml:space="preserve">，并建议协审单位对项目负责人予以处理。</w:t>
      </w:r>
      <w:r/>
    </w:p>
    <w:p>
      <w:pPr>
        <w:ind w:left="0" w:firstLine="480"/>
        <w:jc w:val="left"/>
        <w:keepLines w:val="0"/>
        <w:keepNext w:val="0"/>
        <w:pageBreakBefore w:val="0"/>
        <w:spacing w:before="0" w:beforeAutospacing="0" w:after="0" w:afterAutospacing="0" w:line="360" w:lineRule="auto"/>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具体详见附件考核办法。</w:t>
      </w:r>
      <w:r/>
    </w:p>
    <w:p>
      <w:pPr>
        <w:ind w:left="0" w:firstLine="482"/>
        <w:keepLines w:val="0"/>
        <w:keepNext w:val="0"/>
        <w:pageBreakBefore w:val="0"/>
        <w:spacing w:line="360" w:lineRule="auto"/>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 xml:space="preserve">4</w:t>
      </w:r>
      <w:r>
        <w:rPr>
          <w:rFonts w:hint="eastAsia" w:ascii="宋体" w:hAnsi="宋体"/>
          <w:b/>
          <w:color w:val="000000" w:themeColor="text1"/>
          <w:sz w:val="24"/>
          <w:szCs w:val="21"/>
          <w:highlight w:val="none"/>
          <w14:textFill>
            <w14:solidFill>
              <w14:schemeClr w14:val="tx1"/>
            </w14:solidFill>
          </w14:textFill>
        </w:rPr>
        <w:t xml:space="preserve">、考核：</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为了确保项目协审工作质量，采购人将对中标单位协审工作进行考核。对于不同意接受考核的协审单位，采购人有权终止协议。</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具体考核条款、考核系数、详见附件。</w:t>
      </w:r>
      <w:r/>
    </w:p>
    <w:p>
      <w:pPr>
        <w:ind w:left="0" w:firstLine="482"/>
        <w:keepLines w:val="0"/>
        <w:keepNext w:val="0"/>
        <w:pageBreakBefore w:val="0"/>
        <w:spacing w:line="360" w:lineRule="auto"/>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 xml:space="preserve">5</w:t>
      </w:r>
      <w:r>
        <w:rPr>
          <w:rFonts w:hint="eastAsia" w:ascii="宋体" w:hAnsi="宋体"/>
          <w:b/>
          <w:color w:val="000000" w:themeColor="text1"/>
          <w:sz w:val="24"/>
          <w:szCs w:val="21"/>
          <w:highlight w:val="none"/>
          <w14:textFill>
            <w14:solidFill>
              <w14:schemeClr w14:val="tx1"/>
            </w14:solidFill>
          </w14:textFill>
        </w:rPr>
        <w:t xml:space="preserve">、违约责任：</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（1）在本项目规定的服务有效期内如发现中标单位相关人员有行贿、受贿、经济犯罪等违法行为，一经查实，采购人有权单方解除协议。</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（2）中标单位涂改、倒卖、出租、出借资质证书，或者以其他形式非法转让资质证书；擅自变更、转让、租借承接的工程造价咨询业务；一经查实，采购人有权依法定程序解除协议。</w:t>
      </w:r>
      <w:r/>
    </w:p>
    <w:p>
      <w:pPr>
        <w:ind w:left="0" w:firstLine="480"/>
        <w:keepLines w:val="0"/>
        <w:keepNext w:val="0"/>
        <w:pageBreakBefore w:val="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（3）在协审工作中，因中标单位原因造成违约或疏忽，延误工程实施进度或审核工作出现错误并造成重大影响的，将报相关监管部门处理，或采取法律手段解决索赔事宜。</w:t>
      </w:r>
      <w:r/>
    </w:p>
    <w:p>
      <w:pPr>
        <w:ind w:left="0" w:firstLine="480"/>
        <w:keepLines w:val="0"/>
        <w:keepNext w:val="0"/>
        <w:pageBreakBefore w:val="0"/>
        <w:spacing w:line="360" w:lineRule="auto"/>
        <w:tabs>
          <w:tab w:val="left" w:pos="1050" w:leader="none"/>
        </w:tabs>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（4）对提供不实或内容虚假的协审结果以及自行对外提供协审咨询报告的，由中标单位自行承担责任，情节严重的，依法提请有关部门追究事务所和相关责任人的法律责任。</w:t>
      </w:r>
      <w:r/>
    </w:p>
    <w:p>
      <w:pPr>
        <w:ind w:left="0" w:firstLine="480"/>
        <w:keepLines w:val="0"/>
        <w:keepNext w:val="0"/>
        <w:pageBreakBefore w:val="0"/>
        <w:spacing w:line="360" w:lineRule="auto"/>
        <w:tabs>
          <w:tab w:val="left" w:pos="1050" w:leader="none"/>
        </w:tabs>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（5）中标单位影响政府投资审核独立性和相应的回避原则，接受由建设单位或其他委托方委托的与对应</w:t>
      </w:r>
      <w:r>
        <w:rPr>
          <w:rFonts w:hint="eastAsia" w:ascii="宋体" w:hAnsi="宋体"/>
          <w:bCs/>
          <w:color w:val="000000" w:themeColor="text1"/>
          <w:sz w:val="24"/>
          <w:szCs w:val="21"/>
          <w:highlight w:val="none"/>
          <w14:textFill>
            <w14:solidFill>
              <w14:schemeClr w14:val="tx1"/>
            </w14:solidFill>
          </w14:textFill>
        </w:rPr>
        <w:t xml:space="preserve">中标项目</w:t>
      </w:r>
      <w:r>
        <w:rPr>
          <w:rFonts w:hint="eastAsia" w:ascii="宋体" w:hAnsi="宋体"/>
          <w:color w:val="000000" w:themeColor="text1"/>
          <w:sz w:val="24"/>
          <w:szCs w:val="21"/>
          <w:highlight w:val="none"/>
          <w14:textFill>
            <w14:solidFill>
              <w14:schemeClr w14:val="tx1"/>
            </w14:solidFill>
          </w14:textFill>
        </w:rPr>
        <w:t xml:space="preserve">建设投资或工程造价有关的工作（包括但不限于招标代理、清单编制、造价审核等），一经查实，采购人有权依法解除协议，并报相关监管部门处理。</w:t>
      </w:r>
      <w:r/>
    </w:p>
    <w:p>
      <w:pPr>
        <w:ind w:left="0" w:firstLine="482"/>
        <w:keepLines w:val="0"/>
        <w:keepNext w:val="0"/>
        <w:pageBreakBefore w:val="0"/>
        <w:spacing w:line="360" w:lineRule="auto"/>
        <w:tabs>
          <w:tab w:val="left" w:pos="1050" w:leader="none"/>
        </w:tabs>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 xml:space="preserve">6</w:t>
      </w:r>
      <w:r>
        <w:rPr>
          <w:rFonts w:hint="eastAsia" w:ascii="宋体" w:hAnsi="宋体"/>
          <w:b/>
          <w:color w:val="000000" w:themeColor="text1"/>
          <w:sz w:val="24"/>
          <w:szCs w:val="21"/>
          <w:highlight w:val="none"/>
          <w14:textFill>
            <w14:solidFill>
              <w14:schemeClr w14:val="tx1"/>
            </w14:solidFill>
          </w14:textFill>
        </w:rPr>
        <w:t xml:space="preserve">、其他事项：</w:t>
      </w:r>
      <w:r/>
    </w:p>
    <w:p>
      <w:pPr>
        <w:ind w:left="0" w:firstLine="480"/>
        <w:keepLines w:val="0"/>
        <w:keepNext w:val="0"/>
        <w:pageBreakBefore w:val="0"/>
        <w:spacing w:line="360" w:lineRule="auto"/>
        <w:tabs>
          <w:tab w:val="left" w:pos="1050" w:leader="none"/>
        </w:tabs>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能够接受采购方为保证政府投资审核独立性和不重复委托而提出的回避原则以及评分标准中的相关计分要求。中标单位需承诺在中标后不再接受由建设单位或其他单位委托的与对应中标项目建设投资或工程造价有关的工作（包括但不限于招标代理、清单编制、造价审核等）。</w:t>
      </w:r>
      <w:r/>
    </w:p>
    <w:p>
      <w:pPr>
        <w:ind w:left="0" w:firstLine="480"/>
        <w:keepLines w:val="0"/>
        <w:keepNext w:val="0"/>
        <w:pageBreakBefore w:val="0"/>
        <w:spacing w:line="360" w:lineRule="auto"/>
        <w:tabs>
          <w:tab w:val="left" w:pos="1050" w:leader="none"/>
        </w:tabs>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中标单位应加强对审核质量的控制，采购人可视情况对中标单位的审核成果进行复核。复核范围可选择全部复核或部分复核，若采用部分复核方式时发现核减率过大，可进行全面复核。复核方式可采用交叉复核、外聘单位复核等多种方式进行。</w:t>
      </w:r>
      <w:r/>
    </w:p>
    <w:p>
      <w:pPr>
        <w:ind w:left="0" w:firstLine="480"/>
        <w:keepLines w:val="0"/>
        <w:keepNext w:val="0"/>
        <w:pageBreakBefore w:val="0"/>
        <w:spacing w:line="360" w:lineRule="auto"/>
        <w:tabs>
          <w:tab w:val="left" w:pos="1050" w:leader="none"/>
        </w:tabs>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复核后，按考核办法相应条款进行扣分；在与施工单位对账的基础上调整结算金额，同时按以下方法进行协审费用处理：</w:t>
      </w:r>
      <w:r/>
    </w:p>
    <w:p>
      <w:pPr>
        <w:ind w:left="0" w:firstLine="480"/>
        <w:keepLines w:val="0"/>
        <w:keepNext w:val="0"/>
        <w:pageBreakBefore w:val="0"/>
        <w:spacing w:line="360" w:lineRule="auto"/>
        <w:tabs>
          <w:tab w:val="left" w:pos="1050" w:leader="none"/>
        </w:tabs>
        <w:rPr>
          <w:rFonts w:hint="default" w:ascii="宋体" w:hAnsi="宋体"/>
          <w:color w:val="000000" w:themeColor="text1"/>
          <w:sz w:val="24"/>
          <w:szCs w:val="21"/>
          <w:highlight w:val="none"/>
          <w14:textFill>
            <w14:solidFill>
              <w14:schemeClr w14:val="tx1"/>
            </w14:solidFill>
          </w14:textFill>
        </w:rPr>
      </w:pPr>
      <w:r>
        <w:rPr>
          <w:rFonts w:hint="default" w:ascii="宋体" w:hAnsi="宋体"/>
          <w:color w:val="000000" w:themeColor="text1"/>
          <w:sz w:val="24"/>
          <w:szCs w:val="21"/>
          <w:highlight w:val="none"/>
          <w14:textFill>
            <w14:solidFill>
              <w14:schemeClr w14:val="tx1"/>
            </w14:solidFill>
          </w14:textFill>
        </w:rPr>
        <w:t xml:space="preserve">①</w:t>
      </w:r>
      <w:r>
        <w:rPr>
          <w:rFonts w:hint="eastAsia" w:ascii="宋体" w:hAnsi="宋体"/>
          <w:color w:val="000000" w:themeColor="text1"/>
          <w:sz w:val="24"/>
          <w:szCs w:val="21"/>
          <w:highlight w:val="none"/>
          <w14:textFill>
            <w14:solidFill>
              <w14:schemeClr w14:val="tx1"/>
            </w14:solidFill>
          </w14:textFill>
        </w:rPr>
        <w:t xml:space="preserve">基本费按照复核结果进行计算。</w:t>
      </w:r>
      <w:r/>
    </w:p>
    <w:p>
      <w:pPr>
        <w:ind w:left="0" w:firstLine="480"/>
        <w:keepLines w:val="0"/>
        <w:keepNext w:val="0"/>
        <w:pageBreakBefore w:val="0"/>
        <w:spacing w:line="360" w:lineRule="auto"/>
        <w:tabs>
          <w:tab w:val="left" w:pos="1050" w:leader="none"/>
        </w:tabs>
        <w:rPr>
          <w:rFonts w:hint="default" w:ascii="宋体" w:hAnsi="宋体"/>
          <w:color w:val="000000" w:themeColor="text1"/>
          <w:sz w:val="24"/>
          <w:szCs w:val="21"/>
          <w:highlight w:val="none"/>
          <w14:textFill>
            <w14:solidFill>
              <w14:schemeClr w14:val="tx1"/>
            </w14:solidFill>
          </w14:textFill>
        </w:rPr>
      </w:pPr>
      <w:r>
        <w:rPr>
          <w:rFonts w:hint="default" w:ascii="宋体" w:hAnsi="宋体"/>
          <w:color w:val="000000" w:themeColor="text1"/>
          <w:sz w:val="24"/>
          <w:szCs w:val="21"/>
          <w:highlight w:val="none"/>
          <w14:textFill>
            <w14:solidFill>
              <w14:schemeClr w14:val="tx1"/>
            </w14:solidFill>
          </w14:textFill>
        </w:rPr>
        <w:t xml:space="preserve">②</w:t>
      </w:r>
      <w:r>
        <w:rPr>
          <w:rFonts w:hint="eastAsia" w:ascii="宋体" w:hAnsi="宋体"/>
          <w:color w:val="000000" w:themeColor="text1"/>
          <w:sz w:val="24"/>
          <w:szCs w:val="21"/>
          <w:highlight w:val="none"/>
          <w14:textFill>
            <w14:solidFill>
              <w14:schemeClr w14:val="tx1"/>
            </w14:solidFill>
          </w14:textFill>
        </w:rPr>
        <w:t xml:space="preserve">原协审单位追加费用的计取不含质量复核产生的核减金额。</w:t>
      </w:r>
      <w:r/>
    </w:p>
    <w:p>
      <w:pPr>
        <w:ind w:left="0" w:firstLine="480"/>
        <w:keepLines w:val="0"/>
        <w:keepNext w:val="0"/>
        <w:pageBreakBefore w:val="0"/>
        <w:spacing w:line="360" w:lineRule="auto"/>
        <w:shd w:val="clear" w:color="auto"/>
        <w:tabs>
          <w:tab w:val="left" w:pos="1050" w:leader="none"/>
        </w:tabs>
        <w:rPr>
          <w:rFonts w:ascii="宋体" w:hAnsi="宋体"/>
          <w:color w:val="000000" w:themeColor="text1"/>
          <w:sz w:val="24"/>
          <w:highlight w:val="none"/>
          <w14:textFill>
            <w14:solidFill>
              <w14:schemeClr w14:val="tx1"/>
            </w14:solidFill>
          </w14:textFill>
        </w:rPr>
      </w:pPr>
      <w:r>
        <w:rPr>
          <w:rFonts w:hint="default" w:ascii="宋体" w:hAnsi="宋体"/>
          <w:color w:val="000000" w:themeColor="text1"/>
          <w:sz w:val="24"/>
          <w:szCs w:val="21"/>
          <w:highlight w:val="none"/>
          <w14:textFill>
            <w14:solidFill>
              <w14:schemeClr w14:val="tx1"/>
            </w14:solidFill>
          </w14:textFill>
        </w:rPr>
        <w:t xml:space="preserve">③</w:t>
      </w:r>
      <w:r>
        <w:rPr>
          <w:rFonts w:hint="eastAsia" w:ascii="宋体" w:hAnsi="宋体"/>
          <w:color w:val="000000" w:themeColor="text1"/>
          <w:sz w:val="24"/>
          <w:szCs w:val="21"/>
          <w:highlight w:val="none"/>
          <w14:textFill>
            <w14:solidFill>
              <w14:schemeClr w14:val="tx1"/>
            </w14:solidFill>
          </w14:textFill>
        </w:rPr>
        <w:t xml:space="preserve">根据复核结果按考核办法进行考评，根据考核系数计算最终审计费。</w:t>
      </w:r>
      <w:r/>
    </w:p>
    <w:p>
      <w:pPr>
        <w:ind w:firstLine="480"/>
        <w:spacing w:line="360" w:lineRule="auto"/>
        <w:shd w:val="clear" w:color="auto"/>
        <w:rPr>
          <w:rFonts w:ascii="黑体" w:hAnsi="宋体" w:eastAsia="黑体"/>
          <w:bCs/>
          <w:color w:val="000000" w:themeColor="text1"/>
          <w:sz w:val="24"/>
          <w:highlight w:val="none"/>
          <w14:textFill>
            <w14:solidFill>
              <w14:schemeClr w14:val="tx1"/>
            </w14:solidFill>
          </w14:textFill>
        </w:rPr>
      </w:pPr>
      <w:r>
        <w:rPr>
          <w:rFonts w:ascii="黑体" w:hAnsi="宋体" w:eastAsia="黑体"/>
          <w:bCs/>
          <w:color w:val="000000" w:themeColor="text1"/>
          <w:sz w:val="24"/>
          <w:highlight w:val="none"/>
          <w14:textFill>
            <w14:solidFill>
              <w14:schemeClr w14:val="tx1"/>
            </w14:solidFill>
          </w14:textFill>
        </w:rPr>
      </w:r>
      <w:r/>
    </w:p>
    <w:p>
      <w:pPr>
        <w:ind w:left="0" w:firstLine="640"/>
        <w:jc w:val="left"/>
        <w:keepLines w:val="0"/>
        <w:keepNext w:val="0"/>
        <w:pageBreakBefore w:val="0"/>
        <w:spacing w:line="360" w:lineRule="auto"/>
        <w:shd w:val="clear" w:color="auto"/>
        <w:rPr>
          <w:rFonts w:hint="eastAsia" w:ascii="微软雅黑" w:hAnsi="微软雅黑" w:eastAsia="微软雅黑" w:cs="微软雅黑"/>
          <w:b/>
          <w:color w:val="000000" w:themeColor="text1"/>
          <w:sz w:val="32"/>
          <w:szCs w:val="32"/>
          <w:highlight w:val="none"/>
          <w14:textFill>
            <w14:solidFill>
              <w14:schemeClr w14:val="tx1"/>
            </w14:solidFill>
          </w14:textFill>
        </w:rPr>
      </w:pPr>
      <w:r>
        <w:rPr>
          <w:rFonts w:hint="eastAsia" w:ascii="微软雅黑" w:hAnsi="微软雅黑" w:eastAsia="微软雅黑" w:cs="微软雅黑"/>
          <w:b/>
          <w:color w:val="000000" w:themeColor="text1"/>
          <w:sz w:val="32"/>
          <w:szCs w:val="32"/>
          <w:highlight w:val="none"/>
          <w14:textFill>
            <w14:solidFill>
              <w14:schemeClr w14:val="tx1"/>
            </w14:solidFill>
          </w14:textFill>
        </w:rPr>
        <w:t xml:space="preserve"> 第二部分  有关说明</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审计费用包括满足本项目服务要求的从项目中标起到项目正式交付以及服务期内所发生的一切费用。</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通过中国海关报关验放进入中国境内且产自关境外的产品不在本项目的报价范围。</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投标人如有技术偏离请于投标偏离表中说明。</w:t>
      </w:r>
      <w:r/>
    </w:p>
    <w:p>
      <w:pPr>
        <w:numPr>
          <w:ilvl w:val="1"/>
          <w:numId w:val="2"/>
        </w:numPr>
        <w:ind w:left="0" w:firstLine="525"/>
        <w:spacing w:line="360" w:lineRule="auto"/>
        <w:shd w:val="clear" w:color="auto"/>
        <w:tabs>
          <w:tab w:val="left" w:pos="52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服务期限：自合同签订生效之日起至对应中标项目由无锡市审计局出具竣工决算审计报告止。</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本项目合同履行地点：无锡经开区，具体地点以合同书约定为准。</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质量及验收：合格标准，符合国家、省、市以及相关管理部门相关规定和行业规范。</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采购人负责对本次采购产生的中标单位在履约期间的管理、考核及协审费用审核等工作。</w:t>
      </w:r>
      <w:r/>
    </w:p>
    <w:p>
      <w:pPr>
        <w:numPr>
          <w:ilvl w:val="1"/>
          <w:numId w:val="2"/>
        </w:numPr>
        <w:ind w:left="0" w:firstLine="525"/>
        <w:spacing w:line="360" w:lineRule="auto"/>
        <w:shd w:val="clear" w:color="auto"/>
        <w:tabs>
          <w:tab w:val="left" w:pos="525" w:leader="none"/>
          <w:tab w:val="left" w:pos="630" w:leader="none"/>
          <w:tab w:val="left" w:pos="735" w:leader="none"/>
          <w:tab w:val="clear" w:pos="780" w:leader="none"/>
          <w:tab w:val="left" w:pos="945" w:leader="none"/>
        </w:tabs>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采购人保留对投标人提供的数据及证明材料进行外调核查的权力。</w:t>
      </w:r>
      <w:r/>
    </w:p>
    <w:p>
      <w:pPr>
        <w:pStyle w:val="1090"/>
        <w:shd w:val="clear" w:color="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rPr>
          <w:rFonts w:hint="eastAsia" w:hAnsi="宋体" w:cs="宋体"/>
          <w:b/>
          <w:bCs/>
          <w:color w:val="000000" w:themeColor="text1"/>
          <w:sz w:val="36"/>
          <w:szCs w:val="36"/>
          <w:highlight w:val="none"/>
          <w14:textFill>
            <w14:solidFill>
              <w14:schemeClr w14:val="tx1"/>
            </w14:solidFill>
          </w14:textFill>
        </w:rPr>
      </w:pPr>
      <w:r/>
      <w:bookmarkStart w:id="29" w:name="_Toc21985"/>
      <w:r/>
      <w:bookmarkStart w:id="30" w:name="_Toc21591"/>
      <w:r>
        <w:rPr>
          <w:rFonts w:hint="eastAsia" w:hAnsi="宋体" w:cs="宋体"/>
          <w:b/>
          <w:bCs/>
          <w:color w:val="000000" w:themeColor="text1"/>
          <w:sz w:val="36"/>
          <w:szCs w:val="36"/>
          <w:highlight w:val="none"/>
          <w14:textFill>
            <w14:solidFill>
              <w14:schemeClr w14:val="tx1"/>
            </w14:solidFill>
          </w14:textFill>
        </w:rPr>
        <w:br w:type="page" w:clear="all"/>
      </w:r>
      <w:r/>
    </w:p>
    <w:p>
      <w:pPr>
        <w:jc w:val="center"/>
        <w:spacing w:line="360" w:lineRule="auto"/>
        <w:shd w:val="clear" w:color="auto"/>
        <w:rPr>
          <w:rFonts w:hint="eastAsia" w:hAnsi="宋体" w:cs="宋体"/>
          <w:b/>
          <w:bCs/>
          <w:color w:val="000000" w:themeColor="text1"/>
          <w:sz w:val="36"/>
          <w:szCs w:val="36"/>
          <w:highlight w:val="none"/>
          <w14:textFill>
            <w14:solidFill>
              <w14:schemeClr w14:val="tx1"/>
            </w14:solidFill>
          </w14:textFill>
        </w:rPr>
        <w:outlineLvl w:val="0"/>
      </w:pPr>
      <w:r>
        <w:rPr>
          <w:rFonts w:hint="eastAsia" w:hAnsi="宋体" w:cs="宋体"/>
          <w:b/>
          <w:bCs/>
          <w:color w:val="000000" w:themeColor="text1"/>
          <w:sz w:val="36"/>
          <w:szCs w:val="36"/>
          <w:highlight w:val="none"/>
          <w14:textFill>
            <w14:solidFill>
              <w14:schemeClr w14:val="tx1"/>
            </w14:solidFill>
          </w14:textFill>
        </w:rPr>
        <w:t xml:space="preserve">四、合同书（格式文本）</w:t>
      </w:r>
      <w:bookmarkEnd w:id="28"/>
      <w:r/>
      <w:bookmarkEnd w:id="29"/>
      <w:r/>
      <w:bookmarkEnd w:id="30"/>
      <w:r/>
      <w:r/>
    </w:p>
    <w:p>
      <w:pPr>
        <w:ind w:firstLine="480"/>
        <w:spacing w:line="400" w:lineRule="exact"/>
        <w:shd w:val="clear" w:color="auto"/>
        <w:rPr>
          <w:rFonts w:hint="default" w:ascii="宋体" w:hAnsi="宋体"/>
          <w:bCs/>
          <w:color w:val="000000" w:themeColor="text1"/>
          <w:sz w:val="24"/>
          <w:szCs w:val="21"/>
          <w:highlight w:val="none"/>
          <w14:textFill>
            <w14:solidFill>
              <w14:schemeClr w14:val="tx1"/>
            </w14:solidFill>
          </w14:textFill>
        </w:rPr>
      </w:pPr>
      <w:r/>
      <w:bookmarkStart w:id="31" w:name="_Toc20823315"/>
      <w:r/>
      <w:bookmarkStart w:id="32" w:name="_Toc513029243"/>
      <w:r/>
      <w:bookmarkStart w:id="33" w:name="_Toc16938559"/>
      <w:r/>
      <w:bookmarkStart w:id="34" w:name="_Toc17918"/>
      <w:r/>
      <w:bookmarkStart w:id="35" w:name="_Toc4709"/>
      <w:r>
        <w:rPr>
          <w:rFonts w:hint="eastAsia" w:ascii="宋体" w:hAnsi="宋体"/>
          <w:bCs/>
          <w:color w:val="000000" w:themeColor="text1"/>
          <w:sz w:val="24"/>
          <w:szCs w:val="21"/>
          <w:highlight w:val="none"/>
          <w14:textFill>
            <w14:solidFill>
              <w14:schemeClr w14:val="tx1"/>
            </w14:solidFill>
          </w14:textFill>
        </w:rPr>
        <w:t xml:space="preserve">以下为中标后</w:t>
      </w:r>
      <w:r>
        <w:rPr>
          <w:rFonts w:hint="eastAsia" w:ascii="宋体" w:hAnsi="宋体"/>
          <w:bCs/>
          <w:color w:val="000000" w:themeColor="text1"/>
          <w:sz w:val="24"/>
          <w:szCs w:val="21"/>
          <w:highlight w:val="none"/>
          <w:lang w:eastAsia="zh-CN"/>
          <w14:textFill>
            <w14:solidFill>
              <w14:schemeClr w14:val="tx1"/>
            </w14:solidFill>
          </w14:textFill>
        </w:rPr>
        <w:t xml:space="preserve">签订</w:t>
      </w:r>
      <w:r>
        <w:rPr>
          <w:rFonts w:hint="eastAsia" w:ascii="宋体" w:hAnsi="宋体"/>
          <w:bCs/>
          <w:color w:val="000000" w:themeColor="text1"/>
          <w:sz w:val="24"/>
          <w:szCs w:val="21"/>
          <w:highlight w:val="none"/>
          <w14:textFill>
            <w14:solidFill>
              <w14:schemeClr w14:val="tx1"/>
            </w14:solidFill>
          </w14:textFill>
        </w:rPr>
        <w:t xml:space="preserve">本项目合同的通用条款，中标人不得提出实质性的修改。</w:t>
      </w:r>
      <w:r/>
    </w:p>
    <w:p>
      <w:pPr>
        <w:jc w:val="center"/>
        <w:spacing w:line="400" w:lineRule="exact"/>
        <w:shd w:val="clear" w:color="auto"/>
        <w:rPr>
          <w:rFonts w:hint="default"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江苏省政府采购合同（服务）（合同编号）</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项目名称：                                       项目编号：</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甲方：（买方、需方、采购人）_________</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乙方：（卖方、供方、供应商）_________</w:t>
      </w:r>
      <w:r/>
    </w:p>
    <w:p>
      <w:pPr>
        <w:ind w:firstLine="480"/>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甲、乙双方根据</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项目公开招标的结果，签署本合同。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合同</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内容</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1.1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标的</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名称：</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标的质量：</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1.3 标的数量（规模）：</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1.4 履行时间（期限）：</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1.5 履行地点：</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6履行方式：</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二、合同金额</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2.1 本合同金额为（大写）：</w:t>
      </w:r>
      <w:r>
        <w:rPr>
          <w:rFonts w:hint="eastAsia" w:ascii="宋体" w:hAnsi="宋体" w:eastAsia="宋体" w:cs="Times New Roman"/>
          <w:color w:val="000000" w:themeColor="text1"/>
          <w:sz w:val="24"/>
          <w:szCs w:val="24"/>
          <w:highlight w:val="none"/>
          <w:u w:val="single"/>
          <w:shd w:val="clear" w:color="ffffff" w:fill="d9d9d9"/>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shd w:val="clear" w:color="ffffff" w:fill="d9d9d9"/>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元）人民币</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或其他币种</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三、技术资料</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3.1乙方应按招标文件规定的时间向甲方提供服务</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（包含与服务相关的货物）</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的有关技术资料。</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3.2 没有</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甲方及无锡市审计局</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事先书面同意，乙方不得将由甲方提供的有关合同或任何合同条文、规格、计划、图纸、样品或资料提供</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给予</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履行本合同无关的任何其他人。即使向履行本合同有关的人员提供，也应注意保密并限于履行合同的必需范围。</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四、知识产权</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4.1乙</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jc w:val="both"/>
        <w:spacing w:line="400" w:lineRule="exact"/>
        <w:shd w:val="clear" w:color="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五、产权担保</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u w:val="singl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5.1 乙方保证所交付的</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服务（包含与服务相关的货物）</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的所有权完全属于乙方且无任何抵押、查封等产权瑕疵。</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六、履约保证金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6.1 乙方交纳人民币</w:t>
      </w:r>
      <w:r>
        <w:rPr>
          <w:rFonts w:hint="eastAsia" w:ascii="宋体" w:hAnsi="宋体" w:eastAsia="宋体" w:cs="Times New Roman"/>
          <w:color w:val="000000" w:themeColor="text1"/>
          <w:sz w:val="24"/>
          <w:szCs w:val="24"/>
          <w:highlight w:val="none"/>
          <w:u w:val="single"/>
          <w:shd w:val="clear" w:color="ffffff" w:fill="d9d9d9"/>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元作为本合同的履约保证金。</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（不得超过合同金额的10%）</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6.2合同履行结束后，甲方应及时退还交纳的履约保证金。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6.2.1履约保证金退还方式：</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6.2.2履约保证金退还时间：</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6.2.3履约保证金退还条件：</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6.2.4履约保证金不予退还的情形：</w:t>
      </w:r>
      <w:r/>
    </w:p>
    <w:p>
      <w:pPr>
        <w:ind w:firstLine="482"/>
        <w:spacing w:line="400" w:lineRule="exact"/>
        <w:shd w:val="clear" w:color="auto"/>
        <w:rPr>
          <w:rFonts w:hint="default"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shd w:val="clear" w:color="auto"/>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shd w:val="clear" w:color="auto"/>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shd w:val="clear" w:color="auto"/>
        <w:rPr>
          <w:rFonts w:hint="default" w:ascii="宋体" w:hAnsi="宋体" w:eastAsia="仿宋_GB2312"/>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八</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审核费用支付</w:t>
      </w:r>
      <w:r/>
    </w:p>
    <w:p>
      <w:pPr>
        <w:ind w:firstLine="480"/>
        <w:jc w:val="both"/>
        <w:spacing w:line="400" w:lineRule="exact"/>
        <w:widowControl w:val="off"/>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8</w:t>
      </w:r>
      <w:r>
        <w:rPr>
          <w:rFonts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合同款项的支付方式及进度安排</w:t>
      </w:r>
      <w:r/>
    </w:p>
    <w:p>
      <w:pPr>
        <w:ind w:firstLine="480"/>
        <w:jc w:val="both"/>
        <w:spacing w:line="400" w:lineRule="exact"/>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8.1.1 预付款支付时间：合同签订后</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日内，预付款支付比例：合同金额的</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480"/>
        <w:jc w:val="both"/>
        <w:spacing w:line="400" w:lineRule="exact"/>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8.1.2 尾款支付时间：服务结束并验收合格,采购人收到发票后15日内，尾款支付比例：合同金额的</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jc w:val="both"/>
        <w:spacing w:line="400" w:lineRule="exact"/>
        <w:widowControl w:val="off"/>
        <w:rPr>
          <w:rFonts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eastAsia="宋体" w:cs="Times New Roman"/>
          <w:bCs/>
          <w:color w:val="000000" w:themeColor="text1"/>
          <w:sz w:val="24"/>
          <w:szCs w:val="24"/>
          <w:highlight w:val="none"/>
          <w:lang w:val="en-US" w:eastAsia="en-US" w:bidi="ar-SA"/>
          <w14:textFill>
            <w14:solidFill>
              <w14:schemeClr w14:val="tx1"/>
            </w14:solidFill>
          </w14:textFill>
        </w:rPr>
        <w:t xml:space="preserve">）</w:t>
      </w:r>
      <w:r/>
    </w:p>
    <w:p>
      <w:pPr>
        <w:ind w:firstLine="482"/>
        <w:spacing w:line="400" w:lineRule="exact"/>
        <w:shd w:val="clear" w:color="auto"/>
        <w:rPr>
          <w:rFonts w:hint="default"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shd w:val="clear" w:color="auto"/>
        <w:rPr>
          <w:rFonts w:hint="default"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hint="default"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jc w:val="both"/>
        <w:spacing w:line="4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项目</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验收</w:t>
      </w:r>
      <w:r/>
    </w:p>
    <w:p>
      <w:pPr>
        <w:ind w:firstLine="480"/>
        <w:jc w:val="both"/>
        <w:spacing w:line="400" w:lineRule="exact"/>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10.1 甲方及无锡市审计局依法组织履约验收工作。甲方及无锡市审计局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甲方及无锡市审计局根据国家有关规定、采购文件、供应商的投标文件以及合同约定的内容和验收标准进行验收。验收情况作为支付服务费用的依据。</w:t>
      </w:r>
      <w:r/>
    </w:p>
    <w:p>
      <w:pPr>
        <w:ind w:firstLine="480"/>
        <w:jc w:val="both"/>
        <w:spacing w:line="400" w:lineRule="exact"/>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验收合格的项目,甲方及无锡市审计局根据采购合同的约定及时向乙方支付合同款项。验收不合格的项目，甲方及无锡市审计局依法及时处理。采购合同的履行、违约责任和解决争议的方式等适用《民法典》。乙方在履约过程中有政府采购法律法规规定的违法违规情形的,甲方及无锡市审计局将及时报告本级财政部门。</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十一、</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违约责任</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 甲方无正当理由</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拒绝接受乙方提供服务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的，甲方向乙方偿付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拒绝接受服务合同价款</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总值</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10%</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的违约金。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 甲方无故逾期验收和办理</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合同款项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支付手续的,甲方应按逾期付款总额</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每日向乙方支付违约金。</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 乙方逾期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的，乙方应按逾期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提供服务合同</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总额每日千分之六向甲方支付违约金，由甲方从待付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合同款项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中扣除。逾期超过约定日期10个工作日不能</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的，甲方可解除本合同。乙方因逾期</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提供服务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或因其他违约行为导致甲方解除合同的，乙方应向甲方支付合同</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价款总额</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的违约金，如造成甲方损失超过违约金的，超出部分由乙方继续承担赔偿责任。 </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.4 乙方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所提供服务的标准</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不符合合同规定及招标文件规定标准的，甲方有权</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拒绝接受服务</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并</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可单方面解除合同。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二</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、不可抗力事件处理</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 在合同有效期内，任何一方因不可抗力事件导致不能履行合同，则合同履行期可延长，其延长期与不可抗力影响</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期相同。</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 不可抗力事件发生后，应立即通知对方，并寄送有关权威机构出具的证明。</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.3 不可抗力事件延续120天以上，双方应通过友好协商，确定是否继续履行合同。</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三</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解决争议的方法</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.1双方在签订、履行合同中所发生的一切争议，应通过友好协商解决。如协商不成，由甲方住所地人民法院管辖。</w:t>
      </w:r>
      <w:r/>
    </w:p>
    <w:p>
      <w:pPr>
        <w:ind w:firstLine="482"/>
        <w:jc w:val="both"/>
        <w:spacing w:line="400" w:lineRule="exact"/>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十</w:t>
      </w:r>
      <w:r>
        <w:rPr>
          <w:rFonts w:hint="eastAsia" w:ascii="宋体" w:hAnsi="宋体" w:cs="Times New Roman"/>
          <w:b/>
          <w:color w:val="000000" w:themeColor="text1"/>
          <w:sz w:val="24"/>
          <w:szCs w:val="24"/>
          <w:highlight w:val="none"/>
          <w:lang w:val="en-US" w:eastAsia="zh-CN" w:bidi="ar-SA"/>
          <w14:textFill>
            <w14:solidFill>
              <w14:schemeClr w14:val="tx1"/>
            </w14:solidFill>
          </w14:textFill>
        </w:rPr>
        <w:t xml:space="preserve">四</w:t>
      </w:r>
      <w:r>
        <w:rPr>
          <w:rFonts w:ascii="宋体" w:hAnsi="宋体" w:eastAsia="宋体" w:cs="Times New Roman"/>
          <w:b/>
          <w:color w:val="000000" w:themeColor="text1"/>
          <w:sz w:val="24"/>
          <w:szCs w:val="24"/>
          <w:highlight w:val="none"/>
          <w:lang w:val="en-US" w:eastAsia="zh-CN" w:bidi="ar-SA"/>
          <w14:textFill>
            <w14:solidFill>
              <w14:schemeClr w14:val="tx1"/>
            </w14:solidFill>
          </w14:textFill>
        </w:rPr>
        <w:t xml:space="preserve">、合同生效及其它</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4</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 合同经双方法定代表人或授权委托代</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表</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人签字并加盖单位公章后生效。</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4</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.2本合同未尽事宜，遵照</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《民法典》、《政府采购法》</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有关条文执行。</w:t>
      </w:r>
      <w:r/>
    </w:p>
    <w:p>
      <w:pPr>
        <w:ind w:firstLine="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4</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 本合同正本一式</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两</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份，具有同等法律效力，甲</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方、</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乙方各执一份。</w:t>
      </w:r>
      <w:r/>
    </w:p>
    <w:p>
      <w:pPr>
        <w:ind w:left="480" w:hanging="480"/>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甲方：                        乙方： </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  地址：                       </w:t>
      </w:r>
      <w:r>
        <w:rPr>
          <w:rFonts w:hint="eastAsia" w:ascii="宋体" w:hAnsi="宋体" w:eastAsia="宋体" w:cs="Times New Roman"/>
          <w:color w:val="000000" w:themeColor="text1"/>
          <w:sz w:val="24"/>
          <w:szCs w:val="24"/>
          <w:highlight w:val="none"/>
          <w:lang w:val="en-US" w:eastAsia="en-US"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地址： </w:t>
      </w:r>
      <w:r/>
    </w:p>
    <w:p>
      <w:pPr>
        <w:jc w:val="both"/>
        <w:spacing w:line="400" w:lineRule="exact"/>
        <w:shd w:val="clear" w:color="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lang w:val="en-US" w:eastAsia="en-US" w:bidi="ar-SA"/>
          <w14:textFill>
            <w14:solidFill>
              <w14:schemeClr w14:val="tx1"/>
            </w14:solidFill>
          </w14:textFill>
        </w:rPr>
        <w:t xml:space="preserve">  </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法定代表人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或授权代表</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        法定代表人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或授权代表</w:t>
      </w:r>
      <w:r>
        <w:rPr>
          <w:rFonts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240"/>
        <w:jc w:val="both"/>
        <w:spacing w:line="400" w:lineRule="exact"/>
        <w:shd w:val="clear" w:color="auto"/>
        <w:widowControl w:val="off"/>
        <w:rPr>
          <w:rFonts w:ascii="宋体" w:hAnsi="Courier New" w:eastAsia="宋体" w:cs="Times New Roman"/>
          <w:color w:val="000000" w:themeColor="text1"/>
          <w:sz w:val="20"/>
          <w:szCs w:val="21"/>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联系电话：                    联系电话：          </w:t>
      </w:r>
      <w:r/>
    </w:p>
    <w:p>
      <w:pPr>
        <w:ind w:firstLine="480"/>
        <w:spacing w:line="400" w:lineRule="exact"/>
        <w:shd w:val="clear" w:color="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ind w:firstLine="480"/>
        <w:spacing w:line="400" w:lineRule="exact"/>
        <w:shd w:val="clear" w:color="auto"/>
        <w:rPr>
          <w:rFonts w:hint="default"/>
          <w:color w:val="000000" w:themeColor="text1"/>
          <w:sz w:val="24"/>
          <w:szCs w:val="24"/>
          <w:highlight w:val="none"/>
          <w14:textFill>
            <w14:solidFill>
              <w14:schemeClr w14:val="tx1"/>
            </w14:solidFill>
          </w14:textFill>
        </w:rPr>
      </w:pPr>
      <w:r>
        <w:rPr>
          <w:rFonts w:hint="default"/>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rFonts w:hint="default"/>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rFonts w:hint="default"/>
          <w:color w:val="000000" w:themeColor="text1"/>
          <w:sz w:val="24"/>
          <w:szCs w:val="24"/>
          <w:highlight w:val="none"/>
          <w14:textFill>
            <w14:solidFill>
              <w14:schemeClr w14:val="tx1"/>
            </w14:solidFill>
          </w14:textFill>
        </w:rPr>
        <w:t xml:space="preserve">日</w:t>
      </w:r>
      <w:r/>
    </w:p>
    <w:p>
      <w:pPr>
        <w:spacing w:line="400" w:lineRule="exact"/>
        <w:shd w:val="clear" w:color="auto"/>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t xml:space="preserve"> </w:t>
      </w:r>
      <w:r/>
    </w:p>
    <w:p>
      <w:pPr>
        <w:spacing w:line="400" w:lineRule="exact"/>
        <w:shd w:val="clear" w:color="auto"/>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p>
      <w:pPr>
        <w:ind w:firstLine="480"/>
        <w:spacing w:line="400" w:lineRule="exact"/>
        <w:shd w:val="clear" w:color="auto"/>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p>
      <w:pPr>
        <w:ind w:firstLine="480"/>
        <w:jc w:val="center"/>
        <w:keepLines w:val="0"/>
        <w:keepNext w:val="0"/>
        <w:pageBreakBefore w:val="0"/>
        <w:spacing w:line="312" w:lineRule="auto"/>
        <w:widowControl w:val="off"/>
        <w:rPr>
          <w:rFonts w:hint="default" w:ascii="黑体" w:eastAsia="黑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br w:type="page" w:clear="all"/>
      </w:r>
      <w:bookmarkEnd w:id="31"/>
      <w:r/>
      <w:bookmarkEnd w:id="32"/>
      <w:r/>
      <w:bookmarkEnd w:id="33"/>
      <w:r/>
      <w:bookmarkStart w:id="36" w:name="_Hlt16619369"/>
      <w:r/>
      <w:bookmarkEnd w:id="36"/>
      <w:r>
        <w:rPr>
          <w:rFonts w:hint="eastAsia" w:ascii="黑体" w:eastAsia="黑体"/>
          <w:bCs/>
          <w:color w:val="000000" w:themeColor="text1"/>
          <w:sz w:val="24"/>
          <w:szCs w:val="24"/>
          <w:highlight w:val="none"/>
          <w14:textFill>
            <w14:solidFill>
              <w14:schemeClr w14:val="tx1"/>
            </w14:solidFill>
          </w14:textFill>
        </w:rPr>
        <w:t xml:space="preserve">合同条款</w:t>
      </w:r>
      <w:r/>
    </w:p>
    <w:p>
      <w:pPr>
        <w:ind w:firstLine="480"/>
        <w:jc w:val="center"/>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（根据相关法律规定以及</w:t>
      </w:r>
      <w:r>
        <w:rPr>
          <w:rFonts w:hint="eastAsia" w:ascii="宋体" w:hAnsi="宋体"/>
          <w:color w:val="000000" w:themeColor="text1"/>
          <w:sz w:val="24"/>
          <w:szCs w:val="24"/>
          <w:highlight w:val="none"/>
          <w14:textFill>
            <w14:solidFill>
              <w14:schemeClr w14:val="tx1"/>
            </w14:solidFill>
          </w14:textFill>
        </w:rPr>
        <w:t xml:space="preserve">采购文件</w:t>
      </w:r>
      <w:r>
        <w:rPr>
          <w:rFonts w:hint="eastAsia" w:ascii="宋体" w:hAnsi="宋体"/>
          <w:bCs/>
          <w:color w:val="000000" w:themeColor="text1"/>
          <w:sz w:val="24"/>
          <w:szCs w:val="24"/>
          <w:highlight w:val="none"/>
          <w14:textFill>
            <w14:solidFill>
              <w14:schemeClr w14:val="tx1"/>
            </w14:solidFill>
          </w14:textFill>
        </w:rPr>
        <w:t xml:space="preserve">确定事项订立）</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甲方委托乙方承担采购项目名称：</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01采购包/□02采购包）全过程跟踪审核（含结算审核）服务，经双方协商一致签订本协议书。无锡市审计局具体负责全过程跟踪审核（含结算审核）工作，并负责对乙方在履约期间的管理、考核及协审费用审核等工作。</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一、项目基本情况：</w:t>
      </w:r>
      <w:r/>
    </w:p>
    <w:p>
      <w:pPr>
        <w:ind w:firstLine="480"/>
        <w:jc w:val="left"/>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本次委托协审的项目</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服务费用估算</w:t>
      </w:r>
      <w:r>
        <w:rPr>
          <w:rFonts w:hint="eastAsia" w:ascii="宋体" w:hAnsi="宋体"/>
          <w:color w:val="000000" w:themeColor="text1"/>
          <w:sz w:val="24"/>
          <w:szCs w:val="24"/>
          <w:highlight w:val="none"/>
          <w:u w:val="single"/>
          <w14:textFill>
            <w14:solidFill>
              <w14:schemeClr w14:val="tx1"/>
            </w14:solidFill>
          </w14:textFill>
        </w:rPr>
        <w:t xml:space="preserve">         （最终费用按附件据实计算） </w:t>
      </w:r>
      <w:r>
        <w:rPr>
          <w:rFonts w:hint="eastAsia" w:ascii="宋体" w:hAnsi="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项目及协审标段基本情况：</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二、委托协审范围及内容</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（一）协审范围：包括对上述建设范围工程实施全过程跟踪审核，包括项目竣工结算审核，以及与工程结算有关的其他费用审核。</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（二）协审内容：乙方应按照《江苏省工程造价咨询业务指导规程》、无锡市审计局关于基本建设项目审计的相关要求，实施下列工作内容：</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协助甲方及无锡市审计局完成对项目基本建设程序的审查。建立项目建设程序资料台账，通过查看项目立项、可行性报告、概算、规划、开工、竣工验收等相关审批、备案资料，审查该项目建设程序执行情况，各项审批是否合规，手续是否完备。</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协助甲方及无锡市审计局完成对项目批准概算的执行及调整情况进行审查。根据批准的初步设计中明确的建设规模、内容、标准及建设投资等，主要审查项目建设是否按批准的初步设计进行，对于达到投资概算调整要求的项目，是否按规定办理相关调整审批手续。</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完成对项目招投标执行情况的审查。建立项目已完成的招投标情况台账，对项目的勘察、设计、施工、监理、材料设备采购等招投标情况进行检查，检查招投标程序的规范性、合法性，检查是否存在应招未招以及化整为零等规避招标的现象。</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完成对项目签订的合同（协议）执行情况的审查。建立已签订的项目各类委托合同（协议）台账，确保内容真实、完整、准确。检查各类合同（协议）签订的合法性、程序性，合同（协议）内容的完整性、规范性，以及招投标项目的合同与招标文件和投标承诺的一致性。检查各类合同（协议）的实际履行情况，并对合同（协议）执行过程中的重大偏差情况进行比较分析。</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完成对项目现场发生的各类审批文件的审查。建立项目现场已发生的设计变更等各类审批文件的台账，对设计变更、现场签证、隐蔽工程等进行检查，检查上述事项的审批程序的合规性，以及工程计量和报价的真实性、合理性。</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完成对项目建设进度报表及竣工结算的审核。建立项目进度报表及竣工结算的报送及审核情况台账，严格按照合同约定及相关计价规定，及时完成建设单位上报的进度报表及竣工结算审核工作，确保实际完成投资的真实性、完整性、科学性，防止出现高估冒算、虚报冒领工程款等问题。同时，根据甲方及无锡市审计局要求对该项目的设计、监理等服务类结算进行审核。</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7.完成对项目现场管理情况的审查。建立项目现场管理情况台账，记录在项目施工及结算过程中发现的建设单位现场管理不规范、不合理现象，以及造成损失浪费的情况，揭示存在的问题并提出合理化建议。</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8.上述协审内容完成后，按照甲方及无锡市审计局要求的内容及要求提交审核成果文件（包括电子档案，审核过程中的“问题清单”等）。</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9.接受并积极协助甲方及无锡市审计局完成对该项目的考核工作。</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10.其他与项目建设有关的协审内容及甲方及无锡市审计局交办的其它事项。</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三、协审时限</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乙方必须以现行的国家、省、市关于基本建设方面的法律、法规、规章、定额以及合同等文件为依据，在甲方及无锡市审计局规定的时间内完成协审业务。</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1.项目建设阶段：</w:t>
      </w:r>
      <w:r>
        <w:rPr>
          <w:rFonts w:hint="eastAsia" w:ascii="宋体" w:hAnsi="宋体"/>
          <w:bCs/>
          <w:color w:val="000000" w:themeColor="text1"/>
          <w:sz w:val="24"/>
          <w:szCs w:val="24"/>
          <w:highlight w:val="none"/>
          <w:lang w:val="zh-CN"/>
          <w14:textFill>
            <w14:solidFill>
              <w14:schemeClr w14:val="tx1"/>
            </w14:solidFill>
          </w14:textFill>
        </w:rPr>
        <w:t xml:space="preserve">乙方应在取得具备审核条件的资料后5个工作日内完成如进度报表、现场签证等审查工作，取得资料时间以台账记录时间为准，确有特殊情况经甲方及无锡市审计局同意可以适当顺延。</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2.结算审核阶段：乙方应在取得每一份工程结算完整的审核资料后20个工作日内提交审核初稿及问题清单，</w:t>
      </w:r>
      <w:r>
        <w:rPr>
          <w:rFonts w:hint="eastAsia" w:ascii="宋体" w:hAnsi="宋体"/>
          <w:bCs/>
          <w:color w:val="000000" w:themeColor="text1"/>
          <w:sz w:val="24"/>
          <w:szCs w:val="24"/>
          <w:highlight w:val="none"/>
          <w:u w:val="single"/>
          <w:lang w:val="zh-CN"/>
          <w14:textFill>
            <w14:solidFill>
              <w14:schemeClr w14:val="tx1"/>
            </w14:solidFill>
          </w14:textFill>
        </w:rPr>
        <w:t xml:space="preserve">60个工作日</w:t>
      </w:r>
      <w:r>
        <w:rPr>
          <w:rFonts w:hint="eastAsia" w:ascii="宋体" w:hAnsi="宋体"/>
          <w:bCs/>
          <w:color w:val="000000" w:themeColor="text1"/>
          <w:sz w:val="24"/>
          <w:szCs w:val="24"/>
          <w:highlight w:val="none"/>
          <w:lang w:val="zh-CN"/>
          <w14:textFill>
            <w14:solidFill>
              <w14:schemeClr w14:val="tx1"/>
            </w14:solidFill>
          </w14:textFill>
        </w:rPr>
        <w:t xml:space="preserve">内提交审核结果，在取得</w:t>
      </w:r>
      <w:r>
        <w:rPr>
          <w:rFonts w:hint="eastAsia" w:ascii="宋体" w:hAnsi="宋体"/>
          <w:bCs/>
          <w:color w:val="000000" w:themeColor="text1"/>
          <w:sz w:val="24"/>
          <w:szCs w:val="24"/>
          <w:highlight w:val="none"/>
          <w14:textFill>
            <w14:solidFill>
              <w14:schemeClr w14:val="tx1"/>
            </w14:solidFill>
          </w14:textFill>
        </w:rPr>
        <w:t xml:space="preserve">该项目最后一份工程竣工结算完整的</w:t>
      </w:r>
      <w:r>
        <w:rPr>
          <w:rFonts w:hint="eastAsia" w:ascii="宋体" w:hAnsi="宋体"/>
          <w:bCs/>
          <w:color w:val="000000" w:themeColor="text1"/>
          <w:sz w:val="24"/>
          <w:szCs w:val="24"/>
          <w:highlight w:val="none"/>
          <w:lang w:val="zh-CN"/>
          <w14:textFill>
            <w14:solidFill>
              <w14:schemeClr w14:val="tx1"/>
            </w14:solidFill>
          </w14:textFill>
        </w:rPr>
        <w:t xml:space="preserve">审核资料后</w:t>
      </w:r>
      <w:r>
        <w:rPr>
          <w:rFonts w:hint="eastAsia" w:ascii="宋体" w:hAnsi="宋体"/>
          <w:bCs/>
          <w:color w:val="000000" w:themeColor="text1"/>
          <w:sz w:val="24"/>
          <w:szCs w:val="24"/>
          <w:highlight w:val="none"/>
          <w:u w:val="single"/>
          <w:lang w:val="zh-CN"/>
          <w14:textFill>
            <w14:solidFill>
              <w14:schemeClr w14:val="tx1"/>
            </w14:solidFill>
          </w14:textFill>
        </w:rPr>
        <w:t xml:space="preserve">60个工作日</w:t>
      </w:r>
      <w:r>
        <w:rPr>
          <w:rFonts w:hint="eastAsia" w:ascii="宋体" w:hAnsi="宋体"/>
          <w:bCs/>
          <w:color w:val="000000" w:themeColor="text1"/>
          <w:sz w:val="24"/>
          <w:szCs w:val="24"/>
          <w:highlight w:val="none"/>
          <w:lang w:val="zh-CN"/>
          <w14:textFill>
            <w14:solidFill>
              <w14:schemeClr w14:val="tx1"/>
            </w14:solidFill>
          </w14:textFill>
        </w:rPr>
        <w:t xml:space="preserve">内提交本协议约定的所有协审内容的完整审核结果报告</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四、审计费用</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详见附件。</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协审工作结束后，按此标准结算审计费用。除此之外，包括因项目工期、资料延误、现场安全等在内的各种情况，均不再支付其他任何费用。乙方不得再接受本协议约定之外的与本项目有关的其他任何报酬。</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考核得分和审计费计取说明：</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最终审计费=（基本费+追加费）*考核系数+</w:t>
      </w:r>
      <w:r>
        <w:rPr>
          <w:rFonts w:hint="default" w:ascii="宋体" w:hAnsi="宋体" w:cs="宋体"/>
          <w:color w:val="000000" w:themeColor="text1"/>
          <w:sz w:val="24"/>
          <w:szCs w:val="21"/>
          <w:highlight w:val="none"/>
          <w14:textFill>
            <w14:solidFill>
              <w14:schemeClr w14:val="tx1"/>
            </w14:solidFill>
          </w14:textFill>
        </w:rPr>
        <w:t xml:space="preserve">合理化节约投资奖励费</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①得分≥95分时，考核系数=1</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②95分&gt;得分≥80分时，考核系数=[0.005*（得分-80)+0.9],考核系数在0.9—0.975内；</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③当80分&gt;得分≥60分时，考核系数=[0.015*（得分-60)+0.6]，考核系数在0.6—0.9内；</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④得分＜60分时，考核系数=0.5。同时在无锡市审计局给予警告1次，并建议协审单位对项目负责人予以处理。如情节严重并产生严重后果的，采购人保留解除协审服务合同的权利。</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项目建设过程中的审计费用根据项目进度（参考审核的进度报表）情况计算，由乙方申请并经甲方及无锡市审计局审核后支付，年度阶段性审计费支付总额不得超过全部费用的60%。</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所有协审工作完成并提交审核结果报告（包括甲方及无锡市审计局要求的相关资料）后，付至全部费用的80%，剩余20%的费用，在甲方及无锡市审计局出具审计报告1 个月后进行支付。</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五、甲方权利义务</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（一）甲方及无锡市审计局提供协审范围内所需的有关资料。</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（二）双方履行协议期间，甲方及无锡市审计局应授权一名审计专业人员同乙方保持联系，协调处理有关事宜。</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（三）甲方及无锡市审计局对乙方协审实施的进度、质量情况以及协审人员的配备、廉洁自律情况进行监督检查及考核，并提出整改要求。</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六、乙方权利义务</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（一）乙方应按照本协议第二条约定的范围及内容、在甲方及无锡市审计局要求的时限内完成协审工作，严格落实质量控制责任，遵守相关法律法规，保证提供的工程造价审核结果的真实性、完整性、合规性。</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（二）在本协议履行期间，乙方应依法承担因乙方的单方过错造成的所有责任及损失。</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（三）乙方对本协议第二条约定内容不能及时完成，导致影响甲方及无锡市审计局正常完成审计工作的，乙方应承担相应责任。</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（四）乙方在接受相关审核资料后，若发现有资料不全的情况，须在3天内向资料提供方书面提出，并将书面材料向甲方及无锡市审计局备案。逾期不予提出，则视同对资料齐全无异议。</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乙方应根据委托项目的工程特点及协审方案中提及的相关内容，按照乙方在协审投标书中关于人员配备的承诺，合理配备相关专业审核人员，满足甲方及无锡市审计局对审核人员专业和数量的需求。同时乙方应将完整的人员名单提供给甲方及无锡市审计局作为本合同的附件（详见附件5）。对于甲方及无锡市审计局提出的专业人员调换要求，必须在接到甲方及无锡市审计局调换通知的3天内落实解决。</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（六）协审期间，乙方应指定专人对项目总负责，并将相关事宜及时向甲方及无锡市审计局汇报和沟通，项目负责人在未得到甲方及无锡市审计局同意的情况下不得随意变更。</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（七）乙方在协审完毕后，应向甲方及无锡市审计局提供完整、准确的工程造价成果（含电子文档），并及时整理归档完整、准确的档案资料，以便查证。</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乙方应按投标文件中《拟派项目人员配置名单》中的人员和承诺书履行合同，保障承诺的常驻现场人员到场人数和到场时间，乙方拟派人员驻场时均需纳入APP打卡考勤或无锡市建筑工人管理服务信息平台实名制考勤系统统一监管。若不能满足要求，乙方需接受相关处罚。</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（九）乙方需编制每日出勤清单，记录出勤人员、出勤情况、赴建设单位、甲方及无锡市审计局工作情况、请假情况等。</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（十）乙方应及时、准确在无锡市市级政府投资审计信息监管系统上报相关立项、实施方案、送审结算、定案资料、审核报告等（含相关清单电子数据）。</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七、协审质量和廉政要求</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应遵循独立、客观、公正、诚实信用的原则，按照本协议第二条规定的协审范围和协审内容开展协审工作。应严格遵循无锡市建设工程造价管理办法（无锡市人民政府令第144号）、江苏省工程造价咨询业务指导规程以及甲方及无锡市审计局关于建设项目审计的相关要求，切实履行造价咨询的质量责任。</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应分别就协审质量和廉政建设向甲方及无锡市审计局作出承诺，并分别出具《政府投资项目协审质量承诺书》（附件1）、《政府投资项目协审廉政承诺书》（附件2），此两份承诺书作为本协议书的组成部分，具有同等法律效力。</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八、保密要求</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乙方未经甲方及无锡市审计局许可，不得将审核资料及相关审核成果（含审核报告、电子文件等）提供给第三方。</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乙方不得泄露审计知悉的国家秘密和被审计单位的有关技术或商业秘密，不得利用知晓的被审计单位的技术、商业秘密和内部信息，采取任何形式，为自己或他人谋利。</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九、争议和诉讼</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本协议在执行过程中如发生争议时，双方应及时协商解决，如未能达成一致，向甲方所在地人民法院提起诉讼。</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十、合同的解除</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（一）甲方和乙方协商一致，可以解除合同。</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（二）因建设单位原因或不可抗力，工程项目不予实施，双方可解除合同，互不追责。</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十一、本协议共陆份，甲乙双方各执叁份。本协议供需双方代表需签字并盖章后生效。</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附件：1.政府投资项目协审质量承诺书</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2.政府投资项目协审廉政承诺书</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3.审核服务费用费率表</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4.全过程跟踪审核（含结算审核）项目追加系数表</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5.本项目考核办法</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6.项目负责人及主要参与人员汇总表</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7.项目负责人授权委托书</w:t>
      </w:r>
      <w:r>
        <w:rPr>
          <w:rFonts w:hint="eastAsia" w:ascii="宋体" w:hAnsi="宋体"/>
          <w:bCs/>
          <w:color w:val="000000" w:themeColor="text1"/>
          <w:sz w:val="24"/>
          <w:szCs w:val="24"/>
          <w:highlight w:val="none"/>
          <w14:textFill>
            <w14:solidFill>
              <w14:schemeClr w14:val="tx1"/>
            </w14:solidFill>
          </w14:textFill>
        </w:rPr>
        <w:tab/>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委托方（采购人）：（盖章）               受托方（中标方）：（盖章）</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法定（授权）代表人：                   法定（授权）代表人：                   </w:t>
      </w:r>
      <w:r/>
    </w:p>
    <w:p>
      <w:pPr>
        <w:ind w:firstLine="480"/>
        <w:keepLines w:val="0"/>
        <w:keepNext w:val="0"/>
        <w:pageBreakBefore w:val="0"/>
        <w:spacing w:line="312" w:lineRule="auto"/>
        <w:widowControl w:val="off"/>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年    月    日                        年     月     日</w:t>
      </w:r>
      <w:r/>
    </w:p>
    <w:p>
      <w:pPr>
        <w:jc w:val="left"/>
        <w:widowControl/>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 xml:space="preserve">.</w:t>
      </w: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br w:type="page" w:clear="all"/>
      </w:r>
      <w:r/>
    </w:p>
    <w:p>
      <w:pPr>
        <w:jc w:val="left"/>
        <w:widowControl/>
        <w:rPr>
          <w:rFonts w:hint="default"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附件1：</w:t>
      </w:r>
      <w:r/>
    </w:p>
    <w:p>
      <w:pPr>
        <w:jc w:val="center"/>
        <w:spacing w:line="360" w:lineRule="auto"/>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政府投资项目协审质量承诺书</w:t>
      </w:r>
      <w:r/>
    </w:p>
    <w:p>
      <w:pPr>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无锡市审计局：</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我单位受贵局的委托，参与的协审业务。在实施审计协审过程中，我单位承诺服从贵局的工作安排及监督指导，严格按照《考核办法》的要求开展协审工作，自觉接受你局对协审质量所进行的考核，并接受相关条款的约束。现郑重作出如下具体的质量承诺：</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严格按照现行的国家、省、市关于基本建设方面的法律、法规、规章、定额及合同等文件为依据，根据贵局的委托要求及协审实施方案开展协审工作，在规定的时间内完成各项协审工作，并承诺在接到该项目工程结算完整资料后的规定时间内出具工程结算审核报告。</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二、因存在严重协审质量问题给贵局、建设单位或第三者造成经济损失的，本单位愿承担赔偿责任。必要时可取消本单位的协审资格。</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三、协审期间,本单位还承诺将做到如下要求:</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（一）坚持客观公正、实事求是、依法审计的原则。</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（二）遵守职业道德，做到诚实守信、尽职尽责。</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（三）协审中不隐瞒、不曲解查出的事实，不提供内容虚假的审计报告。</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（四）协审工作不敷衍推诿、不粗心大意。</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（五）不徇私舞弊、不偏袒任何一方。</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（六）与被审计单位或审计事项有直接利害关系的应主动提出，并加以回避。</w:t>
      </w:r>
      <w:r/>
    </w:p>
    <w:p>
      <w:pPr>
        <w:ind w:firstLine="480"/>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四、本承诺书作为《协审协议书》的组成部分，具有同等法律效力。</w:t>
      </w:r>
      <w:r/>
    </w:p>
    <w:p>
      <w:pPr>
        <w:spacing w:line="360" w:lineRule="auto"/>
        <w:rPr>
          <w:rFonts w:hint="default" w:ascii="宋体" w:hAnsi="宋体"/>
          <w:color w:val="000000" w:themeColor="text1"/>
          <w:sz w:val="24"/>
          <w:szCs w:val="21"/>
          <w:highlight w:val="none"/>
          <w14:textFill>
            <w14:solidFill>
              <w14:schemeClr w14:val="tx1"/>
            </w14:solidFill>
          </w14:textFill>
        </w:rPr>
      </w:pPr>
      <w:r>
        <w:rPr>
          <w:rFonts w:hint="default" w:ascii="宋体" w:hAnsi="宋体"/>
          <w:color w:val="000000" w:themeColor="text1"/>
          <w:sz w:val="24"/>
          <w:szCs w:val="21"/>
          <w:highlight w:val="none"/>
          <w14:textFill>
            <w14:solidFill>
              <w14:schemeClr w14:val="tx1"/>
            </w14:solidFill>
          </w14:textFill>
        </w:rPr>
      </w:r>
      <w:r/>
    </w:p>
    <w:p>
      <w:pPr>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法定代表人（签字）：            协审项目负责人（签字）：</w:t>
      </w:r>
      <w:r/>
    </w:p>
    <w:p>
      <w:pPr>
        <w:spacing w:line="360" w:lineRule="auto"/>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（单位签章）     </w:t>
      </w:r>
      <w:r/>
    </w:p>
    <w:p>
      <w:pPr>
        <w:spacing w:line="360" w:lineRule="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spacing w:line="360" w:lineRule="auto"/>
        <w:rPr>
          <w:rFonts w:hint="default" w:ascii="宋体" w:hAnsi="宋体"/>
          <w:b/>
          <w:color w:val="000000" w:themeColor="text1"/>
          <w:sz w:val="24"/>
          <w:szCs w:val="21"/>
          <w:highlight w:val="none"/>
          <w14:textFill>
            <w14:solidFill>
              <w14:schemeClr w14:val="tx1"/>
            </w14:solidFill>
          </w14:textFill>
        </w:rPr>
      </w:pPr>
      <w:r>
        <w:rPr>
          <w:rFonts w:hint="default" w:ascii="宋体" w:hAnsi="宋体"/>
          <w:b/>
          <w:color w:val="000000" w:themeColor="text1"/>
          <w:sz w:val="24"/>
          <w:szCs w:val="21"/>
          <w:highlight w:val="none"/>
          <w14:textFill>
            <w14:solidFill>
              <w14:schemeClr w14:val="tx1"/>
            </w14:solidFill>
          </w14:textFill>
        </w:rPr>
      </w: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p>
    <w:p>
      <w:pPr>
        <w:spacing w:line="360" w:lineRule="auto"/>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附件2：</w:t>
      </w:r>
      <w:r/>
    </w:p>
    <w:p>
      <w:pPr>
        <w:jc w:val="center"/>
        <w:keepLines w:val="0"/>
        <w:keepNext w:val="0"/>
        <w:pageBreakBefore w:val="0"/>
        <w:spacing w:line="312" w:lineRule="auto"/>
        <w:widowControl w:val="off"/>
        <w:rPr>
          <w:rFonts w:hint="default"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政府投资项目协审廉政承诺书</w:t>
      </w:r>
      <w:r/>
    </w:p>
    <w:p>
      <w:pPr>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江苏无锡经济开发区财政局：</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我单位受贵局的委托，参与的协审业务。现郑重作出如下协审廉政承诺：</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一、本协审项目廉政建设的第一责任人为 </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同志（法定代表人），对协审廉政事项负总责，其主要职责是：选配政治思想好、专业技术精、廉政意识强的协审人员参加协审工作；对协审人员加强教育，注重防范，确保廉政规定的贯彻落实；做好协审人员执行廉政规定情况的督促和检查；根据有关规定处理协审人员执行廉政规定上的具体事宜。</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二、本协审项目的廉政建设的直接责任人为 </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同志（协审项目负责人），对协审廉政事项负直接责任，其主要职责是：审计进点前，组织召开协审人员廉政教育会，增强协审人员的廉政意识；对协审中违反廉政规定和审计纪律的问题，应及时加以制止，并向贵局报告；项目结束后，总结协审人员执行廉政规定情况，并如实向贵局书面报告。</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三、按有关规定，协审人员做到以下“十不”：</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（一）不违反审计程序、超越审计权限，依法开展审计；</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（二）不徇私情，保持应有的独立性，实事求是，客观公正；</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（三）不隐瞒、变更或曲解查出的问题，如实提供审计结果；</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（四）不泄露审计知悉的国家秘密和被审计单位的商业秘密；</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（五）不向被审计单位提出与审计工作无关的要求；</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（六）不单独与被审计单位商谈审计事项的处理意见；</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（七）不在被审计单位报销任何因公因私的费用；</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（八）不接受被审计单位安排的宴请、旅游和娱乐等活动；</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（九）不接受被审计单位的礼品、礼金和有价证券；</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（十）不向承聘机关人员送礼及有价证券。</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四、若有违反上述廉政承诺的行为，根据情节轻重，我单位愿接受以下责任追究：</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（一）通报批评、限期整改，相关责任人作出检查；</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（二）如本单位或协审人员存在严重违反廉政规定的，可按《考核办法》第四章有关条款进行处理。</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（三）涉嫌犯罪的，移交司法机关处理；</w:t>
      </w:r>
      <w:r/>
    </w:p>
    <w:p>
      <w:pPr>
        <w:ind w:firstLine="48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（四）其他有关责任追究事项。</w:t>
      </w:r>
      <w:r/>
    </w:p>
    <w:p>
      <w:pPr>
        <w:ind w:firstLine="60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五、本承诺书作为《协审协议书》的组成部分，具有同等法律效力。</w:t>
      </w:r>
      <w:r/>
    </w:p>
    <w:p>
      <w:pPr>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default" w:ascii="宋体" w:hAnsi="宋体"/>
          <w:color w:val="000000" w:themeColor="text1"/>
          <w:sz w:val="24"/>
          <w:szCs w:val="21"/>
          <w:highlight w:val="none"/>
          <w14:textFill>
            <w14:solidFill>
              <w14:schemeClr w14:val="tx1"/>
            </w14:solidFill>
          </w14:textFill>
        </w:rPr>
      </w:r>
      <w:r/>
    </w:p>
    <w:p>
      <w:pPr>
        <w:ind w:firstLine="600"/>
        <w:keepLines w:val="0"/>
        <w:keepNext w:val="0"/>
        <w:pageBreakBefore w:val="0"/>
        <w:spacing w:line="312" w:lineRule="auto"/>
        <w:widowControl w:val="off"/>
        <w:rPr>
          <w:rFonts w:hint="default"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法定代表人（签字）：            协审项目负责人（签字）：</w:t>
      </w:r>
      <w:r/>
    </w:p>
    <w:p>
      <w:pPr>
        <w:jc w:val="left"/>
        <w:keepLines w:val="0"/>
        <w:keepNext w:val="0"/>
        <w:pageBreakBefore w:val="0"/>
        <w:spacing w:line="312" w:lineRule="auto"/>
        <w:widowControl w:val="off"/>
        <w:rPr>
          <w:rFonts w:hint="default"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（单位签章）           </w:t>
      </w: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p>
    <w:p>
      <w:pPr>
        <w:jc w:val="left"/>
        <w:spacing w:line="348" w:lineRule="auto"/>
        <w:rPr>
          <w:rFonts w:hint="default" w:ascii="宋体" w:hAnsi="宋体"/>
          <w:b/>
          <w:bCs w:val="0"/>
          <w:color w:val="000000" w:themeColor="text1"/>
          <w:sz w:val="24"/>
          <w:szCs w:val="21"/>
          <w:highlight w:val="none"/>
          <w14:textFill>
            <w14:solidFill>
              <w14:schemeClr w14:val="tx1"/>
            </w14:solidFill>
          </w14:textFill>
        </w:rPr>
      </w:pPr>
      <w:r>
        <w:rPr>
          <w:rFonts w:hint="eastAsia" w:ascii="宋体" w:hAnsi="宋体"/>
          <w:b/>
          <w:bCs w:val="0"/>
          <w:color w:val="000000" w:themeColor="text1"/>
          <w:sz w:val="24"/>
          <w:szCs w:val="21"/>
          <w:highlight w:val="none"/>
          <w14:textFill>
            <w14:solidFill>
              <w14:schemeClr w14:val="tx1"/>
            </w14:solidFill>
          </w14:textFill>
        </w:rPr>
        <w:t xml:space="preserve">附件3：审核服务费用费率表</w:t>
      </w:r>
      <w:r/>
    </w:p>
    <w:p>
      <w:pPr>
        <w:jc w:val="left"/>
        <w:spacing w:line="348" w:lineRule="auto"/>
        <w:rPr>
          <w:rFonts w:hint="default" w:ascii="宋体" w:hAnsi="宋体"/>
          <w:bCs/>
          <w:color w:val="000000" w:themeColor="text1"/>
          <w:sz w:val="24"/>
          <w:szCs w:val="2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（1）基本费</w:t>
      </w:r>
      <w:r/>
    </w:p>
    <w:tbl>
      <w:tblPr>
        <w:tblStyle w:val="106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03"/>
        <w:gridCol w:w="989"/>
        <w:gridCol w:w="703"/>
        <w:gridCol w:w="846"/>
        <w:gridCol w:w="989"/>
        <w:gridCol w:w="844"/>
        <w:gridCol w:w="987"/>
        <w:gridCol w:w="989"/>
        <w:gridCol w:w="844"/>
        <w:gridCol w:w="987"/>
        <w:gridCol w:w="859"/>
        <w:gridCol w:w="942"/>
      </w:tblGrid>
      <w:tr>
        <w:trPr>
          <w:trHeight w:val="660"/>
        </w:trPr>
        <w:tc>
          <w:tcPr>
            <w:gridSpan w:val="12"/>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0" w:lineRule="atLeast"/>
              <w:widowControl/>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审核服务费用费率表</w:t>
            </w:r>
            <w:r/>
          </w:p>
        </w:tc>
      </w:tr>
      <w:tr>
        <w:trPr>
          <w:trHeight w:val="330"/>
        </w:trPr>
        <w:tc>
          <w:tcPr>
            <w:tcBorders>
              <w:top w:val="single" w:color="auto" w:sz="4" w:space="0"/>
              <w:left w:val="single" w:color="auto" w:sz="4" w:space="0"/>
              <w:bottom w:val="single" w:color="auto" w:sz="4" w:space="0"/>
              <w:right w:val="single" w:color="auto" w:sz="4" w:space="0"/>
            </w:tcBorders>
            <w:tcW w:w="329" w:type="pct"/>
            <w:vAlign w:val="center"/>
            <w:vMerge w:val="restart"/>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序号</w:t>
            </w:r>
            <w:r/>
          </w:p>
        </w:tc>
        <w:tc>
          <w:tcPr>
            <w:gridSpan w:val="3"/>
            <w:tcBorders>
              <w:top w:val="single" w:color="auto" w:sz="4" w:space="0"/>
              <w:left w:val="single" w:color="auto" w:sz="4" w:space="0"/>
              <w:bottom w:val="single" w:color="auto" w:sz="4" w:space="0"/>
              <w:right w:val="single" w:color="auto" w:sz="4" w:space="0"/>
            </w:tcBorders>
            <w:tcW w:w="1188" w:type="pct"/>
            <w:vAlign w:val="center"/>
            <w:vMerge w:val="restart"/>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项目类型</w:t>
            </w:r>
            <w:r/>
          </w:p>
        </w:tc>
        <w:tc>
          <w:tcPr>
            <w:tcBorders>
              <w:top w:val="single" w:color="auto" w:sz="4" w:space="0"/>
              <w:left w:val="single" w:color="auto" w:sz="4" w:space="0"/>
              <w:bottom w:val="single" w:color="auto" w:sz="4" w:space="0"/>
              <w:right w:val="single" w:color="auto" w:sz="4" w:space="0"/>
            </w:tcBorders>
            <w:tcW w:w="463" w:type="pct"/>
            <w:vAlign w:val="center"/>
            <w:vMerge w:val="restart"/>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计费基数</w:t>
            </w:r>
            <w:r/>
          </w:p>
        </w:tc>
        <w:tc>
          <w:tcPr>
            <w:gridSpan w:val="6"/>
            <w:tcBorders>
              <w:top w:val="single" w:color="auto" w:sz="4" w:space="0"/>
              <w:left w:val="none" w:color="000000" w:sz="4" w:space="0"/>
              <w:bottom w:val="single" w:color="auto" w:sz="4" w:space="0"/>
              <w:right w:val="single" w:color="auto" w:sz="4" w:space="0"/>
            </w:tcBorders>
            <w:tcW w:w="2579"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工程造价（采用差额定率分档累进方式）</w:t>
            </w:r>
            <w:r/>
          </w:p>
        </w:tc>
        <w:tc>
          <w:tcPr>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备注</w:t>
            </w:r>
            <w:r/>
          </w:p>
        </w:tc>
      </w:tr>
      <w:tr>
        <w:trPr>
          <w:trHeight w:val="1034"/>
        </w:trPr>
        <w:tc>
          <w:tcPr>
            <w:tcBorders>
              <w:top w:val="single" w:color="auto" w:sz="4" w:space="0"/>
              <w:left w:val="single" w:color="auto" w:sz="4" w:space="0"/>
              <w:bottom w:val="single" w:color="auto" w:sz="4" w:space="0"/>
              <w:right w:val="single" w:color="auto" w:sz="4" w:space="0"/>
            </w:tcBorders>
            <w:tcW w:w="329" w:type="pct"/>
            <w:vAlign w:val="center"/>
            <w:vMerge w:val="continue"/>
            <w:textDirection w:val="lrTb"/>
            <w:noWrap w:val="false"/>
          </w:tcPr>
          <w:p>
            <w:pPr>
              <w:jc w:val="left"/>
              <w:widowControl/>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gridSpan w:val="3"/>
            <w:tcBorders>
              <w:top w:val="single" w:color="auto" w:sz="4" w:space="0"/>
              <w:left w:val="single" w:color="auto" w:sz="4" w:space="0"/>
              <w:bottom w:val="single" w:color="auto" w:sz="4" w:space="0"/>
              <w:right w:val="single" w:color="auto" w:sz="4" w:space="0"/>
            </w:tcBorders>
            <w:tcW w:w="1188" w:type="pct"/>
            <w:vAlign w:val="center"/>
            <w:vMerge w:val="continue"/>
            <w:textDirection w:val="lrTb"/>
            <w:noWrap w:val="false"/>
          </w:tcPr>
          <w:p>
            <w:pPr>
              <w:jc w:val="left"/>
              <w:widowControl/>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auto" w:sz="4" w:space="0"/>
              <w:left w:val="single" w:color="auto" w:sz="4" w:space="0"/>
              <w:bottom w:val="single" w:color="auto" w:sz="4" w:space="0"/>
              <w:right w:val="single" w:color="auto" w:sz="4" w:space="0"/>
            </w:tcBorders>
            <w:tcW w:w="463" w:type="pct"/>
            <w:vAlign w:val="center"/>
            <w:vMerge w:val="continue"/>
            <w:textDirection w:val="lrTb"/>
            <w:noWrap w:val="false"/>
          </w:tcPr>
          <w:p>
            <w:pPr>
              <w:jc w:val="left"/>
              <w:widowControl/>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100万元以内(含）</w:t>
            </w:r>
            <w:r/>
          </w:p>
        </w:tc>
        <w:tc>
          <w:tcPr>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101万元-500万元（含）</w:t>
            </w:r>
            <w:r/>
          </w:p>
        </w:tc>
        <w:tc>
          <w:tcPr>
            <w:tcBorders>
              <w:top w:val="none" w:color="000000" w:sz="4" w:space="0"/>
              <w:left w:val="none" w:color="000000" w:sz="4" w:space="0"/>
              <w:bottom w:val="single" w:color="auto" w:sz="4" w:space="0"/>
              <w:right w:val="single" w:color="auto" w:sz="4" w:space="0"/>
            </w:tcBorders>
            <w:tcW w:w="463"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501万元-1000万元（含）</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1001万元-5000万元（含）</w:t>
            </w:r>
            <w:r/>
          </w:p>
        </w:tc>
        <w:tc>
          <w:tcPr>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5001万元-1亿元（含）</w:t>
            </w:r>
            <w:r/>
          </w:p>
        </w:tc>
        <w:tc>
          <w:tcPr>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1亿元以上</w:t>
            </w:r>
            <w:r/>
          </w:p>
        </w:tc>
        <w:tc>
          <w:tcPr>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left"/>
              <w:widowControl/>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r>
      <w:tr>
        <w:trPr>
          <w:trHeight w:val="350"/>
        </w:trPr>
        <w:tc>
          <w:tcPr>
            <w:tcBorders>
              <w:top w:val="none" w:color="000000" w:sz="4" w:space="0"/>
              <w:left w:val="single" w:color="auto" w:sz="4" w:space="0"/>
              <w:right w:val="single" w:color="auto" w:sz="4" w:space="0"/>
            </w:tcBorders>
            <w:tcW w:w="329" w:type="pct"/>
            <w:vAlign w:val="center"/>
            <w:vMerge w:val="restart"/>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463" w:type="pct"/>
            <w:vAlign w:val="center"/>
            <w:vMerge w:val="restart"/>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全过程跟踪审核项目(含结算审核)</w:t>
            </w:r>
            <w:r/>
          </w:p>
        </w:tc>
        <w:tc>
          <w:tcPr>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基本费用</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lef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房屋建筑类</w:t>
            </w:r>
            <w:r/>
          </w:p>
        </w:tc>
        <w:tc>
          <w:tcPr>
            <w:tcBorders>
              <w:top w:val="none" w:color="000000" w:sz="4" w:space="0"/>
              <w:left w:val="none" w:color="000000" w:sz="4" w:space="0"/>
              <w:bottom w:val="single" w:color="auto" w:sz="4" w:space="0"/>
              <w:right w:val="single" w:color="auto" w:sz="4" w:space="0"/>
            </w:tcBorders>
            <w:tcW w:w="463"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审定工程造价</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9.6</w:t>
            </w:r>
            <w:r/>
          </w:p>
        </w:tc>
        <w:tc>
          <w:tcPr>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463"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7.2</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5.6</w:t>
            </w:r>
            <w:r/>
          </w:p>
        </w:tc>
        <w:tc>
          <w:tcPr>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398"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3.2</w:t>
            </w:r>
            <w:r/>
          </w:p>
        </w:tc>
        <w:tc>
          <w:tcPr>
            <w:tcBorders>
              <w:top w:val="none" w:color="000000" w:sz="4" w:space="0"/>
              <w:left w:val="none" w:color="000000" w:sz="4" w:space="0"/>
              <w:bottom w:val="single" w:color="auto" w:sz="4" w:space="0"/>
              <w:right w:val="single" w:color="auto" w:sz="4" w:space="0"/>
            </w:tcBorders>
            <w:tcW w:w="438" w:type="pct"/>
            <w:vAlign w:val="center"/>
            <w:textDirection w:val="lrTb"/>
            <w:noWrap/>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费率：‰</w:t>
            </w:r>
            <w:r/>
          </w:p>
        </w:tc>
      </w:tr>
      <w:tr>
        <w:trPr>
          <w:trHeight w:val="1011"/>
        </w:trPr>
        <w:tc>
          <w:tcPr>
            <w:tcBorders>
              <w:left w:val="single" w:color="auto" w:sz="4" w:space="0"/>
              <w:bottom w:val="single" w:color="auto" w:sz="4" w:space="0"/>
              <w:right w:val="single" w:color="auto" w:sz="4" w:space="0"/>
            </w:tcBorders>
            <w:tcW w:w="329" w:type="pct"/>
            <w:vAlign w:val="center"/>
            <w:vMerge w:val="continue"/>
            <w:textDirection w:val="lrTb"/>
            <w:noWrap w:val="false"/>
          </w:tcPr>
          <w:p>
            <w:pPr>
              <w:jc w:val="left"/>
              <w:widowControl/>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left w:val="single" w:color="auto" w:sz="4" w:space="0"/>
              <w:bottom w:val="single" w:color="auto" w:sz="4" w:space="0"/>
              <w:right w:val="single" w:color="auto" w:sz="4" w:space="0"/>
            </w:tcBorders>
            <w:tcW w:w="463" w:type="pct"/>
            <w:vAlign w:val="center"/>
            <w:vMerge w:val="continue"/>
            <w:textDirection w:val="lrTb"/>
            <w:noWrap w:val="false"/>
          </w:tcPr>
          <w:p>
            <w:pPr>
              <w:jc w:val="left"/>
              <w:widowControl/>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追加费用</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lef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房屋建筑类</w:t>
            </w:r>
            <w:r/>
          </w:p>
        </w:tc>
        <w:tc>
          <w:tcPr>
            <w:tcBorders>
              <w:top w:val="none" w:color="000000" w:sz="4" w:space="0"/>
              <w:left w:val="none" w:color="000000" w:sz="4" w:space="0"/>
              <w:bottom w:val="single" w:color="auto" w:sz="4" w:space="0"/>
              <w:right w:val="single" w:color="auto" w:sz="4" w:space="0"/>
            </w:tcBorders>
            <w:tcW w:w="463"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项目净核减额</w:t>
            </w:r>
            <w:r/>
          </w:p>
        </w:tc>
        <w:tc>
          <w:tcPr>
            <w:gridSpan w:val="6"/>
            <w:tcBorders>
              <w:top w:val="single" w:color="auto" w:sz="4" w:space="0"/>
              <w:left w:val="none" w:color="000000" w:sz="4" w:space="0"/>
              <w:bottom w:val="single" w:color="auto" w:sz="4" w:space="0"/>
              <w:right w:val="single" w:color="auto" w:sz="4" w:space="0"/>
            </w:tcBorders>
            <w:tcW w:w="2579" w:type="pct"/>
            <w:vAlign w:val="center"/>
            <w:textDirection w:val="lrTb"/>
            <w:noWrap w:val="false"/>
          </w:tcPr>
          <w:p>
            <w:pPr>
              <w:jc w:val="center"/>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项目净核减率在0-5%（含）之间，追加费用费率为0；项目净核减率大于5%，追加费用费率为4.2‰</w:t>
            </w:r>
            <w:r/>
          </w:p>
        </w:tc>
        <w:tc>
          <w:tcPr>
            <w:tcBorders>
              <w:top w:val="none" w:color="000000" w:sz="4" w:space="0"/>
              <w:left w:val="none" w:color="000000" w:sz="4" w:space="0"/>
              <w:bottom w:val="single" w:color="auto" w:sz="4" w:space="0"/>
              <w:right w:val="single" w:color="auto" w:sz="4" w:space="0"/>
            </w:tcBorders>
            <w:tcW w:w="438" w:type="pct"/>
            <w:vAlign w:val="center"/>
            <w:textDirection w:val="lrTb"/>
            <w:noWrap w:val="false"/>
          </w:tcPr>
          <w:p>
            <w:pPr>
              <w:jc w:val="lef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w:t>
            </w:r>
            <w:r/>
          </w:p>
        </w:tc>
      </w:tr>
    </w:tbl>
    <w:p>
      <w:pPr>
        <w:rPr>
          <w:rFonts w:hint="default" w:ascii="宋体" w:hAnsi="宋体"/>
          <w:bCs/>
          <w:color w:val="000000" w:themeColor="text1"/>
          <w:sz w:val="24"/>
          <w:szCs w:val="24"/>
          <w:highlight w:val="none"/>
          <w14:textFill>
            <w14:solidFill>
              <w14:schemeClr w14:val="tx1"/>
            </w14:solidFill>
          </w14:textFill>
        </w:rPr>
        <w:outlineLvl w:val="0"/>
      </w:pPr>
      <w:r>
        <w:rPr>
          <w:rFonts w:hint="default" w:ascii="宋体" w:hAnsi="宋体"/>
          <w:bCs/>
          <w:color w:val="000000" w:themeColor="text1"/>
          <w:sz w:val="24"/>
          <w:szCs w:val="24"/>
          <w:highlight w:val="none"/>
          <w14:textFill>
            <w14:solidFill>
              <w14:schemeClr w14:val="tx1"/>
            </w14:solidFill>
          </w14:textFill>
        </w:rPr>
      </w:r>
      <w:r/>
    </w:p>
    <w:p>
      <w:pPr>
        <w:jc w:val="left"/>
        <w:spacing w:line="348"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jc w:val="left"/>
        <w:spacing w:line="348"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jc w:val="left"/>
        <w:spacing w:line="348" w:lineRule="auto"/>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p>
    <w:p>
      <w:pPr>
        <w:jc w:val="left"/>
        <w:spacing w:line="348" w:lineRule="auto"/>
        <w:rPr>
          <w:rFonts w:hint="default" w:ascii="黑体" w:eastAsia="黑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1"/>
          <w:highlight w:val="none"/>
          <w14:textFill>
            <w14:solidFill>
              <w14:schemeClr w14:val="tx1"/>
            </w14:solidFill>
          </w14:textFill>
        </w:rPr>
        <w:t xml:space="preserve">附件4：</w:t>
      </w:r>
      <w:r>
        <w:rPr>
          <w:rFonts w:hint="eastAsia" w:ascii="黑体" w:eastAsia="黑体"/>
          <w:b/>
          <w:bCs w:val="0"/>
          <w:color w:val="000000" w:themeColor="text1"/>
          <w:sz w:val="24"/>
          <w:szCs w:val="24"/>
          <w:highlight w:val="none"/>
          <w14:textFill>
            <w14:solidFill>
              <w14:schemeClr w14:val="tx1"/>
            </w14:solidFill>
          </w14:textFill>
        </w:rPr>
        <w:t xml:space="preserve">项目追加系数表</w:t>
      </w:r>
      <w:r/>
    </w:p>
    <w:p>
      <w:pPr>
        <w:jc w:val="left"/>
        <w:spacing w:line="348" w:lineRule="auto"/>
        <w:rPr>
          <w:rFonts w:hint="default" w:ascii="黑体" w:eastAsia="黑体"/>
          <w:bCs/>
          <w:color w:val="000000" w:themeColor="text1"/>
          <w:sz w:val="24"/>
          <w:szCs w:val="24"/>
          <w:highlight w:val="none"/>
          <w14:textFill>
            <w14:solidFill>
              <w14:schemeClr w14:val="tx1"/>
            </w14:solidFill>
          </w14:textFill>
        </w:rPr>
      </w:pPr>
      <w:r>
        <w:rPr>
          <w:rFonts w:hint="default" w:ascii="黑体" w:eastAsia="黑体"/>
          <w:bCs/>
          <w:color w:val="000000" w:themeColor="text1"/>
          <w:sz w:val="24"/>
          <w:szCs w:val="24"/>
          <w:highlight w:val="none"/>
          <w14:textFill>
            <w14:solidFill>
              <w14:schemeClr w14:val="tx1"/>
            </w14:solidFill>
          </w14:textFill>
        </w:rPr>
      </w:r>
      <w:r/>
    </w:p>
    <w:tbl>
      <w:tblPr>
        <w:tblStyle w:val="106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5046"/>
        <w:gridCol w:w="5634"/>
      </w:tblGrid>
      <w:tr>
        <w:trPr>
          <w:jc w:val="center"/>
          <w:trHeight w:val="598"/>
        </w:trPr>
        <w:tc>
          <w:tcPr>
            <w:tcBorders>
              <w:top w:val="single" w:color="auto" w:sz="8" w:space="0"/>
              <w:left w:val="single" w:color="auto" w:sz="8" w:space="0"/>
              <w:bottom w:val="single" w:color="auto" w:sz="8" w:space="0"/>
              <w:right w:val="single" w:color="auto" w:sz="8" w:space="0"/>
            </w:tcBorders>
            <w:tcW w:w="2362" w:type="pct"/>
            <w:vAlign w:val="center"/>
            <w:textDirection w:val="lrTb"/>
            <w:noWrap/>
          </w:tcPr>
          <w:p>
            <w:pPr>
              <w:jc w:val="center"/>
              <w:widowControl/>
              <w:rPr>
                <w:rFonts w:hint="default" w:asci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净核减率</w:t>
            </w:r>
            <w:r/>
          </w:p>
        </w:tc>
        <w:tc>
          <w:tcPr>
            <w:tcBorders>
              <w:top w:val="single" w:color="auto" w:sz="8" w:space="0"/>
              <w:left w:val="single" w:color="auto" w:sz="8" w:space="0"/>
              <w:bottom w:val="single" w:color="auto" w:sz="8" w:space="0"/>
              <w:right w:val="single" w:color="auto" w:sz="8" w:space="0"/>
            </w:tcBorders>
            <w:tcW w:w="2637" w:type="pct"/>
            <w:vAlign w:val="center"/>
            <w:textDirection w:val="lrTb"/>
            <w:noWrap w:val="false"/>
          </w:tcPr>
          <w:p>
            <w:pPr>
              <w:jc w:val="center"/>
              <w:widowControl/>
              <w:rPr>
                <w:rFonts w:hint="default" w:asci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核减审核费用</w:t>
            </w:r>
            <w:r/>
          </w:p>
        </w:tc>
      </w:tr>
      <w:tr>
        <w:trPr>
          <w:jc w:val="center"/>
          <w:trHeight w:val="562"/>
        </w:trPr>
        <w:tc>
          <w:tcPr>
            <w:tcBorders>
              <w:top w:val="single" w:color="auto" w:sz="8" w:space="0"/>
              <w:left w:val="single" w:color="auto" w:sz="8" w:space="0"/>
              <w:bottom w:val="single" w:color="auto" w:sz="8" w:space="0"/>
              <w:right w:val="single" w:color="auto" w:sz="8" w:space="0"/>
            </w:tcBorders>
            <w:tcW w:w="2362" w:type="pct"/>
            <w:vAlign w:val="center"/>
            <w:textDirection w:val="lrTb"/>
            <w:noWrap/>
          </w:tcPr>
          <w:p>
            <w:pPr>
              <w:jc w:val="center"/>
              <w:widowControl/>
              <w:rPr>
                <w:rFonts w:hint="default" w:ascii="宋体" w:cs="宋体"/>
                <w:color w:val="000000" w:themeColor="text1"/>
                <w:sz w:val="20"/>
                <w:szCs w:val="20"/>
                <w:highlight w:val="none"/>
                <w14:textFill>
                  <w14:solidFill>
                    <w14:schemeClr w14:val="tx1"/>
                  </w14:solidFill>
                </w14:textFill>
              </w:rPr>
            </w:pPr>
            <w:r>
              <w:rPr>
                <w:rFonts w:hint="default" w:ascii="宋体" w:hAnsi="宋体" w:cs="宋体"/>
                <w:color w:val="000000" w:themeColor="text1"/>
                <w:sz w:val="20"/>
                <w:szCs w:val="20"/>
                <w:highlight w:val="none"/>
                <w14:textFill>
                  <w14:solidFill>
                    <w14:schemeClr w14:val="tx1"/>
                  </w14:solidFill>
                </w14:textFill>
              </w:rPr>
              <w:t xml:space="preserve">5%</w:t>
            </w:r>
            <w:r>
              <w:rPr>
                <w:rFonts w:hint="eastAsia" w:ascii="宋体" w:hAnsi="宋体" w:cs="宋体"/>
                <w:color w:val="000000" w:themeColor="text1"/>
                <w:sz w:val="20"/>
                <w:szCs w:val="20"/>
                <w:highlight w:val="none"/>
                <w14:textFill>
                  <w14:solidFill>
                    <w14:schemeClr w14:val="tx1"/>
                  </w14:solidFill>
                </w14:textFill>
              </w:rPr>
              <w:t xml:space="preserve">（含）以内</w:t>
            </w:r>
            <w:r/>
          </w:p>
        </w:tc>
        <w:tc>
          <w:tcPr>
            <w:tcBorders>
              <w:top w:val="single" w:color="auto" w:sz="8" w:space="0"/>
              <w:left w:val="single" w:color="auto" w:sz="8" w:space="0"/>
              <w:bottom w:val="single" w:color="auto" w:sz="8" w:space="0"/>
              <w:right w:val="single" w:color="auto" w:sz="8" w:space="0"/>
            </w:tcBorders>
            <w:tcW w:w="2637" w:type="pct"/>
            <w:vAlign w:val="center"/>
            <w:textDirection w:val="lrTb"/>
            <w:noWrap/>
          </w:tcPr>
          <w:p>
            <w:pPr>
              <w:jc w:val="center"/>
              <w:widowControl/>
              <w:rPr>
                <w:rFonts w:hint="default" w:ascii="宋体" w:cs="宋体"/>
                <w:color w:val="000000" w:themeColor="text1"/>
                <w:sz w:val="20"/>
                <w:szCs w:val="20"/>
                <w:highlight w:val="none"/>
                <w14:textFill>
                  <w14:solidFill>
                    <w14:schemeClr w14:val="tx1"/>
                  </w14:solidFill>
                </w14:textFill>
              </w:rPr>
            </w:pPr>
            <w:r>
              <w:rPr>
                <w:rFonts w:hint="default" w:ascii="宋体" w:cs="宋体"/>
                <w:color w:val="000000" w:themeColor="text1"/>
                <w:sz w:val="20"/>
                <w:szCs w:val="20"/>
                <w:highlight w:val="none"/>
                <w14:textFill>
                  <w14:solidFill>
                    <w14:schemeClr w14:val="tx1"/>
                  </w14:solidFill>
                </w14:textFill>
              </w:rPr>
              <w:t xml:space="preserve">0</w:t>
            </w:r>
            <w:r>
              <w:rPr>
                <w:rFonts w:hint="eastAsia" w:ascii="宋体" w:hAnsi="宋体" w:cs="宋体"/>
                <w:color w:val="000000" w:themeColor="text1"/>
                <w:sz w:val="20"/>
                <w:szCs w:val="20"/>
                <w:highlight w:val="none"/>
                <w14:textFill>
                  <w14:solidFill>
                    <w14:schemeClr w14:val="tx1"/>
                  </w14:solidFill>
                </w14:textFill>
              </w:rPr>
              <w:t xml:space="preserve">‰</w:t>
            </w:r>
            <w:r/>
          </w:p>
        </w:tc>
      </w:tr>
      <w:tr>
        <w:trPr>
          <w:jc w:val="center"/>
          <w:trHeight w:val="522"/>
        </w:trPr>
        <w:tc>
          <w:tcPr>
            <w:tcBorders>
              <w:top w:val="single" w:color="auto" w:sz="8" w:space="0"/>
              <w:left w:val="single" w:color="auto" w:sz="8" w:space="0"/>
              <w:bottom w:val="single" w:color="auto" w:sz="8" w:space="0"/>
              <w:right w:val="single" w:color="auto" w:sz="8" w:space="0"/>
            </w:tcBorders>
            <w:tcW w:w="2362" w:type="pct"/>
            <w:vAlign w:val="center"/>
            <w:textDirection w:val="lrTb"/>
            <w:noWrap/>
          </w:tcPr>
          <w:p>
            <w:pPr>
              <w:jc w:val="center"/>
              <w:widowControl/>
              <w:rPr>
                <w:rFonts w:hint="default" w:ascii="宋体" w:cs="宋体"/>
                <w:color w:val="000000" w:themeColor="text1"/>
                <w:sz w:val="20"/>
                <w:szCs w:val="20"/>
                <w:highlight w:val="none"/>
                <w14:textFill>
                  <w14:solidFill>
                    <w14:schemeClr w14:val="tx1"/>
                  </w14:solidFill>
                </w14:textFill>
              </w:rPr>
            </w:pPr>
            <w:r>
              <w:rPr>
                <w:rFonts w:hint="default" w:ascii="宋体" w:hAnsi="宋体" w:cs="宋体"/>
                <w:color w:val="000000" w:themeColor="text1"/>
                <w:sz w:val="20"/>
                <w:szCs w:val="20"/>
                <w:highlight w:val="none"/>
                <w14:textFill>
                  <w14:solidFill>
                    <w14:schemeClr w14:val="tx1"/>
                  </w14:solidFill>
                </w14:textFill>
              </w:rPr>
              <w:t xml:space="preserve">5%</w:t>
            </w:r>
            <w:r>
              <w:rPr>
                <w:rFonts w:hint="eastAsia" w:ascii="宋体" w:hAnsi="宋体" w:cs="宋体"/>
                <w:color w:val="000000" w:themeColor="text1"/>
                <w:sz w:val="20"/>
                <w:szCs w:val="20"/>
                <w:highlight w:val="none"/>
                <w14:textFill>
                  <w14:solidFill>
                    <w14:schemeClr w14:val="tx1"/>
                  </w14:solidFill>
                </w14:textFill>
              </w:rPr>
              <w:t xml:space="preserve">以上</w:t>
            </w:r>
            <w:r/>
          </w:p>
        </w:tc>
        <w:tc>
          <w:tcPr>
            <w:tcBorders>
              <w:top w:val="single" w:color="auto" w:sz="8" w:space="0"/>
              <w:left w:val="single" w:color="auto" w:sz="8" w:space="0"/>
              <w:bottom w:val="single" w:color="auto" w:sz="8" w:space="0"/>
              <w:right w:val="single" w:color="auto" w:sz="8" w:space="0"/>
            </w:tcBorders>
            <w:tcW w:w="2637" w:type="pct"/>
            <w:vAlign w:val="center"/>
            <w:textDirection w:val="lrTb"/>
            <w:noWrap/>
          </w:tcPr>
          <w:p>
            <w:pPr>
              <w:jc w:val="center"/>
              <w:widowControl/>
              <w:rPr>
                <w:rFonts w:hint="default" w:asci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4.2‰</w:t>
            </w:r>
            <w:r/>
          </w:p>
        </w:tc>
      </w:tr>
    </w:tbl>
    <w:p>
      <w:pPr>
        <w:ind w:firstLine="720"/>
        <w:spacing w:line="348"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720"/>
        <w:spacing w:line="348"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w:t>
      </w:r>
      <w:r/>
    </w:p>
    <w:p>
      <w:pPr>
        <w:ind w:firstLine="720"/>
        <w:spacing w:line="348" w:lineRule="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1.追加费用：追加费=项目净核减额*追加系数</w:t>
      </w:r>
      <w:r/>
    </w:p>
    <w:p>
      <w:pPr>
        <w:ind w:firstLine="720"/>
        <w:spacing w:line="348" w:lineRule="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2.项目净核减额=项目送审额-项目审定额，项目净核减率=项目净核减额/项目送审额。送审金额为经建设单位书面确认的金额。</w:t>
      </w:r>
      <w:r/>
    </w:p>
    <w:p>
      <w:pPr>
        <w:ind w:firstLine="720"/>
        <w:spacing w:line="348" w:lineRule="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3.项目净核减额计算不包括为服务类项目净核减。</w:t>
      </w:r>
      <w:r/>
    </w:p>
    <w:p>
      <w:pPr>
        <w:ind w:firstLine="720"/>
        <w:spacing w:line="348" w:lineRule="auto"/>
        <w:rPr>
          <w:rFonts w:hint="default"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4.本表不采用差额定率分档累进方式计算。</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5.协审服务费用根据标准计算后，最终审计费=（基本费+追加费）*考核系数+合理化节约投资奖励费</w:t>
      </w:r>
      <w:r/>
    </w:p>
    <w:p>
      <w:pPr>
        <w:ind w:firstLine="420"/>
        <w:keepLines w:val="0"/>
        <w:keepNext w:val="0"/>
        <w:pageBreakBefore w:val="0"/>
        <w:spacing w:before="181" w:after="181" w:line="360" w:lineRule="auto"/>
        <w:widowControl w:val="off"/>
        <w:rPr>
          <w:rFonts w:hint="default" w:asciiTheme="minorEastAsia" w:hAnsiTheme="minorEastAsia" w:eastAsiaTheme="minorEastAsia" w:cstheme="minorEastAsia"/>
          <w:color w:val="000000" w:themeColor="text1"/>
          <w:szCs w:val="21"/>
          <w:highlight w:val="none"/>
          <w14:textFill>
            <w14:solidFill>
              <w14:schemeClr w14:val="tx1"/>
            </w14:solidFill>
          </w14:textFill>
        </w:rPr>
      </w:pPr>
      <w:r>
        <w:rPr>
          <w:rFonts w:hint="default" w:asciiTheme="minorEastAsia" w:hAnsiTheme="minorEastAsia" w:eastAsiaTheme="minorEastAsia" w:cstheme="minorEastAsia"/>
          <w:color w:val="000000" w:themeColor="text1"/>
          <w:szCs w:val="21"/>
          <w:highlight w:val="none"/>
          <w14:textFill>
            <w14:solidFill>
              <w14:schemeClr w14:val="tx1"/>
            </w14:solidFill>
          </w14:textFill>
        </w:rPr>
      </w:r>
      <w:r/>
    </w:p>
    <w:p>
      <w:pPr>
        <w:rPr>
          <w:rFonts w:hint="default" w:asciiTheme="minorEastAsia" w:hAnsiTheme="minorEastAsia" w:eastAsiaTheme="minorEastAsia" w:cstheme="minorEastAsia"/>
          <w:color w:val="000000" w:themeColor="text1"/>
          <w:szCs w:val="21"/>
          <w:highlight w:val="none"/>
          <w14:textFill>
            <w14:solidFill>
              <w14:schemeClr w14:val="tx1"/>
            </w14:solidFill>
          </w14:textFill>
        </w:rPr>
      </w:pPr>
      <w:r>
        <w:rPr>
          <w:rFonts w:hint="default" w:asciiTheme="minorEastAsia" w:hAnsiTheme="minorEastAsia" w:eastAsiaTheme="minorEastAsia" w:cstheme="minorEastAsia"/>
          <w:color w:val="000000" w:themeColor="text1"/>
          <w:szCs w:val="21"/>
          <w:highlight w:val="none"/>
          <w:lang w:val="en-US" w:eastAsia="zh-CN"/>
          <w14:textFill>
            <w14:solidFill>
              <w14:schemeClr w14:val="tx1"/>
            </w14:solidFill>
          </w14:textFill>
        </w:rPr>
        <w:br w:type="page" w:clear="all"/>
      </w:r>
      <w:r/>
    </w:p>
    <w:tbl>
      <w:tblPr>
        <w:tblStyle w:val="106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0682"/>
      </w:tblGrid>
      <w:tr>
        <w:trPr>
          <w:trHeight w:val="556"/>
        </w:trPr>
        <w:tc>
          <w:tcPr>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hint="default" w:ascii="宋体" w:hAnsi="宋体" w:cs="宋体"/>
                <w:b/>
                <w:bCs/>
                <w:color w:val="000000" w:themeColor="text1"/>
                <w:sz w:val="40"/>
                <w:szCs w:val="40"/>
                <w:highlight w:val="none"/>
                <w14:textFill>
                  <w14:solidFill>
                    <w14:schemeClr w14:val="tx1"/>
                  </w14:solidFill>
                </w14:textFill>
              </w:rPr>
            </w:pPr>
            <w:r>
              <w:rPr>
                <w:rFonts w:hint="default" w:ascii="黑体" w:hAnsi="宋体" w:eastAsia="黑体"/>
                <w:bCs/>
                <w:color w:val="000000" w:themeColor="text1"/>
                <w:sz w:val="24"/>
                <w:szCs w:val="24"/>
                <w:highlight w:val="none"/>
                <w14:textFill>
                  <w14:solidFill>
                    <w14:schemeClr w14:val="tx1"/>
                  </w14:solidFill>
                </w14:textFill>
              </w:rPr>
              <w:t xml:space="preserve">附件</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5</w:t>
            </w:r>
            <w:r>
              <w:rPr>
                <w:rFonts w:hint="eastAsia" w:ascii="黑体" w:hAnsi="宋体" w:eastAsia="黑体"/>
                <w:bCs/>
                <w:color w:val="000000" w:themeColor="text1"/>
                <w:sz w:val="24"/>
                <w:szCs w:val="24"/>
                <w:highlight w:val="none"/>
                <w14:textFill>
                  <w14:solidFill>
                    <w14:schemeClr w14:val="tx1"/>
                  </w14:solidFill>
                </w14:textFill>
              </w:rPr>
              <w:t xml:space="preserve">：全过程跟踪审核（含结算审核）项目考核基础表</w:t>
            </w:r>
            <w:r/>
          </w:p>
        </w:tc>
      </w:tr>
      <w:tr>
        <w:trPr>
          <w:trHeight w:val="504"/>
        </w:trPr>
        <w:tc>
          <w:tcPr>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default" w:ascii="华文中宋" w:hAnsi="华文中宋" w:eastAsia="华文中宋" w:cs="华文中宋"/>
                <w:b/>
                <w:bCs/>
                <w:color w:val="000000" w:themeColor="text1"/>
                <w:sz w:val="36"/>
                <w:szCs w:val="36"/>
                <w:highlight w:val="none"/>
                <w14:textFill>
                  <w14:solidFill>
                    <w14:schemeClr w14:val="tx1"/>
                  </w14:solidFill>
                </w14:textFill>
              </w:rPr>
            </w:pPr>
            <w:r>
              <w:rPr>
                <w:rFonts w:hint="eastAsia" w:ascii="华文中宋" w:hAnsi="华文中宋" w:eastAsia="华文中宋" w:cs="华文中宋"/>
                <w:b/>
                <w:bCs/>
                <w:color w:val="000000" w:themeColor="text1"/>
                <w:sz w:val="36"/>
                <w:szCs w:val="36"/>
                <w:highlight w:val="none"/>
                <w:u w:val="single"/>
                <w:lang w:bidi="ar"/>
                <w14:textFill>
                  <w14:solidFill>
                    <w14:schemeClr w14:val="tx1"/>
                  </w14:solidFill>
                </w14:textFill>
              </w:rPr>
              <w:t xml:space="preserve">       </w:t>
            </w:r>
            <w:r>
              <w:rPr>
                <w:rFonts w:hint="eastAsia" w:ascii="华文中宋" w:hAnsi="华文中宋" w:eastAsia="华文中宋" w:cs="华文中宋"/>
                <w:b/>
                <w:bCs/>
                <w:color w:val="000000" w:themeColor="text1"/>
                <w:sz w:val="36"/>
                <w:szCs w:val="36"/>
                <w:highlight w:val="none"/>
                <w:lang w:bidi="ar"/>
                <w14:textFill>
                  <w14:solidFill>
                    <w14:schemeClr w14:val="tx1"/>
                  </w14:solidFill>
                </w14:textFill>
              </w:rPr>
              <w:t xml:space="preserve">年度全过程跟踪审核（含结算审核）项目考核基础表</w:t>
            </w:r>
            <w:r/>
          </w:p>
        </w:tc>
      </w:tr>
      <w:tr>
        <w:trPr>
          <w:trHeight w:val="240"/>
        </w:trPr>
        <w:tc>
          <w:tcPr>
            <w:tcBorders>
              <w:top w:val="none" w:color="000000" w:sz="4" w:space="0"/>
              <w:left w:val="none" w:color="000000" w:sz="4" w:space="0"/>
              <w:bottom w:val="none" w:color="000000" w:sz="4" w:space="0"/>
              <w:right w:val="none" w:color="000000" w:sz="4" w:space="0"/>
            </w:tcBorders>
            <w:tcW w:w="5000" w:type="pct"/>
            <w:vAlign w:val="center"/>
            <w:textDirection w:val="lrTb"/>
            <w:noWrap/>
          </w:tcPr>
          <w:p>
            <w:pPr>
              <w:rPr>
                <w:rFonts w:hint="default" w:ascii="华文中宋" w:hAnsi="华文中宋" w:eastAsia="华文中宋" w:cs="华文中宋"/>
                <w:b/>
                <w:bCs/>
                <w:color w:val="000000" w:themeColor="text1"/>
                <w:sz w:val="20"/>
                <w:szCs w:val="20"/>
                <w:highlight w:val="none"/>
                <w14:textFill>
                  <w14:solidFill>
                    <w14:schemeClr w14:val="tx1"/>
                  </w14:solidFill>
                </w14:textFill>
              </w:rPr>
            </w:pPr>
            <w:r>
              <w:rPr>
                <w:rFonts w:hint="default" w:ascii="华文中宋" w:hAnsi="华文中宋" w:eastAsia="华文中宋" w:cs="华文中宋"/>
                <w:b/>
                <w:bCs/>
                <w:color w:val="000000" w:themeColor="text1"/>
                <w:sz w:val="20"/>
                <w:szCs w:val="20"/>
                <w:highlight w:val="none"/>
                <w14:textFill>
                  <w14:solidFill>
                    <w14:schemeClr w14:val="tx1"/>
                  </w14:solidFill>
                </w14:textFill>
              </w:rPr>
            </w:r>
            <w:r/>
          </w:p>
        </w:tc>
      </w:tr>
      <w:tr>
        <w:trPr>
          <w:trHeight w:val="330"/>
        </w:trPr>
        <w:tc>
          <w:tcPr>
            <w:tcBorders>
              <w:top w:val="none" w:color="000000" w:sz="4" w:space="0"/>
              <w:left w:val="none" w:color="000000" w:sz="4" w:space="0"/>
              <w:right w:val="none" w:color="000000" w:sz="4" w:space="0"/>
            </w:tcBorders>
            <w:tcW w:w="5000" w:type="pct"/>
            <w:textDirection w:val="lrTb"/>
            <w:noWrap w:val="false"/>
          </w:tcPr>
          <w:tbl>
            <w:tblPr>
              <w:tblStyle w:val="1064"/>
              <w:tblW w:w="9922" w:type="dxa"/>
              <w:tblInd w:w="0" w:type="dxa"/>
              <w:tblLayout w:type="fixed"/>
              <w:tblCellMar>
                <w:left w:w="108" w:type="dxa"/>
                <w:top w:w="0" w:type="dxa"/>
                <w:right w:w="108" w:type="dxa"/>
                <w:bottom w:w="0" w:type="dxa"/>
              </w:tblCellMar>
              <w:tblLook w:val="04A0" w:firstRow="1" w:lastRow="0" w:firstColumn="1" w:lastColumn="0" w:noHBand="0" w:noVBand="1"/>
            </w:tblPr>
            <w:tblGrid>
              <w:gridCol w:w="375"/>
              <w:gridCol w:w="551"/>
              <w:gridCol w:w="836"/>
              <w:gridCol w:w="510"/>
              <w:gridCol w:w="420"/>
              <w:gridCol w:w="3435"/>
              <w:gridCol w:w="456"/>
              <w:gridCol w:w="569"/>
              <w:gridCol w:w="569"/>
              <w:gridCol w:w="569"/>
              <w:gridCol w:w="569"/>
              <w:gridCol w:w="1063"/>
            </w:tblGrid>
            <w:tr>
              <w:trPr>
                <w:gridBefore w:val="1"/>
                <w:trHeight w:val="57"/>
              </w:trPr>
              <w:tc>
                <w:tcPr>
                  <w:gridSpan w:val="11"/>
                  <w:tcBorders>
                    <w:top w:val="none" w:color="000000" w:sz="4" w:space="0"/>
                    <w:left w:val="none" w:color="000000" w:sz="4" w:space="0"/>
                    <w:bottom w:val="single" w:color="000000" w:sz="4" w:space="0"/>
                    <w:right w:val="none" w:color="000000" w:sz="4" w:space="0"/>
                  </w:tcBorders>
                  <w:tcW w:w="9547" w:type="dxa"/>
                  <w:vAlign w:val="center"/>
                  <w:textDirection w:val="lrTb"/>
                  <w:noWrap/>
                </w:tcPr>
                <w:p>
                  <w:pPr>
                    <w:jc w:val="left"/>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协审机构（盖章）：</w:t>
                  </w:r>
                  <w:r>
                    <w:rPr>
                      <w:rFonts w:hint="eastAsia" w:ascii="宋体" w:hAnsi="宋体" w:cs="宋体"/>
                      <w:b/>
                      <w:bCs/>
                      <w:color w:val="000000" w:themeColor="text1"/>
                      <w:sz w:val="18"/>
                      <w:szCs w:val="18"/>
                      <w:highlight w:val="none"/>
                      <w:lang w:val="en-US" w:eastAsia="zh-CN" w:bidi="ar"/>
                      <w14:textFill>
                        <w14:solidFill>
                          <w14:schemeClr w14:val="tx1"/>
                        </w14:solidFill>
                      </w14:textFill>
                    </w:rPr>
                    <w:t xml:space="preserve">             </w:t>
                  </w:r>
                  <w:r>
                    <w:rPr>
                      <w:rFonts w:hint="eastAsia" w:ascii="宋体" w:hAnsi="宋体" w:cs="宋体"/>
                      <w:b/>
                      <w:bCs/>
                      <w:color w:val="000000" w:themeColor="text1"/>
                      <w:sz w:val="18"/>
                      <w:szCs w:val="18"/>
                      <w:highlight w:val="none"/>
                      <w:lang w:bidi="ar"/>
                      <w14:textFill>
                        <w14:solidFill>
                          <w14:schemeClr w14:val="tx1"/>
                        </w14:solidFill>
                      </w14:textFill>
                    </w:rPr>
                    <w:t xml:space="preserve">项目名称：</w:t>
                  </w:r>
                  <w:r>
                    <w:rPr>
                      <w:rFonts w:hint="eastAsia" w:ascii="宋体" w:hAnsi="宋体" w:cs="宋体"/>
                      <w:b/>
                      <w:bCs/>
                      <w:color w:val="000000" w:themeColor="text1"/>
                      <w:sz w:val="18"/>
                      <w:szCs w:val="18"/>
                      <w:highlight w:val="none"/>
                      <w:lang w:val="en-US" w:eastAsia="zh-CN" w:bidi="ar"/>
                      <w14:textFill>
                        <w14:solidFill>
                          <w14:schemeClr w14:val="tx1"/>
                        </w14:solidFill>
                      </w14:textFill>
                    </w:rPr>
                    <w:t xml:space="preserve">                 </w:t>
                  </w:r>
                  <w:r>
                    <w:rPr>
                      <w:rFonts w:hint="eastAsia" w:ascii="宋体" w:hAnsi="宋体" w:cs="宋体"/>
                      <w:b/>
                      <w:bCs/>
                      <w:color w:val="000000" w:themeColor="text1"/>
                      <w:sz w:val="18"/>
                      <w:szCs w:val="18"/>
                      <w:highlight w:val="none"/>
                      <w:lang w:bidi="ar"/>
                      <w14:textFill>
                        <w14:solidFill>
                          <w14:schemeClr w14:val="tx1"/>
                        </w14:solidFill>
                      </w14:textFill>
                    </w:rPr>
                    <w:t xml:space="preserve">项目负责人：</w:t>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序号</w:t>
                  </w:r>
                  <w:r/>
                </w:p>
              </w:tc>
              <w:tc>
                <w:tcPr>
                  <w:gridSpan w:val="2"/>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考核项目</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单项满分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考核期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考核要点</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第一季度扣分</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第二季度扣分</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第三季度扣分</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第四季度扣分</w:t>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平均扣分</w:t>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考核情况简要说明</w:t>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vMerge w:val="restart"/>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到岗情况（25分）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建立考勤台账</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不建立考勤表的，扣1分；考勤表应记录出勤人员、出勤天数、赴审计局及建设单位工作情况，要素不齐的，扣1分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pageBreakBefore w:val="0"/>
                    <w:spacing w:line="240" w:lineRule="atLeast"/>
                    <w:rPr>
                      <w:rFonts w:hint="default" w:ascii="宋体" w:hAnsi="宋体" w:cs="宋体"/>
                      <w:b/>
                      <w:bCs/>
                      <w:color w:val="000000" w:themeColor="text1"/>
                      <w:sz w:val="18"/>
                      <w:szCs w:val="18"/>
                      <w:highlight w:val="none"/>
                      <w14:textFill>
                        <w14:solidFill>
                          <w14:schemeClr w14:val="tx1"/>
                        </w14:solidFill>
                      </w14:textFill>
                    </w:rPr>
                  </w:pPr>
                  <w:r>
                    <w:rPr>
                      <w:rFonts w:hint="default" w:ascii="宋体" w:hAnsi="宋体" w:cs="宋体"/>
                      <w:b/>
                      <w:bCs/>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rPr>
                      <w:rFonts w:hint="default" w:ascii="宋体" w:hAnsi="宋体" w:cs="宋体"/>
                      <w:b/>
                      <w:bCs/>
                      <w:color w:val="000000" w:themeColor="text1"/>
                      <w:sz w:val="18"/>
                      <w:szCs w:val="18"/>
                      <w:highlight w:val="none"/>
                      <w14:textFill>
                        <w14:solidFill>
                          <w14:schemeClr w14:val="tx1"/>
                        </w14:solidFill>
                      </w14:textFill>
                    </w:rPr>
                  </w:pPr>
                  <w:r>
                    <w:rPr>
                      <w:rFonts w:hint="default" w:ascii="宋体" w:hAnsi="宋体" w:cs="宋体"/>
                      <w:b/>
                      <w:bCs/>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rPr>
                      <w:rFonts w:hint="default" w:ascii="宋体" w:hAnsi="宋体" w:cs="宋体"/>
                      <w:b/>
                      <w:bCs/>
                      <w:color w:val="000000" w:themeColor="text1"/>
                      <w:sz w:val="18"/>
                      <w:szCs w:val="18"/>
                      <w:highlight w:val="none"/>
                      <w14:textFill>
                        <w14:solidFill>
                          <w14:schemeClr w14:val="tx1"/>
                        </w14:solidFill>
                      </w14:textFill>
                    </w:rPr>
                  </w:pPr>
                  <w:r>
                    <w:rPr>
                      <w:rFonts w:hint="default" w:ascii="宋体" w:hAnsi="宋体" w:cs="宋体"/>
                      <w:b/>
                      <w:bCs/>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rPr>
                      <w:rFonts w:hint="default" w:ascii="宋体" w:hAnsi="宋体" w:cs="宋体"/>
                      <w:b/>
                      <w:bCs/>
                      <w:color w:val="000000" w:themeColor="text1"/>
                      <w:sz w:val="18"/>
                      <w:szCs w:val="18"/>
                      <w:highlight w:val="none"/>
                      <w14:textFill>
                        <w14:solidFill>
                          <w14:schemeClr w14:val="tx1"/>
                        </w14:solidFill>
                      </w14:textFill>
                    </w:rPr>
                  </w:pPr>
                  <w:r>
                    <w:rPr>
                      <w:rFonts w:hint="default" w:ascii="宋体" w:hAnsi="宋体" w:cs="宋体"/>
                      <w:b/>
                      <w:bCs/>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pageBreakBefore w:val="0"/>
                    <w:spacing w:line="240" w:lineRule="atLeast"/>
                    <w:rPr>
                      <w:rFonts w:hint="default" w:ascii="宋体" w:hAnsi="宋体" w:cs="宋体"/>
                      <w:b/>
                      <w:bCs/>
                      <w:color w:val="000000" w:themeColor="text1"/>
                      <w:sz w:val="18"/>
                      <w:szCs w:val="18"/>
                      <w:highlight w:val="none"/>
                      <w14:textFill>
                        <w14:solidFill>
                          <w14:schemeClr w14:val="tx1"/>
                        </w14:solidFill>
                      </w14:textFill>
                    </w:rPr>
                  </w:pPr>
                  <w:r>
                    <w:rPr>
                      <w:rFonts w:hint="default" w:ascii="宋体" w:hAnsi="宋体" w:cs="宋体"/>
                      <w:b/>
                      <w:bCs/>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240" w:lineRule="atLeast"/>
                    <w:rPr>
                      <w:rFonts w:hint="default" w:ascii="宋体" w:hAnsi="宋体" w:cs="宋体"/>
                      <w:b/>
                      <w:bCs/>
                      <w:color w:val="000000" w:themeColor="text1"/>
                      <w:sz w:val="18"/>
                      <w:szCs w:val="18"/>
                      <w:highlight w:val="none"/>
                      <w14:textFill>
                        <w14:solidFill>
                          <w14:schemeClr w14:val="tx1"/>
                        </w14:solidFill>
                      </w14:textFill>
                    </w:rPr>
                  </w:pPr>
                  <w:r>
                    <w:rPr>
                      <w:rFonts w:hint="default" w:ascii="宋体" w:hAnsi="宋体" w:cs="宋体"/>
                      <w:b/>
                      <w:bCs/>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现场人员到岗情况</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20分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审计局按招标文件要求对跟踪审核人员出勤情况进行考勤；现场审核人员需符合政府采购公开招标时人数要求，项目负责人必须常驻，工作日起止打卡时间不少于8小时，具体考勤期根据招标文件确定，具体评分要求：</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1.出勤率95%（含）以上的得满分；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2.出勤率90%（含）-95%（不含）的，扣5分；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3.出勤率80%（含）-90%（不含）的，扣10分；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4.出勤率70%（含）-80%（不含）的，扣15分；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5.出勤率70%（不含）以下的扣20分；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出勤率=所有驻场人员出勤日合计（实际出勤天日+赴审计局或建设单位工作天日+履行请假手续天日）/所有驻场人员应出勤工作日合计</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参与例会出勤情况</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通过建设、施工方，收集提供常驻地所在施工现场例会纪要及相关佐证材料，凡发现该季度少参加1次的扣1分，未按要求提供例会等佐证材料的，扣2分。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项目审核人员调整及请假情况</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未第一时间向市审计局项目负责人请假的，经市审计局抽查或建设单位反馈擅离跟踪审计现场的，每次扣1分；未经市审计局允许，擅自调整审核</w:t>
                  </w:r>
                  <w:r>
                    <w:rPr>
                      <w:rFonts w:hint="eastAsia" w:ascii="宋体" w:hAnsi="宋体" w:cs="宋体"/>
                      <w:color w:val="000000" w:themeColor="text1"/>
                      <w:sz w:val="18"/>
                      <w:szCs w:val="18"/>
                      <w:highlight w:val="none"/>
                      <w:lang w:eastAsia="zh-CN" w:bidi="ar"/>
                      <w14:textFill>
                        <w14:solidFill>
                          <w14:schemeClr w14:val="tx1"/>
                        </w14:solidFill>
                      </w14:textFill>
                    </w:rPr>
                    <w:t xml:space="preserve">人员的</w:t>
                  </w:r>
                  <w:r>
                    <w:rPr>
                      <w:rFonts w:hint="eastAsia" w:ascii="宋体" w:hAnsi="宋体" w:cs="宋体"/>
                      <w:color w:val="000000" w:themeColor="text1"/>
                      <w:sz w:val="18"/>
                      <w:szCs w:val="18"/>
                      <w:highlight w:val="none"/>
                      <w:lang w:bidi="ar"/>
                      <w14:textFill>
                        <w14:solidFill>
                          <w14:schemeClr w14:val="tx1"/>
                        </w14:solidFill>
                      </w14:textFill>
                    </w:rPr>
                    <w:t xml:space="preserve">，扣2分。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vMerge w:val="restart"/>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51" w:type="dxa"/>
                  <w:vAlign w:val="center"/>
                  <w:vMerge w:val="restart"/>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操作指引过程考核（8分）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项目前期准备阶段</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1.未收集建设程序（施工许可、规划许可等）并提交项目建设程序台账的，扣1分。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2.未收集招投标资料并提交项目招投标台账的，扣1分。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项目实施阶段事项</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1.归并制作《施工单位人员信息和履约情况表》并提交审核，定期更新，未收集或未定期更新的，扣1分。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2.收集建设、代建单位关于工程分包的审批资料并提交审核，未收集或未定期更新的，扣1分。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3.收集全部工程、服务、采购类项目合同，并提交审核,未收集或未集齐的，扣1分。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4.编制《工程变更汇总表》《现场计量和工程签证记录表》，并提交审核。未编制或未定期更新的，扣1分；工程变更、签证无工程量计算依据、工程部位等必要信息的，每次扣1分；未在签证手续签字盖章的，每次扣1分；变更单价或工程量不准确的，每次扣1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5.未按规定审核月报的或月报数据不准确的，每次扣1分。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6.未按照操作指引要求对设计、监理等服务类项目进行资料收集及成果分析的，扣1分。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vMerge w:val="continue"/>
                  <w:textDirection w:val="lrTb"/>
                  <w:noWrap/>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51"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项目竣工交付阶段</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1.若工程发生超概等情况，协审机构未能及时书面提醒建设单位的扣1分；对于可能出现超投资情况的，应及时反馈市审计局，未及时反馈的，扣1分。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2.未按操作指引要求进行核减核增原因分析及审定金额对比分析的，每个分析事项扣1分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时效考核（5分）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成果及初审时效</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对于过程跟踪文件审核，未在10个工作日内提交符合要求的审核结果的，扣0.5分；超过期限5个工作日内仍不能提交审核结果的，扣1分；超过期限10个工作日内仍不能提交审核结果的，扣1.5分；超过期限15个(含)以上工作日方提交审核结果的，扣2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对于资料齐备项目的结算审核，协审机构未在20个工作日内提交符合要求的问题清单的，扣1分；超过期限7个工作日内仍不能提交的，扣2分；超过期限14个工作日内仍不能提交的，扣3分；超过期限28个(含)以上工作日方提交的，扣4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因协审单位履职不到位致问题清单和最终审定结果发生较大差异的，扣4分。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档案考核（5分）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档案管理</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季度考核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凡出现未对图纸、招投标文件、合同、变更资料、洽商等资料进行存档的，每项扣1分；同时，协审机构应保持档案资料整理的规范、整洁，建立相应归档资料台帐、目录，出现不符合资料规整要求的，每项扣1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审计费上报质量考核</w:t>
                  </w:r>
                  <w:r/>
                </w:p>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审计费上报</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年度考核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在审计费预算申报及审计费申请过程中，经审计人员复核发现计算过程存在偏差的，每超过1%偏差率的，扣1分。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协审跟踪报告评分（7分）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年度跟踪报告质量</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7分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年度考核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协审单位需根据委托方的要求定期出具项目协审跟踪报告，基本要素包括1.工程进度情况分析；2.协审工作开展相关情况；3.项目造价控制情况（含变更、签证管理）；同时反映建设单位管理方面及施工单位如违规转分包、损失浪费等问题。报送的跟踪协审报告中每个基本要素得1分；协审报告质量分4分，由委托方统一进行评比；未上报的不得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协审总报告质量</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结算报告质量</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项目全周期一次性考核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工程竣工结算报告应包含工程概况、审核依据及原则、审核结果、主要核减内容及原因、现场管理存在问题（含损失浪费情况、招投标中不合规、缺项漏项等情况）、合理化建议、项目评价、跟踪情况（含月报计量）、超（节）概分析、合同偏差分析等。协审机构出具的报告缺漏上述应包含内容的，每项扣0.5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551"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审核质量（40分）</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审核误差率</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40分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项目全周期一次性考核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抽到需复核的合同（抽审金额累计＞协审范围内总投资额20%）按照复核的工程结算误差率的大小进行打分。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1.当抽审部分“总结算误差率”在0-0.5%（含）之间的，不扣分。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当抽审部分“总结算误差率”在0.5%-1%（含）之间的，扣3分。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当抽审部分“总结算误差率”在1%-1.5%（含）之间的，扣6分。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当抽审部分“总结算误差率”在1.5%-2%（含）之间的，扣10分。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当抽审部分“总结算误差率”在2%-3%（含）之间的，扣20分。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当抽审部分“总结算误差率”在3%-4%（含）之间的，扣26分；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当抽审部分“总结算误差率”在4%-5%（含）之间的，扣32分；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当抽审部分“总结算误差率”＞5%时，扣40分；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2.当单项合同“结算误差率”＞2%，且误差金额＞10万时，在“总结算误差率”考核扣分的基础上每份合同额外再扣2分。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none" w:color="000000" w:sz="4" w:space="0"/>
                    <w:right w:val="single" w:color="000000" w:sz="4" w:space="0"/>
                  </w:tcBorders>
                  <w:tcW w:w="375"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9</w:t>
                  </w:r>
                  <w:r/>
                </w:p>
              </w:tc>
              <w:tc>
                <w:tcPr>
                  <w:tcBorders>
                    <w:top w:val="single" w:color="000000" w:sz="4" w:space="0"/>
                    <w:left w:val="single" w:color="000000" w:sz="4" w:space="0"/>
                    <w:bottom w:val="none" w:color="000000" w:sz="4" w:space="0"/>
                    <w:right w:val="single" w:color="000000" w:sz="4" w:space="0"/>
                  </w:tcBorders>
                  <w:tcW w:w="551"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按操作指引反映存在问题考核</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反映项目存在问题</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项目全周期一次性考核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未能根据操作指引对决策及建设程序执行、招投标、政府采购及合同管理；施工过程人员履约审查、合同履行不到位、签证及变更管理、进度及月报计量方面、质量及安全文明施工、服务类项目履约质量、商业开发合作等事项及时发现问题的，但审计人员在跟踪或决算过程中发现并在审计报告中予以揭示的，每个问题扣1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2.未能</w:t>
                  </w:r>
                  <w:r>
                    <w:rPr>
                      <w:rFonts w:hint="eastAsia" w:ascii="宋体" w:hAnsi="宋体" w:cs="宋体"/>
                      <w:color w:val="000000" w:themeColor="text1"/>
                      <w:sz w:val="18"/>
                      <w:szCs w:val="18"/>
                      <w:highlight w:val="none"/>
                      <w:lang w:eastAsia="zh-CN" w:bidi="ar"/>
                      <w14:textFill>
                        <w14:solidFill>
                          <w14:schemeClr w14:val="tx1"/>
                        </w14:solidFill>
                      </w14:textFill>
                    </w:rPr>
                    <w:t xml:space="preserve">根据</w:t>
                  </w:r>
                  <w:r>
                    <w:rPr>
                      <w:rFonts w:hint="eastAsia" w:ascii="宋体" w:hAnsi="宋体" w:cs="宋体"/>
                      <w:color w:val="000000" w:themeColor="text1"/>
                      <w:sz w:val="18"/>
                      <w:szCs w:val="18"/>
                      <w:highlight w:val="none"/>
                      <w:lang w:bidi="ar"/>
                      <w14:textFill>
                        <w14:solidFill>
                          <w14:schemeClr w14:val="tx1"/>
                        </w14:solidFill>
                      </w14:textFill>
                    </w:rPr>
                    <w:t xml:space="preserve">操作指引对结算过程发生拆改、返工、停工、二次进场、索赔等事项进行原因分析和损失浪费金额分析的，但审计人员在跟踪或决算过程中发现的并在审计报告中予以揭示的，每个问题事项扣1分。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tcBorders>
                    <w:top w:val="single" w:color="000000" w:sz="4" w:space="0"/>
                    <w:left w:val="single" w:color="000000" w:sz="4" w:space="0"/>
                    <w:bottom w:val="none" w:color="000000" w:sz="4" w:space="0"/>
                    <w:right w:val="single" w:color="000000" w:sz="4" w:space="0"/>
                  </w:tcBorders>
                  <w:tcW w:w="375" w:type="dxa"/>
                  <w:vAlign w:val="center"/>
                  <w:vMerge w:val="restart"/>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10</w:t>
                  </w:r>
                  <w:r/>
                </w:p>
              </w:tc>
              <w:tc>
                <w:tcPr>
                  <w:tcBorders>
                    <w:top w:val="single" w:color="000000" w:sz="4" w:space="0"/>
                    <w:left w:val="single" w:color="000000" w:sz="4" w:space="0"/>
                    <w:bottom w:val="none" w:color="000000" w:sz="4" w:space="0"/>
                    <w:right w:val="single" w:color="000000" w:sz="4" w:space="0"/>
                  </w:tcBorders>
                  <w:tcW w:w="551" w:type="dxa"/>
                  <w:vAlign w:val="center"/>
                  <w:vMerge w:val="restart"/>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额外加分项</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信息宣传</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年度考核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协审期间形成相关专题信息的，如成本分析、质量把控等，经审计局审核并得到上级相关部门认可的，每篇加1.5分；该项最高加3分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63" w:type="dxa"/>
                  <w:vAlign w:val="center"/>
                  <w:vMerge w:val="restart"/>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加分后最终项目考核超过100分的，按100分计</w:t>
                  </w:r>
                  <w:r/>
                </w:p>
              </w:tc>
            </w:tr>
            <w:tr>
              <w:trPr>
                <w:trHeight w:val="57"/>
              </w:trPr>
              <w:tc>
                <w:tcPr>
                  <w:tcBorders>
                    <w:top w:val="single" w:color="000000" w:sz="4" w:space="0"/>
                    <w:left w:val="single" w:color="000000" w:sz="4" w:space="0"/>
                    <w:bottom w:val="none" w:color="000000" w:sz="4" w:space="0"/>
                    <w:right w:val="single" w:color="000000" w:sz="4" w:space="0"/>
                  </w:tcBorders>
                  <w:tcW w:w="375" w:type="dxa"/>
                  <w:vAlign w:val="center"/>
                  <w:vMerge w:val="continue"/>
                  <w:textDirection w:val="lrTb"/>
                  <w:noWrap/>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551"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发现重大问题等突出情况</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项目全周期一次性考核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协审单位发现的相关管理问题，经上报审计部门审核并提交建设单位，按以下方式进行加分: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1.相关管理问题被市局决算审计报告引用的，每个问题加0.5分；该项最高加2分。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2.因管理不善造成损失浪费问题，涉及金额每满500万的，加1分，最高加5分；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3.因管理原因造成投资增加问题，涉及金额每满1000万元的，加1分，最高加5分；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4.发现的相关问题，审计局进行移送住建、纪委处理或形成专报的，每个问题加1分；</w:t>
                  </w:r>
                  <w:r/>
                </w:p>
                <w:p>
                  <w:pPr>
                    <w:jc w:val="left"/>
                    <w:keepLines w:val="0"/>
                    <w:keepNext w:val="0"/>
                    <w:pageBreakBefore w:val="0"/>
                    <w:spacing w:line="240" w:lineRule="atLeas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同一问题以上1-4点取最高分值计分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协审单位对应反映的重大管理问题如转包、违法分包等未反映的，该项不予加分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r>
            <w:tr>
              <w:trPr>
                <w:trHeight w:val="57"/>
              </w:trPr>
              <w:tc>
                <w:tcPr>
                  <w:tcBorders>
                    <w:top w:val="single" w:color="000000" w:sz="4" w:space="0"/>
                    <w:left w:val="single" w:color="000000" w:sz="4" w:space="0"/>
                    <w:bottom w:val="none" w:color="000000" w:sz="4" w:space="0"/>
                    <w:right w:val="single" w:color="000000" w:sz="4" w:space="0"/>
                  </w:tcBorders>
                  <w:tcW w:w="375" w:type="dxa"/>
                  <w:vAlign w:val="center"/>
                  <w:vMerge w:val="continue"/>
                  <w:textDirection w:val="lrTb"/>
                  <w:noWrap/>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551"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提出优化方案建议节约投资</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项目全周期一次性考核</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协审单位书面提出优化方案建议经上报审计部门审核后提交建设单位被采纳并书面确认的，节约资金每满100万的，加1分，最高加5分；</w:t>
                  </w:r>
                  <w:r/>
                </w:p>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同时最终审计费按节约投资额的4.2‰计取合理化节约投资额的奖励费。</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63" w:type="dxa"/>
                  <w:vAlign w:val="center"/>
                  <w:vMerge w:val="continue"/>
                  <w:textDirection w:val="lrTb"/>
                  <w:noWrap w:val="false"/>
                </w:tcPr>
                <w:p>
                  <w:pPr>
                    <w:jc w:val="center"/>
                    <w:keepLines w:val="0"/>
                    <w:keepNext w:val="0"/>
                    <w:pageBreakBefore w:val="0"/>
                    <w:spacing w:line="240" w:lineRule="atLeast"/>
                    <w:rPr>
                      <w:rFonts w:hint="default" w:ascii="宋体" w:hAnsi="宋体" w:cs="宋体"/>
                      <w:color w:val="000000"/>
                      <w:sz w:val="18"/>
                      <w:szCs w:val="18"/>
                      <w:highlight w:val="none"/>
                    </w:rPr>
                  </w:pPr>
                  <w:r>
                    <w:rPr>
                      <w:rFonts w:hint="default" w:ascii="宋体" w:hAnsi="宋体" w:cs="宋体"/>
                      <w:color w:val="000000"/>
                      <w:sz w:val="18"/>
                      <w:szCs w:val="18"/>
                      <w:highlight w:val="none"/>
                    </w:rPr>
                  </w:r>
                  <w:r/>
                </w:p>
              </w:tc>
            </w:tr>
            <w:tr>
              <w:trPr>
                <w:trHeight w:val="395"/>
              </w:trPr>
              <w:tc>
                <w:tcPr>
                  <w:gridSpan w:val="3"/>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满分分值</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gridSpan w:val="12"/>
                  <w:tcBorders>
                    <w:top w:val="single" w:color="000000" w:sz="4" w:space="0"/>
                    <w:left w:val="single" w:color="000000" w:sz="4" w:space="0"/>
                    <w:bottom w:val="single" w:color="000000" w:sz="4" w:space="0"/>
                    <w:right w:val="single" w:color="000000" w:sz="4" w:space="0"/>
                  </w:tcBorders>
                  <w:tcW w:w="9922" w:type="dxa"/>
                  <w:textDirection w:val="lrTb"/>
                  <w:noWrap w:val="false"/>
                </w:tcPr>
                <w:p>
                  <w:pPr>
                    <w:jc w:val="left"/>
                    <w:keepLines w:val="0"/>
                    <w:keepNext w:val="0"/>
                    <w:pageBreakBefore w:val="0"/>
                    <w:spacing w:line="240" w:lineRule="atLeast"/>
                    <w:rPr>
                      <w:rFonts w:hint="default" w:ascii="宋体" w:hAnsi="宋体" w:cs="宋体"/>
                      <w:color w:val="000000" w:themeColor="text1"/>
                      <w:sz w:val="18"/>
                      <w:szCs w:val="18"/>
                      <w:highlight w:val="none"/>
                      <w14:textFill>
                        <w14:solidFill>
                          <w14:schemeClr w14:val="tx1"/>
                        </w14:solidFill>
                      </w14:textFill>
                    </w:rPr>
                  </w:pPr>
                  <w:r>
                    <w:rPr>
                      <w:rFonts w:hint="default" w:ascii="宋体" w:hAnsi="宋体" w:cs="宋体"/>
                      <w:color w:val="000000" w:themeColor="text1"/>
                      <w:sz w:val="18"/>
                      <w:szCs w:val="18"/>
                      <w:highlight w:val="none"/>
                      <w14:textFill>
                        <w14:solidFill>
                          <w14:schemeClr w14:val="tx1"/>
                        </w14:solidFill>
                      </w14:textFill>
                    </w:rPr>
                  </w:r>
                  <w:r/>
                </w:p>
              </w:tc>
            </w:tr>
            <w:tr>
              <w:trPr>
                <w:trHeight w:val="57"/>
              </w:trPr>
              <w:tc>
                <w:tcPr>
                  <w:gridSpan w:val="12"/>
                  <w:tcBorders>
                    <w:top w:val="single" w:color="000000" w:sz="4" w:space="0"/>
                    <w:left w:val="single" w:color="000000" w:sz="4" w:space="0"/>
                    <w:bottom w:val="single" w:color="000000" w:sz="4" w:space="0"/>
                    <w:right w:val="single" w:color="000000" w:sz="4" w:space="0"/>
                  </w:tcBorders>
                  <w:tcW w:w="9922" w:type="dxa"/>
                  <w:textDirection w:val="lrTb"/>
                  <w:noWrap/>
                </w:tcPr>
                <w:p>
                  <w:pPr>
                    <w:jc w:val="left"/>
                    <w:keepLines w:val="0"/>
                    <w:keepNext w:val="0"/>
                    <w:pageBreakBefore w:val="0"/>
                    <w:spacing w:line="240" w:lineRule="atLeast"/>
                    <w:widowControl/>
                    <w:rPr>
                      <w:rFonts w:hint="default"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其他情况说明：</w:t>
                  </w:r>
                  <w:r/>
                </w:p>
              </w:tc>
            </w:tr>
            <w:tr>
              <w:trPr>
                <w:gridBefore w:val="1"/>
                <w:trHeight w:val="312"/>
              </w:trPr>
              <w:tc>
                <w:tcPr>
                  <w:gridSpan w:val="11"/>
                  <w:tcBorders>
                    <w:top w:val="none" w:color="000000" w:sz="4" w:space="0"/>
                    <w:left w:val="none" w:color="000000" w:sz="4" w:space="0"/>
                    <w:bottom w:val="none" w:color="000000" w:sz="4" w:space="0"/>
                    <w:right w:val="none" w:color="000000" w:sz="4" w:space="0"/>
                  </w:tcBorders>
                  <w:tcW w:w="9547" w:type="dxa"/>
                  <w:vMerge w:val="restart"/>
                  <w:textDirection w:val="lrTb"/>
                  <w:noWrap w:val="false"/>
                </w:tcPr>
                <w:p>
                  <w:pPr>
                    <w:jc w:val="left"/>
                    <w:keepLines w:val="0"/>
                    <w:keepNext w:val="0"/>
                    <w:pageBreakBefore w:val="0"/>
                    <w:spacing w:line="240" w:lineRule="atLeast"/>
                    <w:widowControl/>
                    <w:rPr>
                      <w:rFonts w:hint="eastAsia" w:ascii="宋体" w:hAnsi="宋体" w:eastAsia="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1.考核得分和审计费计取说明：最终审计费=（基本费+追加费）*考核系数+合理化节约投资奖励费</w:t>
                  </w:r>
                  <w:r/>
                </w:p>
                <w:p>
                  <w:pPr>
                    <w:jc w:val="left"/>
                    <w:keepLines w:val="0"/>
                    <w:keepNext w:val="0"/>
                    <w:pageBreakBefore w:val="0"/>
                    <w:spacing w:line="240" w:lineRule="atLeast"/>
                    <w:widowControl/>
                    <w:rPr>
                      <w:rFonts w:hint="eastAsia" w:ascii="宋体" w:hAnsi="宋体" w:eastAsia="宋体" w:cs="宋体"/>
                      <w:b/>
                      <w:bCs/>
                      <w:color w:val="000000" w:themeColor="text1"/>
                      <w:sz w:val="18"/>
                      <w:szCs w:val="18"/>
                      <w:highlight w:val="none"/>
                      <w14:textFill>
                        <w14:solidFill>
                          <w14:schemeClr w14:val="tx1"/>
                        </w14:solidFill>
                      </w14:textFill>
                    </w:rPr>
                  </w:pPr>
                  <w:r>
                    <w:rPr>
                      <w:rFonts w:hint="default" w:cs="Calibri"/>
                      <w:b/>
                      <w:bCs/>
                      <w:color w:val="000000" w:themeColor="text1"/>
                      <w:sz w:val="18"/>
                      <w:szCs w:val="18"/>
                      <w:highlight w:val="none"/>
                      <w:lang w:bidi="ar"/>
                      <w14:textFill>
                        <w14:solidFill>
                          <w14:schemeClr w14:val="tx1"/>
                        </w14:solidFill>
                      </w14:textFill>
                    </w:rPr>
                    <w:t xml:space="preserve">①</w:t>
                  </w:r>
                  <w:r>
                    <w:rPr>
                      <w:rFonts w:hint="eastAsia" w:ascii="宋体" w:hAnsi="宋体" w:cs="宋体"/>
                      <w:b/>
                      <w:bCs/>
                      <w:color w:val="000000" w:themeColor="text1"/>
                      <w:sz w:val="18"/>
                      <w:szCs w:val="18"/>
                      <w:highlight w:val="none"/>
                      <w:lang w:bidi="ar"/>
                      <w14:textFill>
                        <w14:solidFill>
                          <w14:schemeClr w14:val="tx1"/>
                        </w14:solidFill>
                      </w14:textFill>
                    </w:rPr>
                    <w:t xml:space="preserve">得分≥95分时，考核系数=1</w:t>
                  </w:r>
                  <w:r/>
                </w:p>
                <w:p>
                  <w:pPr>
                    <w:jc w:val="left"/>
                    <w:keepLines w:val="0"/>
                    <w:keepNext w:val="0"/>
                    <w:pageBreakBefore w:val="0"/>
                    <w:spacing w:line="240" w:lineRule="atLeast"/>
                    <w:widowControl/>
                    <w:rPr>
                      <w:rFonts w:hint="eastAsia" w:ascii="宋体" w:hAnsi="宋体" w:eastAsia="宋体" w:cs="宋体"/>
                      <w:b/>
                      <w:bCs/>
                      <w:color w:val="000000" w:themeColor="text1"/>
                      <w:sz w:val="18"/>
                      <w:szCs w:val="18"/>
                      <w:highlight w:val="none"/>
                      <w14:textFill>
                        <w14:solidFill>
                          <w14:schemeClr w14:val="tx1"/>
                        </w14:solidFill>
                      </w14:textFill>
                    </w:rPr>
                  </w:pPr>
                  <w:r>
                    <w:rPr>
                      <w:rFonts w:hint="default" w:cs="Calibri"/>
                      <w:b/>
                      <w:bCs/>
                      <w:color w:val="000000" w:themeColor="text1"/>
                      <w:sz w:val="18"/>
                      <w:szCs w:val="18"/>
                      <w:highlight w:val="none"/>
                      <w:lang w:bidi="ar"/>
                      <w14:textFill>
                        <w14:solidFill>
                          <w14:schemeClr w14:val="tx1"/>
                        </w14:solidFill>
                      </w14:textFill>
                    </w:rPr>
                    <w:t xml:space="preserve">②</w:t>
                  </w:r>
                  <w:r>
                    <w:rPr>
                      <w:rFonts w:hint="eastAsia" w:ascii="宋体" w:hAnsi="宋体" w:cs="宋体"/>
                      <w:b/>
                      <w:bCs/>
                      <w:color w:val="000000" w:themeColor="text1"/>
                      <w:sz w:val="18"/>
                      <w:szCs w:val="18"/>
                      <w:highlight w:val="none"/>
                      <w:lang w:bidi="ar"/>
                      <w14:textFill>
                        <w14:solidFill>
                          <w14:schemeClr w14:val="tx1"/>
                        </w14:solidFill>
                      </w14:textFill>
                    </w:rPr>
                    <w:t xml:space="preserve">95分&gt;得分≥80分时，考核系数=[0.005*（得分-80)+0.9],考核系数在0.9—0.975内；</w:t>
                  </w:r>
                  <w:r/>
                </w:p>
                <w:p>
                  <w:pPr>
                    <w:jc w:val="left"/>
                    <w:keepLines w:val="0"/>
                    <w:keepNext w:val="0"/>
                    <w:pageBreakBefore w:val="0"/>
                    <w:spacing w:line="240" w:lineRule="atLeast"/>
                    <w:widowControl/>
                    <w:rPr>
                      <w:rFonts w:hint="eastAsia" w:ascii="宋体" w:hAnsi="宋体" w:eastAsia="宋体" w:cs="宋体"/>
                      <w:b/>
                      <w:bCs/>
                      <w:color w:val="000000" w:themeColor="text1"/>
                      <w:sz w:val="18"/>
                      <w:szCs w:val="18"/>
                      <w:highlight w:val="none"/>
                      <w14:textFill>
                        <w14:solidFill>
                          <w14:schemeClr w14:val="tx1"/>
                        </w14:solidFill>
                      </w14:textFill>
                    </w:rPr>
                  </w:pPr>
                  <w:r>
                    <w:rPr>
                      <w:rFonts w:hint="default" w:cs="Calibri"/>
                      <w:b/>
                      <w:bCs/>
                      <w:color w:val="000000" w:themeColor="text1"/>
                      <w:sz w:val="18"/>
                      <w:szCs w:val="18"/>
                      <w:highlight w:val="none"/>
                      <w:lang w:bidi="ar"/>
                      <w14:textFill>
                        <w14:solidFill>
                          <w14:schemeClr w14:val="tx1"/>
                        </w14:solidFill>
                      </w14:textFill>
                    </w:rPr>
                    <w:t xml:space="preserve">③</w:t>
                  </w:r>
                  <w:r>
                    <w:rPr>
                      <w:rFonts w:hint="eastAsia" w:ascii="宋体" w:hAnsi="宋体" w:cs="宋体"/>
                      <w:b/>
                      <w:bCs/>
                      <w:color w:val="000000" w:themeColor="text1"/>
                      <w:sz w:val="18"/>
                      <w:szCs w:val="18"/>
                      <w:highlight w:val="none"/>
                      <w:lang w:bidi="ar"/>
                      <w14:textFill>
                        <w14:solidFill>
                          <w14:schemeClr w14:val="tx1"/>
                        </w14:solidFill>
                      </w14:textFill>
                    </w:rPr>
                    <w:t xml:space="preserve">当80分&gt;得分≥60分时，考核系数=[0.015*（得分-60)+0.6]，考核系数在0.6—0.9内；</w:t>
                  </w:r>
                  <w:r/>
                </w:p>
                <w:p>
                  <w:pPr>
                    <w:jc w:val="left"/>
                    <w:keepLines w:val="0"/>
                    <w:keepNext w:val="0"/>
                    <w:pageBreakBefore w:val="0"/>
                    <w:spacing w:line="240" w:lineRule="atLeast"/>
                    <w:widowControl/>
                    <w:rPr>
                      <w:rFonts w:hint="eastAsia" w:ascii="宋体" w:hAnsi="宋体" w:eastAsia="宋体" w:cs="宋体"/>
                      <w:b/>
                      <w:bCs/>
                      <w:color w:val="000000" w:themeColor="text1"/>
                      <w:sz w:val="18"/>
                      <w:szCs w:val="18"/>
                      <w:highlight w:val="none"/>
                      <w14:textFill>
                        <w14:solidFill>
                          <w14:schemeClr w14:val="tx1"/>
                        </w14:solidFill>
                      </w14:textFill>
                    </w:rPr>
                  </w:pPr>
                  <w:r>
                    <w:rPr>
                      <w:rFonts w:hint="default" w:cs="Calibri"/>
                      <w:b/>
                      <w:bCs/>
                      <w:color w:val="000000" w:themeColor="text1"/>
                      <w:sz w:val="18"/>
                      <w:szCs w:val="18"/>
                      <w:highlight w:val="none"/>
                      <w:lang w:bidi="ar"/>
                      <w14:textFill>
                        <w14:solidFill>
                          <w14:schemeClr w14:val="tx1"/>
                        </w14:solidFill>
                      </w14:textFill>
                    </w:rPr>
                    <w:t xml:space="preserve">④</w:t>
                  </w:r>
                  <w:r>
                    <w:rPr>
                      <w:rFonts w:hint="eastAsia" w:ascii="宋体" w:hAnsi="宋体" w:cs="宋体"/>
                      <w:b/>
                      <w:bCs/>
                      <w:color w:val="000000" w:themeColor="text1"/>
                      <w:sz w:val="18"/>
                      <w:szCs w:val="18"/>
                      <w:highlight w:val="none"/>
                      <w:lang w:bidi="ar"/>
                      <w14:textFill>
                        <w14:solidFill>
                          <w14:schemeClr w14:val="tx1"/>
                        </w14:solidFill>
                      </w14:textFill>
                    </w:rPr>
                    <w:t xml:space="preserve">得分＜60分时，考核系数=0.5。同时在无锡市审计局给予警告1次，并建议协审单位对项目负责人予以处理。如情节严重并产生严重后果的，采购人保留解除协审服务合同的权利。</w:t>
                  </w:r>
                  <w:r/>
                </w:p>
                <w:p>
                  <w:pPr>
                    <w:jc w:val="left"/>
                    <w:keepLines w:val="0"/>
                    <w:keepNext w:val="0"/>
                    <w:pageBreakBefore w:val="0"/>
                    <w:spacing w:line="240" w:lineRule="atLeast"/>
                    <w:widowControl/>
                    <w:rPr>
                      <w:rFonts w:hint="eastAsia" w:ascii="宋体" w:hAnsi="宋体" w:eastAsia="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2.协审单位为考核主体责任人，负责提供符合审计要求的考核佐证材料。</w:t>
                  </w:r>
                  <w:r/>
                </w:p>
                <w:p>
                  <w:pPr>
                    <w:jc w:val="left"/>
                    <w:keepLines w:val="0"/>
                    <w:keepNext w:val="0"/>
                    <w:pageBreakBefore w:val="0"/>
                    <w:spacing w:line="240" w:lineRule="atLeast"/>
                    <w:widowControl/>
                    <w:rPr>
                      <w:rFonts w:hint="eastAsia" w:ascii="宋体" w:hAnsi="宋体" w:eastAsia="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3.单项分值扣完为止，不再倒扣。</w:t>
                  </w:r>
                  <w:r/>
                </w:p>
                <w:p>
                  <w:pPr>
                    <w:jc w:val="left"/>
                    <w:keepLines w:val="0"/>
                    <w:keepNext w:val="0"/>
                    <w:pageBreakBefore w:val="0"/>
                    <w:spacing w:line="240" w:lineRule="atLeast"/>
                    <w:widowControl/>
                    <w:rPr>
                      <w:rFonts w:hint="default"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lang w:bidi="ar"/>
                      <w14:textFill>
                        <w14:solidFill>
                          <w14:schemeClr w14:val="tx1"/>
                        </w14:solidFill>
                      </w14:textFill>
                    </w:rPr>
                    <w:t xml:space="preserve">4.当协审单位累计收到2次警告时，截至该时点，所有由该单位负责协审的政府采购公开招标项目（针对无锡市审计局尚未出具决算报告的）按费用标准计算最终审计费后，再以90%支付。（警告追责期为5年）</w:t>
                  </w:r>
                  <w:r/>
                </w:p>
              </w:tc>
            </w:tr>
            <w:tr>
              <w:trPr>
                <w:gridBefore w:val="1"/>
                <w:trHeight w:val="57"/>
              </w:trPr>
              <w:tc>
                <w:tcPr>
                  <w:gridSpan w:val="11"/>
                  <w:tcBorders>
                    <w:top w:val="none" w:color="000000" w:sz="4" w:space="0"/>
                    <w:left w:val="none" w:color="000000" w:sz="4" w:space="0"/>
                    <w:bottom w:val="none" w:color="000000" w:sz="4" w:space="0"/>
                    <w:right w:val="none" w:color="000000" w:sz="4" w:space="0"/>
                  </w:tcBorders>
                  <w:tcW w:w="9547" w:type="dxa"/>
                  <w:textDirection w:val="lrTb"/>
                  <w:noWrap w:val="false"/>
                </w:tcPr>
                <w:p>
                  <w:pPr>
                    <w:jc w:val="left"/>
                    <w:keepLines w:val="0"/>
                    <w:keepNext w:val="0"/>
                    <w:pageBreakBefore w:val="0"/>
                    <w:spacing w:line="240" w:lineRule="atLeast"/>
                    <w:rPr>
                      <w:rFonts w:hint="default" w:ascii="宋体" w:hAnsi="宋体" w:cs="宋体"/>
                      <w:b/>
                      <w:bCs/>
                      <w:color w:val="000000" w:themeColor="text1"/>
                      <w:sz w:val="18"/>
                      <w:szCs w:val="18"/>
                      <w:highlight w:val="none"/>
                      <w14:textFill>
                        <w14:solidFill>
                          <w14:schemeClr w14:val="tx1"/>
                        </w14:solidFill>
                      </w14:textFill>
                    </w:rPr>
                  </w:pPr>
                  <w:r>
                    <w:rPr>
                      <w:rFonts w:hint="default" w:ascii="宋体" w:hAnsi="宋体" w:cs="宋体"/>
                      <w:b/>
                      <w:bCs/>
                      <w:color w:val="000000" w:themeColor="text1"/>
                      <w:sz w:val="18"/>
                      <w:szCs w:val="18"/>
                      <w:highlight w:val="none"/>
                      <w14:textFill>
                        <w14:solidFill>
                          <w14:schemeClr w14:val="tx1"/>
                        </w14:solidFill>
                      </w14:textFill>
                    </w:rPr>
                  </w:r>
                  <w:r/>
                </w:p>
              </w:tc>
            </w:tr>
          </w:tbl>
          <w:p>
            <w:pPr>
              <w:jc w:val="left"/>
              <w:rPr>
                <w:rFonts w:hint="default" w:ascii="宋体" w:hAnsi="宋体" w:cs="宋体"/>
                <w:b/>
                <w:bCs/>
                <w:color w:val="000000" w:themeColor="text1"/>
                <w:sz w:val="20"/>
                <w:szCs w:val="20"/>
                <w:highlight w:val="none"/>
                <w14:textFill>
                  <w14:solidFill>
                    <w14:schemeClr w14:val="tx1"/>
                  </w14:solidFill>
                </w14:textFill>
              </w:rPr>
            </w:pPr>
            <w:r>
              <w:rPr>
                <w:rFonts w:hint="default" w:ascii="宋体" w:hAnsi="宋体" w:cs="宋体"/>
                <w:b/>
                <w:bCs/>
                <w:color w:val="000000" w:themeColor="text1"/>
                <w:sz w:val="20"/>
                <w:szCs w:val="20"/>
                <w:highlight w:val="none"/>
                <w14:textFill>
                  <w14:solidFill>
                    <w14:schemeClr w14:val="tx1"/>
                  </w14:solidFill>
                </w14:textFill>
              </w:rPr>
            </w:r>
            <w:r/>
          </w:p>
        </w:tc>
      </w:tr>
    </w:tbl>
    <w:p>
      <w:pPr>
        <w:ind w:firstLine="420"/>
        <w:jc w:val="left"/>
        <w:keepLines w:val="0"/>
        <w:keepNext w:val="0"/>
        <w:pageBreakBefore w:val="0"/>
        <w:spacing w:before="181" w:after="181" w:line="360" w:lineRule="auto"/>
        <w:widowControl w:val="off"/>
        <w:rPr>
          <w:rFonts w:hint="default" w:asciiTheme="minorEastAsia" w:hAnsiTheme="minorEastAsia" w:eastAsiaTheme="minorEastAsia" w:cstheme="minorEastAsia"/>
          <w:color w:val="000000" w:themeColor="text1"/>
          <w:szCs w:val="21"/>
          <w:highlight w:val="none"/>
          <w14:textFill>
            <w14:solidFill>
              <w14:schemeClr w14:val="tx1"/>
            </w14:solidFill>
          </w14:textFill>
        </w:rPr>
        <w:sectPr>
          <w:footerReference w:type="default" r:id="rId20"/>
          <w:footnotePr/>
          <w:endnotePr/>
          <w:type w:val="nextPage"/>
          <w:pgSz w:w="11906" w:h="16838" w:orient="portrait"/>
          <w:pgMar w:top="720" w:right="720" w:bottom="720" w:left="720" w:header="850" w:footer="624" w:gutter="0"/>
          <w:cols w:num="1" w:sep="0" w:space="425" w:equalWidth="1"/>
          <w:docGrid w:linePitch="360"/>
        </w:sectPr>
      </w:pPr>
      <w:r>
        <w:rPr>
          <w:rFonts w:hint="default" w:asciiTheme="minorEastAsia" w:hAnsiTheme="minorEastAsia" w:eastAsiaTheme="minorEastAsia" w:cstheme="minorEastAsia"/>
          <w:color w:val="000000" w:themeColor="text1"/>
          <w:szCs w:val="21"/>
          <w:highlight w:val="none"/>
          <w14:textFill>
            <w14:solidFill>
              <w14:schemeClr w14:val="tx1"/>
            </w14:solidFill>
          </w14:textFill>
        </w:rPr>
      </w:r>
      <w:r/>
    </w:p>
    <w:p>
      <w:pPr>
        <w:jc w:val="center"/>
        <w:spacing w:line="360" w:lineRule="auto"/>
        <w:shd w:val="clear" w:color="auto"/>
        <w:rPr>
          <w:rFonts w:hint="eastAsia" w:hAnsi="宋体" w:cs="宋体"/>
          <w:b/>
          <w:bCs/>
          <w:color w:val="000000" w:themeColor="text1"/>
          <w:sz w:val="32"/>
          <w:szCs w:val="32"/>
          <w:highlight w:val="none"/>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bookmarkStart w:id="37" w:name="_Toc24961"/>
      <w:r>
        <w:rPr>
          <w:rFonts w:hint="eastAsia" w:hAnsi="宋体" w:cs="宋体"/>
          <w:b/>
          <w:bCs/>
          <w:color w:val="000000" w:themeColor="text1"/>
          <w:sz w:val="32"/>
          <w:szCs w:val="32"/>
          <w:highlight w:val="none"/>
          <w14:textFill>
            <w14:solidFill>
              <w14:schemeClr w14:val="tx1"/>
            </w14:solidFill>
          </w14:textFill>
        </w:rPr>
        <w:t xml:space="preserve">五、附件</w:t>
      </w:r>
      <w:bookmarkEnd w:id="34"/>
      <w:r/>
      <w:bookmarkEnd w:id="35"/>
      <w:r/>
      <w:bookmarkEnd w:id="37"/>
      <w:r/>
      <w:r/>
    </w:p>
    <w:p>
      <w:pPr>
        <w:ind w:firstLine="602"/>
        <w:jc w:val="left"/>
        <w:spacing w:before="0" w:after="0" w:line="500" w:lineRule="exact"/>
        <w:shd w:val="clear" w:color="auto"/>
        <w:widowControl w:val="off"/>
        <w:rPr>
          <w:rFonts w:ascii="Arial" w:hAnsi="Arial" w:eastAsia="宋体" w:cs="Arial"/>
          <w:b/>
          <w:color w:val="000000" w:themeColor="text1"/>
          <w:sz w:val="30"/>
          <w:szCs w:val="30"/>
          <w:highlight w:val="none"/>
          <w14:textFill>
            <w14:solidFill>
              <w14:schemeClr w14:val="tx1"/>
            </w14:solidFill>
          </w14:textFill>
        </w:rPr>
      </w:pPr>
      <w:r>
        <w:rPr>
          <w:rFonts w:hint="eastAsia" w:ascii="Arial" w:hAnsi="Arial" w:eastAsia="宋体" w:cs="Arial"/>
          <w:b/>
          <w:color w:val="000000" w:themeColor="text1"/>
          <w:sz w:val="30"/>
          <w:szCs w:val="30"/>
          <w:highlight w:val="none"/>
          <w:lang w:val="en-US" w:eastAsia="zh-CN" w:bidi="ar-SA"/>
          <w14:textFill>
            <w14:solidFill>
              <w14:schemeClr w14:val="tx1"/>
            </w14:solidFill>
          </w14:textFill>
        </w:rPr>
        <w:t xml:space="preserve">第一部分  评标方法</w:t>
      </w:r>
      <w:r/>
    </w:p>
    <w:p>
      <w:pPr>
        <w:ind w:firstLine="480"/>
        <w:jc w:val="left"/>
        <w:spacing w:before="0" w:after="0" w:line="500" w:lineRule="exact"/>
        <w:shd w:val="clear" w:color="auto"/>
        <w:widowControl w:val="off"/>
        <w:rPr>
          <w:rFonts w:ascii="Arial" w:hAnsi="Arial" w:eastAsia="宋体" w:cs="Arial"/>
          <w:color w:val="000000" w:themeColor="text1"/>
          <w:sz w:val="24"/>
          <w:szCs w:val="24"/>
          <w:highlight w:val="none"/>
          <w14:textFill>
            <w14:solidFill>
              <w14:schemeClr w14:val="tx1"/>
            </w14:solidFill>
          </w14:textFill>
        </w:rPr>
      </w:pPr>
      <w:r>
        <w:rPr>
          <w:rFonts w:hint="eastAsia" w:ascii="Arial" w:hAnsi="Arial" w:eastAsia="宋体" w:cs="Arial"/>
          <w:color w:val="000000" w:themeColor="text1"/>
          <w:sz w:val="24"/>
          <w:szCs w:val="24"/>
          <w:highlight w:val="none"/>
          <w:lang w:val="en-US" w:eastAsia="zh-CN" w:bidi="ar-SA"/>
          <w14:textFill>
            <w14:solidFill>
              <w14:schemeClr w14:val="tx1"/>
            </w14:solidFill>
          </w14:textFill>
        </w:rPr>
        <w:t xml:space="preserve">投标人通过初审的，方可进入比较与评价程序。</w:t>
      </w:r>
      <w:r/>
    </w:p>
    <w:p>
      <w:pPr>
        <w:ind w:firstLine="480"/>
        <w:jc w:val="left"/>
        <w:spacing w:before="0" w:after="0" w:line="500" w:lineRule="exact"/>
        <w:shd w:val="clear" w:color="auto"/>
        <w:widowControl w:val="off"/>
        <w:rPr>
          <w:rFonts w:ascii="Arial" w:hAnsi="Arial" w:eastAsia="宋体" w:cs="Arial"/>
          <w:color w:val="000000" w:themeColor="text1"/>
          <w:sz w:val="24"/>
          <w:szCs w:val="24"/>
          <w:highlight w:val="none"/>
          <w14:textFill>
            <w14:solidFill>
              <w14:schemeClr w14:val="tx1"/>
            </w14:solidFill>
          </w14:textFill>
        </w:rPr>
      </w:pPr>
      <w:r>
        <w:rPr>
          <w:rFonts w:hint="eastAsia" w:ascii="Arial" w:hAnsi="Arial" w:eastAsia="宋体" w:cs="Arial"/>
          <w:color w:val="000000" w:themeColor="text1"/>
          <w:sz w:val="24"/>
          <w:szCs w:val="24"/>
          <w:highlight w:val="none"/>
          <w:lang w:val="en-US" w:eastAsia="zh-CN" w:bidi="ar-SA"/>
          <w14:textFill>
            <w14:solidFill>
              <w14:schemeClr w14:val="tx1"/>
            </w14:solidFill>
          </w14:textFill>
        </w:rPr>
        <w:t xml:space="preserve">比较与评价采用综合评分法。</w:t>
      </w:r>
      <w:r/>
    </w:p>
    <w:p>
      <w:pPr>
        <w:ind w:firstLine="480"/>
        <w:jc w:val="left"/>
        <w:spacing w:before="0" w:after="0" w:line="500" w:lineRule="exact"/>
        <w:shd w:val="clear" w:color="auto"/>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投标文件满足招标文件全部实质性要求，且按照评审因素的量化指标评审得分。评标委员会遵循公平、公正、择优原则，独立按照评分标准分别评定投标人的分值；各投标人的评审后得分为各评委所评定分值的平均值，并按高低顺序排列。排除本项目已中标的且需回避本标段的投标单位，本标段得分第一名的投标人为本标段中标单位。如总得分出现并列排名，按项目人员配置得分由高到低排列，如项目人员配置得分也相同，则协审方案得分由高到低排列，协审方案得分也相同，由评审小组随机抽签确定。</w:t>
      </w:r>
      <w:r/>
    </w:p>
    <w:p>
      <w:pPr>
        <w:ind w:firstLine="480"/>
        <w:jc w:val="left"/>
        <w:spacing w:before="0" w:after="0" w:line="500" w:lineRule="exact"/>
        <w:shd w:val="clear" w:color="auto"/>
        <w:widowControl w:val="off"/>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本项目分为</w:t>
      </w:r>
      <w:r>
        <w:rPr>
          <w:rFonts w:hint="eastAsia" w:ascii="宋体" w:hAnsi="宋体" w:cs="Arial"/>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 xml:space="preserve">个采购包，评标时评标委员会将根据招标文件规定的评标方法与评标标准，并按照采购包1、采购包2的顺序分别进行评审。</w:t>
      </w:r>
      <w:r/>
    </w:p>
    <w:p>
      <w:pPr>
        <w:ind w:firstLine="480"/>
        <w:jc w:val="left"/>
        <w:spacing w:before="0" w:after="0" w:line="500" w:lineRule="exact"/>
        <w:shd w:val="clear" w:color="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采购包1：按招标文件规定选取中标候选人，采购人须按招标文件规定确定排名第一的中标候选人为中标单位。</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若有效投标单位不足三家，则本项目作流标处理。</w:t>
      </w:r>
      <w:r/>
    </w:p>
    <w:p>
      <w:pPr>
        <w:ind w:firstLine="480"/>
        <w:jc w:val="left"/>
        <w:spacing w:before="0" w:after="0" w:line="500" w:lineRule="exact"/>
        <w:shd w:val="clear" w:color="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采购包2：按招标文件规定选取中标候选人，采购人须按招标文件规定确定排名第一的中标候选人为中标单位。已被确定为采购包 1 中标候选人的单位，</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仍</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可参与采购包 2 的评标环节，</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该单位不得被确定为采购包 2 中标候选人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，若仍为采购包2的中标候选人，需顺延至第二名投标人为中标候选人</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。若有效投标单位不足三家，则本项目作流标处理。</w:t>
      </w:r>
      <w:r/>
    </w:p>
    <w:p>
      <w:pPr>
        <w:ind w:firstLine="480"/>
        <w:jc w:val="left"/>
        <w:spacing w:before="0" w:after="0" w:line="500" w:lineRule="exact"/>
        <w:shd w:val="clear" w:color="auto"/>
        <w:widowControl w:val="off"/>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r>
      <w:r/>
    </w:p>
    <w:p>
      <w:pPr>
        <w:ind w:firstLine="480"/>
        <w:jc w:val="left"/>
        <w:spacing w:before="0" w:after="0" w:line="500" w:lineRule="exact"/>
        <w:shd w:val="clear" w:color="auto"/>
        <w:widowControl w:val="off"/>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r>
      <w:r/>
    </w:p>
    <w:p>
      <w:pPr>
        <w:ind w:firstLine="480"/>
        <w:jc w:val="left"/>
        <w:keepLines w:val="0"/>
        <w:keepNext w:val="0"/>
        <w:pageBreakBefore w:val="0"/>
        <w:spacing w:before="0" w:after="361" w:line="500" w:lineRule="exact"/>
        <w:shd w:val="clear" w:color="auto"/>
        <w:widowControl w:val="off"/>
        <w:rPr>
          <w:rFonts w:ascii="Arial" w:hAnsi="Arial" w:eastAsia="宋体" w:cs="Arial"/>
          <w:b/>
          <w:color w:val="000000" w:themeColor="text1"/>
          <w:sz w:val="32"/>
          <w:szCs w:val="32"/>
          <w:highlight w:val="none"/>
          <w14:textFill>
            <w14:solidFill>
              <w14:schemeClr w14:val="tx1"/>
            </w14:solidFill>
          </w14:textFill>
        </w:rPr>
      </w:pPr>
      <w:r>
        <w:rPr>
          <w:rFonts w:ascii="Arial" w:hAnsi="Arial" w:eastAsia="宋体" w:cs="Arial"/>
          <w:color w:val="000000" w:themeColor="text1"/>
          <w:sz w:val="24"/>
          <w:szCs w:val="24"/>
          <w:highlight w:val="none"/>
          <w:shd w:val="clear" w:color="ffffff" w:fill="d9d9d9"/>
          <w:lang w:val="en-US" w:eastAsia="zh-CN" w:bidi="ar-SA"/>
          <w14:textFill>
            <w14:solidFill>
              <w14:schemeClr w14:val="tx1"/>
            </w14:solidFill>
          </w14:textFill>
        </w:rPr>
        <w:br w:type="page" w:clear="all"/>
      </w:r>
      <w:r>
        <w:rPr>
          <w:rFonts w:hint="eastAsia" w:ascii="Arial" w:hAnsi="Arial" w:eastAsia="宋体" w:cs="Arial"/>
          <w:b/>
          <w:color w:val="000000" w:themeColor="text1"/>
          <w:sz w:val="32"/>
          <w:szCs w:val="32"/>
          <w:highlight w:val="none"/>
          <w:lang w:val="en-US" w:eastAsia="zh-CN" w:bidi="ar-SA"/>
          <w14:textFill>
            <w14:solidFill>
              <w14:schemeClr w14:val="tx1"/>
            </w14:solidFill>
          </w14:textFill>
        </w:rPr>
        <w:t xml:space="preserve">第二部分  评标标准</w:t>
      </w:r>
      <w:r/>
    </w:p>
    <w:p>
      <w:pPr>
        <w:ind w:left="0" w:firstLine="562"/>
        <w:jc w:val="left"/>
        <w:keepLines w:val="0"/>
        <w:keepNext w:val="0"/>
        <w:pageBreakBefore w:val="0"/>
        <w:spacing w:before="0" w:after="361" w:line="360" w:lineRule="auto"/>
        <w:shd w:val="clear" w:color="auto"/>
        <w:widowControl w:val="off"/>
        <w:rPr>
          <w:rFonts w:hint="eastAsia" w:ascii="宋体" w:hAnsi="宋体" w:eastAsia="宋体" w:cs="Times New Roman"/>
          <w:b/>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bidi="ar-SA"/>
          <w14:textFill>
            <w14:solidFill>
              <w14:schemeClr w14:val="tx1"/>
            </w14:solidFill>
          </w14:textFill>
        </w:rPr>
        <w:t xml:space="preserve">一、评分标准</w:t>
      </w:r>
      <w:r/>
    </w:p>
    <w:p>
      <w:pPr>
        <w:ind w:left="0" w:firstLine="560"/>
        <w:jc w:val="left"/>
        <w:keepLines w:val="0"/>
        <w:keepNext w:val="0"/>
        <w:pageBreakBefore w:val="0"/>
        <w:spacing w:before="0" w:after="0" w:line="360" w:lineRule="auto"/>
        <w:widowControl w:val="off"/>
        <w:rPr>
          <w:rFonts w:hint="eastAsia" w:ascii="微软雅黑" w:hAnsi="微软雅黑" w:eastAsia="微软雅黑" w:cs="微软雅黑"/>
          <w:b/>
          <w:color w:val="000000" w:themeColor="text1"/>
          <w:sz w:val="28"/>
          <w:szCs w:val="28"/>
          <w:highlight w:val="none"/>
          <w14:textFill>
            <w14:solidFill>
              <w14:schemeClr w14:val="tx1"/>
            </w14:solidFill>
          </w14:textFill>
        </w:rPr>
      </w:pPr>
      <w:r>
        <w:rPr>
          <w:rFonts w:hint="eastAsia" w:ascii="微软雅黑" w:hAnsi="微软雅黑" w:eastAsia="微软雅黑" w:cs="微软雅黑"/>
          <w:b/>
          <w:color w:val="000000" w:themeColor="text1"/>
          <w:sz w:val="28"/>
          <w:szCs w:val="28"/>
          <w:highlight w:val="none"/>
          <w:lang w:val="en-US" w:eastAsia="zh-CN" w:bidi="ar-SA"/>
          <w14:textFill>
            <w14:solidFill>
              <w14:schemeClr w14:val="tx1"/>
            </w14:solidFill>
          </w14:textFill>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left="0" w:firstLine="640"/>
        <w:jc w:val="center"/>
        <w:keepLines w:val="0"/>
        <w:keepNext w:val="0"/>
        <w:pageBreakBefore w:val="0"/>
        <w:spacing w:before="0" w:after="0" w:line="360" w:lineRule="auto"/>
        <w:widowControl w:val="off"/>
        <w:rPr>
          <w:rFonts w:hint="eastAsia" w:ascii="微软雅黑" w:hAnsi="微软雅黑" w:eastAsia="微软雅黑" w:cs="微软雅黑"/>
          <w:b/>
          <w:color w:val="000000" w:themeColor="text1"/>
          <w:sz w:val="32"/>
          <w:szCs w:val="32"/>
          <w:highlight w:val="none"/>
          <w14:textFill>
            <w14:solidFill>
              <w14:schemeClr w14:val="tx1"/>
            </w14:solidFill>
          </w14:textFill>
        </w:rPr>
      </w:pPr>
      <w:r>
        <w:rPr>
          <w:rFonts w:hint="eastAsia" w:ascii="微软雅黑" w:hAnsi="微软雅黑" w:eastAsia="微软雅黑" w:cs="微软雅黑"/>
          <w:b/>
          <w:color w:val="000000" w:themeColor="text1"/>
          <w:sz w:val="32"/>
          <w:szCs w:val="32"/>
          <w:highlight w:val="none"/>
          <w:lang w:val="en-US" w:eastAsia="zh-CN" w:bidi="ar-SA"/>
          <w14:textFill>
            <w14:solidFill>
              <w14:schemeClr w14:val="tx1"/>
            </w14:solidFill>
          </w14:textFill>
        </w:rPr>
        <w:t xml:space="preserve">（一）商务部分（58分）</w:t>
      </w:r>
      <w:r/>
    </w:p>
    <w:p>
      <w:pPr>
        <w:ind w:left="0" w:firstLine="482"/>
        <w:jc w:val="left"/>
        <w:keepLines w:val="0"/>
        <w:keepNext w:val="0"/>
        <w:pageBreakBefore w:val="0"/>
        <w:spacing w:line="360" w:lineRule="auto"/>
        <w:widowControl w:val="off"/>
        <w:rPr>
          <w:rFonts w:hint="default" w:asci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（1）投标人综合情况（</w:t>
      </w:r>
      <w:r>
        <w:rPr>
          <w:rFonts w:hint="default" w:ascii="宋体" w:hAnsi="宋体"/>
          <w:b/>
          <w:color w:val="000000" w:themeColor="text1"/>
          <w:sz w:val="24"/>
          <w:szCs w:val="24"/>
          <w:highlight w:val="none"/>
          <w14:textFill>
            <w14:solidFill>
              <w14:schemeClr w14:val="tx1"/>
            </w14:solidFill>
          </w14:textFill>
        </w:rPr>
        <w:t xml:space="preserve">6</w:t>
      </w:r>
      <w:r>
        <w:rPr>
          <w:rFonts w:hint="eastAsia" w:ascii="宋体" w:hAnsi="宋体"/>
          <w:b/>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①业绩</w:t>
      </w:r>
      <w:r>
        <w:rPr>
          <w:rFonts w:hint="default"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投标人近五年来（时间截止至本项目开标当天，以下解释同）</w:t>
      </w:r>
      <w:r>
        <w:rPr>
          <w:rFonts w:hint="eastAsia" w:ascii="宋体" w:hAnsi="宋体"/>
          <w:color w:val="000000" w:themeColor="text1"/>
          <w:sz w:val="24"/>
          <w:szCs w:val="24"/>
          <w:highlight w:val="none"/>
          <w14:textFill>
            <w14:solidFill>
              <w14:schemeClr w14:val="tx1"/>
            </w14:solidFill>
          </w14:textFill>
        </w:rPr>
        <w:t xml:space="preserve">具有同类项目</w:t>
      </w:r>
      <w:r>
        <w:rPr>
          <w:rFonts w:hint="eastAsia" w:ascii="宋体" w:hAnsi="宋体"/>
          <w:bCs/>
          <w:color w:val="000000" w:themeColor="text1"/>
          <w:sz w:val="24"/>
          <w:szCs w:val="24"/>
          <w:highlight w:val="none"/>
          <w14:textFill>
            <w14:solidFill>
              <w14:schemeClr w14:val="tx1"/>
            </w14:solidFill>
          </w14:textFill>
        </w:rPr>
        <w:t xml:space="preserve">跟踪审核、全过程跟踪审核（含结算审核）、结算审核、</w:t>
      </w:r>
      <w:r>
        <w:rPr>
          <w:rFonts w:hint="eastAsia" w:ascii="宋体" w:hAnsi="宋体"/>
          <w:bCs/>
          <w:color w:val="0000ff"/>
          <w:sz w:val="24"/>
          <w:szCs w:val="24"/>
          <w:highlight w:val="none"/>
        </w:rPr>
        <w:t xml:space="preserve">工程量清单及最高投标限价编审</w:t>
      </w:r>
      <w:r>
        <w:rPr>
          <w:rFonts w:hint="eastAsia" w:ascii="宋体" w:hAnsi="宋体"/>
          <w:bCs/>
          <w:color w:val="000000" w:themeColor="text1"/>
          <w:sz w:val="24"/>
          <w:szCs w:val="24"/>
          <w:highlight w:val="none"/>
          <w14:textFill>
            <w14:solidFill>
              <w14:schemeClr w14:val="tx1"/>
            </w14:solidFill>
          </w14:textFill>
        </w:rPr>
        <w:t xml:space="preserve">之一</w:t>
      </w:r>
      <w:r>
        <w:rPr>
          <w:rFonts w:hint="eastAsia" w:ascii="宋体" w:hAnsi="宋体"/>
          <w:bCs/>
          <w:color w:val="000000" w:themeColor="text1"/>
          <w:sz w:val="24"/>
          <w:szCs w:val="24"/>
          <w:highlight w:val="none"/>
          <w:lang w:val="en-US" w:eastAsia="zh-CN"/>
          <w14:textFill>
            <w14:solidFill>
              <w14:schemeClr w14:val="tx1"/>
            </w14:solidFill>
          </w14:textFill>
        </w:rPr>
        <w:t xml:space="preserve">业绩</w:t>
      </w:r>
      <w:r>
        <w:rPr>
          <w:rFonts w:hint="eastAsia" w:ascii="宋体" w:hAnsi="宋体"/>
          <w:bCs/>
          <w:color w:val="000000" w:themeColor="text1"/>
          <w:sz w:val="24"/>
          <w:szCs w:val="24"/>
          <w:highlight w:val="none"/>
          <w14:textFill>
            <w14:solidFill>
              <w14:schemeClr w14:val="tx1"/>
            </w14:solidFill>
          </w14:textFill>
        </w:rPr>
        <w:t xml:space="preserve">的有一个得2分，最高得6分。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业绩必须为已完成的项目，时间以汇总审核报告</w:t>
      </w:r>
      <w:r>
        <w:rPr>
          <w:rFonts w:hint="eastAsia" w:ascii="宋体" w:hAnsi="宋体"/>
          <w:bCs/>
          <w:color w:val="000000" w:themeColor="text1"/>
          <w:sz w:val="24"/>
          <w:szCs w:val="24"/>
          <w:highlight w:val="none"/>
          <w14:textFill>
            <w14:solidFill>
              <w14:schemeClr w14:val="tx1"/>
            </w14:solidFill>
          </w14:textFill>
        </w:rPr>
        <w:t xml:space="preserve">、结果文件</w:t>
      </w:r>
      <w:r>
        <w:rPr>
          <w:rFonts w:hint="eastAsia" w:ascii="宋体" w:hAnsi="宋体"/>
          <w:color w:val="000000" w:themeColor="text1"/>
          <w:sz w:val="24"/>
          <w:szCs w:val="24"/>
          <w:highlight w:val="none"/>
          <w14:textFill>
            <w14:solidFill>
              <w14:schemeClr w14:val="tx1"/>
            </w14:solidFill>
          </w14:textFill>
        </w:rPr>
        <w:t xml:space="preserve">出具时间为准。</w:t>
      </w:r>
      <w:r>
        <w:rPr>
          <w:rFonts w:hint="eastAsia" w:ascii="宋体" w:hAnsi="宋体"/>
          <w:bCs/>
          <w:color w:val="000000" w:themeColor="text1"/>
          <w:sz w:val="24"/>
          <w:szCs w:val="24"/>
          <w:highlight w:val="none"/>
          <w14:textFill>
            <w14:solidFill>
              <w14:schemeClr w14:val="tx1"/>
            </w14:solidFill>
          </w14:textFill>
        </w:rPr>
        <w:t xml:space="preserve">所附资料必须含对应的委托合同、与委托合同具有关联性的咨询报告（包括对应的工程审定单）、</w:t>
      </w:r>
      <w:r>
        <w:rPr>
          <w:rFonts w:hint="eastAsia" w:ascii="宋体" w:hAnsi="宋体"/>
          <w:bCs/>
          <w:color w:val="000000" w:themeColor="text1"/>
          <w:sz w:val="24"/>
          <w:szCs w:val="24"/>
          <w:highlight w:val="none"/>
          <w:lang w:val="en-US" w:eastAsia="zh-CN"/>
          <w14:textFill>
            <w14:solidFill>
              <w14:schemeClr w14:val="tx1"/>
            </w14:solidFill>
          </w14:textFill>
        </w:rPr>
        <w:t xml:space="preserve">跟踪审核（不含结算审核）需提供委托合同，成果资料及该项目的竣工验收证明，</w:t>
      </w:r>
      <w:r>
        <w:rPr>
          <w:rFonts w:hint="eastAsia" w:ascii="宋体" w:hAnsi="宋体"/>
          <w:bCs/>
          <w:color w:val="0000ff"/>
          <w:sz w:val="24"/>
          <w:szCs w:val="24"/>
          <w:highlight w:val="none"/>
        </w:rPr>
        <w:t xml:space="preserve">工程量清单及最高投标限价编审</w:t>
      </w:r>
      <w:r>
        <w:rPr>
          <w:rFonts w:hint="eastAsia" w:ascii="宋体" w:hAnsi="宋体"/>
          <w:bCs/>
          <w:color w:val="000000" w:themeColor="text1"/>
          <w:sz w:val="24"/>
          <w:szCs w:val="24"/>
          <w:highlight w:val="none"/>
          <w14:textFill>
            <w14:solidFill>
              <w14:schemeClr w14:val="tx1"/>
            </w14:solidFill>
          </w14:textFill>
        </w:rPr>
        <w:t xml:space="preserve">的结果文件的原件的扫描件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至少提供封面、盖章页、汇总页</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且需</w:t>
      </w:r>
      <w:r>
        <w:rPr>
          <w:rFonts w:hint="eastAsia" w:ascii="宋体" w:hAnsi="宋体"/>
          <w:bCs/>
          <w:color w:val="000000" w:themeColor="text1"/>
          <w:sz w:val="24"/>
          <w:szCs w:val="24"/>
          <w:highlight w:val="none"/>
          <w14:textFill>
            <w14:solidFill>
              <w14:schemeClr w14:val="tx1"/>
            </w14:solidFill>
          </w14:textFill>
        </w:rPr>
        <w:t xml:space="preserve">提供对应建设项目立项批复、或可行性研究批复、或初步设计批复的扫描件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新建政府投资的</w:t>
      </w:r>
      <w:r>
        <w:rPr>
          <w:rFonts w:hint="eastAsia" w:ascii="宋体" w:hAnsi="宋体"/>
          <w:color w:val="000000" w:themeColor="text1"/>
          <w:sz w:val="24"/>
          <w:szCs w:val="24"/>
          <w:highlight w:val="none"/>
          <w14:textFill>
            <w14:solidFill>
              <w14:schemeClr w14:val="tx1"/>
            </w14:solidFill>
          </w14:textFill>
        </w:rPr>
        <w:t xml:space="preserve">学校项目</w:t>
      </w:r>
      <w:r>
        <w:rPr>
          <w:rFonts w:hint="eastAsia" w:ascii="宋体" w:hAnsi="宋体"/>
          <w:bCs/>
          <w:color w:val="000000" w:themeColor="text1"/>
          <w:sz w:val="24"/>
          <w:szCs w:val="24"/>
          <w:highlight w:val="none"/>
          <w:lang w:val="en-US" w:eastAsia="zh-CN"/>
          <w14:textFill>
            <w14:solidFill>
              <w14:schemeClr w14:val="tx1"/>
            </w14:solidFill>
          </w14:textFill>
        </w:rPr>
        <w:t xml:space="preserve">资金来源需明确为财政资金，如无则另行提供相关证明</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，否则不予得分。</w:t>
      </w:r>
      <w:r/>
    </w:p>
    <w:p>
      <w:pPr>
        <w:ind w:left="0" w:firstLine="482"/>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（2）项目人员配置（</w:t>
      </w:r>
      <w:r>
        <w:rPr>
          <w:rFonts w:hint="default" w:ascii="宋体" w:hAnsi="宋体"/>
          <w:b/>
          <w:color w:val="000000" w:themeColor="text1"/>
          <w:sz w:val="24"/>
          <w:szCs w:val="24"/>
          <w:highlight w:val="none"/>
          <w14:textFill>
            <w14:solidFill>
              <w14:schemeClr w14:val="tx1"/>
            </w14:solidFill>
          </w14:textFill>
        </w:rPr>
        <w:t xml:space="preserve">52</w:t>
      </w:r>
      <w:r>
        <w:rPr>
          <w:rFonts w:hint="eastAsia" w:ascii="宋体" w:hAnsi="宋体"/>
          <w:b/>
          <w:color w:val="000000" w:themeColor="text1"/>
          <w:sz w:val="24"/>
          <w:szCs w:val="24"/>
          <w:highlight w:val="none"/>
          <w14:textFill>
            <w14:solidFill>
              <w14:schemeClr w14:val="tx1"/>
            </w14:solidFill>
          </w14:textFill>
        </w:rPr>
        <w:t xml:space="preserve">分）</w:t>
      </w:r>
      <w:r>
        <w:rPr>
          <w:rFonts w:hint="default" w:ascii="宋体" w:hAnsi="宋体"/>
          <w:b/>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以投标人填列的《项目人员配置清单》及按要求提供的证明材料（人员证书原件</w:t>
      </w:r>
      <w:r>
        <w:rPr>
          <w:rFonts w:hint="eastAsia" w:ascii="宋体" w:hAnsi="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bCs/>
          <w:color w:val="000000" w:themeColor="text1"/>
          <w:sz w:val="24"/>
          <w:szCs w:val="24"/>
          <w:highlight w:val="none"/>
          <w14:textFill>
            <w14:solidFill>
              <w14:schemeClr w14:val="tx1"/>
            </w14:solidFill>
          </w14:textFill>
        </w:rPr>
        <w:t xml:space="preserve">和投标人为其缴纳的连续三个月</w:t>
      </w:r>
      <w:r>
        <w:rPr>
          <w:rFonts w:hint="default"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至少包含近三个月中任意一个月份</w:t>
      </w:r>
      <w:r>
        <w:rPr>
          <w:rFonts w:hint="default"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hint="default"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的社保缴纳证明材料）为准。投标时须提供以下人员证书原件的扫描件，否则不得分。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、拟派项目负责人（</w:t>
      </w:r>
      <w:r>
        <w:rPr>
          <w:rFonts w:hint="default"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）拟派项目负责人为一级注册造价师的，得1.5分；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）拟派项目负责人具备工程类高级及以上职称的，得1.5分。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、拟派常驻协审人员（不含项目负责人）（</w:t>
      </w:r>
      <w:r>
        <w:rPr>
          <w:rFonts w:hint="default"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）拟派常驻协审人员为一级注册造价工程师的，每人得1.5分；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）为工程类高级及以上职称的，每人得1.5分；为工程类中级专业技术职称的，每人得</w:t>
      </w:r>
      <w:r>
        <w:rPr>
          <w:rFonts w:hint="default" w:ascii="宋体" w:hAnsi="宋体"/>
          <w:bCs/>
          <w:color w:val="000000" w:themeColor="text1"/>
          <w:sz w:val="24"/>
          <w:szCs w:val="24"/>
          <w:highlight w:val="none"/>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分。该项最高1.5分。</w:t>
      </w:r>
      <w:r/>
    </w:p>
    <w:p>
      <w:pPr>
        <w:ind w:left="0" w:firstLine="482"/>
        <w:keepLines w:val="0"/>
        <w:keepNext w:val="0"/>
        <w:pageBreakBefore w:val="0"/>
        <w:spacing w:line="360" w:lineRule="auto"/>
        <w:widowControl w:val="off"/>
        <w:rPr>
          <w:rFonts w:hint="default" w:asci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由附件《项目人员配置清单》中明确的常驻协审人员参与评分，限定</w:t>
      </w:r>
      <w:r>
        <w:rPr>
          <w:rFonts w:hint="default" w:ascii="宋体" w:hAnsi="宋体"/>
          <w:b/>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人得分。</w:t>
      </w:r>
      <w:r>
        <w:rPr>
          <w:rFonts w:hint="eastAsia" w:ascii="宋体" w:hAnsi="宋体"/>
          <w:bCs/>
          <w:color w:val="000000" w:themeColor="text1"/>
          <w:sz w:val="24"/>
          <w:szCs w:val="24"/>
          <w:highlight w:val="none"/>
          <w14:textFill>
            <w14:solidFill>
              <w14:schemeClr w14:val="tx1"/>
            </w14:solidFill>
          </w14:textFill>
        </w:rPr>
        <w:t xml:space="preserve">拟派</w:t>
      </w:r>
      <w:r>
        <w:rPr>
          <w:rFonts w:hint="eastAsia" w:ascii="宋体" w:hAnsi="宋体"/>
          <w:color w:val="000000" w:themeColor="text1"/>
          <w:sz w:val="24"/>
          <w:szCs w:val="24"/>
          <w:highlight w:val="none"/>
          <w14:textFill>
            <w14:solidFill>
              <w14:schemeClr w14:val="tx1"/>
            </w14:solidFill>
          </w14:textFill>
        </w:rPr>
        <w:t xml:space="preserve">常驻协审人员</w:t>
      </w:r>
      <w:r>
        <w:rPr>
          <w:rFonts w:hint="eastAsia" w:ascii="宋体" w:hAnsi="宋体"/>
          <w:bCs/>
          <w:color w:val="000000" w:themeColor="text1"/>
          <w:sz w:val="24"/>
          <w:szCs w:val="24"/>
          <w:highlight w:val="none"/>
          <w14:textFill>
            <w14:solidFill>
              <w14:schemeClr w14:val="tx1"/>
            </w14:solidFill>
          </w14:textFill>
        </w:rPr>
        <w:t xml:space="preserve">工程类中级、工程类高级专业技术职称不可兼得分。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、拟派其他协审人员（</w:t>
      </w:r>
      <w:r>
        <w:rPr>
          <w:rFonts w:hint="default" w:ascii="宋体" w:hAnsi="宋体"/>
          <w:bCs/>
          <w:color w:val="000000" w:themeColor="text1"/>
          <w:sz w:val="24"/>
          <w:szCs w:val="24"/>
          <w:highlight w:val="none"/>
          <w14:textFill>
            <w14:solidFill>
              <w14:schemeClr w14:val="tx1"/>
            </w14:solidFill>
          </w14:textFill>
        </w:rPr>
        <w:t xml:space="preserve">15</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）拟派其他协审人员具备土建专业一级注册造价工程师，每人得</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分，本项总分最高为</w:t>
      </w:r>
      <w:r>
        <w:rPr>
          <w:rFonts w:hint="default"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）拟派其他协审人员具备安装专业一级注册造价工程师，每人得</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w:t>
      </w:r>
      <w:r>
        <w:rPr>
          <w:rFonts w:hint="default" w:asci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该项总分最高为3分。</w:t>
      </w:r>
      <w:r/>
    </w:p>
    <w:p>
      <w:pPr>
        <w:ind w:left="0" w:firstLine="480"/>
        <w:keepLines w:val="0"/>
        <w:keepNext w:val="0"/>
        <w:pageBreakBefore w:val="0"/>
        <w:spacing w:line="360" w:lineRule="auto"/>
        <w:widowControl w:val="off"/>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）拟派其他协审人员具备工程类高级及以上职称的，每人得</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分；具备工程类中级专业技术职称的，每人得</w:t>
      </w:r>
      <w:r>
        <w:rPr>
          <w:rFonts w:hint="default" w:ascii="宋体" w:hAnsi="宋体"/>
          <w:bCs/>
          <w:color w:val="000000" w:themeColor="text1"/>
          <w:sz w:val="24"/>
          <w:szCs w:val="24"/>
          <w:highlight w:val="none"/>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该项得分</w:t>
      </w:r>
      <w:r>
        <w:rPr>
          <w:rFonts w:hint="eastAsia" w:ascii="宋体" w:hAnsi="宋体"/>
          <w:bCs/>
          <w:color w:val="000000" w:themeColor="text1"/>
          <w:sz w:val="24"/>
          <w:szCs w:val="24"/>
          <w:highlight w:val="none"/>
          <w14:textFill>
            <w14:solidFill>
              <w14:schemeClr w14:val="tx1"/>
            </w14:solidFill>
          </w14:textFill>
        </w:rPr>
        <w:t xml:space="preserve">最高</w:t>
      </w:r>
      <w:r>
        <w:rPr>
          <w:rFonts w:hint="default"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widowControl w:val="off"/>
        <w:rPr>
          <w:rFonts w:hint="default" w:asci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由附件《项目人员配置清单》中明确的其他协审人员参与评分。</w:t>
      </w:r>
      <w:r>
        <w:rPr>
          <w:rFonts w:hint="eastAsia" w:ascii="宋体" w:hAnsi="宋体"/>
          <w:bCs/>
          <w:color w:val="000000" w:themeColor="text1"/>
          <w:sz w:val="24"/>
          <w:szCs w:val="24"/>
          <w:highlight w:val="none"/>
          <w14:textFill>
            <w14:solidFill>
              <w14:schemeClr w14:val="tx1"/>
            </w14:solidFill>
          </w14:textFill>
        </w:rPr>
        <w:t xml:space="preserve">拟派</w:t>
      </w:r>
      <w:r>
        <w:rPr>
          <w:rFonts w:hint="eastAsia" w:ascii="宋体" w:hAnsi="宋体"/>
          <w:color w:val="000000" w:themeColor="text1"/>
          <w:sz w:val="24"/>
          <w:szCs w:val="24"/>
          <w:highlight w:val="none"/>
          <w14:textFill>
            <w14:solidFill>
              <w14:schemeClr w14:val="tx1"/>
            </w14:solidFill>
          </w14:textFill>
        </w:rPr>
        <w:t xml:space="preserve">其他协审人员</w:t>
      </w:r>
      <w:r>
        <w:rPr>
          <w:rFonts w:hint="eastAsia" w:ascii="宋体" w:hAnsi="宋体"/>
          <w:bCs/>
          <w:color w:val="000000" w:themeColor="text1"/>
          <w:sz w:val="24"/>
          <w:szCs w:val="24"/>
          <w:highlight w:val="none"/>
          <w14:textFill>
            <w14:solidFill>
              <w14:schemeClr w14:val="tx1"/>
            </w14:solidFill>
          </w14:textFill>
        </w:rPr>
        <w:t xml:space="preserve">工程类中级、工程类高级专业技术职称不可兼得分。</w:t>
      </w:r>
      <w:r/>
    </w:p>
    <w:p>
      <w:pPr>
        <w:ind w:left="0" w:firstLine="482"/>
        <w:keepLines w:val="0"/>
        <w:keepNext w:val="0"/>
        <w:pageBreakBefore w:val="0"/>
        <w:spacing w:line="360" w:lineRule="auto"/>
        <w:widowControl w:val="off"/>
        <w:tabs>
          <w:tab w:val="left" w:pos="945" w:leader="none"/>
          <w:tab w:val="left" w:pos="1155" w:leader="none"/>
        </w:tabs>
        <w:rPr>
          <w:rFonts w:hint="default" w:ascii="宋体"/>
          <w:bCs/>
          <w:color w:val="7030a0"/>
          <w:sz w:val="24"/>
          <w:szCs w:val="24"/>
          <w:highlight w:val="none"/>
        </w:rPr>
      </w:pPr>
      <w:r>
        <w:rPr>
          <w:rFonts w:hint="eastAsia" w:ascii="宋体" w:hAnsi="宋体"/>
          <w:b/>
          <w:bCs/>
          <w:color w:val="000000" w:themeColor="text1"/>
          <w:sz w:val="24"/>
          <w:szCs w:val="24"/>
          <w:highlight w:val="none"/>
          <w14:textFill>
            <w14:solidFill>
              <w14:schemeClr w14:val="tx1"/>
            </w14:solidFill>
          </w14:textFill>
        </w:rPr>
        <w:t xml:space="preserve">备注：</w:t>
      </w:r>
      <w:r>
        <w:rPr>
          <w:rFonts w:hint="default" w:ascii="宋体" w:hAnsi="宋体"/>
          <w:color w:val="000000" w:themeColor="text1"/>
          <w:sz w:val="24"/>
          <w:szCs w:val="24"/>
          <w:highlight w:val="none"/>
          <w14:textFill>
            <w14:solidFill>
              <w14:schemeClr w14:val="tx1"/>
            </w14:solidFill>
          </w14:textFill>
        </w:rPr>
        <w:t xml:space="preserve">1.</w:t>
      </w:r>
      <w:r>
        <w:rPr>
          <w:rFonts w:hint="eastAsia" w:ascii="宋体" w:hAnsi="宋体"/>
          <w:color w:val="7030a0"/>
          <w:sz w:val="24"/>
          <w:szCs w:val="24"/>
          <w:highlight w:val="none"/>
        </w:rPr>
        <w:t xml:space="preserve">返聘、临聘、已退休人员均不计分。 </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已通过造价师考试，但尚未拿到注册证书的，不予计分。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同一人具备不同专业造价师证书，不可兼得分。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、拟派项目人员业绩（</w:t>
      </w:r>
      <w:r>
        <w:rPr>
          <w:rFonts w:hint="default" w:ascii="宋体" w:hAnsi="宋体"/>
          <w:bCs/>
          <w:color w:val="000000" w:themeColor="text1"/>
          <w:sz w:val="24"/>
          <w:szCs w:val="24"/>
          <w:highlight w:val="none"/>
          <w14:textFill>
            <w14:solidFill>
              <w14:schemeClr w14:val="tx1"/>
            </w14:solidFill>
          </w14:textFill>
        </w:rPr>
        <w:t xml:space="preserve">31</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eastAsia" w:asci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）拟派项目负责人（</w:t>
      </w:r>
      <w:r>
        <w:rPr>
          <w:rFonts w:hint="default" w:ascii="宋体" w:hAnsi="宋体"/>
          <w:bCs/>
          <w:color w:val="000000" w:themeColor="text1"/>
          <w:sz w:val="24"/>
          <w:szCs w:val="24"/>
          <w:highlight w:val="none"/>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a.</w:t>
      </w:r>
      <w:r>
        <w:rPr>
          <w:rFonts w:hint="eastAsia" w:ascii="宋体" w:hAnsi="宋体"/>
          <w:bCs/>
          <w:color w:val="000000" w:themeColor="text1"/>
          <w:sz w:val="24"/>
          <w:szCs w:val="24"/>
          <w:highlight w:val="none"/>
          <w14:textFill>
            <w14:solidFill>
              <w14:schemeClr w14:val="tx1"/>
            </w14:solidFill>
          </w14:textFill>
        </w:rPr>
        <w:t xml:space="preserve">作为项目负责人近五年（时间截止至本项目投标截止之日）已完成的同类项目跟踪审核、全过程跟踪审核（含结算审核）、结算审核、</w:t>
      </w:r>
      <w:r>
        <w:rPr>
          <w:rFonts w:hint="eastAsia" w:ascii="宋体" w:hAnsi="宋体"/>
          <w:bCs/>
          <w:color w:val="0000ff"/>
          <w:sz w:val="24"/>
          <w:szCs w:val="24"/>
          <w:highlight w:val="none"/>
        </w:rPr>
        <w:t xml:space="preserve">工程量清单及最高投标限价编审</w:t>
      </w:r>
      <w:r>
        <w:rPr>
          <w:rFonts w:hint="eastAsia" w:ascii="宋体" w:hAnsi="宋体"/>
          <w:bCs/>
          <w:color w:val="000000" w:themeColor="text1"/>
          <w:sz w:val="24"/>
          <w:szCs w:val="24"/>
          <w:highlight w:val="none"/>
          <w14:textFill>
            <w14:solidFill>
              <w14:schemeClr w14:val="tx1"/>
            </w14:solidFill>
          </w14:textFill>
        </w:rPr>
        <w:t xml:space="preserve">之一业绩的，得</w:t>
      </w:r>
      <w:r>
        <w:rPr>
          <w:rFonts w:hint="default"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分，该项总分最高为</w:t>
      </w:r>
      <w:r>
        <w:rPr>
          <w:rFonts w:hint="default" w:ascii="宋体" w:hAnsi="宋体"/>
          <w:bCs/>
          <w:color w:val="000000" w:themeColor="text1"/>
          <w:sz w:val="24"/>
          <w:szCs w:val="24"/>
          <w:highlight w:val="none"/>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项目负责人业绩认定以项目负责人在审定单上的签字或盖章为准，同时该名人员必须为委托合同内明确的项目负责人，如委托合同未明确项目负责人或人员发生更换的，需提供委托方相关证明材料。</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b.</w:t>
      </w:r>
      <w:r>
        <w:rPr>
          <w:rFonts w:hint="eastAsia" w:ascii="宋体" w:hAnsi="宋体"/>
          <w:bCs/>
          <w:color w:val="000000" w:themeColor="text1"/>
          <w:sz w:val="24"/>
          <w:szCs w:val="24"/>
          <w:highlight w:val="none"/>
          <w14:textFill>
            <w14:solidFill>
              <w14:schemeClr w14:val="tx1"/>
            </w14:solidFill>
          </w14:textFill>
        </w:rPr>
        <w:t xml:space="preserve">作为非项目</w:t>
      </w:r>
      <w:r>
        <w:rPr>
          <w:rFonts w:hint="eastAsia" w:ascii="宋体" w:hAnsi="宋体"/>
          <w:bCs/>
          <w:color w:val="000000" w:themeColor="text1"/>
          <w:sz w:val="24"/>
          <w:szCs w:val="24"/>
          <w:highlight w:val="none"/>
          <w:lang w:eastAsia="zh-CN"/>
          <w14:textFill>
            <w14:solidFill>
              <w14:schemeClr w14:val="tx1"/>
            </w14:solidFill>
          </w14:textFill>
        </w:rPr>
        <w:t xml:space="preserve">负责人</w:t>
      </w:r>
      <w:r>
        <w:rPr>
          <w:rFonts w:hint="eastAsia" w:ascii="宋体" w:hAnsi="宋体"/>
          <w:bCs/>
          <w:color w:val="000000" w:themeColor="text1"/>
          <w:sz w:val="24"/>
          <w:szCs w:val="24"/>
          <w:highlight w:val="none"/>
          <w14:textFill>
            <w14:solidFill>
              <w14:schemeClr w14:val="tx1"/>
            </w14:solidFill>
          </w14:textFill>
        </w:rPr>
        <w:t xml:space="preserve">近五年（时间截止至本项目投标截止之日）已完成的跟踪审核、全过程跟踪审核（含结算审核）、结算审核、</w:t>
      </w:r>
      <w:r>
        <w:rPr>
          <w:rFonts w:hint="eastAsia" w:ascii="宋体" w:hAnsi="宋体"/>
          <w:bCs/>
          <w:color w:val="0000ff"/>
          <w:sz w:val="24"/>
          <w:szCs w:val="24"/>
          <w:highlight w:val="none"/>
        </w:rPr>
        <w:t xml:space="preserve">工程量清单及最高投标限价编审</w:t>
      </w:r>
      <w:r>
        <w:rPr>
          <w:rFonts w:hint="eastAsia" w:ascii="宋体" w:hAnsi="宋体"/>
          <w:bCs/>
          <w:color w:val="000000" w:themeColor="text1"/>
          <w:sz w:val="24"/>
          <w:szCs w:val="24"/>
          <w:highlight w:val="none"/>
          <w14:textFill>
            <w14:solidFill>
              <w14:schemeClr w14:val="tx1"/>
            </w14:solidFill>
          </w14:textFill>
        </w:rPr>
        <w:t xml:space="preserve">之一业绩的，</w:t>
      </w:r>
      <w:r>
        <w:rPr>
          <w:rFonts w:hint="eastAsia" w:ascii="宋体" w:hAnsi="宋体"/>
          <w:bCs/>
          <w:color w:val="0000ff"/>
          <w:sz w:val="24"/>
          <w:szCs w:val="24"/>
          <w:highlight w:val="none"/>
        </w:rPr>
        <w:t xml:space="preserve">得</w:t>
      </w:r>
      <w:r>
        <w:rPr>
          <w:rFonts w:hint="default" w:ascii="宋体" w:hAnsi="宋体"/>
          <w:bCs/>
          <w:color w:val="0000ff"/>
          <w:sz w:val="24"/>
          <w:szCs w:val="24"/>
          <w:highlight w:val="none"/>
        </w:rPr>
        <w:t xml:space="preserve">2</w:t>
      </w:r>
      <w:r>
        <w:rPr>
          <w:rFonts w:hint="eastAsia" w:ascii="宋体" w:hAnsi="宋体"/>
          <w:bCs/>
          <w:color w:val="0000ff"/>
          <w:sz w:val="24"/>
          <w:szCs w:val="24"/>
          <w:highlight w:val="none"/>
        </w:rPr>
        <w:t xml:space="preserve">分。该项总分最高为</w:t>
      </w:r>
      <w:r>
        <w:rPr>
          <w:rFonts w:hint="default" w:ascii="宋体" w:hAnsi="宋体"/>
          <w:bCs/>
          <w:color w:val="0000ff"/>
          <w:sz w:val="24"/>
          <w:szCs w:val="24"/>
          <w:highlight w:val="none"/>
        </w:rPr>
        <w:t xml:space="preserve">6</w:t>
      </w:r>
      <w:r>
        <w:rPr>
          <w:rFonts w:hint="eastAsia" w:ascii="宋体" w:hAnsi="宋体"/>
          <w:bCs/>
          <w:color w:val="0000ff"/>
          <w:sz w:val="24"/>
          <w:szCs w:val="24"/>
          <w:highlight w:val="none"/>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）拟派常驻协审人员（</w:t>
      </w:r>
      <w:r>
        <w:rPr>
          <w:rFonts w:hint="default" w:ascii="宋体" w:hAnsi="宋体"/>
          <w:bCs/>
          <w:color w:val="000000" w:themeColor="text1"/>
          <w:sz w:val="24"/>
          <w:szCs w:val="24"/>
          <w:highlight w:val="none"/>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常驻协审人员近五年（时间截止至本项目开标之日）已完成的跟踪审核、全过程跟踪审核（含结算审核）、结算审核、</w:t>
      </w:r>
      <w:r>
        <w:rPr>
          <w:rFonts w:hint="eastAsia" w:ascii="宋体" w:hAnsi="宋体"/>
          <w:bCs/>
          <w:color w:val="0000ff"/>
          <w:sz w:val="24"/>
          <w:szCs w:val="24"/>
          <w:highlight w:val="none"/>
        </w:rPr>
        <w:t xml:space="preserve">工程量清单及最高投标限价编审之一业绩的</w:t>
      </w:r>
      <w:r>
        <w:rPr>
          <w:rFonts w:hint="eastAsia" w:ascii="宋体" w:hAnsi="宋体"/>
          <w:bCs/>
          <w:color w:val="0000ff"/>
          <w:sz w:val="24"/>
          <w:szCs w:val="24"/>
          <w:highlight w:val="none"/>
          <w:lang w:eastAsia="zh-CN"/>
        </w:rPr>
        <w:t xml:space="preserve">，</w:t>
      </w:r>
      <w:r>
        <w:rPr>
          <w:rFonts w:hint="eastAsia" w:ascii="宋体" w:hAnsi="宋体"/>
          <w:bCs/>
          <w:color w:val="0000ff"/>
          <w:sz w:val="24"/>
          <w:szCs w:val="24"/>
          <w:highlight w:val="none"/>
        </w:rPr>
        <w:t xml:space="preserve">得</w:t>
      </w:r>
      <w:r>
        <w:rPr>
          <w:rFonts w:hint="default" w:ascii="宋体" w:hAnsi="宋体"/>
          <w:bCs/>
          <w:color w:val="0000ff"/>
          <w:sz w:val="24"/>
          <w:szCs w:val="24"/>
          <w:highlight w:val="none"/>
        </w:rPr>
        <w:t xml:space="preserve">2</w:t>
      </w:r>
      <w:r>
        <w:rPr>
          <w:rFonts w:hint="eastAsia" w:ascii="宋体" w:hAnsi="宋体"/>
          <w:bCs/>
          <w:color w:val="0000ff"/>
          <w:sz w:val="24"/>
          <w:szCs w:val="24"/>
          <w:highlight w:val="none"/>
        </w:rPr>
        <w:t xml:space="preserve">分。该项得分最高为</w:t>
      </w:r>
      <w:r>
        <w:rPr>
          <w:rFonts w:hint="default" w:ascii="宋体" w:hAnsi="宋体"/>
          <w:bCs/>
          <w:color w:val="0000ff"/>
          <w:sz w:val="24"/>
          <w:szCs w:val="24"/>
          <w:highlight w:val="none"/>
        </w:rPr>
        <w:t xml:space="preserve">10</w:t>
      </w:r>
      <w:r>
        <w:rPr>
          <w:rFonts w:hint="eastAsia" w:ascii="宋体" w:hAnsi="宋体"/>
          <w:bCs/>
          <w:color w:val="0000ff"/>
          <w:sz w:val="24"/>
          <w:szCs w:val="24"/>
          <w:highlight w:val="none"/>
        </w:rPr>
        <w:t xml:space="preserve">分。</w:t>
      </w:r>
      <w:r>
        <w:rPr>
          <w:rFonts w:hint="eastAsia" w:ascii="宋体" w:hAnsi="宋体"/>
          <w:b/>
          <w:color w:val="000000" w:themeColor="text1"/>
          <w:sz w:val="24"/>
          <w:szCs w:val="24"/>
          <w:highlight w:val="none"/>
          <w14:textFill>
            <w14:solidFill>
              <w14:schemeClr w14:val="tx1"/>
            </w14:solidFill>
          </w14:textFill>
        </w:rPr>
        <w:t xml:space="preserve">由附件《项目人员配置清单》中明确的常驻协审人员参与评分，限定</w:t>
      </w:r>
      <w:r>
        <w:rPr>
          <w:rFonts w:hint="default" w:ascii="宋体" w:hAnsi="宋体"/>
          <w:b/>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人得分。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（3）拟派其他协审人员（</w:t>
      </w:r>
      <w:r>
        <w:rPr>
          <w:rFonts w:hint="default" w:ascii="宋体" w:hAnsi="宋体"/>
          <w:bCs/>
          <w:color w:val="000000" w:themeColor="text1"/>
          <w:sz w:val="24"/>
          <w:szCs w:val="24"/>
          <w:highlight w:val="none"/>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拟派其他协审人员近五年（时间截止至本项目开标之日）已完成的跟踪审核、全过程跟踪审核（含结算审核）、结算审核、</w:t>
      </w:r>
      <w:r>
        <w:rPr>
          <w:rFonts w:hint="eastAsia" w:ascii="宋体" w:hAnsi="宋体"/>
          <w:bCs/>
          <w:color w:val="0000ff"/>
          <w:sz w:val="24"/>
          <w:szCs w:val="24"/>
          <w:highlight w:val="none"/>
        </w:rPr>
        <w:t xml:space="preserve">工程量清单及最高投标限价编审</w:t>
      </w:r>
      <w:r>
        <w:rPr>
          <w:rFonts w:hint="eastAsia" w:ascii="宋体" w:hAnsi="宋体"/>
          <w:bCs/>
          <w:color w:val="000000" w:themeColor="text1"/>
          <w:sz w:val="24"/>
          <w:szCs w:val="24"/>
          <w:highlight w:val="none"/>
          <w14:textFill>
            <w14:solidFill>
              <w14:schemeClr w14:val="tx1"/>
            </w14:solidFill>
          </w14:textFill>
        </w:rPr>
        <w:t xml:space="preserve">之一业绩的，每有一个得1分，该项最高9分。</w:t>
      </w:r>
      <w:r>
        <w:rPr>
          <w:rFonts w:hint="default" w:ascii="宋体" w:hAnsi="宋体"/>
          <w:b/>
          <w:color w:val="000000" w:themeColor="text1"/>
          <w:sz w:val="24"/>
          <w:szCs w:val="24"/>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由附件《项目人员配置清单》中明确的其他协审人员参与评分。</w:t>
      </w:r>
      <w:r/>
    </w:p>
    <w:p>
      <w:pPr>
        <w:ind w:left="0" w:firstLine="482"/>
        <w:keepLines w:val="0"/>
        <w:keepNext w:val="0"/>
        <w:pageBreakBefore w:val="0"/>
        <w:spacing w:line="360" w:lineRule="auto"/>
        <w:widowControl w:val="off"/>
        <w:tabs>
          <w:tab w:val="left" w:pos="945" w:leader="none"/>
          <w:tab w:val="left" w:pos="1155"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w:t>
      </w:r>
      <w:r>
        <w:rPr>
          <w:rFonts w:hint="eastAsia" w:ascii="宋体" w:hAnsi="宋体"/>
          <w:b/>
          <w:bCs/>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业绩证明材料所附资料与投标人业绩一致；</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所有业绩不重复得分，如审定单上审核人员若为多人签署，则仅能作为一人业绩；</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业绩以相关人员在审核报告、审定单上的签字或盖章为准。</w:t>
      </w:r>
      <w:r/>
    </w:p>
    <w:p>
      <w:pPr>
        <w:ind w:left="0" w:firstLine="640"/>
        <w:jc w:val="center"/>
        <w:keepLines w:val="0"/>
        <w:keepNext w:val="0"/>
        <w:pageBreakBefore w:val="0"/>
        <w:spacing w:before="0" w:after="0" w:line="360" w:lineRule="auto"/>
        <w:widowControl w:val="off"/>
        <w:rPr>
          <w:rFonts w:hint="eastAsia" w:ascii="微软雅黑" w:hAnsi="微软雅黑" w:eastAsia="微软雅黑" w:cs="微软雅黑"/>
          <w:b/>
          <w:color w:val="000000" w:themeColor="text1"/>
          <w:sz w:val="32"/>
          <w:szCs w:val="32"/>
          <w:highlight w:val="none"/>
          <w14:textFill>
            <w14:solidFill>
              <w14:schemeClr w14:val="tx1"/>
            </w14:solidFill>
          </w14:textFill>
        </w:rPr>
      </w:pPr>
      <w:r>
        <w:rPr>
          <w:rFonts w:hint="eastAsia" w:ascii="微软雅黑" w:hAnsi="微软雅黑" w:eastAsia="微软雅黑" w:cs="微软雅黑"/>
          <w:b/>
          <w:color w:val="000000" w:themeColor="text1"/>
          <w:sz w:val="32"/>
          <w:szCs w:val="32"/>
          <w:highlight w:val="none"/>
          <w:lang w:val="en-US" w:eastAsia="zh-CN" w:bidi="ar-SA"/>
          <w14:textFill>
            <w14:solidFill>
              <w14:schemeClr w14:val="tx1"/>
            </w14:solidFill>
          </w14:textFill>
        </w:rPr>
        <w:t xml:space="preserve">（二）技术部分（42分）</w:t>
      </w:r>
      <w:r/>
    </w:p>
    <w:p>
      <w:pPr>
        <w:ind w:left="0" w:firstLine="560"/>
        <w:jc w:val="left"/>
        <w:keepLines w:val="0"/>
        <w:keepNext w:val="0"/>
        <w:pageBreakBefore w:val="0"/>
        <w:spacing w:before="0" w:after="0"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微软雅黑" w:hAnsi="微软雅黑" w:eastAsia="微软雅黑" w:cs="微软雅黑"/>
          <w:b/>
          <w:color w:val="000000" w:themeColor="text1"/>
          <w:sz w:val="28"/>
          <w:szCs w:val="28"/>
          <w:highlight w:val="none"/>
          <w:lang w:val="en-US" w:eastAsia="zh-CN" w:bidi="ar-SA"/>
          <w14:textFill>
            <w14:solidFill>
              <w14:schemeClr w14:val="tx1"/>
            </w14:solidFill>
          </w14:textFill>
        </w:rPr>
        <w:t xml:space="preserve">注：技术部分属于暗标，投标人在制作技术部分相关内容时不得有体现投标人身份的内容，否则投标无效。</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p>
    <w:p>
      <w:pPr>
        <w:ind w:left="0" w:firstLine="560"/>
        <w:jc w:val="center"/>
        <w:keepLines w:val="0"/>
        <w:keepNext w:val="0"/>
        <w:pageBreakBefore w:val="0"/>
        <w:spacing w:before="0" w:after="0" w:line="360" w:lineRule="auto"/>
        <w:widowControl w:val="off"/>
        <w:rPr>
          <w:rFonts w:hint="eastAsia" w:ascii="微软雅黑" w:hAnsi="微软雅黑" w:eastAsia="微软雅黑" w:cs="微软雅黑"/>
          <w:b/>
          <w:color w:val="0000ff"/>
          <w:sz w:val="28"/>
          <w:szCs w:val="28"/>
          <w:highlight w:val="none"/>
          <w:lang w:val="en-US" w:eastAsia="zh-CN" w:bidi="ar-SA"/>
        </w:rPr>
      </w:pPr>
      <w:r>
        <w:rPr>
          <w:rFonts w:hint="eastAsia" w:ascii="宋体" w:hAnsi="宋体"/>
          <w:bCs/>
          <w:color w:val="0000ff"/>
          <w:sz w:val="24"/>
          <w:szCs w:val="24"/>
          <w:highlight w:val="none"/>
        </w:rPr>
        <w:t xml:space="preserve">（技术方案正文部分总页数控制在100页内。）</w:t>
      </w:r>
      <w:r/>
    </w:p>
    <w:p>
      <w:pPr>
        <w:numPr>
          <w:ilvl w:val="0"/>
          <w:numId w:val="3"/>
        </w:numPr>
        <w:ind w:left="0" w:firstLine="482"/>
        <w:keepLines w:val="0"/>
        <w:keepNext w:val="0"/>
        <w:pageBreakBefore w:val="0"/>
        <w:spacing w:line="360" w:lineRule="auto"/>
        <w:widowControl w:val="off"/>
        <w:tabs>
          <w:tab w:val="left" w:pos="945" w:leader="none"/>
          <w:tab w:val="left" w:pos="1155" w:leader="none"/>
        </w:tabs>
        <w:rPr>
          <w:rFonts w:hint="default"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协审方案（</w:t>
      </w:r>
      <w:r>
        <w:rPr>
          <w:rFonts w:hint="default" w:ascii="宋体" w:hAnsi="宋体"/>
          <w:b/>
          <w:color w:val="000000" w:themeColor="text1"/>
          <w:sz w:val="24"/>
          <w:szCs w:val="24"/>
          <w:highlight w:val="none"/>
          <w14:textFill>
            <w14:solidFill>
              <w14:schemeClr w14:val="tx1"/>
            </w14:solidFill>
          </w14:textFill>
        </w:rPr>
        <w:t xml:space="preserve">20</w:t>
      </w:r>
      <w:r>
        <w:rPr>
          <w:rFonts w:hint="eastAsia" w:ascii="宋体" w:hAnsi="宋体"/>
          <w:b/>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无方案不得分。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协审实施大纲。结合政府投资项目特点，针对本次招标项目，列出投标单位自身的技术优势，并提交科学、合理、操作性强的项目协审实施大纲，大纲应包含协审人员管理、造价控制流程、造价审核方法、关键环节控制、协审质量及效率保证措施、档案管理、廉洁管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EPC协审特点阐述</w:t>
      </w:r>
      <w:r>
        <w:rPr>
          <w:rFonts w:hint="eastAsia" w:ascii="宋体" w:hAnsi="宋体"/>
          <w:bCs/>
          <w:color w:val="000000" w:themeColor="text1"/>
          <w:sz w:val="24"/>
          <w:szCs w:val="24"/>
          <w:highlight w:val="none"/>
          <w14:textFill>
            <w14:solidFill>
              <w14:schemeClr w14:val="tx1"/>
            </w14:solidFill>
          </w14:textFill>
        </w:rPr>
        <w:t xml:space="preserve">等，</w:t>
      </w:r>
      <w:r>
        <w:rPr>
          <w:rFonts w:hint="eastAsia" w:ascii="宋体" w:hAnsi="宋体"/>
          <w:color w:val="000000" w:themeColor="text1"/>
          <w:sz w:val="24"/>
          <w:szCs w:val="24"/>
          <w:highlight w:val="none"/>
          <w14:textFill>
            <w14:solidFill>
              <w14:schemeClr w14:val="tx1"/>
            </w14:solidFill>
          </w14:textFill>
        </w:rPr>
        <w:t xml:space="preserve">由评审专家比较与评价后按如下要求打分</w:t>
      </w:r>
      <w:r>
        <w:rPr>
          <w:rFonts w:hint="eastAsia" w:ascii="宋体" w:hAnsi="宋体"/>
          <w:bCs/>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大纲思路清晰、简洁明了、目标明确、内容全面、科学合理、操作性强的</w:t>
      </w:r>
      <w:r>
        <w:rPr>
          <w:rFonts w:hint="default"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大纲思路较清晰、较简洁明了、目标较明确、内容较全面、较科学合理、操作性较强的</w:t>
      </w:r>
      <w:r>
        <w:rPr>
          <w:rFonts w:hint="default"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大纲思路一般、简洁明了程度一般、目标明确度一般、内容全面性一般、科学合理性一般、操作性一般的</w:t>
      </w:r>
      <w:r>
        <w:rPr>
          <w:rFonts w:hint="default"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分；</w:t>
      </w:r>
      <w:r>
        <w:rPr>
          <w:rFonts w:hint="default" w:ascii="宋体" w:hAnsi="宋体"/>
          <w:color w:val="000000" w:themeColor="text1"/>
          <w:sz w:val="24"/>
          <w:szCs w:val="24"/>
          <w:highlight w:val="none"/>
          <w14:textFill>
            <w14:solidFill>
              <w14:schemeClr w14:val="tx1"/>
            </w14:solidFill>
          </w14:textFill>
        </w:rPr>
        <w:t xml:space="preserve"> </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大纲思路基本清晰、目标基本明确、内容基本较全的</w:t>
      </w:r>
      <w:r>
        <w:rPr>
          <w:rFonts w:hint="default"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）协审重点及思路建议。剖析本次招标项目的审核重点、难点，并提出本项目造价控制精细化管理思路及合理化建议</w:t>
      </w:r>
      <w:r>
        <w:rPr>
          <w:rFonts w:hint="eastAsia" w:ascii="宋体" w:hAnsi="宋体"/>
          <w:color w:val="000000" w:themeColor="text1"/>
          <w:sz w:val="24"/>
          <w:szCs w:val="24"/>
          <w:highlight w:val="none"/>
          <w14:textFill>
            <w14:solidFill>
              <w14:schemeClr w14:val="tx1"/>
            </w14:solidFill>
          </w14:textFill>
        </w:rPr>
        <w:t xml:space="preserve">，由评审专家比较与评价后按如下要求打分。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紧密结合项目特点、针对性强、重点罗列清晰明确、措施有效性强、重点难点突出、进度质量措施科学合理、思路建议可行性强的</w:t>
      </w:r>
      <w:r>
        <w:rPr>
          <w:rFonts w:hint="default"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结合项目特点较紧密、针对性较强、重点罗列较清晰明确、措施有效性较强、重点难点较突出、进度质量措施较科学合理、思路建议可行性较强的</w:t>
      </w:r>
      <w:r>
        <w:rPr>
          <w:rFonts w:hint="default"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结合项目特点一般、针对性一般、重点罗列基本清晰明确、措施有效性一般、重点难点突出性一般、进度质量措施一般、思路建议一般的</w:t>
      </w:r>
      <w:r>
        <w:rPr>
          <w:rFonts w:hint="default"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基本能结合项目特点、有基本措施、有基本进度质量措施、内容基本全面的</w:t>
      </w:r>
      <w:r>
        <w:rPr>
          <w:rFonts w:hint="default"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widowControl w:val="off"/>
        <w:rPr>
          <w:rFonts w:hint="default" w:ascii="宋体"/>
          <w:bCs/>
          <w:color w:val="000000" w:themeColor="text1"/>
          <w:sz w:val="24"/>
          <w:szCs w:val="24"/>
          <w:highlight w:val="none"/>
          <w14:textFill>
            <w14:solidFill>
              <w14:schemeClr w14:val="tx1"/>
            </w14:solidFill>
          </w14:textFill>
        </w:rPr>
      </w:pPr>
      <w:r>
        <w:rPr>
          <w:rFonts w:hint="default" w:ascii="宋体" w:hAnsi="宋体"/>
          <w:b/>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、审核质效控制制度和信息化管理（</w:t>
      </w:r>
      <w:r>
        <w:rPr>
          <w:rFonts w:hint="default" w:ascii="宋体" w:hAnsi="宋体"/>
          <w:b/>
          <w:color w:val="000000" w:themeColor="text1"/>
          <w:sz w:val="24"/>
          <w:szCs w:val="24"/>
          <w:highlight w:val="none"/>
          <w14:textFill>
            <w14:solidFill>
              <w14:schemeClr w14:val="tx1"/>
            </w14:solidFill>
          </w14:textFill>
        </w:rPr>
        <w:t xml:space="preserve">10</w:t>
      </w:r>
      <w:r>
        <w:rPr>
          <w:rFonts w:hint="eastAsia" w:ascii="宋体" w:hAnsi="宋体"/>
          <w:b/>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无制度不得分、无信息化管理不得分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）内部控制制度</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提交投标单位为保障审核质量、审核效率等制订并现行实施的相关内部控制制度材料，</w:t>
      </w:r>
      <w:r>
        <w:rPr>
          <w:rFonts w:hint="eastAsia" w:ascii="宋体" w:hAnsi="宋体"/>
          <w:color w:val="000000" w:themeColor="text1"/>
          <w:sz w:val="24"/>
          <w:szCs w:val="24"/>
          <w:highlight w:val="none"/>
          <w14:textFill>
            <w14:solidFill>
              <w14:schemeClr w14:val="tx1"/>
            </w14:solidFill>
          </w14:textFill>
        </w:rPr>
        <w:t xml:space="preserve">由评审专家比较与评价后按如下要求打分</w:t>
      </w:r>
      <w:r>
        <w:rPr>
          <w:rFonts w:hint="eastAsia" w:ascii="宋体" w:hAnsi="宋体"/>
          <w:bCs/>
          <w:color w:val="000000" w:themeColor="text1"/>
          <w:sz w:val="24"/>
          <w:szCs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制度内容条理清晰、合理、详细、全面、针对性强、可行性强的</w:t>
      </w:r>
      <w:r>
        <w:rPr>
          <w:rFonts w:hint="default"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制度内容条理较清晰、较合理、较详细、较全面、针对性较强、可行性较强的</w:t>
      </w:r>
      <w:r>
        <w:rPr>
          <w:rFonts w:hint="default"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制度内容条理清晰性一般、合理性一般、基本详细、基本全面、针对性一般、可行性一般的</w:t>
      </w:r>
      <w:r>
        <w:rPr>
          <w:rFonts w:hint="default"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制度内容基本合理、内容基本全面的</w:t>
      </w:r>
      <w:r>
        <w:rPr>
          <w:rFonts w:hint="default"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rPr>
          <w:rFonts w:hint="default"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）信息化系统</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提交投标单位目前正在使用的，自行或委托开发建设的项目审核管理方面的信息化系统的说明材料，说明材料应描述系统主要模块、系统功能、系统亮点，</w:t>
      </w:r>
      <w:r>
        <w:rPr>
          <w:rFonts w:hint="eastAsia" w:ascii="宋体" w:hAnsi="宋体"/>
          <w:color w:val="000000" w:themeColor="text1"/>
          <w:sz w:val="24"/>
          <w:szCs w:val="24"/>
          <w:highlight w:val="none"/>
          <w14:textFill>
            <w14:solidFill>
              <w14:schemeClr w14:val="tx1"/>
            </w14:solidFill>
          </w14:textFill>
        </w:rPr>
        <w:t xml:space="preserve">由评审专家比较与评价后按如下要求打分。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提供的说明材料条理清晰、合理、详细、齐全、针对性强、可行性强的</w:t>
      </w:r>
      <w:r>
        <w:rPr>
          <w:rFonts w:hint="default"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提供的说明材料条理较清晰、较合理、较详细、较全面、针对性较强、可行性较强的</w:t>
      </w:r>
      <w:r>
        <w:rPr>
          <w:rFonts w:hint="default"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提供的说明材料条理清晰性一般、合理性一般、基本详细、基本全面、针对性一般、可行性一般的</w:t>
      </w:r>
      <w:r>
        <w:rPr>
          <w:rFonts w:hint="default"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提供的说明材料内容基本合理、内容基本全面的</w:t>
      </w:r>
      <w:r>
        <w:rPr>
          <w:rFonts w:hint="default"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default" w:ascii="宋体" w:hAnsi="宋体"/>
          <w:b/>
          <w:bCs/>
          <w:color w:val="000000" w:themeColor="text1"/>
          <w:sz w:val="24"/>
          <w:szCs w:val="24"/>
          <w:highlight w:val="none"/>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、服务承诺：（</w:t>
      </w:r>
      <w:r>
        <w:rPr>
          <w:rFonts w:hint="default" w:ascii="宋体" w:hAnsi="宋体"/>
          <w:b/>
          <w:bCs/>
          <w:color w:val="000000" w:themeColor="text1"/>
          <w:sz w:val="24"/>
          <w:szCs w:val="24"/>
          <w:highlight w:val="none"/>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无承诺不得分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）本地化服务承诺：主要对投标人的本地化服务能力进行综合评审，包括中标后的人员驻场情况、与各方面的沟通、现场响应时间、常驻保障条件的设置情况等</w:t>
      </w:r>
      <w:r>
        <w:rPr>
          <w:rFonts w:hint="eastAsia" w:ascii="宋体" w:hAnsi="宋体"/>
          <w:color w:val="000000" w:themeColor="text1"/>
          <w:sz w:val="24"/>
          <w:szCs w:val="24"/>
          <w:highlight w:val="none"/>
          <w14:textFill>
            <w14:solidFill>
              <w14:schemeClr w14:val="tx1"/>
            </w14:solidFill>
          </w14:textFill>
        </w:rPr>
        <w:t xml:space="preserve">由评审专家比较与评价后按如下要求打分。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承诺内容清晰、合理、详细、全面、针对性强、可行性强的</w:t>
      </w:r>
      <w:r>
        <w:rPr>
          <w:rFonts w:hint="default"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承诺内容较清晰、较合理、较详细、较全面、针对性较强、可行性较强的</w:t>
      </w:r>
      <w:r>
        <w:rPr>
          <w:rFonts w:hint="default"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承诺内容清晰性一般、合理性一般、基本详细、基本全面、针对性一般、可行性一般的</w:t>
      </w:r>
      <w:r>
        <w:rPr>
          <w:rFonts w:hint="default"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承诺内容基本合理、内容基本全面的</w:t>
      </w:r>
      <w:r>
        <w:rPr>
          <w:rFonts w:hint="default"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 w:val="left" w:pos="1155" w:leader="none"/>
        </w:tabs>
        <w:rPr>
          <w:rFonts w:hint="default"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rPr>
          <w:rFonts w:hint="default"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个性化服务承诺：主要考察投标人在满足招标文件要求的基础上提出的服务质量、审核误差、协审成果、质量考核、运用信息化软件、对建设过程关键环节（如对控制价、中标价、送审价、结算价的准确性、差异性的横向对比分析）开展大数据分析相关的附加增值服务，以达到提升跟踪审核精度、更好规范项目建设等方面的个性化服务承诺，由评审专家比较与评价后按如下要求打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承诺内容清晰、合理、详细、全面、针对性强、可行性强的</w:t>
      </w:r>
      <w:r>
        <w:rPr>
          <w:rFonts w:hint="default"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承诺内容较清晰、较合理、较详细、较全面、针对性较强、可行性较强的</w:t>
      </w:r>
      <w:r>
        <w:rPr>
          <w:rFonts w:hint="default"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承诺内容清晰性一般、合理性一般、基本详细、基本全面、针对性一般、可行性一般的</w:t>
      </w:r>
      <w:r>
        <w:rPr>
          <w:rFonts w:hint="default"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510" w:leader="none"/>
        </w:tabs>
        <w:rPr>
          <w:rFonts w:hint="default"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承诺内容基本合理、内容基本全面的</w:t>
      </w:r>
      <w:r>
        <w:rPr>
          <w:rFonts w:hint="default"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default" w:ascii="宋体"/>
          <w:b/>
          <w:bCs/>
          <w:color w:val="0000ff"/>
          <w:sz w:val="24"/>
          <w:szCs w:val="24"/>
          <w:highlight w:val="none"/>
        </w:rPr>
      </w:pPr>
      <w:r>
        <w:rPr>
          <w:rFonts w:hint="eastAsia" w:ascii="宋体" w:hAnsi="宋体"/>
          <w:b/>
          <w:color w:val="000000" w:themeColor="text1"/>
          <w:sz w:val="24"/>
          <w:szCs w:val="24"/>
          <w:highlight w:val="none"/>
          <w14:textFill>
            <w14:solidFill>
              <w14:schemeClr w14:val="tx1"/>
            </w14:solidFill>
          </w14:textFill>
        </w:rPr>
        <w:t xml:space="preserve">4、投标文件的评价（</w:t>
      </w:r>
      <w:r>
        <w:rPr>
          <w:rFonts w:hint="default" w:ascii="宋体" w:hAnsi="宋体"/>
          <w:b/>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分）：</w:t>
      </w:r>
      <w:r>
        <w:rPr>
          <w:rFonts w:hint="eastAsia" w:ascii="宋体" w:hAnsi="宋体"/>
          <w:bCs/>
          <w:color w:val="0000ff"/>
          <w:sz w:val="24"/>
          <w:szCs w:val="24"/>
          <w:highlight w:val="none"/>
        </w:rPr>
        <w:t xml:space="preserve">投标文件内容按照评分标准做对应位置绑定的，得1.5分，未按照评分标准做对应位置绑定的，此项不得分。对技术方案正文部分满足总页数控制要求的，得0.5分，对技术方案正文部分总页数超过控制要求的，此项不得分。（技术方案正文部分总页数控制在100页内。）</w:t>
      </w:r>
      <w:r/>
    </w:p>
    <w:p>
      <w:pPr>
        <w:jc w:val="left"/>
        <w:spacing w:line="360" w:lineRule="auto"/>
        <w:shd w:val="clear" w:color="auto"/>
        <w:tabs>
          <w:tab w:val="left" w:pos="945" w:leader="none"/>
          <w:tab w:val="left" w:pos="1155" w:leader="none"/>
        </w:tabs>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r>
      <w:r/>
    </w:p>
    <w:p>
      <w:pPr>
        <w:ind w:firstLine="480"/>
        <w:jc w:val="left"/>
        <w:spacing w:line="360" w:lineRule="auto"/>
        <w:shd w:val="clear" w:color="auto"/>
        <w:tabs>
          <w:tab w:val="left" w:pos="945" w:leader="none"/>
          <w:tab w:val="left" w:pos="1155" w:leader="none"/>
        </w:tabs>
        <w:rPr>
          <w:rFonts w:hint="eastAsia" w:ascii="宋体" w:hAnsi="宋体" w:cs="宋体"/>
          <w:bCs/>
          <w:color w:val="000000" w:themeColor="text1"/>
          <w:sz w:val="24"/>
          <w:szCs w:val="24"/>
          <w:highlight w:val="none"/>
          <w14:textFill>
            <w14:solidFill>
              <w14:schemeClr w14:val="tx1"/>
            </w14:solidFill>
          </w14:textFill>
        </w:rPr>
        <w:sectPr>
          <w:headerReference w:type="default" r:id="rId12"/>
          <w:footerReference w:type="default" r:id="rId21"/>
          <w:footerReference w:type="first" r:id="rId22"/>
          <w:footnotePr/>
          <w:endnotePr/>
          <w:type w:val="nextPage"/>
          <w:pgSz w:w="11906" w:h="16838" w:orient="portrait"/>
          <w:pgMar w:top="1440" w:right="1451" w:bottom="1440" w:left="1451" w:header="624" w:footer="907" w:gutter="0"/>
          <w:cols w:num="1" w:sep="0" w:space="720" w:equalWidth="1"/>
          <w:docGrid w:linePitch="360"/>
          <w:titlePg/>
        </w:sectPr>
      </w:pPr>
      <w:r>
        <w:rPr>
          <w:rFonts w:hint="eastAsia" w:ascii="宋体" w:hAnsi="宋体" w:cs="宋体"/>
          <w:bCs/>
          <w:color w:val="000000" w:themeColor="text1"/>
          <w:sz w:val="24"/>
          <w:szCs w:val="24"/>
          <w:highlight w:val="none"/>
          <w14:textFill>
            <w14:solidFill>
              <w14:schemeClr w14:val="tx1"/>
            </w14:solidFill>
          </w14:textFill>
        </w:rPr>
      </w:r>
      <w:r/>
    </w:p>
    <w:p>
      <w:pPr>
        <w:jc w:val="left"/>
        <w:spacing w:line="360" w:lineRule="auto"/>
        <w:shd w:val="clear" w:color="auto"/>
        <w:rPr>
          <w:rFonts w:hint="eastAsia"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bCs/>
          <w:color w:val="000000" w:themeColor="text1"/>
          <w:sz w:val="24"/>
          <w:szCs w:val="24"/>
          <w:highlight w:val="none"/>
          <w14:textFill>
            <w14:solidFill>
              <w14:schemeClr w14:val="tx1"/>
            </w14:solidFill>
          </w14:textFill>
        </w:rPr>
        <w:t xml:space="preserve">附件二：投标文件格式</w:t>
      </w:r>
      <w:r/>
    </w:p>
    <w:p>
      <w:pPr>
        <w:shd w:val="clear" w:color="auto"/>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shd w:val="clear" w:color="auto"/>
        <w:rPr>
          <w:rFonts w:ascii="黑体" w:eastAsia="黑体"/>
          <w:bCs/>
          <w:color w:val="000000" w:themeColor="text1"/>
          <w:sz w:val="32"/>
          <w:highlight w:val="none"/>
          <w14:textFill>
            <w14:solidFill>
              <w14:schemeClr w14:val="tx1"/>
            </w14:solidFill>
          </w14:textFill>
        </w:rPr>
      </w:pPr>
      <w:r>
        <w:rPr>
          <w:rFonts w:ascii="黑体" w:eastAsia="黑体"/>
          <w:bCs/>
          <w:color w:val="000000" w:themeColor="text1"/>
          <w:sz w:val="3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投</w:t>
      </w:r>
      <w:r/>
    </w:p>
    <w:p>
      <w:pPr>
        <w:jc w:val="center"/>
        <w:shd w:val="clear" w:color="auto"/>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标</w:t>
      </w:r>
      <w:r/>
    </w:p>
    <w:p>
      <w:pPr>
        <w:jc w:val="center"/>
        <w:shd w:val="clear" w:color="auto"/>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文</w:t>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r>
      <w:r/>
    </w:p>
    <w:p>
      <w:pPr>
        <w:jc w:val="center"/>
        <w:shd w:val="clear" w:color="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件</w:t>
      </w:r>
      <w:r/>
    </w:p>
    <w:p>
      <w:pPr>
        <w:pStyle w:val="1270"/>
        <w:shd w:val="clear" w:color="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r>
      <w:r/>
    </w:p>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840"/>
        <w:spacing w:line="500" w:lineRule="exact"/>
        <w:shd w:val="clear" w:color="auto"/>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政府采购编号：</w:t>
      </w:r>
      <w:r>
        <w:rPr>
          <w:rFonts w:hint="eastAsia" w:eastAsia="黑体"/>
          <w:bCs/>
          <w:color w:val="000000" w:themeColor="text1"/>
          <w:sz w:val="28"/>
          <w:szCs w:val="28"/>
          <w:highlight w:val="none"/>
          <w14:textFill>
            <w14:solidFill>
              <w14:schemeClr w14:val="tx1"/>
            </w14:solidFill>
          </w14:textFill>
        </w:rPr>
        <w:t xml:space="preserve"> </w:t>
      </w:r>
      <w:r/>
    </w:p>
    <w:p>
      <w:pPr>
        <w:ind w:firstLine="840"/>
        <w:spacing w:line="500" w:lineRule="exact"/>
        <w:shd w:val="clear" w:color="auto"/>
        <w:rPr>
          <w:rFonts w:hint="eastAsia"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采购项目名称</w:t>
      </w:r>
      <w:r>
        <w:rPr>
          <w:rFonts w:eastAsia="黑体"/>
          <w:bCs/>
          <w:color w:val="000000" w:themeColor="text1"/>
          <w:sz w:val="24"/>
          <w:szCs w:val="24"/>
          <w:highlight w:val="none"/>
          <w14:textFill>
            <w14:solidFill>
              <w14:schemeClr w14:val="tx1"/>
            </w14:solidFill>
          </w14:textFill>
        </w:rPr>
        <w:t xml:space="preserve">：</w:t>
      </w:r>
      <w:r/>
    </w:p>
    <w:p>
      <w:pPr>
        <w:ind w:left="1118" w:hanging="280"/>
        <w:spacing w:line="500" w:lineRule="exact"/>
        <w:shd w:val="clear" w:color="auto"/>
        <w:rPr>
          <w:rFonts w:eastAsia="黑体"/>
          <w:bCs/>
          <w:color w:val="000000" w:themeColor="text1"/>
          <w:sz w:val="28"/>
          <w:szCs w:val="28"/>
          <w:highlight w:val="none"/>
          <w14:textFill>
            <w14:solidFill>
              <w14:schemeClr w14:val="tx1"/>
            </w14:solidFill>
          </w14:textFill>
        </w:rPr>
      </w:pPr>
      <w:r>
        <w:rPr>
          <w:rFonts w:eastAsia="黑体"/>
          <w:bCs/>
          <w:color w:val="000000" w:themeColor="text1"/>
          <w:sz w:val="28"/>
          <w:szCs w:val="28"/>
          <w:highlight w:val="none"/>
          <w14:textFill>
            <w14:solidFill>
              <w14:schemeClr w14:val="tx1"/>
            </w14:solidFill>
          </w14:textFill>
        </w:rPr>
        <w:t xml:space="preserve">投标人：</w:t>
      </w:r>
      <w:r/>
    </w:p>
    <w:p>
      <w:pP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shd w:val="clear" w:color="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年  月  日</w:t>
      </w:r>
      <w:bookmarkStart w:id="38" w:name="一．报价函（格式）"/>
      <w:r/>
      <w:bookmarkEnd w:id="38"/>
      <w:r/>
      <w:r/>
    </w:p>
    <w:p>
      <w:pPr>
        <w:jc w:val="center"/>
        <w:shd w:val="clear" w:color="auto"/>
        <w:rPr>
          <w:rFonts w:hint="eastAsia" w:ascii="宋体" w:hAnsi="宋体" w:cs="宋体"/>
          <w:bCs/>
          <w:color w:val="000000" w:themeColor="text1"/>
          <w:sz w:val="28"/>
          <w:szCs w:val="28"/>
          <w:highlight w:val="none"/>
          <w14:textFill>
            <w14:solidFill>
              <w14:schemeClr w14:val="tx1"/>
            </w14:solidFill>
          </w14:textFill>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color w:val="000000" w:themeColor="text1"/>
          <w:sz w:val="28"/>
          <w:szCs w:val="28"/>
          <w:highlight w:val="none"/>
          <w14:textFill>
            <w14:solidFill>
              <w14:schemeClr w14:val="tx1"/>
            </w14:solidFill>
          </w14:textFill>
        </w:rPr>
      </w:r>
      <w:r/>
    </w:p>
    <w:p>
      <w:pPr>
        <w:shd w:val="clear" w:color="auto"/>
        <w:rPr>
          <w:rFonts w:ascii="黑体" w:hAnsi="宋体" w:eastAsia="黑体"/>
          <w:bCs/>
          <w:color w:val="000000" w:themeColor="text1"/>
          <w:sz w:val="24"/>
          <w:szCs w:val="24"/>
          <w:highlight w:val="none"/>
          <w14:textFill>
            <w14:solidFill>
              <w14:schemeClr w14:val="tx1"/>
            </w14:solidFill>
          </w14:textFill>
        </w:rPr>
        <w:outlineLvl w:val="0"/>
      </w:pPr>
      <w:r/>
      <w:bookmarkStart w:id="39" w:name="_Toc23010"/>
      <w:r>
        <w:rPr>
          <w:rFonts w:hint="eastAsia" w:ascii="黑体" w:hAnsi="宋体" w:eastAsia="黑体"/>
          <w:bCs/>
          <w:color w:val="000000" w:themeColor="text1"/>
          <w:sz w:val="24"/>
          <w:szCs w:val="24"/>
          <w:highlight w:val="none"/>
          <w14:textFill>
            <w14:solidFill>
              <w14:schemeClr w14:val="tx1"/>
            </w14:solidFill>
          </w14:textFill>
        </w:rPr>
        <w:t xml:space="preserve">（一）投标函（格式）：</w:t>
      </w:r>
      <w:bookmarkEnd w:id="39"/>
      <w:r/>
      <w:r/>
    </w:p>
    <w:p>
      <w:pPr>
        <w:shd w:val="clear" w:color="auto"/>
        <w:rPr>
          <w:rFonts w:ascii="宋体"/>
          <w:b/>
          <w:bCs/>
          <w:color w:val="000000" w:themeColor="text1"/>
          <w:sz w:val="24"/>
          <w:szCs w:val="24"/>
          <w:highlight w:val="none"/>
          <w14:textFill>
            <w14:solidFill>
              <w14:schemeClr w14:val="tx1"/>
            </w14:solidFill>
          </w14:textFill>
        </w:rPr>
        <w:outlineLvl w:val="0"/>
      </w:pPr>
      <w:r>
        <w:rPr>
          <w:rFonts w:ascii="宋体"/>
          <w:b/>
          <w:bCs/>
          <w:color w:val="000000" w:themeColor="text1"/>
          <w:sz w:val="24"/>
          <w:szCs w:val="24"/>
          <w:highlight w:val="none"/>
          <w14:textFill>
            <w14:solidFill>
              <w14:schemeClr w14:val="tx1"/>
            </w14:solidFill>
          </w14:textFill>
        </w:rPr>
      </w:r>
      <w:r/>
    </w:p>
    <w:p>
      <w:pPr>
        <w:jc w:val="cente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投  标  函</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w:t>
      </w:r>
      <w:r>
        <w:rPr>
          <w:rFonts w:ascii="宋体" w:hAnsi="宋体"/>
          <w:bCs/>
          <w:color w:val="000000" w:themeColor="text1"/>
          <w:sz w:val="24"/>
          <w:szCs w:val="24"/>
          <w:highlight w:val="none"/>
          <w14:textFill>
            <w14:solidFill>
              <w14:schemeClr w14:val="tx1"/>
            </w14:solidFill>
          </w14:textFill>
        </w:rPr>
        <w:t xml:space="preserve">收到</w:t>
      </w:r>
      <w:r>
        <w:rPr>
          <w:rFonts w:hint="eastAsia" w:ascii="宋体" w:hAnsi="宋体"/>
          <w:bCs/>
          <w:color w:val="000000" w:themeColor="text1"/>
          <w:sz w:val="24"/>
          <w:szCs w:val="24"/>
          <w:highlight w:val="none"/>
          <w14:textFill>
            <w14:solidFill>
              <w14:schemeClr w14:val="tx1"/>
            </w14:solidFill>
          </w14:textFill>
        </w:rPr>
        <w:t xml:space="preserve">贵方</w:t>
      </w:r>
      <w:r>
        <w:rPr>
          <w:rFonts w:ascii="宋体" w:hAnsi="宋体"/>
          <w:bCs/>
          <w:color w:val="000000" w:themeColor="text1"/>
          <w:sz w:val="24"/>
          <w:szCs w:val="24"/>
          <w:highlight w:val="none"/>
          <w14:textFill>
            <w14:solidFill>
              <w14:schemeClr w14:val="tx1"/>
            </w14:solidFill>
          </w14:textFill>
        </w:rPr>
        <w:t xml:space="preserve">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招标文件，经仔细阅读和研究，</w:t>
      </w:r>
      <w:r>
        <w:rPr>
          <w:rFonts w:hint="eastAsia" w:ascii="宋体" w:hAnsi="宋体"/>
          <w:bCs/>
          <w:color w:val="000000" w:themeColor="text1"/>
          <w:sz w:val="24"/>
          <w:szCs w:val="24"/>
          <w:highlight w:val="none"/>
          <w14:textFill>
            <w14:solidFill>
              <w14:schemeClr w14:val="tx1"/>
            </w14:solidFill>
          </w14:textFill>
        </w:rPr>
        <w:t xml:space="preserve">我方</w:t>
      </w:r>
      <w:r>
        <w:rPr>
          <w:rFonts w:ascii="宋体" w:hAnsi="宋体"/>
          <w:bCs/>
          <w:color w:val="000000" w:themeColor="text1"/>
          <w:sz w:val="24"/>
          <w:szCs w:val="24"/>
          <w:highlight w:val="none"/>
          <w14:textFill>
            <w14:solidFill>
              <w14:schemeClr w14:val="tx1"/>
            </w14:solidFill>
          </w14:textFill>
        </w:rPr>
        <w:t xml:space="preserve">决定参加此次</w:t>
      </w:r>
      <w:r>
        <w:rPr>
          <w:rFonts w:hint="eastAsia" w:ascii="宋体" w:hAnsi="宋体"/>
          <w:bCs/>
          <w:color w:val="000000" w:themeColor="text1"/>
          <w:sz w:val="24"/>
          <w:szCs w:val="24"/>
          <w:highlight w:val="none"/>
          <w14:textFill>
            <w14:solidFill>
              <w14:schemeClr w14:val="tx1"/>
            </w14:solidFill>
          </w14:textFill>
        </w:rPr>
        <w:t xml:space="preserve">项目</w:t>
      </w:r>
      <w:r>
        <w:rPr>
          <w:rFonts w:ascii="宋体" w:hAnsi="宋体"/>
          <w:bCs/>
          <w:color w:val="000000" w:themeColor="text1"/>
          <w:sz w:val="24"/>
          <w:szCs w:val="24"/>
          <w:highlight w:val="none"/>
          <w14:textFill>
            <w14:solidFill>
              <w14:schemeClr w14:val="tx1"/>
            </w14:solidFill>
          </w14:textFill>
        </w:rPr>
        <w:t xml:space="preserve">的投标。</w:t>
      </w:r>
      <w:r/>
    </w:p>
    <w:p>
      <w:pPr>
        <w:ind w:firstLine="480"/>
        <w:spacing w:line="360" w:lineRule="auto"/>
        <w:shd w:val="clear" w:color="auto"/>
        <w:tabs>
          <w:tab w:val="left" w:pos="315" w:leader="none"/>
          <w:tab w:val="left" w:pos="840" w:leader="none"/>
          <w:tab w:val="left" w:pos="945" w:leader="none"/>
          <w:tab w:val="left" w:pos="1050" w:leader="none"/>
          <w:tab w:val="left" w:pos="126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291"/>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居上工程咨询（无锡）有限公司</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w:t>
      </w:r>
      <w:r>
        <w:rPr>
          <w:rFonts w:ascii="宋体" w:hAnsi="宋体"/>
          <w:bCs/>
          <w:color w:val="000000" w:themeColor="text1"/>
          <w:sz w:val="24"/>
          <w:szCs w:val="24"/>
          <w:highlight w:val="none"/>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shd w:val="clear" w:color="auto"/>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十、我方承诺不非法转包、分包。</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bCs/>
          <w:color w:val="000000" w:themeColor="text1"/>
          <w:sz w:val="24"/>
          <w:szCs w:val="24"/>
          <w:highlight w:val="none"/>
          <w14:textFill>
            <w14:solidFill>
              <w14:schemeClr w14:val="tx1"/>
            </w14:solidFill>
          </w14:textFill>
        </w:rPr>
        <w:t xml:space="preserve">、我方不存在为本项目提供整体设计、规范编制或者项目管理、监理、检测等服务。</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bCs/>
          <w:color w:val="000000" w:themeColor="text1"/>
          <w:sz w:val="24"/>
          <w:szCs w:val="24"/>
          <w:highlight w:val="none"/>
          <w14:textFill>
            <w14:solidFill>
              <w14:schemeClr w14:val="tx1"/>
            </w14:solidFill>
          </w14:textFill>
        </w:rPr>
        <w:t xml:space="preserve">、我方绝不提供虚假材料谋取中标、绝不采取不正当手段诋毁、排挤其他供应商、绝不与采购人、其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十</w:t>
      </w:r>
      <w:r>
        <w:rPr>
          <w:rFonts w:hint="eastAsia" w:ascii="宋体" w:hAnsi="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000000" w:themeColor="text1"/>
          <w:sz w:val="24"/>
          <w:szCs w:val="24"/>
          <w:highlight w:val="none"/>
          <w:lang w:val="en-US" w:eastAsia="zh-CN"/>
          <w14:textFill>
            <w14:solidFill>
              <w14:schemeClr w14:val="tx1"/>
            </w14:solidFill>
          </w14:textFill>
        </w:rPr>
        <w:t xml:space="preserve">作</w:t>
      </w:r>
      <w:r>
        <w:rPr>
          <w:rFonts w:hint="eastAsia" w:ascii="宋体" w:hAnsi="宋体"/>
          <w:bCs/>
          <w:color w:val="000000" w:themeColor="text1"/>
          <w:sz w:val="24"/>
          <w:szCs w:val="24"/>
          <w:highlight w:val="none"/>
          <w14:textFill>
            <w14:solidFill>
              <w14:schemeClr w14:val="tx1"/>
            </w14:solidFill>
          </w14:textFill>
        </w:rPr>
        <w:t xml:space="preserve">出的行政处罚。</w:t>
      </w:r>
      <w:r/>
    </w:p>
    <w:p>
      <w:p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bCs/>
          <w:color w:val="000000" w:themeColor="text1"/>
          <w:sz w:val="24"/>
          <w:highlight w:val="none"/>
          <w14:textFill>
            <w14:solidFill>
              <w14:schemeClr w14:val="tx1"/>
            </w14:solidFill>
          </w14:textFill>
        </w:rPr>
        <w:t xml:space="preserve">。</w:t>
      </w:r>
      <w:r/>
    </w:p>
    <w:p>
      <w:pPr>
        <w:pStyle w:val="125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投标人(盖章)：     </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通讯地址：                          邮编：</w:t>
      </w:r>
      <w:r/>
    </w:p>
    <w:p>
      <w:pPr>
        <w:spacing w:line="360" w:lineRule="auto"/>
        <w:shd w:val="clear" w:color="auto"/>
        <w:rPr>
          <w:rFonts w:eastAsia="黑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bookmarkStart w:id="40" w:name="_Toc20376"/>
      <w:r>
        <w:rPr>
          <w:rFonts w:hint="eastAsia" w:eastAsia="黑体"/>
          <w:bCs/>
          <w:color w:val="000000" w:themeColor="text1"/>
          <w:sz w:val="24"/>
          <w:szCs w:val="24"/>
          <w:highlight w:val="none"/>
          <w14:textFill>
            <w14:solidFill>
              <w14:schemeClr w14:val="tx1"/>
            </w14:solidFill>
          </w14:textFill>
        </w:rPr>
        <w:t xml:space="preserve">（二）</w:t>
      </w:r>
      <w:r>
        <w:rPr>
          <w:rFonts w:eastAsia="黑体"/>
          <w:bCs/>
          <w:color w:val="000000" w:themeColor="text1"/>
          <w:sz w:val="24"/>
          <w:szCs w:val="24"/>
          <w:highlight w:val="none"/>
          <w14:textFill>
            <w14:solidFill>
              <w14:schemeClr w14:val="tx1"/>
            </w14:solidFill>
          </w14:textFill>
        </w:rPr>
        <w:t xml:space="preserve">关于资格的声明函(格式)：</w:t>
      </w:r>
      <w:bookmarkEnd w:id="40"/>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bookmarkStart w:id="41" w:name="报价方关于资格的声明函（格式）"/>
      <w:r/>
      <w:bookmarkEnd w:id="41"/>
      <w:r/>
      <w:bookmarkStart w:id="42" w:name="_Toc22170"/>
      <w:r>
        <w:rPr>
          <w:rFonts w:eastAsia="黑体"/>
          <w:bCs/>
          <w:color w:val="000000" w:themeColor="text1"/>
          <w:sz w:val="28"/>
          <w:szCs w:val="28"/>
          <w:highlight w:val="none"/>
          <w14:textFill>
            <w14:solidFill>
              <w14:schemeClr w14:val="tx1"/>
            </w14:solidFill>
          </w14:textFill>
        </w:rPr>
        <w:t xml:space="preserve">关于资格的声明函</w:t>
      </w:r>
      <w:bookmarkEnd w:id="42"/>
      <w:r/>
      <w:r/>
    </w:p>
    <w:p>
      <w:pPr>
        <w:jc w:val="center"/>
        <w:spacing w:line="360" w:lineRule="auto"/>
        <w:shd w:val="clear" w:color="auto"/>
        <w:rPr>
          <w:rFonts w:eastAsia="黑体"/>
          <w:bCs/>
          <w:color w:val="000000" w:themeColor="text1"/>
          <w:sz w:val="32"/>
          <w:highlight w:val="none"/>
          <w14:textFill>
            <w14:solidFill>
              <w14:schemeClr w14:val="tx1"/>
            </w14:solidFill>
          </w14:textFill>
        </w:rPr>
      </w:pPr>
      <w:r>
        <w:rPr>
          <w:rFonts w:eastAsia="黑体"/>
          <w:bCs/>
          <w:color w:val="000000" w:themeColor="text1"/>
          <w:sz w:val="32"/>
          <w:highlight w:val="none"/>
          <w14:textFill>
            <w14:solidFill>
              <w14:schemeClr w14:val="tx1"/>
            </w14:solidFill>
          </w14:textFill>
        </w:rPr>
      </w:r>
      <w:r/>
    </w:p>
    <w:p>
      <w:pPr>
        <w:jc w:val="center"/>
        <w:spacing w:line="360" w:lineRule="auto"/>
        <w:shd w:val="clear" w:color="auto"/>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14:textFill>
            <w14:solidFill>
              <w14:schemeClr w14:val="tx1"/>
            </w14:solidFill>
          </w14:textFill>
        </w:rPr>
        <w:t xml:space="preserve"> </w:t>
      </w:r>
      <w:r/>
    </w:p>
    <w:p>
      <w:pPr>
        <w:jc w:val="center"/>
        <w:spacing w:line="360" w:lineRule="auto"/>
        <w:shd w:val="clear" w:color="auto"/>
        <w:tabs>
          <w:tab w:val="left" w:pos="6300" w:leader="none"/>
        </w:tabs>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日期：</w:t>
      </w:r>
      <w:r/>
    </w:p>
    <w:p>
      <w:pPr>
        <w:spacing w:line="360" w:lineRule="auto"/>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我公司(单位)愿针对本次项目</w:t>
      </w: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进行投标。</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我公司</w:t>
      </w:r>
      <w:r>
        <w:rPr>
          <w:bCs/>
          <w:color w:val="000000" w:themeColor="text1"/>
          <w:sz w:val="24"/>
          <w:szCs w:val="24"/>
          <w:highlight w:val="none"/>
          <w14:textFill>
            <w14:solidFill>
              <w14:schemeClr w14:val="tx1"/>
            </w14:solidFill>
          </w14:textFill>
        </w:rPr>
        <w:t xml:space="preserve">(单位)</w:t>
      </w:r>
      <w:r>
        <w:rPr>
          <w:color w:val="000000" w:themeColor="text1"/>
          <w:sz w:val="24"/>
          <w:szCs w:val="24"/>
          <w:highlight w:val="none"/>
          <w14:textFill>
            <w14:solidFill>
              <w14:schemeClr w14:val="tx1"/>
            </w14:solidFill>
          </w14:textFill>
        </w:rPr>
        <w:t xml:space="preserve">符合《中华人民共和国政府采购法》第二十二条的规定，在此郑重承诺具备以下条件：</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shd w:val="clear" w:color="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若有违背，我公司(单位)愿意承担由此而产生的一切后果。</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投标人(盖章)：</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法定代表人(签字或盖章)：</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61"/>
        <w:ind w:left="126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61"/>
        <w:ind w:left="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w:t>
      </w:r>
      <w:r>
        <w:rPr>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较大数额罚款</w:t>
      </w:r>
      <w:r>
        <w:rPr>
          <w:bCs/>
          <w:color w:val="000000" w:themeColor="text1"/>
          <w:sz w:val="24"/>
          <w:szCs w:val="24"/>
          <w:highlight w:val="none"/>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p>
    <w:p>
      <w:pPr>
        <w:spacing w:line="360" w:lineRule="auto"/>
        <w:shd w:val="clear" w:color="auto"/>
        <w:rPr>
          <w:rFonts w:eastAsia="黑体"/>
          <w:bCs/>
          <w:color w:val="000000" w:themeColor="text1"/>
          <w:sz w:val="32"/>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14:textFill>
            <w14:solidFill>
              <w14:schemeClr w14:val="tx1"/>
            </w14:solidFill>
          </w14:textFill>
        </w:rPr>
        <w:t xml:space="preserve">（三）</w:t>
      </w:r>
      <w:r>
        <w:rPr>
          <w:rFonts w:eastAsia="黑体"/>
          <w:bCs/>
          <w:color w:val="000000" w:themeColor="text1"/>
          <w:sz w:val="24"/>
          <w:szCs w:val="24"/>
          <w:highlight w:val="none"/>
          <w14:textFill>
            <w14:solidFill>
              <w14:schemeClr w14:val="tx1"/>
            </w14:solidFill>
          </w14:textFill>
        </w:rPr>
        <w:t xml:space="preserve">法定代表人授权委托书(格式)：</w:t>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bookmarkStart w:id="43" w:name="_Toc15128"/>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t xml:space="preserve">法定代表人授权委托书</w:t>
      </w:r>
      <w:bookmarkEnd w:id="43"/>
      <w:r/>
      <w:r/>
    </w:p>
    <w:p>
      <w:pPr>
        <w:jc w:val="center"/>
        <w:spacing w:line="360" w:lineRule="auto"/>
        <w:shd w:val="clear" w:color="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8"/>
          <w:szCs w:val="28"/>
          <w:highlight w:val="none"/>
          <w14:textFill>
            <w14:solidFill>
              <w14:schemeClr w14:val="tx1"/>
            </w14:solidFill>
          </w14:textFill>
        </w:rPr>
      </w:r>
      <w:r/>
    </w:p>
    <w:p>
      <w:pPr>
        <w:spacing w:line="360" w:lineRule="auto"/>
        <w:shd w:val="clear" w:color="auto"/>
        <w:rPr>
          <w:rFonts w:hint="eastAsia"/>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政府采购编号：</w:t>
      </w:r>
      <w:r>
        <w:rPr>
          <w:rFonts w:hint="eastAsia"/>
          <w:bCs/>
          <w:color w:val="000000" w:themeColor="text1"/>
          <w:sz w:val="24"/>
          <w:szCs w:val="24"/>
          <w:highlight w:val="none"/>
          <w14:textFill>
            <w14:solidFill>
              <w14:schemeClr w14:val="tx1"/>
            </w14:solidFill>
          </w14:textFill>
        </w:rPr>
        <w:t xml:space="preserve"> </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日期：</w:t>
      </w:r>
      <w:r/>
    </w:p>
    <w:p>
      <w:pPr>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pacing w:line="360" w:lineRule="auto"/>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 xml:space="preserve">居上工程咨询（无锡）有限公司</w:t>
      </w:r>
      <w:r>
        <w:rPr>
          <w:bCs/>
          <w:color w:val="000000" w:themeColor="text1"/>
          <w:sz w:val="24"/>
          <w:szCs w:val="24"/>
          <w:highlight w:val="none"/>
          <w14:textFill>
            <w14:solidFill>
              <w14:schemeClr w14:val="tx1"/>
            </w14:solidFill>
          </w14:textFill>
        </w:rPr>
        <w:t xml:space="preserve">：</w:t>
      </w:r>
      <w:r/>
    </w:p>
    <w:p>
      <w:pPr>
        <w:ind w:firstLine="240"/>
        <w:spacing w:line="360" w:lineRule="auto"/>
        <w:shd w:val="clear" w:color="auto"/>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系中华人民共和国合法企业</w:t>
      </w:r>
      <w:r>
        <w:rPr>
          <w:rFonts w:hint="eastAsia"/>
          <w:bCs/>
          <w:color w:val="000000" w:themeColor="text1"/>
          <w:sz w:val="24"/>
          <w:szCs w:val="24"/>
          <w:highlight w:val="none"/>
          <w14:textFill>
            <w14:solidFill>
              <w14:schemeClr w14:val="tx1"/>
            </w14:solidFill>
          </w14:textFill>
        </w:rPr>
        <w:t xml:space="preserve">（单位）</w:t>
      </w:r>
      <w:r>
        <w:rPr>
          <w:bCs/>
          <w:color w:val="000000" w:themeColor="text1"/>
          <w:sz w:val="24"/>
          <w:szCs w:val="24"/>
          <w:highlight w:val="none"/>
          <w14:textFill>
            <w14:solidFill>
              <w14:schemeClr w14:val="tx1"/>
            </w14:solidFill>
          </w14:textFill>
        </w:rPr>
        <w:t xml:space="preserve">，特授权</w:t>
      </w: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代表我公司(单位)全权办理针对本项目</w:t>
      </w: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我公司(单位)对被授权人的签名负全部责任。</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被授权人情况：</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姓名：性别：电话：</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单位名称(盖章)：</w:t>
      </w:r>
      <w:r/>
    </w:p>
    <w:p>
      <w:pPr>
        <w:ind w:firstLine="480"/>
        <w:spacing w:line="360" w:lineRule="auto"/>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法定代表人(签字或盖章)：</w:t>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br w:type="page" w:clear="all"/>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投标人法定代表人身份证</w:t>
      </w:r>
      <w:r>
        <w:rPr>
          <w:rFonts w:hint="eastAsia"/>
          <w:bCs/>
          <w:color w:val="000000" w:themeColor="text1"/>
          <w:sz w:val="24"/>
          <w:szCs w:val="24"/>
          <w:highlight w:val="none"/>
          <w14:textFill>
            <w14:solidFill>
              <w14:schemeClr w14:val="tx1"/>
            </w14:solidFill>
          </w14:textFill>
        </w:rPr>
        <w:t xml:space="preserve">扫描件：</w:t>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642110"/>
                <wp:effectExtent l="0" t="0" r="0" b="0"/>
                <wp:docPr id="11" name="文本框 15"/>
                <wp:cNvGraphicFramePr/>
                <a:graphic xmlns:a="http://schemas.openxmlformats.org/drawingml/2006/main">
                  <a:graphicData uri="http://schemas.microsoft.com/office/word/2010/wordprocessingShape">
                    <wps:wsp>
                      <wps:cNvPr id="0" name=""/>
                      <wps:cNvSpPr txBox="1"/>
                      <wps:spPr bwMode="auto">
                        <a:xfrm>
                          <a:off x="0" y="0"/>
                          <a:ext cx="2807334" cy="164211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0" o:spid="_x0000_s10" o:spt="202" type="#_x0000_t202" style="width:221.0pt;height:129.3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638300"/>
                <wp:effectExtent l="0" t="0" r="0" b="0"/>
                <wp:docPr id="12" name="文本框 16"/>
                <wp:cNvGraphicFramePr/>
                <a:graphic xmlns:a="http://schemas.openxmlformats.org/drawingml/2006/main">
                  <a:graphicData uri="http://schemas.microsoft.com/office/word/2010/wordprocessingShape">
                    <wps:wsp>
                      <wps:cNvPr id="0" name=""/>
                      <wps:cNvSpPr txBox="1"/>
                      <wps:spPr bwMode="auto">
                        <a:xfrm>
                          <a:off x="0" y="0"/>
                          <a:ext cx="2804160" cy="16383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 o:spid="_x0000_s11" o:spt="202" type="#_x0000_t202" style="width:220.8pt;height:129.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hd w:val="clear" w:color="auto"/>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shd w:val="clear" w:color="auto"/>
        <w:rPr>
          <w:rFonts w:hint="eastAsia" w:hAnsi="宋体"/>
          <w:b/>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法定代表人授权代表身份证</w:t>
      </w:r>
      <w:r>
        <w:rPr>
          <w:rFonts w:hint="eastAsia"/>
          <w:bCs/>
          <w:color w:val="000000" w:themeColor="text1"/>
          <w:sz w:val="24"/>
          <w:szCs w:val="24"/>
          <w:highlight w:val="none"/>
          <w14:textFill>
            <w14:solidFill>
              <w14:schemeClr w14:val="tx1"/>
            </w14:solidFill>
          </w14:textFill>
        </w:rPr>
        <w:t xml:space="preserve">扫描件：</w:t>
      </w:r>
      <w:r>
        <w:rPr>
          <w:rFonts w:hint="eastAsia"/>
          <w:b/>
          <w:color w:val="000000" w:themeColor="text1"/>
          <w:sz w:val="24"/>
          <w:szCs w:val="24"/>
          <w:highlight w:val="none"/>
          <w14:textFill>
            <w14:solidFill>
              <w14:schemeClr w14:val="tx1"/>
            </w14:solidFill>
          </w14:textFill>
        </w:rPr>
        <w:t xml:space="preserve">（</w:t>
      </w:r>
      <w:r>
        <w:rPr>
          <w:rFonts w:hAnsi="宋体"/>
          <w:b/>
          <w:bCs/>
          <w:color w:val="000000" w:themeColor="text1"/>
          <w:sz w:val="24"/>
          <w:szCs w:val="24"/>
          <w:highlight w:val="none"/>
          <w14:textFill>
            <w14:solidFill>
              <w14:schemeClr w14:val="tx1"/>
            </w14:solidFill>
          </w14:textFill>
        </w:rPr>
        <w:t xml:space="preserve">法定代表人亲自参与投标的除外</w:t>
      </w:r>
      <w:r>
        <w:rPr>
          <w:rFonts w:hint="eastAsia" w:hAnsi="宋体"/>
          <w:b/>
          <w:bCs/>
          <w:color w:val="000000" w:themeColor="text1"/>
          <w:sz w:val="24"/>
          <w:szCs w:val="24"/>
          <w:highlight w:val="none"/>
          <w14:textFill>
            <w14:solidFill>
              <w14:schemeClr w14:val="tx1"/>
            </w14:solidFill>
          </w14:textFill>
        </w:rPr>
        <w:t xml:space="preserve">）</w:t>
      </w:r>
      <w:r/>
    </w:p>
    <w:p>
      <w:pPr>
        <w:shd w:val="clear" w:color="auto"/>
        <w:rPr>
          <w:rFonts w:hint="eastAsia"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r>
      <w:r/>
    </w:p>
    <w:p>
      <w:pPr>
        <w:shd w:val="clear" w:color="auto"/>
        <w:rPr>
          <w:rFonts w:ascii="黑体" w:eastAsia="黑体"/>
          <w:color w:val="000000" w:themeColor="text1"/>
          <w:sz w:val="32"/>
          <w:szCs w:val="32"/>
          <w:highlight w:val="none"/>
          <w14:textFill>
            <w14:solidFill>
              <w14:schemeClr w14:val="tx1"/>
            </w14:solidFill>
          </w14:textFill>
        </w:rPr>
      </w:pP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0" t="0" r="0" b="0"/>
                <wp:docPr id="13" name="文本框 17"/>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2" o:spid="_x0000_s12"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0" t="0" r="0" b="0"/>
                <wp:docPr id="14" name="文本框 1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3" o:spid="_x0000_s13"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hd w:val="clear" w:color="auto"/>
        <w:rPr>
          <w:rFonts w:hint="eastAsia" w:ascii="宋体" w:hAnsi="宋体" w:cs="宋体"/>
          <w:b/>
          <w:color w:val="000000" w:themeColor="text1"/>
          <w:sz w:val="24"/>
          <w:szCs w:val="24"/>
          <w:highlight w:val="none"/>
          <w14:textFill>
            <w14:solidFill>
              <w14:schemeClr w14:val="tx1"/>
            </w14:solidFill>
          </w14:textFill>
        </w:rPr>
        <w:outlineLvl w:val="2"/>
      </w:pPr>
      <w:r>
        <w:rPr>
          <w:rFonts w:ascii="宋体" w:hAnsi="宋体"/>
          <w:b/>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法定代表人亲自参加投标的需提供：</w:t>
      </w:r>
      <w:r/>
    </w:p>
    <w:p>
      <w:pPr>
        <w:jc w:val="center"/>
        <w:spacing w:line="360" w:lineRule="auto"/>
        <w:shd w:val="clear" w:color="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center"/>
        <w:spacing w:line="360" w:lineRule="auto"/>
        <w:shd w:val="clear" w:color="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2"/>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经营期限：</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    名</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性别：</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职务：</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系的法定代表人。</w:t>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10"/>
        <w:spacing w:line="360" w:lineRule="auto"/>
        <w:shd w:val="clear" w:color="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特此证明。</w:t>
      </w:r>
      <w:r/>
    </w:p>
    <w:p>
      <w:pPr>
        <w:ind w:firstLine="4320"/>
        <w:spacing w:line="600" w:lineRule="auto"/>
        <w:shd w:val="clear" w:color="auto"/>
        <w:tabs>
          <w:tab w:val="left" w:pos="720" w:leader="none"/>
          <w:tab w:val="left" w:pos="90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r/>
    </w:p>
    <w:p>
      <w:pPr>
        <w:ind w:right="480" w:firstLine="5280"/>
        <w:shd w:val="clear" w:color="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年  月  日</w:t>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投标人法定代表人身份证扫描件：</w:t>
      </w:r>
      <w:r/>
    </w:p>
    <w:p>
      <w:pPr>
        <w:shd w:val="clear" w:color="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0935" cy="1373505"/>
                <wp:effectExtent l="0" t="0" r="0" b="0"/>
                <wp:docPr id="15"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4" o:spid="_x0000_s14"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2401570" cy="1375410"/>
                <wp:effectExtent l="0" t="0" r="0" b="0"/>
                <wp:docPr id="16"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5" o:spid="_x0000_s15"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hd w:val="clear" w:color="auto"/>
        <w:rPr>
          <w:rFonts w:hint="eastAsia" w:eastAsia="黑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br w:type="page" w:clear="all"/>
      </w:r>
      <w:r>
        <w:rPr>
          <w:rFonts w:hint="eastAsia" w:eastAsia="黑体"/>
          <w:bCs/>
          <w:color w:val="000000" w:themeColor="text1"/>
          <w:sz w:val="24"/>
          <w:szCs w:val="24"/>
          <w:highlight w:val="none"/>
          <w14:textFill>
            <w14:solidFill>
              <w14:schemeClr w14:val="tx1"/>
            </w14:solidFill>
          </w14:textFill>
        </w:rPr>
        <w:t xml:space="preserve">（四）承诺书(格式)：</w:t>
      </w:r>
      <w:r/>
    </w:p>
    <w:p>
      <w:pPr>
        <w:jc w:val="center"/>
        <w:shd w:val="clear" w:color="auto"/>
        <w:rPr>
          <w:rFonts w:hAnsi="宋体"/>
          <w:b/>
          <w:bCs/>
          <w:color w:val="000000" w:themeColor="text1"/>
          <w:sz w:val="36"/>
          <w:szCs w:val="36"/>
          <w:highlight w:val="none"/>
          <w14:textFill>
            <w14:solidFill>
              <w14:schemeClr w14:val="tx1"/>
            </w14:solidFill>
          </w14:textFill>
        </w:rPr>
      </w:pPr>
      <w:r>
        <w:rPr>
          <w:rFonts w:hAnsi="宋体"/>
          <w:b/>
          <w:bCs/>
          <w:color w:val="000000" w:themeColor="text1"/>
          <w:sz w:val="36"/>
          <w:szCs w:val="36"/>
          <w:highlight w:val="none"/>
          <w14:textFill>
            <w14:solidFill>
              <w14:schemeClr w14:val="tx1"/>
            </w14:solidFill>
          </w14:textFill>
        </w:rPr>
        <w:t xml:space="preserve">承诺书</w:t>
      </w:r>
      <w:r/>
    </w:p>
    <w:p>
      <w:pPr>
        <w:spacing w:line="480" w:lineRule="auto"/>
        <w:shd w:val="clear" w:color="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480" w:lineRule="auto"/>
        <w:shd w:val="clear" w:color="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65"/>
        <w:spacing w:line="360" w:lineRule="auto"/>
        <w:shd w:val="clear" w:color="auto"/>
        <w:tabs>
          <w:tab w:val="left" w:pos="94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具备履行合同所必备的设备和专业技术能力；</w:t>
      </w:r>
      <w:r/>
    </w:p>
    <w:p>
      <w:pPr>
        <w:ind w:firstLine="480"/>
        <w:spacing w:line="360" w:lineRule="auto"/>
        <w:shd w:val="clear" w:color="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cs="宋体"/>
          <w:color w:val="000000" w:themeColor="text1"/>
          <w:sz w:val="24"/>
          <w:szCs w:val="24"/>
          <w:highlight w:val="none"/>
          <w14:textFill>
            <w14:solidFill>
              <w14:schemeClr w14:val="tx1"/>
            </w14:solidFill>
          </w14:textFill>
        </w:rPr>
        <w:t xml:space="preserve">具有依法缴纳税收和社会保障资金的良好记录；</w:t>
      </w:r>
      <w:r/>
    </w:p>
    <w:p>
      <w:pPr>
        <w:ind w:firstLine="465"/>
        <w:spacing w:line="360" w:lineRule="auto"/>
        <w:shd w:val="clear" w:color="auto"/>
        <w:tabs>
          <w:tab w:val="left" w:pos="945" w:leader="none"/>
        </w:tabs>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本公司（单位）参加本次政府采购活动前三年内，在经营活动中没有重大违法记录；</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6、本公司（单位）对本项目（ ）所提供的货物和服务均满足招标文件</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能够接受采购方为保证政府投资审核独立性和不重复委托而提出的回避原则。承诺在中标后不再接受由建设单位或其他单位委托的与本项目建设投资或工程造价有关的工作（包括但不限于招标代理、清单编制</w:t>
      </w:r>
      <w:r>
        <w:rPr>
          <w:rFonts w:hint="eastAsia" w:ascii="宋体" w:hAnsi="宋体"/>
          <w:bCs/>
          <w:color w:val="000000" w:themeColor="text1"/>
          <w:sz w:val="24"/>
          <w:szCs w:val="24"/>
          <w:highlight w:val="none"/>
          <w:lang w:val="en-US" w:eastAsia="zh-CN"/>
          <w14:textFill>
            <w14:solidFill>
              <w14:schemeClr w14:val="tx1"/>
            </w14:solidFill>
          </w14:textFill>
        </w:rPr>
        <w:t xml:space="preserve">等</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本公司将严格履行招标文件中确定的收费标准承接由无锡市审计局委托工程造价协审业务，并同意按其规定的方式和时间结算相关业务费用；并接受本招标文件及附件约定的考核管理和考核应用；同意无锡市审计局关于违约责任的认定方式和相关对违约责任的处罚；</w:t>
      </w:r>
      <w:r/>
    </w:p>
    <w:p>
      <w:pPr>
        <w:ind w:firstLine="48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ascii="宋体" w:hAnsi="宋体"/>
          <w:bCs/>
          <w:color w:val="000000" w:themeColor="text1"/>
          <w:sz w:val="24"/>
          <w:szCs w:val="24"/>
          <w:highlight w:val="none"/>
          <w14:textFill>
            <w14:solidFill>
              <w14:schemeClr w14:val="tx1"/>
            </w14:solidFill>
          </w14:textFill>
        </w:rPr>
        <w:t xml:space="preserve">…………………</w:t>
      </w:r>
      <w:r/>
    </w:p>
    <w:p>
      <w:pPr>
        <w:ind w:firstLine="960"/>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shd w:val="clear" w:color="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5400"/>
        <w:spacing w:line="480" w:lineRule="auto"/>
        <w:shd w:val="clear" w:color="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720"/>
        <w:spacing w:line="480" w:lineRule="auto"/>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投标人（盖章）：</w:t>
      </w:r>
      <w:r/>
    </w:p>
    <w:p>
      <w:pPr>
        <w:ind w:firstLine="480"/>
        <w:spacing w:line="480" w:lineRule="auto"/>
        <w:shd w:val="clear" w:color="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48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注：以上内容由投标单位根据采购要求自行完善。</w:t>
      </w:r>
      <w:r/>
    </w:p>
    <w:p>
      <w:pPr>
        <w:pStyle w:val="1279"/>
        <w:shd w:val="clear" w:color="auto"/>
        <w:tabs>
          <w:tab w:val="left" w:pos="540" w:leader="none"/>
        </w:tabs>
        <w:rPr>
          <w:rFonts w:ascii="Arial" w:hAnsi="Arial" w:eastAsia="黑体"/>
          <w:bCs/>
          <w:color w:val="000000" w:themeColor="text1"/>
          <w:sz w:val="24"/>
          <w:szCs w:val="32"/>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br w:type="page" w:clear="all"/>
      </w:r>
      <w:r>
        <w:rPr>
          <w:rFonts w:hint="eastAsia" w:ascii="Arial" w:hAnsi="Arial" w:eastAsia="黑体"/>
          <w:bCs/>
          <w:color w:val="000000" w:themeColor="text1"/>
          <w:sz w:val="24"/>
          <w:szCs w:val="32"/>
          <w:highlight w:val="none"/>
          <w14:textFill>
            <w14:solidFill>
              <w14:schemeClr w14:val="tx1"/>
            </w14:solidFill>
          </w14:textFill>
        </w:rPr>
        <w:t xml:space="preserve">（五）中小企业声明函</w:t>
      </w:r>
      <w:r>
        <w:rPr>
          <w:rFonts w:hint="eastAsia" w:ascii="黑体" w:eastAsia="黑体"/>
          <w:bCs/>
          <w:color w:val="000000" w:themeColor="text1"/>
          <w:sz w:val="24"/>
          <w:highlight w:val="none"/>
          <w14:textFill>
            <w14:solidFill>
              <w14:schemeClr w14:val="tx1"/>
            </w14:solidFill>
          </w14:textFill>
        </w:rPr>
        <w:t xml:space="preserve">（格式）</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hd w:val="clear" w:color="auto"/>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中小企业声明函（服务）</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hint="eastAsia" w:ascii="宋体" w:hAnsi="宋体"/>
          <w:bCs/>
          <w:color w:val="000000" w:themeColor="text1"/>
          <w:sz w:val="24"/>
          <w:szCs w:val="24"/>
          <w:highlight w:val="none"/>
          <w:u w:val="single"/>
          <w14:textFill>
            <w14:solidFill>
              <w14:schemeClr w14:val="tx1"/>
            </w14:solidFill>
          </w14:textFill>
        </w:rPr>
        <w:t xml:space="preserve">（联合体）</w:t>
      </w:r>
      <w:r>
        <w:rPr>
          <w:rFonts w:hint="eastAsia" w:ascii="宋体" w:hAnsi="宋体"/>
          <w:bCs/>
          <w:color w:val="000000" w:themeColor="text1"/>
          <w:sz w:val="24"/>
          <w:szCs w:val="24"/>
          <w:highlight w:val="none"/>
          <w14:textFill>
            <w14:solidFill>
              <w14:schemeClr w14:val="tx1"/>
            </w14:solidFill>
          </w14:textFill>
        </w:rPr>
        <w:t xml:space="preserve">参加</w:t>
      </w:r>
      <w:r>
        <w:rPr>
          <w:rFonts w:hint="eastAsia" w:ascii="宋体" w:hAnsi="宋体"/>
          <w:bCs/>
          <w:color w:val="000000" w:themeColor="text1"/>
          <w:sz w:val="24"/>
          <w:szCs w:val="24"/>
          <w:highlight w:val="none"/>
          <w:u w:val="single"/>
          <w14:textFill>
            <w14:solidFill>
              <w14:schemeClr w14:val="tx1"/>
            </w14:solidFill>
          </w14:textFill>
        </w:rPr>
        <w:t xml:space="preserve">（单位名称）</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color w:val="000000" w:themeColor="text1"/>
          <w:sz w:val="24"/>
          <w:szCs w:val="24"/>
          <w:highlight w:val="none"/>
          <w:u w:val="single"/>
          <w14:textFill>
            <w14:solidFill>
              <w14:schemeClr w14:val="tx1"/>
            </w14:solidFill>
          </w14:textFill>
        </w:rPr>
        <w:t xml:space="preserve">（项目名称）</w:t>
      </w:r>
      <w:r>
        <w:rPr>
          <w:rFonts w:hint="eastAsia"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u w:val="single"/>
          <w14:textFill>
            <w14:solidFill>
              <w14:schemeClr w14:val="tx1"/>
            </w14:solidFill>
          </w14:textFill>
        </w:rPr>
        <w:t xml:space="preserve"> （标的名称） </w:t>
      </w:r>
      <w:r>
        <w:rPr>
          <w:rFonts w:hint="eastAsia" w:ascii="宋体" w:hAnsi="宋体"/>
          <w:bCs/>
          <w:color w:val="000000" w:themeColor="text1"/>
          <w:sz w:val="24"/>
          <w:szCs w:val="24"/>
          <w:highlight w:val="none"/>
          <w14:textFill>
            <w14:solidFill>
              <w14:schemeClr w14:val="tx1"/>
            </w14:solidFill>
          </w14:textFill>
        </w:rPr>
        <w:t xml:space="preserve">，属于</w:t>
      </w:r>
      <w:r>
        <w:rPr>
          <w:rFonts w:hint="eastAsia"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szCs w:val="24"/>
          <w:highlight w:val="none"/>
          <w14:textFill>
            <w14:solidFill>
              <w14:schemeClr w14:val="tx1"/>
            </w14:solidFill>
          </w14:textFill>
        </w:rPr>
        <w:t xml:space="preserve">； 承建（承接）企业为</w:t>
      </w:r>
      <w:r>
        <w:rPr>
          <w:rFonts w:hint="eastAsia" w:ascii="宋体" w:hAnsi="宋体"/>
          <w:bCs/>
          <w:color w:val="000000" w:themeColor="text1"/>
          <w:sz w:val="24"/>
          <w:szCs w:val="24"/>
          <w:highlight w:val="none"/>
          <w:u w:val="single"/>
          <w14:textFill>
            <w14:solidFill>
              <w14:schemeClr w14:val="tx1"/>
            </w14:solidFill>
          </w14:textFill>
        </w:rPr>
        <w:t xml:space="preserve">（企业名称）</w:t>
      </w:r>
      <w:r>
        <w:rPr>
          <w:rFonts w:hint="eastAsia"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万元，属于</w:t>
      </w:r>
      <w:r>
        <w:rPr>
          <w:rFonts w:hint="eastAsia"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u w:val="single"/>
          <w14:textFill>
            <w14:solidFill>
              <w14:schemeClr w14:val="tx1"/>
            </w14:solidFill>
          </w14:textFill>
        </w:rPr>
        <w:t xml:space="preserve"> （标的名称） </w:t>
      </w:r>
      <w:r>
        <w:rPr>
          <w:rFonts w:hint="eastAsia" w:ascii="宋体" w:hAnsi="宋体"/>
          <w:bCs/>
          <w:color w:val="000000" w:themeColor="text1"/>
          <w:sz w:val="24"/>
          <w:szCs w:val="24"/>
          <w:highlight w:val="none"/>
          <w14:textFill>
            <w14:solidFill>
              <w14:schemeClr w14:val="tx1"/>
            </w14:solidFill>
          </w14:textFill>
        </w:rPr>
        <w:t xml:space="preserve">，属于</w:t>
      </w:r>
      <w:r>
        <w:rPr>
          <w:rFonts w:hint="eastAsia" w:ascii="宋体" w:hAnsi="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szCs w:val="24"/>
          <w:highlight w:val="none"/>
          <w14:textFill>
            <w14:solidFill>
              <w14:schemeClr w14:val="tx1"/>
            </w14:solidFill>
          </w14:textFill>
        </w:rPr>
        <w:t xml:space="preserve">； 承建（承接）企业为</w:t>
      </w:r>
      <w:r>
        <w:rPr>
          <w:rFonts w:hint="eastAsia" w:ascii="宋体" w:hAnsi="宋体"/>
          <w:bCs/>
          <w:color w:val="000000" w:themeColor="text1"/>
          <w:sz w:val="24"/>
          <w:szCs w:val="24"/>
          <w:highlight w:val="none"/>
          <w:u w:val="single"/>
          <w14:textFill>
            <w14:solidFill>
              <w14:schemeClr w14:val="tx1"/>
            </w14:solidFill>
          </w14:textFill>
        </w:rPr>
        <w:t xml:space="preserve">（企业名称）</w:t>
      </w:r>
      <w:r>
        <w:rPr>
          <w:rFonts w:hint="eastAsia"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万元，属于</w:t>
      </w:r>
      <w:r>
        <w:rPr>
          <w:rFonts w:hint="eastAsia"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80" w:lineRule="exact"/>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lang w:bidi="ar"/>
          <w14:textFill>
            <w14:solidFill>
              <w14:schemeClr w14:val="tx1"/>
            </w14:solidFill>
          </w14:textFill>
        </w:rPr>
        <w:t xml:space="preserve"> </w:t>
      </w:r>
      <w:r/>
    </w:p>
    <w:p>
      <w:pPr>
        <w:ind w:firstLine="576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r>
      <w:r/>
    </w:p>
    <w:p>
      <w:pPr>
        <w:ind w:firstLine="576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lang w:bidi="ar"/>
          <w14:textFill>
            <w14:solidFill>
              <w14:schemeClr w14:val="tx1"/>
            </w14:solidFill>
          </w14:textFill>
        </w:rPr>
        <w:t xml:space="preserve">企业名称（盖章）： </w:t>
      </w:r>
      <w:r/>
    </w:p>
    <w:p>
      <w:pPr>
        <w:ind w:firstLine="5760"/>
        <w:jc w:val="left"/>
        <w:spacing w:line="360" w:lineRule="auto"/>
        <w:shd w:val="clear" w:color="auto"/>
        <w:widowControl/>
        <w:rPr>
          <w:rFonts w:hint="eastAsia"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lang w:bidi="ar"/>
          <w14:textFill>
            <w14:solidFill>
              <w14:schemeClr w14:val="tx1"/>
            </w14:solidFill>
          </w14:textFill>
        </w:rPr>
        <w:t xml:space="preserve">日 期：</w:t>
      </w:r>
      <w:r/>
    </w:p>
    <w:p>
      <w:pPr>
        <w:shd w:val="clear" w:color="auto"/>
        <w:rPr>
          <w:rFonts w:ascii="宋体" w:hAnsi="宋体" w:cs="Courier New"/>
          <w:color w:val="000000" w:themeColor="text1"/>
          <w:sz w:val="24"/>
          <w:highlight w:val="none"/>
          <w14:textFill>
            <w14:solidFill>
              <w14:schemeClr w14:val="tx1"/>
            </w14:solidFill>
          </w14:textFill>
        </w:rPr>
      </w:pPr>
      <w:r>
        <w:rPr>
          <w:rFonts w:ascii="宋体" w:hAnsi="宋体" w:cs="Courier New"/>
          <w:color w:val="000000" w:themeColor="text1"/>
          <w:sz w:val="24"/>
          <w:highlight w:val="none"/>
          <w14:textFill>
            <w14:solidFill>
              <w14:schemeClr w14:val="tx1"/>
            </w14:solidFill>
          </w14:textFill>
        </w:rPr>
        <w:t xml:space="preserve">说明： </w:t>
      </w:r>
      <w:r/>
    </w:p>
    <w:p>
      <w:pPr>
        <w:ind w:right="-216"/>
        <w:jc w:val="left"/>
        <w:shd w:val="clear" w:color="auto"/>
        <w:rPr>
          <w:rFonts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 xml:space="preserve">1.</w:t>
      </w:r>
      <w:r>
        <w:rPr>
          <w:rFonts w:ascii="宋体" w:hAnsi="宋体" w:cs="Courier New"/>
          <w:color w:val="000000" w:themeColor="text1"/>
          <w:sz w:val="24"/>
          <w:highlight w:val="none"/>
          <w14:textFill>
            <w14:solidFill>
              <w14:schemeClr w14:val="tx1"/>
            </w14:solidFill>
          </w14:textFill>
        </w:rPr>
        <w:t xml:space="preserve">从业人员、营业收入、资产总额填报上一年度数据，无上一年度数据的新成立企业可不填报。 </w:t>
      </w:r>
      <w:r/>
    </w:p>
    <w:p>
      <w:pPr>
        <w:ind w:right="-216"/>
        <w:jc w:val="left"/>
        <w:shd w:val="clear" w:color="auto"/>
        <w:rPr>
          <w:rFonts w:ascii="宋体" w:hAnsi="宋体" w:cs="Courier New"/>
          <w:color w:val="000000" w:themeColor="text1"/>
          <w:sz w:val="24"/>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 xml:space="preserve">2.</w:t>
      </w:r>
      <w:r>
        <w:rPr>
          <w:rFonts w:ascii="宋体" w:hAnsi="宋体" w:cs="Courier New"/>
          <w:color w:val="000000" w:themeColor="text1"/>
          <w:sz w:val="24"/>
          <w:highlight w:val="none"/>
          <w14:textFill>
            <w14:solidFill>
              <w14:schemeClr w14:val="tx1"/>
            </w14:solidFill>
          </w14:textFill>
        </w:rPr>
        <w:t xml:space="preserve">供应商根据《工业和信息化部、国家统计局、国家发展和改革委员会、财政部关于印发中小企业划型标准规定的通知》（工信部联企业[2011]300 号）规定的划分标准填写中小企业声明函。</w:t>
      </w:r>
      <w:r/>
    </w:p>
    <w:p>
      <w:pPr>
        <w:ind w:right="-216"/>
        <w:jc w:val="left"/>
        <w:shd w:val="clear" w:color="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cs="Courier New"/>
          <w:color w:val="000000" w:themeColor="text1"/>
          <w:sz w:val="24"/>
          <w:highlight w:val="none"/>
          <w14:textFill>
            <w14:solidFill>
              <w14:schemeClr w14:val="tx1"/>
            </w14:solidFill>
          </w14:textFill>
        </w:rPr>
        <w:t xml:space="preserve">3</w:t>
      </w:r>
      <w:r>
        <w:rPr>
          <w:rFonts w:ascii="宋体" w:hAnsi="宋体" w:cs="Courier New"/>
          <w:color w:val="000000" w:themeColor="text1"/>
          <w:sz w:val="24"/>
          <w:highlight w:val="none"/>
          <w14:textFill>
            <w14:solidFill>
              <w14:schemeClr w14:val="tx1"/>
            </w14:solidFill>
          </w14:textFill>
        </w:rPr>
        <w:t xml:space="preserve">.供应商提供的声明函与事实不符的，依照《政府采购法》第七十七条第一款的规定追究法律责任。</w:t>
      </w:r>
      <w:r/>
    </w:p>
    <w:p>
      <w:pP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shd w:val="clear" w:color="auto"/>
        <w:rPr>
          <w:color w:val="000000" w:themeColor="text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（六）残疾人福利性单位声明函（格式）：</w:t>
      </w:r>
      <w:r/>
    </w:p>
    <w:p>
      <w:pPr>
        <w:spacing w:line="588" w:lineRule="exact"/>
        <w:shd w:val="clear" w:color="auto"/>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jc w:val="center"/>
        <w:shd w:val="clear" w:color="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shd w:val="clear" w:color="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单位的</w:t>
      </w:r>
      <w:r>
        <w:rPr>
          <w:rFonts w:hint="eastAsia" w:ascii="宋体" w:hAnsi="宋体"/>
          <w:b/>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hd w:val="clear" w:color="auto"/>
        <w:rPr>
          <w:rFonts w:eastAsia="黑体"/>
          <w:bCs/>
          <w:color w:val="000000" w:themeColor="text1"/>
          <w:sz w:val="28"/>
          <w:szCs w:val="28"/>
          <w:highlight w:val="none"/>
          <w14:textFill>
            <w14:solidFill>
              <w14:schemeClr w14:val="tx1"/>
            </w14:solidFill>
          </w14:textFill>
        </w:rPr>
        <w:outlineLvl w:val="0"/>
      </w:pPr>
      <w:r>
        <w:rPr>
          <w:rFonts w:eastAsia="黑体"/>
          <w:bCs/>
          <w:color w:val="000000" w:themeColor="text1"/>
          <w:sz w:val="24"/>
          <w:szCs w:val="24"/>
          <w:highlight w:val="none"/>
          <w14:textFill>
            <w14:solidFill>
              <w14:schemeClr w14:val="tx1"/>
            </w14:solidFill>
          </w14:textFill>
        </w:rPr>
        <w:br w:type="page" w:clear="all"/>
      </w:r>
      <w:bookmarkStart w:id="44" w:name="_Toc19263"/>
      <w:r>
        <w:rPr>
          <w:rFonts w:hint="eastAsia" w:eastAsia="黑体"/>
          <w:bCs/>
          <w:color w:val="000000" w:themeColor="text1"/>
          <w:sz w:val="24"/>
          <w:szCs w:val="24"/>
          <w:highlight w:val="none"/>
          <w14:textFill>
            <w14:solidFill>
              <w14:schemeClr w14:val="tx1"/>
            </w14:solidFill>
          </w14:textFill>
        </w:rPr>
        <w:t xml:space="preserve">（七）</w:t>
      </w:r>
      <w:r>
        <w:rPr>
          <w:rFonts w:eastAsia="黑体"/>
          <w:bCs/>
          <w:color w:val="000000" w:themeColor="text1"/>
          <w:sz w:val="24"/>
          <w:szCs w:val="24"/>
          <w:highlight w:val="none"/>
          <w14:textFill>
            <w14:solidFill>
              <w14:schemeClr w14:val="tx1"/>
            </w14:solidFill>
          </w14:textFill>
        </w:rPr>
        <w:t xml:space="preserve">开标一览表(格式)：</w:t>
      </w:r>
      <w:bookmarkEnd w:id="44"/>
      <w:r/>
      <w:r/>
    </w:p>
    <w:p>
      <w:pPr>
        <w:jc w:val="center"/>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default" w:ascii="黑体" w:eastAsia="黑体"/>
          <w:bCs/>
          <w:color w:val="000000" w:themeColor="text1"/>
          <w:sz w:val="28"/>
          <w:szCs w:val="28"/>
          <w:highlight w:val="none"/>
          <w14:textFill>
            <w14:solidFill>
              <w14:schemeClr w14:val="tx1"/>
            </w14:solidFill>
          </w14:textFill>
        </w:rPr>
      </w:r>
      <w:r/>
    </w:p>
    <w:p>
      <w:pPr>
        <w:spacing w:line="360" w:lineRule="auto"/>
        <w:shd w:val="clear" w:color="auto"/>
        <w:rPr>
          <w:rFonts w:hint="default"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JSZC-320292-JSAA-G2025-0015</w:t>
      </w:r>
      <w:r>
        <w:rPr>
          <w:rFonts w:hint="eastAsia" w:ascii="黑体" w:eastAsia="黑体"/>
          <w:bCs/>
          <w:color w:val="000000" w:themeColor="text1"/>
          <w:sz w:val="24"/>
          <w:szCs w:val="24"/>
          <w:highlight w:val="none"/>
          <w:lang w:val="en-US" w:eastAsia="zh-CN"/>
          <w14:textFill>
            <w14:solidFill>
              <w14:schemeClr w14:val="tx1"/>
            </w14:solidFill>
          </w14:textFill>
        </w:rPr>
        <w:t xml:space="preserve">           所投采购包：采购包（  ）</w:t>
      </w:r>
      <w:r/>
    </w:p>
    <w:tbl>
      <w:tblPr>
        <w:tblStyle w:val="1064"/>
        <w:tblW w:w="972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4028"/>
      </w:tblGrid>
      <w:tr>
        <w:trPr>
          <w:cantSplit/>
          <w:trHeight w:val="567"/>
        </w:trPr>
        <w:tc>
          <w:tcPr>
            <w:tcW w:w="5697" w:type="dxa"/>
            <w:vAlign w:val="center"/>
            <w:textDirection w:val="lrTb"/>
            <w:noWrap w:val="false"/>
          </w:tcPr>
          <w:p>
            <w:pPr>
              <w:jc w:val="center"/>
              <w:shd w:val="clear" w:color="auto"/>
              <w:rPr>
                <w:rFonts w:hint="default"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4028" w:type="dxa"/>
            <w:vAlign w:val="center"/>
            <w:textDirection w:val="lrTb"/>
            <w:noWrap w:val="false"/>
          </w:tcPr>
          <w:p>
            <w:pPr>
              <w:jc w:val="center"/>
              <w:shd w:val="clear" w:color="auto"/>
              <w:rPr>
                <w:rFonts w:hint="default"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w:t>
            </w:r>
            <w:r>
              <w:rPr>
                <w:rFonts w:hint="default"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小写</w:t>
            </w:r>
            <w:r>
              <w:rPr>
                <w:rFonts w:hint="default" w:ascii="宋体" w:hAnsi="宋体"/>
                <w:b/>
                <w:bCs/>
                <w:color w:val="000000" w:themeColor="text1"/>
                <w:sz w:val="24"/>
                <w:szCs w:val="24"/>
                <w:highlight w:val="none"/>
                <w14:textFill>
                  <w14:solidFill>
                    <w14:schemeClr w14:val="tx1"/>
                  </w14:solidFill>
                </w14:textFill>
              </w:rPr>
              <w:t xml:space="preserve">)</w:t>
            </w:r>
            <w:r/>
          </w:p>
        </w:tc>
      </w:tr>
      <w:tr>
        <w:trPr>
          <w:cantSplit/>
          <w:trHeight w:val="1630"/>
        </w:trPr>
        <w:tc>
          <w:tcPr>
            <w:tcW w:w="5697" w:type="dxa"/>
            <w:vAlign w:val="center"/>
            <w:textDirection w:val="lrTb"/>
            <w:noWrap w:val="false"/>
          </w:tcPr>
          <w:p>
            <w:pPr>
              <w:jc w:val="center"/>
              <w:spacing w:line="400" w:lineRule="exact"/>
              <w:shd w:val="clear" w:color="auto"/>
              <w:widowControl w:val="off"/>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周新路(蠡湖大道-信成道)改造工程等2个项目全过程跟踪(含结算)审计服务</w:t>
            </w:r>
            <w:r/>
          </w:p>
        </w:tc>
        <w:tc>
          <w:tcPr>
            <w:tcW w:w="4028" w:type="dxa"/>
            <w:vAlign w:val="center"/>
            <w:textDirection w:val="lrTb"/>
            <w:noWrap w:val="false"/>
          </w:tcPr>
          <w:p>
            <w:pPr>
              <w:jc w:val="both"/>
              <w:shd w:val="clear" w:color="auto"/>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r>
            <w:r/>
          </w:p>
        </w:tc>
      </w:tr>
      <w:tr>
        <w:trPr>
          <w:cantSplit/>
          <w:trHeight w:val="1894"/>
        </w:trPr>
        <w:tc>
          <w:tcPr>
            <w:gridSpan w:val="2"/>
            <w:tcW w:w="9725" w:type="dxa"/>
            <w:vAlign w:val="center"/>
            <w:textDirection w:val="lrTb"/>
            <w:noWrap w:val="false"/>
          </w:tcPr>
          <w:p>
            <w:pPr>
              <w:shd w:val="clear" w:color="auto"/>
              <w:rPr>
                <w:rFonts w:hint="default"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szCs w:val="21"/>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shd w:val="clear" w:color="auto"/>
        <w:rPr>
          <w:rFonts w:hint="default"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shd w:val="clear" w:color="auto"/>
        <w:rPr>
          <w:rFonts w:hint="default" w:ascii="黑体" w:eastAsia="黑体"/>
          <w:bCs/>
          <w:color w:val="000000" w:themeColor="text1"/>
          <w:sz w:val="24"/>
          <w:szCs w:val="24"/>
          <w:highlight w:val="none"/>
          <w14:textFill>
            <w14:solidFill>
              <w14:schemeClr w14:val="tx1"/>
            </w14:solidFill>
          </w14:textFill>
        </w:rPr>
      </w:pPr>
      <w:r>
        <w:rPr>
          <w:rFonts w:hint="default" w:ascii="黑体" w:eastAsia="黑体"/>
          <w:bCs/>
          <w:color w:val="000000" w:themeColor="text1"/>
          <w:sz w:val="24"/>
          <w:szCs w:val="24"/>
          <w:highlight w:val="none"/>
          <w14:textFill>
            <w14:solidFill>
              <w14:schemeClr w14:val="tx1"/>
            </w14:solidFill>
          </w14:textFill>
        </w:rPr>
      </w:r>
      <w:r/>
    </w:p>
    <w:p>
      <w:pPr>
        <w:spacing w:line="360" w:lineRule="auto"/>
        <w:shd w:val="clear" w:color="auto"/>
        <w:rPr>
          <w:rFonts w:hint="default" w:ascii="黑体" w:eastAsia="黑体"/>
          <w:bCs/>
          <w:color w:val="000000" w:themeColor="text1"/>
          <w:sz w:val="24"/>
          <w:szCs w:val="24"/>
          <w:highlight w:val="none"/>
          <w14:textFill>
            <w14:solidFill>
              <w14:schemeClr w14:val="tx1"/>
            </w14:solidFill>
          </w14:textFill>
        </w:rPr>
      </w:pPr>
      <w:r>
        <w:rPr>
          <w:rFonts w:hint="default" w:ascii="黑体" w:eastAsia="黑体"/>
          <w:bCs/>
          <w:color w:val="000000" w:themeColor="text1"/>
          <w:sz w:val="24"/>
          <w:szCs w:val="24"/>
          <w:highlight w:val="none"/>
          <w14:textFill>
            <w14:solidFill>
              <w14:schemeClr w14:val="tx1"/>
            </w14:solidFill>
          </w14:textFill>
        </w:rPr>
      </w:r>
      <w:r/>
    </w:p>
    <w:p>
      <w:pPr>
        <w:jc w:val="left"/>
        <w:spacing w:line="360" w:lineRule="auto"/>
        <w:shd w:val="clear" w:color="auto"/>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t xml:space="preserve">注：投标总报价请按所投采购包的预算直接填写（如投采购包1，则填写</w:t>
      </w:r>
      <w:r>
        <w:rPr>
          <w:rFonts w:hint="eastAsia" w:hAnsi="宋体"/>
          <w:b/>
          <w:color w:val="000000" w:themeColor="text1"/>
          <w:szCs w:val="24"/>
          <w:highlight w:val="none"/>
          <w:lang w:val="en-US" w:eastAsia="zh-CN"/>
          <w14:textFill>
            <w14:solidFill>
              <w14:schemeClr w14:val="tx1"/>
            </w14:solidFill>
          </w14:textFill>
        </w:rPr>
        <w:t xml:space="preserve">最高限价</w:t>
      </w:r>
      <w:r>
        <w:rPr>
          <w:rFonts w:hint="eastAsia" w:hAnsi="宋体"/>
          <w:b/>
          <w:color w:val="000000" w:themeColor="text1"/>
          <w:szCs w:val="24"/>
          <w:highlight w:val="none"/>
          <w14:textFill>
            <w14:solidFill>
              <w14:schemeClr w14:val="tx1"/>
            </w14:solidFill>
          </w14:textFill>
        </w:rPr>
        <w:t xml:space="preserve">即可），否则作为无效投标文件。</w:t>
      </w:r>
      <w:r/>
    </w:p>
    <w:p>
      <w:pPr>
        <w:jc w:val="left"/>
        <w:spacing w:line="360" w:lineRule="auto"/>
        <w:shd w:val="clear" w:color="auto"/>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p>
      <w:pPr>
        <w:shd w:val="clear" w:color="auto"/>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br w:type="page" w:clear="all"/>
      </w:r>
      <w:r/>
    </w:p>
    <w:p>
      <w:pPr>
        <w:jc w:val="left"/>
        <w:spacing w:line="400" w:lineRule="exact"/>
        <w:shd w:val="clear" w:color="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w:t>
      </w:r>
      <w:r>
        <w:rPr>
          <w:rFonts w:hint="eastAsia" w:ascii="黑体" w:eastAsia="黑体"/>
          <w:bCs/>
          <w:color w:val="000000" w:themeColor="text1"/>
          <w:sz w:val="28"/>
          <w:szCs w:val="28"/>
          <w:highlight w:val="none"/>
          <w:lang w:val="en-US" w:eastAsia="zh-CN"/>
          <w14:textFill>
            <w14:solidFill>
              <w14:schemeClr w14:val="tx1"/>
            </w14:solidFill>
          </w14:textFill>
        </w:rPr>
        <w:t xml:space="preserve">八</w:t>
      </w:r>
      <w:r>
        <w:rPr>
          <w:rFonts w:hint="eastAsia" w:ascii="黑体" w:eastAsia="黑体"/>
          <w:bCs/>
          <w:color w:val="000000" w:themeColor="text1"/>
          <w:sz w:val="28"/>
          <w:szCs w:val="28"/>
          <w:highlight w:val="none"/>
          <w14:textFill>
            <w14:solidFill>
              <w14:schemeClr w14:val="tx1"/>
            </w14:solidFill>
          </w14:textFill>
        </w:rPr>
        <w:t xml:space="preserve">）分项报价表(格式)：</w:t>
      </w:r>
      <w:r/>
    </w:p>
    <w:p>
      <w:pPr>
        <w:jc w:val="center"/>
        <w:spacing w:line="400" w:lineRule="exact"/>
        <w:shd w:val="clear" w:color="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r>
      <w:r/>
    </w:p>
    <w:p>
      <w:pPr>
        <w:jc w:val="center"/>
        <w:spacing w:line="400" w:lineRule="exact"/>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shd w:val="clear" w:color="auto"/>
        <w:tabs>
          <w:tab w:val="left" w:pos="7247" w:leader="none"/>
        </w:tabs>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JSZC-320292-JSAA-G2025-0015</w:t>
      </w:r>
      <w:r>
        <w:rPr>
          <w:rFonts w:hint="eastAsia" w:ascii="黑体" w:eastAsia="黑体"/>
          <w:bCs/>
          <w:color w:val="000000" w:themeColor="text1"/>
          <w:sz w:val="24"/>
          <w:szCs w:val="24"/>
          <w:highlight w:val="none"/>
          <w:lang w:val="en-US" w:eastAsia="zh-CN"/>
          <w14:textFill>
            <w14:solidFill>
              <w14:schemeClr w14:val="tx1"/>
            </w14:solidFill>
          </w14:textFill>
        </w:rPr>
        <w:t xml:space="preserve">          所投采购包：</w:t>
      </w:r>
      <w:r>
        <w:rPr>
          <w:rFonts w:hint="eastAsia" w:ascii="黑体" w:eastAsia="黑体"/>
          <w:bCs/>
          <w:color w:val="000000" w:themeColor="text1"/>
          <w:sz w:val="24"/>
          <w:szCs w:val="24"/>
          <w:highlight w:val="none"/>
          <w:lang w:eastAsia="zh-CN"/>
          <w14:textFill>
            <w14:solidFill>
              <w14:schemeClr w14:val="tx1"/>
            </w14:solidFill>
          </w14:textFill>
        </w:rPr>
        <w:t xml:space="preserve">采购包（  ）</w:t>
      </w:r>
      <w:r/>
    </w:p>
    <w:tbl>
      <w:tblPr>
        <w:tblStyle w:val="1064"/>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8"/>
        <w:gridCol w:w="4752"/>
        <w:gridCol w:w="851"/>
        <w:gridCol w:w="850"/>
        <w:gridCol w:w="1134"/>
        <w:gridCol w:w="1276"/>
      </w:tblGrid>
      <w:tr>
        <w:trPr>
          <w:cantSplit/>
          <w:jc w:val="center"/>
          <w:trHeight w:val="495"/>
        </w:trPr>
        <w:tc>
          <w:tcPr>
            <w:tcMar>
              <w:left w:w="15" w:type="dxa"/>
              <w:top w:w="15" w:type="dxa"/>
              <w:right w:w="15" w:type="dxa"/>
              <w:bottom w:w="0" w:type="dxa"/>
            </w:tcMar>
            <w:tcW w:w="598" w:type="dxa"/>
            <w:vAlign w:val="center"/>
            <w:textDirection w:val="lrTb"/>
            <w:noWrap/>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序号</w:t>
            </w:r>
            <w:r/>
          </w:p>
        </w:tc>
        <w:tc>
          <w:tcPr>
            <w:tcMar>
              <w:left w:w="15" w:type="dxa"/>
              <w:top w:w="15" w:type="dxa"/>
              <w:right w:w="15" w:type="dxa"/>
              <w:bottom w:w="0" w:type="dxa"/>
            </w:tcMar>
            <w:tcW w:w="4752" w:type="dxa"/>
            <w:vAlign w:val="center"/>
            <w:textDirection w:val="lrTb"/>
            <w:noWrap/>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default"/>
                <w:color w:val="000000" w:themeColor="text1"/>
                <w:sz w:val="18"/>
                <w:szCs w:val="21"/>
                <w:highlight w:val="none"/>
                <w14:textFill>
                  <w14:solidFill>
                    <w14:schemeClr w14:val="tx1"/>
                  </w14:solidFill>
                </w14:textFill>
              </w:rPr>
              <w:t xml:space="preserve">服务内容</w:t>
            </w:r>
            <w:r/>
          </w:p>
        </w:tc>
        <w:tc>
          <w:tcPr>
            <w:tcW w:w="851" w:type="dxa"/>
            <w:vAlign w:val="center"/>
            <w:textDirection w:val="lrTb"/>
            <w:noWrap w:val="false"/>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数量</w:t>
            </w:r>
            <w:r/>
          </w:p>
        </w:tc>
        <w:tc>
          <w:tcPr>
            <w:tcMar>
              <w:left w:w="15" w:type="dxa"/>
              <w:top w:w="15" w:type="dxa"/>
              <w:right w:w="15" w:type="dxa"/>
              <w:bottom w:w="0" w:type="dxa"/>
            </w:tcMar>
            <w:tcW w:w="850" w:type="dxa"/>
            <w:vAlign w:val="center"/>
            <w:textDirection w:val="lrTb"/>
            <w:noWrap/>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单位</w:t>
            </w:r>
            <w:r/>
          </w:p>
        </w:tc>
        <w:tc>
          <w:tcPr>
            <w:tcW w:w="1134" w:type="dxa"/>
            <w:vAlign w:val="center"/>
            <w:textDirection w:val="lrTb"/>
            <w:noWrap w:val="false"/>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单报价</w:t>
            </w:r>
            <w:r/>
          </w:p>
        </w:tc>
        <w:tc>
          <w:tcPr>
            <w:tcW w:w="1276" w:type="dxa"/>
            <w:vAlign w:val="center"/>
            <w:textDirection w:val="lrTb"/>
            <w:noWrap w:val="false"/>
          </w:tcPr>
          <w:p>
            <w:pPr>
              <w:jc w:val="center"/>
              <w:spacing w:before="5"/>
              <w:shd w:val="clear" w:color="auto"/>
              <w:rPr>
                <w:rFonts w:hint="default"/>
                <w:color w:val="000000" w:themeColor="text1"/>
                <w:sz w:val="18"/>
                <w:szCs w:val="21"/>
                <w:highlight w:val="none"/>
                <w14:textFill>
                  <w14:solidFill>
                    <w14:schemeClr w14:val="tx1"/>
                  </w14:solidFill>
                </w14:textFill>
              </w:rPr>
            </w:pPr>
            <w:r>
              <w:rPr>
                <w:rFonts w:hint="eastAsia"/>
                <w:color w:val="000000" w:themeColor="text1"/>
                <w:sz w:val="18"/>
                <w:szCs w:val="21"/>
                <w:highlight w:val="none"/>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598" w:type="dxa"/>
            <w:vAlign w:val="center"/>
            <w:textDirection w:val="lrTb"/>
            <w:noWrap/>
          </w:tcPr>
          <w:p>
            <w:pPr>
              <w:jc w:val="center"/>
              <w:spacing w:before="5"/>
              <w:shd w:val="clear" w:color="auto"/>
              <w:widowControl w:val="off"/>
              <w:rPr>
                <w:rFonts w:ascii="宋体" w:hAnsi="Times New Roman" w:eastAsia="宋体" w:cs="Times New Roman"/>
                <w:color w:val="000000" w:themeColor="text1"/>
                <w:sz w:val="18"/>
                <w:szCs w:val="18"/>
                <w:highlight w:val="none"/>
                <w14:textFill>
                  <w14:solidFill>
                    <w14:schemeClr w14:val="tx1"/>
                  </w14:solidFill>
                </w14:textFill>
              </w:rPr>
              <w:pBdr>
                <w:bottom w:val="none" w:color="000000" w:sz="0" w:space="0"/>
              </w:pBdr>
            </w:pPr>
            <w:r>
              <w:rPr>
                <w:rFonts w:hint="eastAsia" w:ascii="宋体"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p>
        </w:tc>
        <w:tc>
          <w:tcPr>
            <w:tcMar>
              <w:left w:w="15" w:type="dxa"/>
              <w:top w:w="15" w:type="dxa"/>
              <w:right w:w="15" w:type="dxa"/>
              <w:bottom w:w="0" w:type="dxa"/>
            </w:tcMar>
            <w:tcW w:w="4752"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851"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1134"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598" w:type="dxa"/>
            <w:vAlign w:val="center"/>
            <w:textDirection w:val="lrTb"/>
            <w:noWrap/>
          </w:tcPr>
          <w:p>
            <w:pPr>
              <w:jc w:val="center"/>
              <w:shd w:val="clear" w:color="auto"/>
              <w:rPr>
                <w:rFonts w:hint="default" w:ascii="宋体"/>
                <w:color w:val="000000" w:themeColor="text1"/>
                <w:sz w:val="18"/>
                <w:szCs w:val="21"/>
                <w:highlight w:val="none"/>
                <w14:textFill>
                  <w14:solidFill>
                    <w14:schemeClr w14:val="tx1"/>
                  </w14:solidFill>
                </w14:textFill>
              </w:rPr>
            </w:pPr>
            <w:r>
              <w:rPr>
                <w:rFonts w:hint="eastAsia" w:ascii="宋体"/>
                <w:color w:val="000000" w:themeColor="text1"/>
                <w:sz w:val="18"/>
                <w:szCs w:val="21"/>
                <w:highlight w:val="none"/>
                <w14:textFill>
                  <w14:solidFill>
                    <w14:schemeClr w14:val="tx1"/>
                  </w14:solidFill>
                </w14:textFill>
              </w:rPr>
              <w:t xml:space="preserve">2</w:t>
            </w:r>
            <w:r/>
          </w:p>
        </w:tc>
        <w:tc>
          <w:tcPr>
            <w:tcMar>
              <w:left w:w="15" w:type="dxa"/>
              <w:top w:w="15" w:type="dxa"/>
              <w:right w:w="15" w:type="dxa"/>
              <w:bottom w:w="0" w:type="dxa"/>
            </w:tcMar>
            <w:tcW w:w="4752"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851"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szCs w:val="21"/>
                <w:highlight w:val="none"/>
                <w14:textFill>
                  <w14:solidFill>
                    <w14:schemeClr w14:val="tx1"/>
                  </w14:solidFill>
                </w14:textFill>
              </w:rPr>
              <w:t xml:space="preserve">　</w:t>
            </w:r>
            <w:r/>
          </w:p>
        </w:tc>
        <w:tc>
          <w:tcPr>
            <w:tcW w:w="1134"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598" w:type="dxa"/>
            <w:vAlign w:val="center"/>
            <w:textDirection w:val="lrTb"/>
            <w:noWrap/>
          </w:tcPr>
          <w:p>
            <w:pPr>
              <w:jc w:val="center"/>
              <w:shd w:val="clear" w:color="auto"/>
              <w:rPr>
                <w:rFonts w:hint="default" w:ascii="宋体"/>
                <w:color w:val="000000" w:themeColor="text1"/>
                <w:sz w:val="18"/>
                <w:szCs w:val="21"/>
                <w:highlight w:val="none"/>
                <w14:textFill>
                  <w14:solidFill>
                    <w14:schemeClr w14:val="tx1"/>
                  </w14:solidFill>
                </w14:textFill>
              </w:rPr>
            </w:pPr>
            <w:r>
              <w:rPr>
                <w:rFonts w:hint="default" w:ascii="宋体"/>
                <w:color w:val="000000" w:themeColor="text1"/>
                <w:sz w:val="18"/>
                <w:szCs w:val="21"/>
                <w:highlight w:val="none"/>
                <w14:textFill>
                  <w14:solidFill>
                    <w14:schemeClr w14:val="tx1"/>
                  </w14:solidFill>
                </w14:textFill>
              </w:rPr>
            </w:r>
            <w:r/>
          </w:p>
        </w:tc>
        <w:tc>
          <w:tcPr>
            <w:tcMar>
              <w:left w:w="15" w:type="dxa"/>
              <w:top w:w="15" w:type="dxa"/>
              <w:right w:w="15" w:type="dxa"/>
              <w:bottom w:w="0" w:type="dxa"/>
            </w:tcMar>
            <w:tcW w:w="4752" w:type="dxa"/>
            <w:vAlign w:val="center"/>
            <w:textDirection w:val="lrTb"/>
            <w:noWrap/>
          </w:tcPr>
          <w:p>
            <w:pPr>
              <w:jc w:val="center"/>
              <w:shd w:val="clear" w:color="auto"/>
              <w:rPr>
                <w:rFonts w:hint="default" w:ascii="黑体" w:eastAsia="黑体"/>
                <w:b/>
                <w:bCs/>
                <w:color w:val="000000" w:themeColor="text1"/>
                <w:szCs w:val="21"/>
                <w:highlight w:val="none"/>
                <w14:textFill>
                  <w14:solidFill>
                    <w14:schemeClr w14:val="tx1"/>
                  </w14:solidFill>
                </w14:textFill>
              </w:rPr>
            </w:pPr>
            <w:r>
              <w:rPr>
                <w:rFonts w:hint="default" w:ascii="黑体" w:eastAsia="黑体"/>
                <w:b/>
                <w:bCs/>
                <w:color w:val="000000" w:themeColor="text1"/>
                <w:szCs w:val="21"/>
                <w:highlight w:val="none"/>
                <w14:textFill>
                  <w14:solidFill>
                    <w14:schemeClr w14:val="tx1"/>
                  </w14:solidFill>
                </w14:textFill>
              </w:rPr>
              <w:t xml:space="preserve">……</w:t>
            </w:r>
            <w:r/>
          </w:p>
        </w:tc>
        <w:tc>
          <w:tcPr>
            <w:tcW w:w="851"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850" w:type="dxa"/>
            <w:vAlign w:val="center"/>
            <w:textDirection w:val="lrTb"/>
            <w:noWrap/>
          </w:tcPr>
          <w:p>
            <w:pPr>
              <w:jc w:val="center"/>
              <w:shd w:val="clear" w:color="auto"/>
              <w:rPr>
                <w:rFonts w:hint="default" w:ascii="黑体" w:eastAsia="黑体"/>
                <w:b/>
                <w:bCs/>
                <w:color w:val="000000" w:themeColor="text1"/>
                <w:szCs w:val="21"/>
                <w:highlight w:val="none"/>
                <w14:textFill>
                  <w14:solidFill>
                    <w14:schemeClr w14:val="tx1"/>
                  </w14:solidFill>
                </w14:textFill>
              </w:rPr>
            </w:pPr>
            <w:r>
              <w:rPr>
                <w:rFonts w:hint="default" w:ascii="黑体" w:eastAsia="黑体"/>
                <w:b/>
                <w:bCs/>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hd w:val="clear" w:color="auto"/>
              <w:rPr>
                <w:rFonts w:hint="default" w:ascii="黑体" w:hAnsi="宋体" w:eastAsia="黑体"/>
                <w:b/>
                <w:bCs/>
                <w:color w:val="000000" w:themeColor="text1"/>
                <w:sz w:val="24"/>
                <w:szCs w:val="24"/>
                <w:highlight w:val="none"/>
                <w14:textFill>
                  <w14:solidFill>
                    <w14:schemeClr w14:val="tx1"/>
                  </w14:solidFill>
                </w14:textFill>
              </w:rPr>
            </w:pPr>
            <w:r>
              <w:rPr>
                <w:rFonts w:hint="default" w:ascii="黑体" w:hAnsi="宋体" w:eastAsia="黑体"/>
                <w:b/>
                <w:bCs/>
                <w:color w:val="000000" w:themeColor="text1"/>
                <w:sz w:val="24"/>
                <w:szCs w:val="24"/>
                <w:highlight w:val="none"/>
                <w14:textFill>
                  <w14:solidFill>
                    <w14:schemeClr w14:val="tx1"/>
                  </w14:solidFill>
                </w14:textFill>
              </w:rPr>
            </w:r>
            <w:r/>
          </w:p>
        </w:tc>
      </w:tr>
    </w:tbl>
    <w:p>
      <w:pPr>
        <w:spacing w:before="5" w:line="560" w:lineRule="atLeast"/>
        <w:shd w:val="clear" w:color="auto"/>
        <w:rPr>
          <w:rFonts w:hint="default"/>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shd w:val="clear" w:color="auto"/>
        <w:rPr>
          <w:rFonts w:hint="default" w:ascii="宋体" w:hAnsi="宋体"/>
          <w:b/>
          <w:color w:val="000000" w:themeColor="text1"/>
          <w:szCs w:val="21"/>
          <w:highlight w:val="none"/>
          <w14:textFill>
            <w14:solidFill>
              <w14:schemeClr w14:val="tx1"/>
            </w14:solidFill>
          </w14:textFill>
        </w:rPr>
        <w:outlineLvl w:val="0"/>
      </w:pPr>
      <w:r>
        <w:rPr>
          <w:rFonts w:hint="default" w:ascii="宋体" w:hAnsi="宋体"/>
          <w:b/>
          <w:color w:val="000000" w:themeColor="text1"/>
          <w:szCs w:val="21"/>
          <w:highlight w:val="none"/>
          <w14:textFill>
            <w14:solidFill>
              <w14:schemeClr w14:val="tx1"/>
            </w14:solidFill>
          </w14:textFill>
        </w:rPr>
      </w:r>
      <w:r/>
    </w:p>
    <w:p>
      <w:pPr>
        <w:jc w:val="left"/>
        <w:spacing w:line="360" w:lineRule="auto"/>
        <w:shd w:val="clear" w:color="auto"/>
        <w:rPr>
          <w:rFonts w:hint="eastAsia" w:hAnsi="宋体"/>
          <w:b/>
          <w:color w:val="000000" w:themeColor="text1"/>
          <w:szCs w:val="24"/>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hAnsi="宋体"/>
          <w:b/>
          <w:color w:val="000000" w:themeColor="text1"/>
          <w:szCs w:val="24"/>
          <w:highlight w:val="none"/>
          <w14:textFill>
            <w14:solidFill>
              <w14:schemeClr w14:val="tx1"/>
            </w14:solidFill>
          </w14:textFill>
        </w:rPr>
        <w:t xml:space="preserve">本项目无分项报价，各投标供应商只需直接填写“无”即可。（本项需盖章并提交，否则作为无效投标文件）</w:t>
      </w:r>
      <w:r/>
    </w:p>
    <w:p>
      <w:pPr>
        <w:jc w:val="cente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p>
    <w:p>
      <w:pPr>
        <w:jc w:val="left"/>
        <w:spacing w:line="400" w:lineRule="exact"/>
        <w:shd w:val="clear" w:color="auto"/>
        <w:rPr>
          <w:rFonts w:hint="eastAsia"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w:t>
      </w:r>
      <w:r>
        <w:rPr>
          <w:rFonts w:hint="eastAsia" w:ascii="黑体" w:eastAsia="黑体"/>
          <w:bCs/>
          <w:color w:val="000000" w:themeColor="text1"/>
          <w:sz w:val="28"/>
          <w:szCs w:val="28"/>
          <w:highlight w:val="none"/>
          <w:lang w:val="en-US" w:eastAsia="zh-CN"/>
          <w14:textFill>
            <w14:solidFill>
              <w14:schemeClr w14:val="tx1"/>
            </w14:solidFill>
          </w14:textFill>
        </w:rPr>
        <w:t xml:space="preserve">九</w:t>
      </w:r>
      <w:r>
        <w:rPr>
          <w:rFonts w:hint="eastAsia" w:ascii="黑体" w:eastAsia="黑体"/>
          <w:bCs/>
          <w:color w:val="000000" w:themeColor="text1"/>
          <w:sz w:val="28"/>
          <w:szCs w:val="28"/>
          <w:highlight w:val="none"/>
          <w14:textFill>
            <w14:solidFill>
              <w14:schemeClr w14:val="tx1"/>
            </w14:solidFill>
          </w14:textFill>
        </w:rPr>
        <w:t xml:space="preserve">）投标偏离表(格式)：</w:t>
      </w:r>
      <w:r/>
    </w:p>
    <w:p>
      <w:pPr>
        <w:jc w:val="cente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jc w:val="center"/>
        <w:spacing w:line="360" w:lineRule="auto"/>
        <w:shd w:val="clear" w:color="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投标偏离表（格式）</w:t>
      </w:r>
      <w:r/>
    </w:p>
    <w:p>
      <w:pPr>
        <w:spacing w:line="400" w:lineRule="exact"/>
        <w:shd w:val="clear" w:color="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spacing w:line="400" w:lineRule="exact"/>
        <w:shd w:val="clear" w:color="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spacing w:line="400" w:lineRule="exact"/>
        <w:shd w:val="clear" w:color="auto"/>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政府采购编号：</w:t>
      </w:r>
      <w:r/>
    </w:p>
    <w:tbl>
      <w:tblPr>
        <w:tblStyle w:val="1064"/>
        <w:tblW w:w="9617" w:type="dxa"/>
        <w:jc w:val="center"/>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jc w:val="center"/>
          <w:trHeight w:val="57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tcPr>
          <w:p>
            <w:pPr>
              <w:jc w:val="center"/>
              <w:shd w:val="clear" w:color="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偏离说明</w:t>
            </w:r>
            <w:r/>
          </w:p>
        </w:tc>
      </w:tr>
      <w:tr>
        <w:trPr>
          <w:cantSplit/>
          <w:jc w:val="cente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3" w:type="dxa"/>
            <w:vAlign w:val="center"/>
            <w:textDirection w:val="lrTb"/>
            <w:noWrap/>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58" w:type="dxa"/>
            <w:vAlign w:val="center"/>
            <w:textDirection w:val="lrTb"/>
            <w:noWrap/>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tcPr>
          <w:p>
            <w:pPr>
              <w:jc w:val="center"/>
              <w:shd w:val="clear" w:color="auto"/>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shd w:val="clear" w:color="auto"/>
        <w:rPr>
          <w:b/>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法定代表人或其授权代表（签字或盖章）：</w:t>
      </w:r>
      <w:r/>
    </w:p>
    <w:p>
      <w:pPr>
        <w:shd w:val="clear" w:color="auto"/>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shd w:val="clear" w:color="auto"/>
        <w:rPr>
          <w:rFonts w:hint="eastAsia" w:ascii="宋体" w:hAnsi="宋体"/>
          <w:bCs/>
          <w:color w:val="000000" w:themeColor="text1"/>
          <w:sz w:val="24"/>
          <w:highlight w:val="none"/>
          <w14:textFill>
            <w14:solidFill>
              <w14:schemeClr w14:val="tx1"/>
            </w14:solidFill>
          </w14:textFill>
        </w:rPr>
        <w:outlineLvl w:val="0"/>
      </w:pPr>
      <w:r/>
      <w:bookmarkStart w:id="45" w:name="_Toc32029"/>
      <w:r>
        <w:rPr>
          <w:rFonts w:hint="eastAsia" w:ascii="宋体" w:hAnsi="宋体"/>
          <w:bCs/>
          <w:color w:val="000000" w:themeColor="text1"/>
          <w:sz w:val="24"/>
          <w:highlight w:val="none"/>
          <w14:textFill>
            <w14:solidFill>
              <w14:schemeClr w14:val="tx1"/>
            </w14:solidFill>
          </w14:textFill>
        </w:rPr>
        <w:t xml:space="preserve">注：</w:t>
      </w:r>
      <w:bookmarkEnd w:id="45"/>
      <w:r/>
      <w:r/>
    </w:p>
    <w:p>
      <w:pPr>
        <w:ind w:firstLine="420"/>
        <w:shd w:val="clear" w:color="auto"/>
        <w:rPr>
          <w:rFonts w:hint="eastAsia" w:ascii="宋体" w:hAnsi="宋体"/>
          <w:bCs/>
          <w:color w:val="000000" w:themeColor="text1"/>
          <w:sz w:val="24"/>
          <w:highlight w:val="none"/>
          <w14:textFill>
            <w14:solidFill>
              <w14:schemeClr w14:val="tx1"/>
            </w14:solidFill>
          </w14:textFill>
        </w:rPr>
        <w:outlineLvl w:val="0"/>
      </w:pPr>
      <w:r/>
      <w:bookmarkStart w:id="46" w:name="_Toc5773"/>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）本表不得删除；</w:t>
      </w:r>
      <w:bookmarkEnd w:id="46"/>
      <w:r/>
      <w:r/>
    </w:p>
    <w:p>
      <w:pPr>
        <w:ind w:firstLine="420"/>
        <w:shd w:val="clear" w:color="auto"/>
        <w:rPr>
          <w:rFonts w:hint="eastAsia" w:ascii="宋体" w:hAnsi="宋体"/>
          <w:bCs/>
          <w:color w:val="000000" w:themeColor="text1"/>
          <w:sz w:val="24"/>
          <w:highlight w:val="none"/>
          <w14:textFill>
            <w14:solidFill>
              <w14:schemeClr w14:val="tx1"/>
            </w14:solidFill>
          </w14:textFill>
        </w:rPr>
        <w:outlineLvl w:val="0"/>
      </w:pPr>
      <w:r/>
      <w:bookmarkStart w:id="47" w:name="_Toc12064"/>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）如无任何偏离，请于本表 “偏离说明”中注明“无偏离”；</w:t>
      </w:r>
      <w:bookmarkEnd w:id="47"/>
      <w:r/>
      <w:r/>
    </w:p>
    <w:p>
      <w:pPr>
        <w:ind w:firstLine="420"/>
        <w:shd w:val="clear" w:color="auto"/>
        <w:rPr>
          <w:rFonts w:ascii="宋体" w:hAnsi="宋体"/>
          <w:bCs/>
          <w:color w:val="000000" w:themeColor="text1"/>
          <w:sz w:val="24"/>
          <w:highlight w:val="none"/>
          <w14:textFill>
            <w14:solidFill>
              <w14:schemeClr w14:val="tx1"/>
            </w14:solidFill>
          </w14:textFill>
        </w:rPr>
        <w:outlineLvl w:val="0"/>
      </w:pPr>
      <w:r/>
      <w:bookmarkStart w:id="48" w:name="_Toc27440"/>
      <w:r>
        <w:rPr>
          <w:rFonts w:hint="eastAsia" w:ascii="宋体" w:hAnsi="宋体"/>
          <w:bCs/>
          <w:color w:val="000000" w:themeColor="text1"/>
          <w:sz w:val="24"/>
          <w:highlight w:val="none"/>
          <w14:textFill>
            <w14:solidFill>
              <w14:schemeClr w14:val="tx1"/>
            </w14:solidFill>
          </w14:textFill>
        </w:rPr>
        <w:t xml:space="preserve">（3）如有偏离项，请于本表中列明偏离内容，如需要可自行延长，其余无偏离内容不须赘述。</w:t>
      </w:r>
      <w:bookmarkEnd w:id="48"/>
      <w:r/>
      <w:r/>
    </w:p>
    <w:p>
      <w:pPr>
        <w:ind w:firstLine="900"/>
        <w:shd w:val="clear" w:color="auto"/>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r>
      <w:r/>
    </w:p>
    <w:p>
      <w:pPr>
        <w:ind w:firstLine="900"/>
        <w:shd w:val="clear" w:color="auto"/>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r>
      <w:r/>
    </w:p>
    <w:p>
      <w:pPr>
        <w:ind w:firstLine="900"/>
        <w:shd w:val="clear" w:color="auto"/>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rFonts w:eastAsia="黑体"/>
          <w:bCs/>
          <w:color w:val="000000" w:themeColor="text1"/>
          <w:sz w:val="24"/>
          <w:szCs w:val="24"/>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rFonts w:eastAsia="黑体"/>
          <w:bCs/>
          <w:color w:val="000000" w:themeColor="text1"/>
          <w:sz w:val="24"/>
          <w:szCs w:val="24"/>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八</w:t>
      </w:r>
      <w:r>
        <w:rPr>
          <w:rFonts w:eastAsia="黑体"/>
          <w:bCs/>
          <w:color w:val="000000" w:themeColor="text1"/>
          <w:sz w:val="24"/>
          <w:szCs w:val="24"/>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 </w:t>
      </w:r>
      <w:r>
        <w:rPr>
          <w:rFonts w:hint="eastAsia" w:eastAsia="黑体"/>
          <w:bCs/>
          <w:color w:val="000000" w:themeColor="text1"/>
          <w:sz w:val="24"/>
          <w:szCs w:val="24"/>
          <w:highlight w:val="none"/>
          <w14:textFill>
            <w14:solidFill>
              <w14:schemeClr w14:val="tx1"/>
            </w14:solidFill>
          </w14:textFill>
        </w:rPr>
        <w:t xml:space="preserve">投标供应商基本情况表</w:t>
      </w:r>
      <w:r/>
    </w:p>
    <w:p>
      <w:pPr>
        <w:jc w:val="center"/>
        <w:spacing w:before="100" w:beforeAutospacing="1" w:line="360" w:lineRule="auto"/>
        <w:shd w:val="clear" w:color="auto"/>
        <w:rPr>
          <w:rFonts w:hint="eastAsia" w:eastAsia="黑体"/>
          <w:bCs/>
          <w:color w:val="000000" w:themeColor="text1"/>
          <w:sz w:val="32"/>
          <w:szCs w:val="32"/>
          <w:highlight w:val="none"/>
          <w14:textFill>
            <w14:solidFill>
              <w14:schemeClr w14:val="tx1"/>
            </w14:solidFill>
          </w14:textFill>
        </w:rPr>
      </w:pPr>
      <w:r>
        <w:rPr>
          <w:rFonts w:hint="eastAsia" w:eastAsia="黑体"/>
          <w:bCs/>
          <w:color w:val="000000" w:themeColor="text1"/>
          <w:sz w:val="32"/>
          <w:szCs w:val="32"/>
          <w:highlight w:val="none"/>
          <w14:textFill>
            <w14:solidFill>
              <w14:schemeClr w14:val="tx1"/>
            </w14:solidFill>
          </w14:textFill>
        </w:rPr>
        <w:t xml:space="preserve">投标供应商情况表</w:t>
      </w:r>
      <w:r/>
    </w:p>
    <w:tbl>
      <w:tblPr>
        <w:tblStyle w:val="1064"/>
        <w:tblW w:w="10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0"/>
        <w:gridCol w:w="1080"/>
        <w:gridCol w:w="1628"/>
        <w:gridCol w:w="714"/>
        <w:gridCol w:w="726"/>
        <w:gridCol w:w="1252"/>
        <w:gridCol w:w="180"/>
        <w:gridCol w:w="184"/>
        <w:gridCol w:w="902"/>
        <w:gridCol w:w="1440"/>
      </w:tblGrid>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单位名称</w:t>
            </w:r>
            <w:r/>
          </w:p>
        </w:tc>
        <w:tc>
          <w:tcPr>
            <w:gridSpan w:val="9"/>
            <w:tcW w:w="81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注册地址</w:t>
            </w:r>
            <w:r/>
          </w:p>
        </w:tc>
        <w:tc>
          <w:tcPr>
            <w:gridSpan w:val="4"/>
            <w:tcW w:w="414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125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邮政编码</w:t>
            </w:r>
            <w:r/>
          </w:p>
        </w:tc>
        <w:tc>
          <w:tcPr>
            <w:gridSpan w:val="4"/>
            <w:tcW w:w="27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vMerge w:val="restart"/>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联系方式</w:t>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联系人</w:t>
            </w:r>
            <w:r/>
          </w:p>
        </w:tc>
        <w:tc>
          <w:tcPr>
            <w:gridSpan w:val="3"/>
            <w:tcW w:w="306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125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电话</w:t>
            </w:r>
            <w:r/>
          </w:p>
        </w:tc>
        <w:tc>
          <w:tcPr>
            <w:gridSpan w:val="4"/>
            <w:tcW w:w="27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传真</w:t>
            </w:r>
            <w:r/>
          </w:p>
        </w:tc>
        <w:tc>
          <w:tcPr>
            <w:gridSpan w:val="3"/>
            <w:tcW w:w="306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125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网址</w:t>
            </w:r>
            <w:r/>
          </w:p>
        </w:tc>
        <w:tc>
          <w:tcPr>
            <w:gridSpan w:val="4"/>
            <w:tcW w:w="270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法定代表人</w:t>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姓名</w:t>
            </w:r>
            <w:r/>
          </w:p>
        </w:tc>
        <w:tc>
          <w:tcPr>
            <w:tcW w:w="162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2"/>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技术职称</w:t>
            </w:r>
            <w:r/>
          </w:p>
        </w:tc>
        <w:tc>
          <w:tcPr>
            <w:gridSpan w:val="3"/>
            <w:tcW w:w="161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90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电话</w:t>
            </w:r>
            <w:r/>
          </w:p>
        </w:tc>
        <w:tc>
          <w:tcPr>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技术负责人</w:t>
            </w:r>
            <w:r/>
          </w:p>
        </w:tc>
        <w:tc>
          <w:tcPr>
            <w:tcW w:w="108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姓名</w:t>
            </w:r>
            <w:r/>
          </w:p>
        </w:tc>
        <w:tc>
          <w:tcPr>
            <w:tcW w:w="162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2"/>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技术职称</w:t>
            </w:r>
            <w:r/>
          </w:p>
        </w:tc>
        <w:tc>
          <w:tcPr>
            <w:gridSpan w:val="3"/>
            <w:tcW w:w="1616"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902"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电话</w:t>
            </w:r>
            <w:r/>
          </w:p>
        </w:tc>
        <w:tc>
          <w:tcPr>
            <w:tcW w:w="144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成立时间</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7"/>
            <w:tcW w:w="539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员工总人数：</w:t>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统一社会信用代码</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restart"/>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其中</w:t>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高级职称人员</w:t>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注册资本</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中级职称人员</w:t>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开户银行</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初级职称人员</w:t>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cantSplit/>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账号</w:t>
            </w:r>
            <w:r/>
          </w:p>
        </w:tc>
        <w:tc>
          <w:tcPr>
            <w:gridSpan w:val="2"/>
            <w:tcW w:w="2708"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tcW w:w="714" w:type="dxa"/>
            <w:vAlign w:val="center"/>
            <w:vMerge w:val="continue"/>
            <w:textDirection w:val="lrTb"/>
            <w:noWrap w:val="false"/>
          </w:tcPr>
          <w:p>
            <w:pPr>
              <w:jc w:val="center"/>
              <w:spacing w:line="276" w:lineRule="auto"/>
              <w:shd w:val="clear" w:color="auto"/>
              <w:rPr>
                <w:rFonts w:hint="eastAsia" w:ascii="宋体" w:hAnsi="宋体"/>
                <w:color w:val="auto"/>
                <w:sz w:val="22"/>
                <w:szCs w:val="18"/>
                <w:highlight w:val="none"/>
              </w:rPr>
            </w:pPr>
            <w:r>
              <w:rPr>
                <w:rFonts w:hint="eastAsia" w:ascii="宋体" w:hAnsi="宋体"/>
                <w:color w:val="auto"/>
                <w:sz w:val="22"/>
                <w:szCs w:val="18"/>
                <w:highlight w:val="none"/>
              </w:rPr>
            </w:r>
            <w:r/>
          </w:p>
        </w:tc>
        <w:tc>
          <w:tcPr>
            <w:gridSpan w:val="3"/>
            <w:tcW w:w="2158"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c>
          <w:tcPr>
            <w:gridSpan w:val="3"/>
            <w:tcW w:w="252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1701"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经营范围</w:t>
            </w:r>
            <w:r/>
          </w:p>
        </w:tc>
        <w:tc>
          <w:tcPr>
            <w:gridSpan w:val="9"/>
            <w:tcW w:w="810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r>
        <w:trPr>
          <w:jc w:val="center"/>
          <w:trHeight w:val="510" w:hRule="exact"/>
        </w:trPr>
        <w:tc>
          <w:tcPr>
            <w:tcW w:w="2090" w:type="dxa"/>
            <w:vAlign w:val="center"/>
            <w:textDirection w:val="lrTb"/>
            <w:noWrap w:val="false"/>
          </w:tcPr>
          <w:p>
            <w:pPr>
              <w:jc w:val="cente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t xml:space="preserve">备注</w:t>
            </w:r>
            <w:r/>
          </w:p>
        </w:tc>
        <w:tc>
          <w:tcPr>
            <w:gridSpan w:val="9"/>
            <w:tcW w:w="8106" w:type="dxa"/>
            <w:vAlign w:val="center"/>
            <w:textDirection w:val="lrTb"/>
            <w:noWrap w:val="false"/>
          </w:tcPr>
          <w:p>
            <w:pPr>
              <w:spacing w:line="276" w:lineRule="auto"/>
              <w:shd w:val="clear" w:color="auto"/>
              <w:rPr>
                <w:rFonts w:hint="eastAsia" w:ascii="宋体" w:hAnsi="宋体"/>
                <w:color w:val="000000" w:themeColor="text1"/>
                <w:sz w:val="22"/>
                <w:szCs w:val="18"/>
                <w:highlight w:val="none"/>
                <w14:textFill>
                  <w14:solidFill>
                    <w14:schemeClr w14:val="tx1"/>
                  </w14:solidFill>
                </w14:textFill>
              </w:rPr>
            </w:pPr>
            <w:r>
              <w:rPr>
                <w:rFonts w:hint="eastAsia" w:ascii="宋体" w:hAnsi="宋体"/>
                <w:color w:val="000000" w:themeColor="text1"/>
                <w:sz w:val="22"/>
                <w:szCs w:val="18"/>
                <w:highlight w:val="none"/>
                <w14:textFill>
                  <w14:solidFill>
                    <w14:schemeClr w14:val="tx1"/>
                  </w14:solidFill>
                </w14:textFill>
              </w:rPr>
            </w:r>
            <w:r/>
          </w:p>
        </w:tc>
      </w:tr>
    </w:tbl>
    <w:p>
      <w:pPr>
        <w:jc w:val="center"/>
        <w:spacing w:line="300" w:lineRule="auto"/>
        <w:shd w:val="clear" w:color="auto"/>
        <w:rPr>
          <w:rFonts w:eastAsia="黑体"/>
          <w:bCs/>
          <w:color w:val="000000" w:themeColor="text1"/>
          <w:sz w:val="32"/>
          <w:szCs w:val="32"/>
          <w:highlight w:val="none"/>
          <w14:textFill>
            <w14:solidFill>
              <w14:schemeClr w14:val="tx1"/>
            </w14:solidFill>
          </w14:textFill>
        </w:rPr>
      </w:pPr>
      <w:r>
        <w:rPr>
          <w:rFonts w:eastAsia="黑体"/>
          <w:bCs/>
          <w:color w:val="000000" w:themeColor="text1"/>
          <w:sz w:val="32"/>
          <w:szCs w:val="32"/>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hint="eastAsia" w:ascii="黑体" w:hAnsi="黑体" w:eastAsia="黑体"/>
          <w:b/>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28"/>
          <w:szCs w:val="28"/>
          <w:highlight w:val="none"/>
          <w14:textFill>
            <w14:solidFill>
              <w14:schemeClr w14:val="tx1"/>
            </w14:solidFill>
          </w14:textFill>
        </w:rPr>
        <w:br w:type="page" w:clear="all"/>
      </w:r>
      <w:r/>
    </w:p>
    <w:p>
      <w:pPr>
        <w:shd w:val="clear" w:color="auto"/>
        <w:rPr>
          <w:rFonts w:hint="eastAsia" w:eastAsia="黑体"/>
          <w:bCs/>
          <w:color w:val="000000" w:themeColor="text1"/>
          <w:sz w:val="24"/>
          <w:szCs w:val="24"/>
          <w:highlight w:val="none"/>
          <w14:textFill>
            <w14:solidFill>
              <w14:schemeClr w14:val="tx1"/>
            </w14:solidFill>
          </w14:textFill>
        </w:rPr>
      </w:pPr>
      <w:r>
        <w:rPr>
          <w:rFonts w:hint="eastAsia" w:eastAsia="黑体"/>
          <w:bCs/>
          <w:color w:val="000000" w:themeColor="text1"/>
          <w:sz w:val="24"/>
          <w:szCs w:val="24"/>
          <w:highlight w:val="none"/>
          <w14:textFill>
            <w14:solidFill>
              <w14:schemeClr w14:val="tx1"/>
            </w14:solidFill>
          </w14:textFill>
        </w:rPr>
        <w:t xml:space="preserve">（</w:t>
      </w:r>
      <w:r>
        <w:rPr>
          <w:rFonts w:hint="eastAsia" w:eastAsia="黑体"/>
          <w:bCs/>
          <w:color w:val="000000" w:themeColor="text1"/>
          <w:sz w:val="24"/>
          <w:szCs w:val="24"/>
          <w:highlight w:val="none"/>
          <w:lang w:val="en-US" w:eastAsia="zh-CN"/>
          <w14:textFill>
            <w14:solidFill>
              <w14:schemeClr w14:val="tx1"/>
            </w14:solidFill>
          </w14:textFill>
        </w:rPr>
        <w:t xml:space="preserve">九</w:t>
      </w:r>
      <w:r>
        <w:rPr>
          <w:rFonts w:hint="eastAsia" w:eastAsia="黑体"/>
          <w:bCs/>
          <w:color w:val="000000" w:themeColor="text1"/>
          <w:sz w:val="24"/>
          <w:szCs w:val="24"/>
          <w:highlight w:val="none"/>
          <w14:textFill>
            <w14:solidFill>
              <w14:schemeClr w14:val="tx1"/>
            </w14:solidFill>
          </w14:textFill>
        </w:rPr>
        <w:t xml:space="preserve">）项目人员配置清单（格式）</w:t>
      </w:r>
      <w:r/>
    </w:p>
    <w:p>
      <w:pPr>
        <w:jc w:val="center"/>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shd w:val="clear" w:color="auto"/>
        <w:rPr>
          <w:rFonts w:hint="default" w:ascii="黑体" w:eastAsia="黑体"/>
          <w:bCs/>
          <w:color w:val="000000" w:themeColor="text1"/>
          <w:sz w:val="28"/>
          <w:szCs w:val="28"/>
          <w:highlight w:val="none"/>
          <w14:textFill>
            <w14:solidFill>
              <w14:schemeClr w14:val="tx1"/>
            </w14:solidFill>
          </w14:textFill>
        </w:rPr>
      </w:pPr>
      <w:r>
        <w:rPr>
          <w:rFonts w:hint="default" w:ascii="黑体" w:eastAsia="黑体"/>
          <w:bCs/>
          <w:color w:val="000000" w:themeColor="text1"/>
          <w:sz w:val="28"/>
          <w:szCs w:val="28"/>
          <w:highlight w:val="none"/>
          <w14:textFill>
            <w14:solidFill>
              <w14:schemeClr w14:val="tx1"/>
            </w14:solidFill>
          </w14:textFill>
        </w:rPr>
      </w:r>
      <w:r/>
    </w:p>
    <w:p>
      <w:pPr>
        <w:ind w:firstLine="490"/>
        <w:jc w:val="center"/>
        <w:shd w:val="clear" w:color="auto"/>
        <w:rPr>
          <w:rFonts w:hint="default" w:ascii="黑体" w:hAnsi="宋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shd w:val="clear" w:color="auto"/>
        <w:rPr>
          <w:rFonts w:hint="default" w:ascii="黑体" w:eastAsia="黑体"/>
          <w:bCs/>
          <w:color w:val="000000" w:themeColor="text1"/>
          <w:sz w:val="28"/>
          <w:szCs w:val="28"/>
          <w:highlight w:val="none"/>
          <w14:textFill>
            <w14:solidFill>
              <w14:schemeClr w14:val="tx1"/>
            </w14:solidFill>
          </w14:textFill>
        </w:rPr>
      </w:pPr>
      <w:r>
        <w:rPr>
          <w:rFonts w:hint="default" w:ascii="黑体" w:eastAsia="黑体"/>
          <w:bCs/>
          <w:color w:val="000000" w:themeColor="text1"/>
          <w:sz w:val="28"/>
          <w:szCs w:val="28"/>
          <w:highlight w:val="none"/>
          <w14:textFill>
            <w14:solidFill>
              <w14:schemeClr w14:val="tx1"/>
            </w14:solidFill>
          </w14:textFill>
        </w:rPr>
      </w:r>
      <w:r/>
    </w:p>
    <w:p>
      <w:pPr>
        <w:ind w:firstLine="480"/>
        <w:shd w:val="clear" w:color="auto"/>
        <w:rPr>
          <w:rFonts w:hint="default"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                   采购项目编号：</w:t>
      </w:r>
      <w:r/>
    </w:p>
    <w:tbl>
      <w:tblPr>
        <w:tblStyle w:val="1064"/>
        <w:tblW w:w="9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568"/>
        <w:gridCol w:w="802"/>
        <w:gridCol w:w="962"/>
        <w:gridCol w:w="1214"/>
        <w:gridCol w:w="1574"/>
        <w:gridCol w:w="1676"/>
        <w:gridCol w:w="831"/>
        <w:gridCol w:w="881"/>
        <w:gridCol w:w="765"/>
      </w:tblGrid>
      <w:tr>
        <w:trPr>
          <w:jc w:val="center"/>
          <w:trHeight w:val="960"/>
        </w:trPr>
        <w:tc>
          <w:tcPr>
            <w:tcW w:w="518"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序号</w:t>
            </w:r>
            <w:r/>
          </w:p>
        </w:tc>
        <w:tc>
          <w:tcPr>
            <w:tcW w:w="568"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姓名</w:t>
            </w:r>
            <w:r/>
          </w:p>
        </w:tc>
        <w:tc>
          <w:tcPr>
            <w:tcW w:w="802"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专业</w:t>
            </w:r>
            <w:r/>
          </w:p>
        </w:tc>
        <w:tc>
          <w:tcPr>
            <w:tcW w:w="962"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职称</w:t>
            </w:r>
            <w:r/>
          </w:p>
        </w:tc>
        <w:tc>
          <w:tcPr>
            <w:tcW w:w="1214" w:type="dxa"/>
            <w:vAlign w:val="center"/>
            <w:textDirection w:val="lrTb"/>
            <w:noWrap w:val="false"/>
          </w:tcPr>
          <w:p>
            <w:pPr>
              <w:jc w:val="center"/>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本项目岗位(项目负责人/常驻协审人员/其他协审人员/档案管理员)</w:t>
            </w:r>
            <w:r/>
          </w:p>
        </w:tc>
        <w:tc>
          <w:tcPr>
            <w:tcW w:w="1574" w:type="dxa"/>
            <w:vAlign w:val="center"/>
            <w:textDirection w:val="lrTb"/>
            <w:noWrap w:val="false"/>
          </w:tcPr>
          <w:p>
            <w:pPr>
              <w:jc w:val="center"/>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注册造价工程师资格或工程类中级及以上专业技术职称情况（填写注册证书编号）</w:t>
            </w:r>
            <w:r/>
          </w:p>
        </w:tc>
        <w:tc>
          <w:tcPr>
            <w:tcW w:w="1676"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在投标单位社保缴纳开始年月</w:t>
            </w:r>
            <w:r/>
          </w:p>
        </w:tc>
        <w:tc>
          <w:tcPr>
            <w:tcW w:w="831"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联系</w:t>
            </w:r>
            <w:r/>
          </w:p>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电话</w:t>
            </w:r>
            <w:r/>
          </w:p>
        </w:tc>
        <w:tc>
          <w:tcPr>
            <w:tcW w:w="881"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人员对应页码</w:t>
            </w:r>
            <w:r/>
          </w:p>
        </w:tc>
        <w:tc>
          <w:tcPr>
            <w:tcW w:w="76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技能竞赛获奖情况</w:t>
            </w:r>
            <w:r/>
          </w:p>
        </w:tc>
      </w:tr>
      <w:tr>
        <w:trPr>
          <w:jc w:val="center"/>
          <w:trHeight w:val="240"/>
        </w:trPr>
        <w:tc>
          <w:tcPr>
            <w:tcW w:w="51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56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02"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962"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21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57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67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31"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81"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765"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40"/>
        </w:trPr>
        <w:tc>
          <w:tcPr>
            <w:tcW w:w="51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56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02"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962"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21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57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67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31"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81"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765"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40"/>
        </w:trPr>
        <w:tc>
          <w:tcPr>
            <w:tcW w:w="51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56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02"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962"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21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57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167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31"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　</w:t>
            </w:r>
            <w:r/>
          </w:p>
        </w:tc>
        <w:tc>
          <w:tcPr>
            <w:tcW w:w="881"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W w:w="765"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bl>
    <w:p>
      <w:pPr>
        <w:shd w:val="clear" w:color="auto"/>
        <w:rPr>
          <w:rFonts w:hint="default"/>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hd w:val="clear" w:color="auto"/>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r>
      <w:r/>
    </w:p>
    <w:p>
      <w:pPr>
        <w:ind w:firstLine="42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default" w:ascii="宋体" w:hAnsi="宋体"/>
          <w:bCs/>
          <w:color w:val="000000" w:themeColor="text1"/>
          <w:sz w:val="24"/>
          <w:szCs w:val="24"/>
          <w:highlight w:val="none"/>
          <w14:textFill>
            <w14:solidFill>
              <w14:schemeClr w14:val="tx1"/>
            </w14:solidFill>
          </w14:textFill>
        </w:rPr>
      </w:r>
      <w:r/>
    </w:p>
    <w:p>
      <w:pPr>
        <w:shd w:val="clear" w:color="auto"/>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注：1. 表格不够可自行延长。</w:t>
      </w:r>
      <w:r/>
    </w:p>
    <w:p>
      <w:pPr>
        <w:shd w:val="clear" w:color="auto"/>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2.上表内容须提供连续三个月(至少包含近三个月中任意一个月份(不含投标当月))经社保部门确认的社保缴纳名单扫描件（标注各人员所处位置）附在本表之后。</w:t>
      </w:r>
      <w:r/>
    </w:p>
    <w:p>
      <w:pPr>
        <w:shd w:val="clear" w:color="auto"/>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3.评分标准中要求提供的证明材料附在本表之后。</w:t>
      </w:r>
      <w:r/>
    </w:p>
    <w:p>
      <w:pPr>
        <w:shd w:val="clear" w:color="auto"/>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r>
      <w:r/>
    </w:p>
    <w:p>
      <w:pPr>
        <w:jc w:val="left"/>
        <w:shd w:val="clear" w:color="auto"/>
        <w:widowControl/>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br w:type="page" w:clear="all"/>
      </w:r>
      <w:r/>
    </w:p>
    <w:p>
      <w:pPr>
        <w:shd w:val="clear" w:color="auto"/>
        <w:rPr>
          <w:rFonts w:hint="default" w:ascii="宋体" w:hAnsi="宋体"/>
          <w:bCs/>
          <w:color w:val="000000" w:themeColor="text1"/>
          <w:szCs w:val="21"/>
          <w:highlight w:val="none"/>
          <w14:textFill>
            <w14:solidFill>
              <w14:schemeClr w14:val="tx1"/>
            </w14:solidFill>
          </w14:textFill>
        </w:rPr>
      </w:pPr>
      <w:r>
        <w:rPr>
          <w:rFonts w:hint="default" w:ascii="宋体" w:hAnsi="宋体"/>
          <w:bCs/>
          <w:color w:val="000000" w:themeColor="text1"/>
          <w:szCs w:val="21"/>
          <w:highlight w:val="none"/>
          <w14:textFill>
            <w14:solidFill>
              <w14:schemeClr w14:val="tx1"/>
            </w14:solidFill>
          </w14:textFill>
        </w:rPr>
      </w:r>
      <w:r/>
    </w:p>
    <w:p>
      <w:pPr>
        <w:ind w:firstLine="420"/>
        <w:shd w:val="clear" w:color="auto"/>
        <w:rPr>
          <w:rFonts w:hint="default"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lang w:val="en-US" w:eastAsia="zh-CN"/>
          <w14:textFill>
            <w14:solidFill>
              <w14:schemeClr w14:val="tx1"/>
            </w14:solidFill>
          </w14:textFill>
        </w:rPr>
        <w:t xml:space="preserve">十</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rPr>
          <w:rFonts w:hint="eastAsia" w:ascii="黑体" w:hAnsi="宋体" w:eastAsia="黑体"/>
          <w:bCs/>
          <w:color w:val="000000" w:themeColor="text1"/>
          <w:sz w:val="24"/>
          <w:szCs w:val="24"/>
          <w:highlight w:val="none"/>
          <w14:textFill>
            <w14:solidFill>
              <w14:schemeClr w14:val="tx1"/>
            </w14:solidFill>
          </w14:textFill>
        </w:rPr>
        <w:t xml:space="preserve">业绩汇总表（格式）</w:t>
      </w:r>
      <w:r/>
    </w:p>
    <w:p>
      <w:pPr>
        <w:ind w:firstLine="490"/>
        <w:jc w:val="center"/>
        <w:spacing w:line="360" w:lineRule="auto"/>
        <w:shd w:val="clear" w:color="auto"/>
        <w:rPr>
          <w:rFonts w:hint="default"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业绩汇总表</w:t>
      </w:r>
      <w:r/>
    </w:p>
    <w:p>
      <w:pPr>
        <w:ind w:firstLine="360"/>
        <w:shd w:val="clear" w:color="auto"/>
        <w:rPr>
          <w:rFonts w:hint="default" w:ascii="宋体" w:hAnsi="宋体"/>
          <w:bCs/>
          <w:color w:val="000000" w:themeColor="text1"/>
          <w:sz w:val="24"/>
          <w:szCs w:val="21"/>
          <w:highlight w:val="none"/>
          <w14:textFill>
            <w14:solidFill>
              <w14:schemeClr w14:val="tx1"/>
            </w14:solidFill>
          </w14:textFill>
        </w:rPr>
        <w:outlineLvl w:val="0"/>
      </w:pPr>
      <w:r>
        <w:rPr>
          <w:rFonts w:hint="eastAsia" w:ascii="宋体" w:hAnsi="宋体"/>
          <w:bCs/>
          <w:color w:val="000000" w:themeColor="text1"/>
          <w:sz w:val="24"/>
          <w:szCs w:val="21"/>
          <w:highlight w:val="none"/>
          <w14:textFill>
            <w14:solidFill>
              <w14:schemeClr w14:val="tx1"/>
            </w14:solidFill>
          </w14:textFill>
        </w:rPr>
        <w:t xml:space="preserve">投标人名称（盖章）                  采购项目编号：</w:t>
      </w:r>
      <w:r/>
    </w:p>
    <w:tbl>
      <w:tblPr>
        <w:tblStyle w:val="1064"/>
        <w:tblW w:w="10132"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1164"/>
        <w:gridCol w:w="795"/>
        <w:gridCol w:w="1815"/>
        <w:gridCol w:w="726"/>
        <w:gridCol w:w="1255"/>
        <w:gridCol w:w="1140"/>
        <w:gridCol w:w="1458"/>
        <w:gridCol w:w="1069"/>
      </w:tblGrid>
      <w:tr>
        <w:trPr>
          <w:jc w:val="center"/>
          <w:trHeight w:val="97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164"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合同（项目）及服务名称</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委托方/建设方</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跟踪审核、结算审核、全过程造价控制、清单限价编制</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在实施/已完成</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审核报告出具时间（在实施的无需填写）</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建设单位联络人姓名、职务、联系方式</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对应页码</w:t>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val="false"/>
          </w:tcPr>
          <w:p>
            <w:pPr>
              <w:jc w:val="center"/>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备注</w:t>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r>
        <w:trPr>
          <w:jc w:val="center"/>
          <w:trHeight w:val="285"/>
        </w:trPr>
        <w:tc>
          <w:tcPr>
            <w:tcBorders>
              <w:top w:val="none" w:color="000000"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64"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55"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40" w:type="dxa"/>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shd w:val="clear" w:color="auto"/>
              <w:widowControl/>
              <w:rPr>
                <w:rFonts w:hint="default" w:ascii="宋体" w:hAnsi="宋体" w:cs="宋体"/>
                <w:color w:val="000000" w:themeColor="text1"/>
                <w:sz w:val="24"/>
                <w:szCs w:val="21"/>
                <w:highlight w:val="none"/>
                <w14:textFill>
                  <w14:solidFill>
                    <w14:schemeClr w14:val="tx1"/>
                  </w14:solidFill>
                </w14:textFill>
              </w:rPr>
            </w:pPr>
            <w:r>
              <w:rPr>
                <w:rFonts w:hint="default" w:ascii="宋体" w:hAnsi="宋体" w:cs="宋体"/>
                <w:color w:val="000000" w:themeColor="text1"/>
                <w:sz w:val="24"/>
                <w:szCs w:val="21"/>
                <w:highlight w:val="none"/>
                <w14:textFill>
                  <w14:solidFill>
                    <w14:schemeClr w14:val="tx1"/>
                  </w14:solidFill>
                </w14:textFill>
              </w:rPr>
            </w:r>
            <w:r/>
          </w:p>
        </w:tc>
      </w:tr>
    </w:tbl>
    <w:p>
      <w:pPr>
        <w:ind w:firstLine="1325"/>
        <w:spacing w:line="360" w:lineRule="auto"/>
        <w:shd w:val="clear" w:color="auto"/>
        <w:rPr>
          <w:rFonts w:hint="default" w:ascii="宋体" w:hAnsi="宋体"/>
          <w:b/>
          <w:bCs/>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法定代表人或法定代表人授权代表签字或盖章：</w:t>
      </w:r>
      <w:r/>
    </w:p>
    <w:p>
      <w:pPr>
        <w:shd w:val="clear" w:color="auto"/>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 1.表格不够可自行延长。</w:t>
      </w:r>
      <w:r/>
    </w:p>
    <w:p>
      <w:pPr>
        <w:numPr>
          <w:ilvl w:val="0"/>
          <w:numId w:val="4"/>
        </w:numPr>
        <w:shd w:val="clear" w:color="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请投标人按此表要求进行同类业绩汇总。</w:t>
      </w:r>
      <w:r/>
    </w:p>
    <w:p>
      <w:pPr>
        <w:numPr>
          <w:ilvl w:val="0"/>
          <w:numId w:val="0"/>
        </w:numPr>
        <w:shd w:val="clear" w:color="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shd w:val="clear" w:color="auto"/>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r>
      <w:r/>
    </w:p>
    <w:p>
      <w:pPr>
        <w:jc w:val="center"/>
        <w:spacing w:line="360" w:lineRule="auto"/>
        <w:shd w:val="clear" w:color="auto"/>
        <w:rPr>
          <w:rFonts w:hint="default"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t xml:space="preserve">拟派项目负责人业绩明细表</w:t>
      </w:r>
      <w:r/>
    </w:p>
    <w:p>
      <w:pPr>
        <w:jc w:val="center"/>
        <w:spacing w:line="240" w:lineRule="exact"/>
        <w:shd w:val="clear" w:color="auto"/>
        <w:rPr>
          <w:rFonts w:hint="default" w:ascii="黑体" w:hAnsi="宋体" w:eastAsia="黑体"/>
          <w:bCs/>
          <w:color w:val="000000" w:themeColor="text1"/>
          <w:sz w:val="28"/>
          <w:szCs w:val="28"/>
          <w:highlight w:val="none"/>
          <w14:textFill>
            <w14:solidFill>
              <w14:schemeClr w14:val="tx1"/>
            </w14:solidFill>
          </w14:textFill>
        </w:rPr>
      </w:pPr>
      <w:r>
        <w:rPr>
          <w:rFonts w:hint="default" w:ascii="黑体" w:hAnsi="宋体" w:eastAsia="黑体"/>
          <w:bCs/>
          <w:color w:val="000000" w:themeColor="text1"/>
          <w:sz w:val="28"/>
          <w:szCs w:val="28"/>
          <w:highlight w:val="none"/>
          <w14:textFill>
            <w14:solidFill>
              <w14:schemeClr w14:val="tx1"/>
            </w14:solidFill>
          </w14:textFill>
        </w:rPr>
      </w:r>
      <w:r/>
    </w:p>
    <w:p>
      <w:pPr>
        <w:ind w:firstLine="360"/>
        <w:shd w:val="clear" w:color="auto"/>
        <w:rPr>
          <w:rFonts w:hint="default" w:ascii="宋体" w:hAnsi="宋体"/>
          <w:b/>
          <w:color w:val="000000" w:themeColor="text1"/>
          <w:sz w:val="28"/>
          <w:szCs w:val="28"/>
          <w:highlight w:val="none"/>
          <w14:textFill>
            <w14:solidFill>
              <w14:schemeClr w14:val="tx1"/>
            </w14:solidFill>
          </w14:textFill>
        </w:rPr>
        <w:outlineLvl w:val="0"/>
      </w:pPr>
      <w:r>
        <w:rPr>
          <w:rFonts w:hint="eastAsia" w:ascii="宋体" w:hAnsi="宋体"/>
          <w:bCs/>
          <w:color w:val="000000" w:themeColor="text1"/>
          <w:sz w:val="24"/>
          <w:szCs w:val="21"/>
          <w:highlight w:val="none"/>
          <w14:textFill>
            <w14:solidFill>
              <w14:schemeClr w14:val="tx1"/>
            </w14:solidFill>
          </w14:textFill>
        </w:rPr>
        <w:t xml:space="preserve">投标人名称（盖章）                    采购项目编号：</w:t>
      </w:r>
      <w:r/>
    </w:p>
    <w:tbl>
      <w:tblPr>
        <w:tblStyle w:val="1064"/>
        <w:tblW w:w="10030" w:type="dxa"/>
        <w:jc w:val="center"/>
        <w:tblLayout w:type="autofit"/>
        <w:tblCellMar>
          <w:left w:w="108" w:type="dxa"/>
          <w:top w:w="0" w:type="dxa"/>
          <w:right w:w="108" w:type="dxa"/>
          <w:bottom w:w="0" w:type="dxa"/>
        </w:tblCellMar>
        <w:tblLook w:val="04A0" w:firstRow="1" w:lastRow="0" w:firstColumn="1" w:lastColumn="0" w:noHBand="0" w:noVBand="1"/>
      </w:tblPr>
      <w:tblGrid>
        <w:gridCol w:w="527"/>
        <w:gridCol w:w="1281"/>
        <w:gridCol w:w="1276"/>
        <w:gridCol w:w="1418"/>
        <w:gridCol w:w="1275"/>
        <w:gridCol w:w="1701"/>
        <w:gridCol w:w="993"/>
        <w:gridCol w:w="708"/>
        <w:gridCol w:w="851"/>
      </w:tblGrid>
      <w:tr>
        <w:trPr>
          <w:jc w:val="center"/>
          <w:trHeight w:val="480"/>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项目负责人姓名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委托方/建设方</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建设单位联络人姓名、职务、联系方式</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业绩对应立项项目</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业绩对应的施工合同/委托合同名称</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审核报告或审定单出具时间</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业绩所在页码</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Height w:val="285"/>
        </w:trPr>
        <w:tc>
          <w:tcPr>
            <w:tcBorders>
              <w:top w:val="none" w:color="000000" w:sz="4" w:space="0"/>
              <w:left w:val="single" w:color="auto" w:sz="4" w:space="0"/>
              <w:right w:val="single" w:color="auto" w:sz="4" w:space="0"/>
            </w:tcBorders>
            <w:tcW w:w="527"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81"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527"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81"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bl>
    <w:p>
      <w:pPr>
        <w:shd w:val="clear" w:color="auto"/>
        <w:rPr>
          <w:rFonts w:hint="default" w:ascii="宋体" w:hAnsi="宋体"/>
          <w:b/>
          <w:bCs/>
          <w:color w:val="000000" w:themeColor="text1"/>
          <w:sz w:val="24"/>
          <w:szCs w:val="24"/>
          <w:highlight w:val="none"/>
          <w14:textFill>
            <w14:solidFill>
              <w14:schemeClr w14:val="tx1"/>
            </w14:solidFill>
          </w14:textFill>
        </w:rPr>
        <w:outlineLvl w:val="0"/>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default" w:ascii="宋体" w:hAnsi="宋体"/>
          <w:bCs/>
          <w:color w:val="000000" w:themeColor="text1"/>
          <w:sz w:val="24"/>
          <w:szCs w:val="24"/>
          <w:highlight w:val="none"/>
          <w14:textFill>
            <w14:solidFill>
              <w14:schemeClr w14:val="tx1"/>
            </w14:solidFill>
          </w14:textFill>
        </w:rPr>
      </w:r>
      <w:r/>
    </w:p>
    <w:p>
      <w:pPr>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注：1.该名人员必须为拟派项目人员配置名单中明确的项目负责人，否则不予计分。</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2.拟派项目负责人配置项的业绩，表格中填对应的委托合同名称；拟派项目人员</w:t>
      </w:r>
      <w:r>
        <w:rPr>
          <w:rFonts w:hint="eastAsia" w:ascii="宋体" w:hAnsi="宋体"/>
          <w:color w:val="000000" w:themeColor="text1"/>
          <w:sz w:val="24"/>
          <w:szCs w:val="21"/>
          <w:highlight w:val="none"/>
          <w14:textFill>
            <w14:solidFill>
              <w14:schemeClr w14:val="tx1"/>
            </w14:solidFill>
          </w14:textFill>
        </w:rPr>
        <w:t xml:space="preserve">业绩</w:t>
      </w:r>
      <w:r>
        <w:rPr>
          <w:rFonts w:hint="eastAsia" w:ascii="宋体" w:hAnsi="宋体"/>
          <w:bCs/>
          <w:color w:val="000000" w:themeColor="text1"/>
          <w:sz w:val="24"/>
          <w:szCs w:val="24"/>
          <w:highlight w:val="none"/>
          <w14:textFill>
            <w14:solidFill>
              <w14:schemeClr w14:val="tx1"/>
            </w14:solidFill>
          </w14:textFill>
        </w:rPr>
        <w:t xml:space="preserve">中项目负责人的业绩，表格中填对应的施工合</w:t>
      </w:r>
      <w:r>
        <w:rPr>
          <w:rFonts w:hint="eastAsia" w:ascii="宋体" w:hAnsi="宋体"/>
          <w:color w:val="000000" w:themeColor="text1"/>
          <w:sz w:val="24"/>
          <w:szCs w:val="21"/>
          <w:highlight w:val="none"/>
          <w14:textFill>
            <w14:solidFill>
              <w14:schemeClr w14:val="tx1"/>
            </w14:solidFill>
          </w14:textFill>
        </w:rPr>
        <w:t xml:space="preserve">同</w:t>
      </w:r>
      <w:r>
        <w:rPr>
          <w:rFonts w:hint="eastAsia" w:ascii="宋体" w:hAnsi="宋体"/>
          <w:color w:val="0000ff"/>
          <w:sz w:val="24"/>
          <w:szCs w:val="21"/>
          <w:highlight w:val="none"/>
        </w:rPr>
        <w:t xml:space="preserve">/委托合同</w:t>
      </w:r>
      <w:r>
        <w:rPr>
          <w:rFonts w:hint="eastAsia" w:ascii="宋体" w:hAnsi="宋体"/>
          <w:color w:val="000000" w:themeColor="text1"/>
          <w:sz w:val="24"/>
          <w:szCs w:val="21"/>
          <w:highlight w:val="none"/>
          <w14:textFill>
            <w14:solidFill>
              <w14:schemeClr w14:val="tx1"/>
            </w14:solidFill>
          </w14:textFill>
        </w:rPr>
        <w:t xml:space="preserve">名称。</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3.本表可自行延长。</w:t>
      </w:r>
      <w:r/>
    </w:p>
    <w:p>
      <w:pPr>
        <w:shd w:val="clear" w:color="auto"/>
        <w:rPr>
          <w:rFonts w:hint="default"/>
          <w:color w:val="000000" w:themeColor="text1"/>
          <w:szCs w:val="21"/>
          <w:highlight w:val="none"/>
          <w14:textFill>
            <w14:solidFill>
              <w14:schemeClr w14:val="tx1"/>
            </w14:solidFill>
          </w14:textFill>
        </w:rPr>
      </w:pPr>
      <w:r>
        <w:rPr>
          <w:rFonts w:hint="default" w:ascii="宋体" w:hAnsi="宋体"/>
          <w:bCs/>
          <w:color w:val="000000" w:themeColor="text1"/>
          <w:sz w:val="24"/>
          <w:szCs w:val="24"/>
          <w:highlight w:val="none"/>
          <w14:textFill>
            <w14:solidFill>
              <w14:schemeClr w14:val="tx1"/>
            </w14:solidFill>
          </w14:textFill>
        </w:rPr>
        <w:br w:type="page" w:clear="all"/>
      </w:r>
      <w:r/>
    </w:p>
    <w:p>
      <w:pPr>
        <w:ind w:firstLine="480"/>
        <w:shd w:val="clear" w:color="auto"/>
        <w:rPr>
          <w:rFonts w:hint="default" w:ascii="黑体" w:hAnsi="宋体" w:eastAsia="黑体"/>
          <w:bCs/>
          <w:color w:val="000000" w:themeColor="text1"/>
          <w:sz w:val="24"/>
          <w:szCs w:val="21"/>
          <w:highlight w:val="none"/>
          <w14:textFill>
            <w14:solidFill>
              <w14:schemeClr w14:val="tx1"/>
            </w14:solidFill>
          </w14:textFill>
        </w:rPr>
        <w:outlineLvl w:val="0"/>
      </w:pPr>
      <w:r>
        <w:rPr>
          <w:rFonts w:hint="eastAsia" w:ascii="黑体" w:hAnsi="宋体" w:eastAsia="黑体"/>
          <w:bCs/>
          <w:color w:val="000000" w:themeColor="text1"/>
          <w:sz w:val="24"/>
          <w:szCs w:val="21"/>
          <w:highlight w:val="none"/>
          <w14:textFill>
            <w14:solidFill>
              <w14:schemeClr w14:val="tx1"/>
            </w14:solidFill>
          </w14:textFill>
        </w:rPr>
        <w:t xml:space="preserve">拟派其他协审人员业绩明细表（格式）：</w:t>
      </w:r>
      <w:r/>
    </w:p>
    <w:p>
      <w:pPr>
        <w:ind w:firstLine="480"/>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default" w:ascii="宋体" w:hAnsi="宋体"/>
          <w:bCs/>
          <w:color w:val="000000" w:themeColor="text1"/>
          <w:sz w:val="24"/>
          <w:szCs w:val="24"/>
          <w:highlight w:val="none"/>
          <w14:textFill>
            <w14:solidFill>
              <w14:schemeClr w14:val="tx1"/>
            </w14:solidFill>
          </w14:textFill>
        </w:rPr>
      </w:r>
      <w:r/>
    </w:p>
    <w:p>
      <w:pPr>
        <w:jc w:val="center"/>
        <w:spacing w:line="360" w:lineRule="auto"/>
        <w:shd w:val="clear" w:color="auto"/>
        <w:rPr>
          <w:rFonts w:hint="default" w:ascii="宋体" w:hAnsi="宋体"/>
          <w:b/>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t xml:space="preserve">拟派其他协审人员业绩明细表</w:t>
      </w:r>
      <w:r/>
    </w:p>
    <w:p>
      <w:pPr>
        <w:spacing w:line="360" w:lineRule="auto"/>
        <w:shd w:val="clear" w:color="auto"/>
        <w:rPr>
          <w:rFonts w:hint="default"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投标人名称（盖章）                          采购项目编号：</w:t>
      </w:r>
      <w:r/>
    </w:p>
    <w:tbl>
      <w:tblPr>
        <w:tblStyle w:val="1064"/>
        <w:tblW w:w="10134" w:type="dxa"/>
        <w:jc w:val="center"/>
        <w:tblLayout w:type="autofit"/>
        <w:tblCellMar>
          <w:left w:w="108" w:type="dxa"/>
          <w:top w:w="0" w:type="dxa"/>
          <w:right w:w="108" w:type="dxa"/>
          <w:bottom w:w="0" w:type="dxa"/>
        </w:tblCellMar>
        <w:tblLook w:val="04A0" w:firstRow="1" w:lastRow="0" w:firstColumn="1" w:lastColumn="0" w:noHBand="0" w:noVBand="1"/>
      </w:tblPr>
      <w:tblGrid>
        <w:gridCol w:w="666"/>
        <w:gridCol w:w="1233"/>
        <w:gridCol w:w="1389"/>
        <w:gridCol w:w="1389"/>
        <w:gridCol w:w="1389"/>
        <w:gridCol w:w="1704"/>
        <w:gridCol w:w="991"/>
        <w:gridCol w:w="686"/>
        <w:gridCol w:w="687"/>
      </w:tblGrid>
      <w:tr>
        <w:trPr>
          <w:jc w:val="center"/>
          <w:trHeight w:val="48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委托方/建设方</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建设单位联络人姓名、职务、联系方式</w:t>
            </w:r>
            <w:r/>
          </w:p>
        </w:tc>
        <w:tc>
          <w:tcPr>
            <w:tcBorders>
              <w:top w:val="single" w:color="auto"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业绩对应立项项目</w:t>
            </w:r>
            <w:r/>
          </w:p>
        </w:tc>
        <w:tc>
          <w:tcPr>
            <w:tcBorders>
              <w:top w:val="single" w:color="auto"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业绩对应的施工合同名称</w:t>
            </w:r>
            <w:r/>
          </w:p>
        </w:tc>
        <w:tc>
          <w:tcPr>
            <w:tcBorders>
              <w:top w:val="single" w:color="auto"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审核报告或审定单出具时间</w:t>
            </w:r>
            <w:r/>
          </w:p>
        </w:tc>
        <w:tc>
          <w:tcPr>
            <w:tcBorders>
              <w:top w:val="single" w:color="auto"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业绩所在页码</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Height w:val="285"/>
        </w:trPr>
        <w:tc>
          <w:tcPr>
            <w:tcBorders>
              <w:top w:val="none" w:color="000000" w:sz="4" w:space="0"/>
              <w:left w:val="single" w:color="auto" w:sz="4" w:space="0"/>
              <w:right w:val="single" w:color="auto" w:sz="4" w:space="0"/>
            </w:tcBorders>
            <w:tcW w:w="666"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33"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top w:val="none" w:color="000000" w:sz="4" w:space="0"/>
              <w:left w:val="single" w:color="auto" w:sz="4" w:space="0"/>
              <w:right w:val="single" w:color="auto" w:sz="4" w:space="0"/>
            </w:tcBorders>
            <w:tcW w:w="666"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33"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top w:val="none" w:color="000000" w:sz="4" w:space="0"/>
              <w:left w:val="single" w:color="auto" w:sz="4" w:space="0"/>
              <w:right w:val="single" w:color="auto" w:sz="4" w:space="0"/>
            </w:tcBorders>
            <w:tcW w:w="666"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right w:val="single" w:color="auto" w:sz="4" w:space="0"/>
            </w:tcBorders>
            <w:tcW w:w="1233" w:type="dxa"/>
            <w:vAlign w:val="center"/>
            <w:vMerge w:val="restart"/>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r>
        <w:trPr>
          <w:jc w:val="center"/>
          <w:trHeight w:val="285"/>
        </w:trPr>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left w:val="none" w:color="000000" w:sz="4" w:space="0"/>
              <w:bottom w:val="single" w:color="auto" w:sz="4" w:space="0"/>
              <w:right w:val="single" w:color="auto" w:sz="4" w:space="0"/>
            </w:tcBorders>
            <w:tcW w:w="1233" w:type="dxa"/>
            <w:vAlign w:val="center"/>
            <w:vMerge w:val="continue"/>
            <w:textDirection w:val="lrTb"/>
            <w:noWrap w:val="false"/>
          </w:tcPr>
          <w:p>
            <w:pPr>
              <w:jc w:val="center"/>
              <w:shd w:val="clear" w:color="auto"/>
              <w:widowControl/>
              <w:rPr>
                <w:rFonts w:hint="default" w:ascii="宋体" w:hAnsi="宋体" w:cs="宋体"/>
                <w:b/>
                <w:color w:val="auto"/>
                <w:szCs w:val="21"/>
                <w:highlight w:val="none"/>
                <w:u w:val="single"/>
              </w:rPr>
            </w:pPr>
            <w:r>
              <w:rPr>
                <w:rFonts w:hint="default" w:ascii="宋体" w:hAnsi="宋体" w:cs="宋体"/>
                <w:b/>
                <w:color w:val="auto"/>
                <w:szCs w:val="21"/>
                <w:highlight w:val="none"/>
                <w:u w:val="single"/>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389"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91"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6"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val="false"/>
          </w:tcPr>
          <w:p>
            <w:pPr>
              <w:jc w:val="center"/>
              <w:shd w:val="clear" w:color="auto"/>
              <w:widowControl/>
              <w:rPr>
                <w:rFonts w:hint="default" w:ascii="宋体" w:hAnsi="宋体" w:cs="宋体"/>
                <w:b/>
                <w:color w:val="000000" w:themeColor="text1"/>
                <w:szCs w:val="21"/>
                <w:highlight w:val="none"/>
                <w:u w:val="single"/>
                <w14:textFill>
                  <w14:solidFill>
                    <w14:schemeClr w14:val="tx1"/>
                  </w14:solidFill>
                </w14:textFill>
              </w:rPr>
            </w:pPr>
            <w:r>
              <w:rPr>
                <w:rFonts w:hint="default" w:ascii="宋体" w:hAnsi="宋体" w:cs="宋体"/>
                <w:b/>
                <w:color w:val="000000" w:themeColor="text1"/>
                <w:szCs w:val="21"/>
                <w:highlight w:val="none"/>
                <w:u w:val="single"/>
                <w14:textFill>
                  <w14:solidFill>
                    <w14:schemeClr w14:val="tx1"/>
                  </w14:solidFill>
                </w14:textFill>
              </w:rPr>
            </w:r>
            <w:r/>
          </w:p>
        </w:tc>
      </w:tr>
    </w:tbl>
    <w:p>
      <w:pPr>
        <w:shd w:val="clear" w:color="auto"/>
        <w:rPr>
          <w:rFonts w:hint="default" w:ascii="宋体" w:hAnsi="宋体"/>
          <w:b/>
          <w:bCs/>
          <w:color w:val="000000" w:themeColor="text1"/>
          <w:sz w:val="24"/>
          <w:szCs w:val="24"/>
          <w:highlight w:val="none"/>
          <w14:textFill>
            <w14:solidFill>
              <w14:schemeClr w14:val="tx1"/>
            </w14:solidFill>
          </w14:textFill>
        </w:rPr>
        <w:outlineLvl w:val="0"/>
      </w:pPr>
      <w:r>
        <w:rPr>
          <w:rFonts w:hint="eastAsia" w:ascii="宋体" w:hAnsi="宋体"/>
          <w:b/>
          <w:bCs/>
          <w:color w:val="000000" w:themeColor="text1"/>
          <w:sz w:val="24"/>
          <w:szCs w:val="24"/>
          <w:highlight w:val="none"/>
          <w14:textFill>
            <w14:solidFill>
              <w14:schemeClr w14:val="tx1"/>
            </w14:solidFill>
          </w14:textFill>
        </w:rPr>
        <w:t xml:space="preserve">法定代表人或法定代表人授权代表签字或盖章：</w:t>
      </w:r>
      <w:r/>
    </w:p>
    <w:p>
      <w:pPr>
        <w:shd w:val="clear" w:color="auto"/>
        <w:rPr>
          <w:rFonts w:hint="default" w:ascii="宋体" w:hAnsi="宋体"/>
          <w:b/>
          <w:bCs/>
          <w:color w:val="000000" w:themeColor="text1"/>
          <w:sz w:val="24"/>
          <w:szCs w:val="24"/>
          <w:highlight w:val="none"/>
          <w14:textFill>
            <w14:solidFill>
              <w14:schemeClr w14:val="tx1"/>
            </w14:solidFill>
          </w14:textFill>
        </w:rPr>
        <w:outlineLvl w:val="0"/>
      </w:pPr>
      <w:r>
        <w:rPr>
          <w:rFonts w:hint="default" w:ascii="宋体" w:hAnsi="宋体"/>
          <w:b/>
          <w:bCs/>
          <w:color w:val="000000" w:themeColor="text1"/>
          <w:sz w:val="24"/>
          <w:szCs w:val="24"/>
          <w:highlight w:val="none"/>
          <w14:textFill>
            <w14:solidFill>
              <w14:schemeClr w14:val="tx1"/>
            </w14:solidFill>
          </w14:textFill>
        </w:rPr>
      </w:r>
      <w:r/>
    </w:p>
    <w:p>
      <w:pPr>
        <w:shd w:val="clear" w:color="auto"/>
        <w:rPr>
          <w:rFonts w:hint="default"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注：1.拟派其他协审人员必须为拟派项目人员配置名单中明确的</w:t>
      </w:r>
      <w:r>
        <w:rPr>
          <w:rFonts w:hint="eastAsia" w:ascii="宋体" w:hAnsi="宋体" w:cs="宋体"/>
          <w:color w:val="000000" w:themeColor="text1"/>
          <w:sz w:val="24"/>
          <w:szCs w:val="21"/>
          <w:highlight w:val="none"/>
          <w14:textFill>
            <w14:solidFill>
              <w14:schemeClr w14:val="tx1"/>
            </w14:solidFill>
          </w14:textFill>
        </w:rPr>
        <w:t xml:space="preserve">其他协审人员</w:t>
      </w:r>
      <w:r>
        <w:rPr>
          <w:rFonts w:hint="eastAsia" w:ascii="宋体" w:hAnsi="宋体"/>
          <w:bCs/>
          <w:color w:val="000000" w:themeColor="text1"/>
          <w:sz w:val="24"/>
          <w:szCs w:val="24"/>
          <w:highlight w:val="none"/>
          <w14:textFill>
            <w14:solidFill>
              <w14:schemeClr w14:val="tx1"/>
            </w14:solidFill>
          </w14:textFill>
        </w:rPr>
        <w:t xml:space="preserve">，否则不予计分。</w:t>
      </w:r>
      <w:r/>
    </w:p>
    <w:p>
      <w:pPr>
        <w:ind w:firstLine="360"/>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2.本表可自行延长。</w:t>
      </w:r>
      <w:r/>
    </w:p>
    <w:p>
      <w:pPr>
        <w:jc w:val="center"/>
        <w:spacing w:line="40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85"/>
        <w:ind w:firstLine="30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40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40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5"/>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5"/>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5"/>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5"/>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5"/>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5"/>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5"/>
        <w:ind w:firstLine="180"/>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79"/>
        <w:shd w:val="clear" w:color="auto"/>
        <w:tabs>
          <w:tab w:val="left" w:pos="540" w:leader="none"/>
        </w:tabs>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（十</w:t>
      </w:r>
      <w:r>
        <w:rPr>
          <w:rFonts w:hint="eastAsia" w:ascii="黑体" w:eastAsia="黑体"/>
          <w:bCs/>
          <w:color w:val="000000" w:themeColor="text1"/>
          <w:sz w:val="24"/>
          <w:szCs w:val="24"/>
          <w:highlight w:val="none"/>
          <w:lang w:val="en-US" w:eastAsia="zh-CN"/>
          <w14:textFill>
            <w14:solidFill>
              <w14:schemeClr w14:val="tx1"/>
            </w14:solidFill>
          </w14:textFill>
        </w:rPr>
        <w:t xml:space="preserve">二</w:t>
      </w:r>
      <w:r>
        <w:rPr>
          <w:rFonts w:hint="eastAsia" w:ascii="黑体" w:eastAsia="黑体"/>
          <w:bCs/>
          <w:color w:val="000000" w:themeColor="text1"/>
          <w:sz w:val="24"/>
          <w:szCs w:val="24"/>
          <w:highlight w:val="none"/>
          <w14:textFill>
            <w14:solidFill>
              <w14:schemeClr w14:val="tx1"/>
            </w14:solidFill>
          </w14:textFill>
        </w:rPr>
        <w:t xml:space="preserve">）评分标准中对应的所需证明材料（如有）及技术方案：</w:t>
      </w:r>
      <w:r/>
    </w:p>
    <w:p>
      <w:pPr>
        <w:pStyle w:val="1313"/>
        <w:shd w:val="clear" w:color="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pStyle w:val="1313"/>
        <w:shd w:val="clear" w:color="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pStyle w:val="1313"/>
        <w:ind w:firstLine="480"/>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pStyle w:val="1313"/>
        <w:ind w:firstLine="0"/>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注：投标人应按评分点提供证明材料及编制完整的技术方案，以便评审。</w:t>
      </w:r>
      <w:r/>
    </w:p>
    <w:p>
      <w:pPr>
        <w:spacing w:line="360" w:lineRule="auto"/>
        <w:shd w:val="clear" w:color="auto"/>
        <w:rPr>
          <w:rFonts w:hint="eastAsia" w:ascii="黑体" w:eastAsia="黑体"/>
          <w:bCs/>
          <w:color w:val="000000" w:themeColor="text1"/>
          <w:sz w:val="24"/>
          <w:szCs w:val="24"/>
          <w:highlight w:val="none"/>
          <w14:textFill>
            <w14:solidFill>
              <w14:schemeClr w14:val="tx1"/>
            </w14:solidFill>
          </w14:textFill>
        </w:rPr>
      </w:pPr>
      <w:r/>
      <w:bookmarkStart w:id="49" w:name="_Toc112006949"/>
      <w:r>
        <w:rPr>
          <w:color w:val="000000" w:themeColor="text1"/>
          <w:szCs w:val="21"/>
          <w:highlight w:val="none"/>
          <w14:textFill>
            <w14:solidFill>
              <w14:schemeClr w14:val="tx1"/>
            </w14:solidFill>
          </w14:textFill>
        </w:rPr>
        <w:br w:type="page" w:clear="all"/>
      </w:r>
      <w:r>
        <w:rPr>
          <w:rFonts w:hint="eastAsia" w:ascii="黑体" w:eastAsia="黑体"/>
          <w:bCs/>
          <w:color w:val="000000" w:themeColor="text1"/>
          <w:sz w:val="24"/>
          <w:szCs w:val="24"/>
          <w:highlight w:val="none"/>
          <w14:textFill>
            <w14:solidFill>
              <w14:schemeClr w14:val="tx1"/>
            </w14:solidFill>
          </w14:textFill>
        </w:rPr>
        <w:t xml:space="preserve">（十</w:t>
      </w:r>
      <w:r>
        <w:rPr>
          <w:rFonts w:hint="eastAsia" w:ascii="黑体" w:eastAsia="黑体"/>
          <w:bCs/>
          <w:color w:val="000000" w:themeColor="text1"/>
          <w:sz w:val="24"/>
          <w:szCs w:val="24"/>
          <w:highlight w:val="none"/>
          <w:lang w:val="en-US" w:eastAsia="zh-CN"/>
          <w14:textFill>
            <w14:solidFill>
              <w14:schemeClr w14:val="tx1"/>
            </w14:solidFill>
          </w14:textFill>
        </w:rPr>
        <w:t xml:space="preserve">三</w:t>
      </w:r>
      <w:r>
        <w:rPr>
          <w:rFonts w:hint="eastAsia" w:ascii="黑体" w:eastAsia="黑体"/>
          <w:bCs/>
          <w:color w:val="000000" w:themeColor="text1"/>
          <w:sz w:val="24"/>
          <w:szCs w:val="24"/>
          <w:highlight w:val="none"/>
          <w14:textFill>
            <w14:solidFill>
              <w14:schemeClr w14:val="tx1"/>
            </w14:solidFill>
          </w14:textFill>
        </w:rPr>
        <w:t xml:space="preserve">）其他材料</w:t>
      </w:r>
      <w:bookmarkEnd w:id="49"/>
      <w:r>
        <w:rPr>
          <w:rFonts w:hint="eastAsia" w:ascii="黑体" w:eastAsia="黑体"/>
          <w:bCs/>
          <w:color w:val="000000" w:themeColor="text1"/>
          <w:sz w:val="24"/>
          <w:szCs w:val="24"/>
          <w:highlight w:val="none"/>
          <w14:textFill>
            <w14:solidFill>
              <w14:schemeClr w14:val="tx1"/>
            </w14:solidFill>
          </w14:textFill>
        </w:rPr>
        <w:t xml:space="preserve">：</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投标人认为有必要提供的声明和文件，如有自拟并自行添加</w:t>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spacing w:line="360" w:lineRule="auto"/>
        <w:shd w:val="clear" w:color="auto"/>
        <w:rPr>
          <w:rFonts w:hint="eastAsia"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r>
      <w:r/>
    </w:p>
    <w:p>
      <w:pPr>
        <w:ind w:firstLine="4440"/>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投标人名称(公章)：</w:t>
      </w:r>
      <w:r/>
    </w:p>
    <w:p>
      <w:pPr>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法定代表人或授权委托人(签字)：</w:t>
      </w:r>
      <w:r/>
    </w:p>
    <w:p>
      <w:pPr>
        <w:jc w:val="center"/>
        <w:spacing w:line="360" w:lineRule="auto"/>
        <w:shd w:val="clear" w:color="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r/>
    </w:p>
    <w:sectPr>
      <w:headerReference w:type="default" r:id="rId13"/>
      <w:footerReference w:type="default" r:id="rId23"/>
      <w:footnotePr/>
      <w:endnotePr/>
      <w:type w:val="nextPage"/>
      <w:pgSz w:w="11907" w:h="16840" w:orient="portrait"/>
      <w:pgMar w:top="1440" w:right="1417"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rPr>
        <w:rStyle w:val="1289"/>
      </w:rPr>
      <w:framePr w:wrap="around" w:vAnchor="text" w:hAnchor="margin" w:xAlign="center" w:y="1"/>
    </w:pPr>
    <w:r>
      <w:rPr>
        <w:rStyle w:val="1289"/>
      </w:rPr>
      <w:fldChar w:fldCharType="begin"/>
    </w:r>
    <w:r>
      <w:rPr>
        <w:rStyle w:val="1289"/>
      </w:rPr>
      <w:instrText xml:space="preserve">PAGE  </w:instrText>
    </w:r>
    <w:r>
      <w:rPr>
        <w:rStyle w:val="1289"/>
      </w:rPr>
      <w:fldChar w:fldCharType="separate"/>
    </w:r>
    <w:r>
      <w:rPr>
        <w:rStyle w:val="1289"/>
      </w:rPr>
      <w:t xml:space="preserve">1</w:t>
    </w:r>
    <w:r>
      <w:rPr>
        <w:rStyle w:val="1289"/>
      </w:rPr>
      <w:fldChar w:fldCharType="end"/>
    </w:r>
    <w:r/>
  </w:p>
  <w:p>
    <w:pPr>
      <w:pStyle w:val="127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宋体" w:hAnsi="宋体" w:eastAsia="宋体" w:cs="宋体"/>
        <w:sz w:val="18"/>
        <w:szCs w:val="18"/>
        <w:lang w:val="en-US" w:eastAsia="en-US" w:bidi="ar-SA"/>
      </w:rPr>
    </w:pPr>
    <w:r>
      <w:rPr>
        <w:rFonts w:hint="eastAsia" w:ascii="宋体" w:hAnsi="宋体" w:eastAsia="宋体" w:cs="宋体"/>
        <w:sz w:val="18"/>
        <w:szCs w:val="18"/>
        <w:lang w:val="en-US" w:eastAsia="en-US" w:bidi="ar-SA"/>
      </w:rPr>
      <w:fldChar w:fldCharType="begin"/>
    </w:r>
    <w:r>
      <w:rPr>
        <w:rFonts w:hint="eastAsia" w:ascii="宋体" w:hAnsi="宋体" w:eastAsia="宋体" w:cs="宋体"/>
        <w:sz w:val="18"/>
        <w:szCs w:val="18"/>
        <w:lang w:val="en-US" w:eastAsia="en-US" w:bidi="ar-SA"/>
      </w:rPr>
      <w:instrText xml:space="preserve"> PAGE   \* MERGEFORMAT </w:instrText>
    </w:r>
    <w:r>
      <w:rPr>
        <w:rFonts w:hint="eastAsia" w:ascii="宋体" w:hAnsi="宋体" w:eastAsia="宋体" w:cs="宋体"/>
        <w:sz w:val="18"/>
        <w:szCs w:val="18"/>
        <w:lang w:val="en-US" w:eastAsia="en-US" w:bidi="ar-SA"/>
      </w:rPr>
      <w:fldChar w:fldCharType="separate"/>
    </w:r>
    <w:r>
      <w:rPr>
        <w:rFonts w:hint="eastAsia" w:ascii="宋体" w:hAnsi="宋体" w:eastAsia="宋体" w:cs="宋体"/>
        <w:sz w:val="18"/>
        <w:szCs w:val="18"/>
        <w:lang w:val="zh-CN" w:eastAsia="en-US" w:bidi="ar-SA"/>
      </w:rPr>
      <w:t xml:space="preserve">28</w:t>
    </w:r>
    <w:r>
      <w:rPr>
        <w:rFonts w:hint="eastAsia" w:ascii="宋体" w:hAnsi="宋体" w:eastAsia="宋体" w:cs="宋体"/>
        <w:sz w:val="18"/>
        <w:szCs w:val="18"/>
        <w:lang w:val="zh-CN" w:eastAsia="en-US"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en-US" w:bidi="ar-SA"/>
      </w:rPr>
    </w:pPr>
    <w:r>
      <w:rPr>
        <w:rFonts w:ascii="Times New Roman" w:hAnsi="Times New Roman" w:eastAsia="宋体" w:cs="Times New Roman"/>
        <w:sz w:val="18"/>
        <w:szCs w:val="18"/>
        <w:lang w:val="en-US" w:eastAsia="en-US"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pPr>
                          <w:r>
                            <w:fldChar w:fldCharType="begin"/>
                          </w:r>
                          <w:r>
                            <w:instrText xml:space="preserve"> PAGE  \* MERGEFORMAT </w:instrText>
                          </w:r>
                          <w:r>
                            <w:fldChar w:fldCharType="separate"/>
                          </w:r>
                          <w:r>
                            <w:t xml:space="preserve">11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pPr>
                    <w:r>
                      <w:fldChar w:fldCharType="begin"/>
                    </w:r>
                    <w:r>
                      <w:instrText xml:space="preserve"> PAGE  \* MERGEFORMAT </w:instrText>
                    </w:r>
                    <w:r>
                      <w:fldChar w:fldCharType="separate"/>
                    </w:r>
                    <w:r>
                      <w:t xml:space="preserve">11</w:t>
                    </w:r>
                    <w:r>
                      <w:fldChar w:fldCharType="end"/>
                    </w:r>
                    <w:r/>
                  </w:p>
                  <w:p>
                    <w:r/>
                    <w:r/>
                  </w:p>
                </w:txbxContent>
              </v:textbox>
            </v:shape>
          </w:pict>
        </mc:Fallback>
      </mc:AlternateConten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both"/>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ind w:firstLine="3410"/>
      <w:jc w:val="both"/>
      <w:rPr>
        <w:rFonts w:hint="eastAsia" w:eastAsia="楷体_GB2312"/>
      </w:rPr>
      <w:pBdr>
        <w:bottom w:val="none" w:color="000000" w:sz="0" w:space="1"/>
      </w:pBdr>
    </w:pPr>
    <w:r>
      <w:rPr>
        <w:rFonts w:hint="eastAsia" w:eastAsia="楷体_GB2312"/>
        <w:sz w:val="22"/>
        <w:szCs w:val="22"/>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both"/>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both"/>
      <w:rPr>
        <w:rFonts w:hint="eastAsia" w:eastAsia="楷体_GB2312"/>
      </w:rPr>
      <w:pBdr>
        <w:bottom w:val="none" w:color="000000" w:sz="0" w:space="1"/>
      </w:pBdr>
    </w:pPr>
    <w:r>
      <w:rPr>
        <w:rFonts w:hint="eastAsia" w:eastAsia="楷体_GB2312"/>
        <w:sz w:val="21"/>
      </w:rPr>
      <w:t xml:space="preserve"> </w:t>
    </w:r>
    <w:r>
      <w:rPr>
        <w:rFonts w:eastAsia="楷体_GB2312"/>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r/>
  </w:p>
  <w:p>
    <w:pPr>
      <w:rPr>
        <w:rFonts w:hint="eastAsia" w:eastAsia="楷体_GB2312"/>
      </w:rPr>
    </w:pPr>
    <w:r>
      <w:rPr>
        <w:rFonts w:hint="eastAsia"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upperLetter"/>
      <w:pStyle w:val="124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3" w:default="1">
    <w:name w:val="Normal"/>
    <w:link w:val="1316"/>
    <w:uiPriority w:val="0"/>
    <w:qFormat/>
    <w:pPr>
      <w:jc w:val="both"/>
      <w:widowControl w:val="off"/>
    </w:pPr>
    <w:rPr>
      <w:rFonts w:hint="default" w:ascii="Times New Roman" w:hAnsi="Times New Roman" w:eastAsia="宋体" w:cs="Times New Roman"/>
      <w:sz w:val="21"/>
      <w:lang w:val="en-US" w:eastAsia="zh-CN" w:bidi="ar-SA"/>
    </w:rPr>
  </w:style>
  <w:style w:type="paragraph" w:styleId="1054">
    <w:name w:val="Heading 1"/>
    <w:basedOn w:val="1053"/>
    <w:next w:val="1053"/>
    <w:link w:val="1092"/>
    <w:uiPriority w:val="9"/>
    <w:qFormat/>
    <w:pPr>
      <w:keepLines/>
      <w:keepNext/>
      <w:spacing w:before="480" w:after="200"/>
      <w:outlineLvl w:val="0"/>
    </w:pPr>
    <w:rPr>
      <w:rFonts w:ascii="Arial" w:hAnsi="Arial" w:eastAsia="Arial" w:cs="Arial"/>
      <w:sz w:val="40"/>
      <w:szCs w:val="40"/>
    </w:rPr>
  </w:style>
  <w:style w:type="paragraph" w:styleId="1055">
    <w:name w:val="Heading 2"/>
    <w:basedOn w:val="1053"/>
    <w:next w:val="1053"/>
    <w:link w:val="1093"/>
    <w:uiPriority w:val="9"/>
    <w:unhideWhenUsed/>
    <w:qFormat/>
    <w:pPr>
      <w:keepLines/>
      <w:keepNext/>
      <w:spacing w:before="360" w:after="200"/>
      <w:outlineLvl w:val="1"/>
    </w:pPr>
    <w:rPr>
      <w:rFonts w:ascii="Arial" w:hAnsi="Arial" w:eastAsia="Arial" w:cs="Arial"/>
      <w:sz w:val="34"/>
    </w:rPr>
  </w:style>
  <w:style w:type="paragraph" w:styleId="1056">
    <w:name w:val="Heading 3"/>
    <w:basedOn w:val="1053"/>
    <w:next w:val="1053"/>
    <w:link w:val="1094"/>
    <w:uiPriority w:val="9"/>
    <w:unhideWhenUsed/>
    <w:qFormat/>
    <w:pPr>
      <w:keepLines/>
      <w:keepNext/>
      <w:spacing w:before="320" w:after="200"/>
      <w:outlineLvl w:val="2"/>
    </w:pPr>
    <w:rPr>
      <w:rFonts w:ascii="Arial" w:hAnsi="Arial" w:eastAsia="Arial" w:cs="Arial"/>
      <w:sz w:val="30"/>
      <w:szCs w:val="30"/>
    </w:rPr>
  </w:style>
  <w:style w:type="paragraph" w:styleId="1057">
    <w:name w:val="Heading 4"/>
    <w:basedOn w:val="1053"/>
    <w:next w:val="1053"/>
    <w:link w:val="1095"/>
    <w:uiPriority w:val="9"/>
    <w:unhideWhenUsed/>
    <w:qFormat/>
    <w:pPr>
      <w:keepLines/>
      <w:keepNext/>
      <w:spacing w:before="320" w:after="200"/>
      <w:outlineLvl w:val="3"/>
    </w:pPr>
    <w:rPr>
      <w:rFonts w:ascii="Arial" w:hAnsi="Arial" w:eastAsia="Arial" w:cs="Arial"/>
      <w:b/>
      <w:bCs/>
      <w:sz w:val="26"/>
      <w:szCs w:val="26"/>
    </w:rPr>
  </w:style>
  <w:style w:type="paragraph" w:styleId="1058">
    <w:name w:val="Heading 5"/>
    <w:basedOn w:val="1053"/>
    <w:next w:val="1053"/>
    <w:link w:val="1096"/>
    <w:uiPriority w:val="9"/>
    <w:unhideWhenUsed/>
    <w:qFormat/>
    <w:pPr>
      <w:keepLines/>
      <w:keepNext/>
      <w:spacing w:before="320" w:after="200"/>
      <w:outlineLvl w:val="4"/>
    </w:pPr>
    <w:rPr>
      <w:rFonts w:ascii="Arial" w:hAnsi="Arial" w:eastAsia="Arial" w:cs="Arial"/>
      <w:b/>
      <w:bCs/>
      <w:sz w:val="24"/>
      <w:szCs w:val="24"/>
    </w:rPr>
  </w:style>
  <w:style w:type="paragraph" w:styleId="1059">
    <w:name w:val="Heading 6"/>
    <w:basedOn w:val="1053"/>
    <w:next w:val="1053"/>
    <w:link w:val="1097"/>
    <w:uiPriority w:val="9"/>
    <w:unhideWhenUsed/>
    <w:qFormat/>
    <w:pPr>
      <w:keepLines/>
      <w:keepNext/>
      <w:spacing w:before="320" w:after="200"/>
      <w:outlineLvl w:val="5"/>
    </w:pPr>
    <w:rPr>
      <w:rFonts w:ascii="Arial" w:hAnsi="Arial" w:eastAsia="Arial" w:cs="Arial"/>
      <w:b/>
      <w:bCs/>
      <w:sz w:val="22"/>
      <w:szCs w:val="22"/>
    </w:rPr>
  </w:style>
  <w:style w:type="paragraph" w:styleId="1060">
    <w:name w:val="Heading 7"/>
    <w:basedOn w:val="1053"/>
    <w:next w:val="1053"/>
    <w:link w:val="1098"/>
    <w:uiPriority w:val="9"/>
    <w:unhideWhenUsed/>
    <w:qFormat/>
    <w:pPr>
      <w:keepLines/>
      <w:keepNext/>
      <w:spacing w:before="320" w:after="200"/>
      <w:outlineLvl w:val="6"/>
    </w:pPr>
    <w:rPr>
      <w:rFonts w:ascii="Arial" w:hAnsi="Arial" w:eastAsia="Arial" w:cs="Arial"/>
      <w:b/>
      <w:bCs/>
      <w:i/>
      <w:iCs/>
      <w:sz w:val="22"/>
      <w:szCs w:val="22"/>
    </w:rPr>
  </w:style>
  <w:style w:type="paragraph" w:styleId="1061">
    <w:name w:val="Heading 8"/>
    <w:basedOn w:val="1053"/>
    <w:next w:val="1053"/>
    <w:link w:val="1099"/>
    <w:uiPriority w:val="9"/>
    <w:unhideWhenUsed/>
    <w:qFormat/>
    <w:pPr>
      <w:keepLines/>
      <w:keepNext/>
      <w:spacing w:before="320" w:after="200"/>
      <w:outlineLvl w:val="7"/>
    </w:pPr>
    <w:rPr>
      <w:rFonts w:ascii="Arial" w:hAnsi="Arial" w:eastAsia="Arial" w:cs="Arial"/>
      <w:i/>
      <w:iCs/>
      <w:sz w:val="22"/>
      <w:szCs w:val="22"/>
    </w:rPr>
  </w:style>
  <w:style w:type="paragraph" w:styleId="1062">
    <w:name w:val="Heading 9"/>
    <w:basedOn w:val="1053"/>
    <w:next w:val="1053"/>
    <w:link w:val="1100"/>
    <w:uiPriority w:val="9"/>
    <w:unhideWhenUsed/>
    <w:qFormat/>
    <w:pPr>
      <w:keepLines/>
      <w:keepNext/>
      <w:spacing w:before="320" w:after="200"/>
      <w:outlineLvl w:val="8"/>
    </w:pPr>
    <w:rPr>
      <w:rFonts w:ascii="Arial" w:hAnsi="Arial" w:eastAsia="Arial" w:cs="Arial"/>
      <w:i/>
      <w:iCs/>
      <w:sz w:val="21"/>
      <w:szCs w:val="21"/>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toc 7"/>
    <w:basedOn w:val="1053"/>
    <w:next w:val="1053"/>
    <w:uiPriority w:val="39"/>
    <w:unhideWhenUsed/>
    <w:qFormat/>
    <w:pPr>
      <w:ind w:left="1701" w:right="0" w:firstLine="0"/>
      <w:spacing w:after="57"/>
    </w:pPr>
  </w:style>
  <w:style w:type="paragraph" w:styleId="1066">
    <w:name w:val="Caption"/>
    <w:basedOn w:val="1053"/>
    <w:next w:val="10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67">
    <w:name w:val="annotation text"/>
    <w:basedOn w:val="1053"/>
    <w:uiPriority w:val="0"/>
    <w:qFormat/>
    <w:pPr>
      <w:jc w:val="left"/>
    </w:pPr>
  </w:style>
  <w:style w:type="paragraph" w:styleId="1068">
    <w:name w:val="Body Text"/>
    <w:basedOn w:val="1053"/>
    <w:uiPriority w:val="99"/>
    <w:unhideWhenUsed/>
    <w:qFormat/>
    <w:pPr>
      <w:spacing w:after="120"/>
    </w:pPr>
  </w:style>
  <w:style w:type="paragraph" w:styleId="1069">
    <w:name w:val="Body Text Indent"/>
    <w:basedOn w:val="1053"/>
    <w:uiPriority w:val="0"/>
    <w:unhideWhenUsed/>
    <w:qFormat/>
    <w:pPr>
      <w:ind w:firstLine="576"/>
    </w:pPr>
    <w:rPr>
      <w:b/>
      <w:sz w:val="30"/>
    </w:rPr>
  </w:style>
  <w:style w:type="paragraph" w:styleId="1070">
    <w:name w:val="toc 5"/>
    <w:basedOn w:val="1053"/>
    <w:next w:val="1053"/>
    <w:uiPriority w:val="39"/>
    <w:unhideWhenUsed/>
    <w:qFormat/>
    <w:pPr>
      <w:ind w:left="1134" w:right="0" w:firstLine="0"/>
      <w:spacing w:after="57"/>
    </w:pPr>
  </w:style>
  <w:style w:type="paragraph" w:styleId="1071">
    <w:name w:val="toc 3"/>
    <w:basedOn w:val="1053"/>
    <w:next w:val="1053"/>
    <w:uiPriority w:val="39"/>
    <w:unhideWhenUsed/>
    <w:qFormat/>
    <w:pPr>
      <w:ind w:left="567" w:right="0" w:firstLine="0"/>
      <w:spacing w:after="57"/>
    </w:pPr>
  </w:style>
  <w:style w:type="paragraph" w:styleId="1072">
    <w:name w:val="toc 8"/>
    <w:basedOn w:val="1053"/>
    <w:next w:val="1053"/>
    <w:uiPriority w:val="39"/>
    <w:unhideWhenUsed/>
    <w:qFormat/>
    <w:pPr>
      <w:ind w:left="1984" w:right="0" w:firstLine="0"/>
      <w:spacing w:after="57"/>
    </w:pPr>
  </w:style>
  <w:style w:type="paragraph" w:styleId="1073">
    <w:name w:val="endnote text"/>
    <w:basedOn w:val="1053"/>
    <w:link w:val="1237"/>
    <w:uiPriority w:val="99"/>
    <w:semiHidden/>
    <w:unhideWhenUsed/>
    <w:qFormat/>
    <w:pPr>
      <w:spacing w:after="0" w:line="240" w:lineRule="auto"/>
    </w:pPr>
    <w:rPr>
      <w:sz w:val="20"/>
    </w:rPr>
  </w:style>
  <w:style w:type="paragraph" w:styleId="1074">
    <w:name w:val="Footer"/>
    <w:basedOn w:val="1053"/>
    <w:link w:val="1110"/>
    <w:uiPriority w:val="99"/>
    <w:unhideWhenUsed/>
    <w:qFormat/>
    <w:pPr>
      <w:spacing w:after="0" w:line="240" w:lineRule="auto"/>
      <w:tabs>
        <w:tab w:val="center" w:pos="7143" w:leader="none"/>
        <w:tab w:val="right" w:pos="14287" w:leader="none"/>
      </w:tabs>
    </w:pPr>
  </w:style>
  <w:style w:type="paragraph" w:styleId="1075">
    <w:name w:val="Header"/>
    <w:basedOn w:val="1053"/>
    <w:link w:val="1108"/>
    <w:uiPriority w:val="99"/>
    <w:unhideWhenUsed/>
    <w:qFormat/>
    <w:pPr>
      <w:spacing w:after="0" w:line="240" w:lineRule="auto"/>
      <w:tabs>
        <w:tab w:val="center" w:pos="7143" w:leader="none"/>
        <w:tab w:val="right" w:pos="14287" w:leader="none"/>
      </w:tabs>
    </w:pPr>
  </w:style>
  <w:style w:type="paragraph" w:styleId="1076">
    <w:name w:val="toc 1"/>
    <w:basedOn w:val="1053"/>
    <w:next w:val="1053"/>
    <w:uiPriority w:val="39"/>
    <w:unhideWhenUsed/>
    <w:qFormat/>
  </w:style>
  <w:style w:type="paragraph" w:styleId="1077">
    <w:name w:val="toc 4"/>
    <w:basedOn w:val="1053"/>
    <w:next w:val="1053"/>
    <w:uiPriority w:val="39"/>
    <w:unhideWhenUsed/>
    <w:qFormat/>
    <w:pPr>
      <w:ind w:left="850" w:right="0" w:firstLine="0"/>
      <w:spacing w:after="57"/>
    </w:pPr>
  </w:style>
  <w:style w:type="paragraph" w:styleId="1078">
    <w:name w:val="Subtitle"/>
    <w:basedOn w:val="1053"/>
    <w:next w:val="1053"/>
    <w:link w:val="1103"/>
    <w:uiPriority w:val="11"/>
    <w:qFormat/>
    <w:pPr>
      <w:spacing w:before="200" w:after="200"/>
    </w:pPr>
    <w:rPr>
      <w:sz w:val="24"/>
      <w:szCs w:val="24"/>
    </w:rPr>
  </w:style>
  <w:style w:type="paragraph" w:styleId="1079">
    <w:name w:val="footnote text"/>
    <w:basedOn w:val="1053"/>
    <w:link w:val="1236"/>
    <w:uiPriority w:val="99"/>
    <w:semiHidden/>
    <w:unhideWhenUsed/>
    <w:qFormat/>
    <w:pPr>
      <w:spacing w:after="40" w:line="240" w:lineRule="auto"/>
    </w:pPr>
    <w:rPr>
      <w:sz w:val="18"/>
    </w:rPr>
  </w:style>
  <w:style w:type="paragraph" w:styleId="1080">
    <w:name w:val="toc 6"/>
    <w:basedOn w:val="1053"/>
    <w:next w:val="1053"/>
    <w:uiPriority w:val="39"/>
    <w:unhideWhenUsed/>
    <w:qFormat/>
    <w:pPr>
      <w:ind w:left="1417" w:right="0" w:firstLine="0"/>
      <w:spacing w:after="57"/>
    </w:pPr>
  </w:style>
  <w:style w:type="paragraph" w:styleId="1081">
    <w:name w:val="table of figures"/>
    <w:basedOn w:val="1053"/>
    <w:next w:val="1053"/>
    <w:uiPriority w:val="99"/>
    <w:unhideWhenUsed/>
    <w:qFormat/>
    <w:pPr>
      <w:spacing w:after="0" w:afterAutospacing="0"/>
    </w:pPr>
  </w:style>
  <w:style w:type="paragraph" w:styleId="1082">
    <w:name w:val="toc 2"/>
    <w:basedOn w:val="1053"/>
    <w:next w:val="1053"/>
    <w:uiPriority w:val="39"/>
    <w:qFormat/>
    <w:pPr>
      <w:ind w:left="210" w:firstLine="150"/>
      <w:jc w:val="left"/>
      <w:tabs>
        <w:tab w:val="right" w:pos="9170" w:leader="dot"/>
      </w:tabs>
    </w:pPr>
    <w:rPr>
      <w:smallCaps/>
      <w:sz w:val="20"/>
    </w:rPr>
  </w:style>
  <w:style w:type="paragraph" w:styleId="1083">
    <w:name w:val="toc 9"/>
    <w:basedOn w:val="1053"/>
    <w:next w:val="1053"/>
    <w:uiPriority w:val="39"/>
    <w:unhideWhenUsed/>
    <w:qFormat/>
    <w:pPr>
      <w:ind w:left="2268" w:right="0" w:firstLine="0"/>
      <w:spacing w:after="57"/>
    </w:pPr>
  </w:style>
  <w:style w:type="paragraph" w:styleId="1084">
    <w:name w:val="Title"/>
    <w:basedOn w:val="1053"/>
    <w:next w:val="1053"/>
    <w:link w:val="1102"/>
    <w:uiPriority w:val="10"/>
    <w:qFormat/>
    <w:pPr>
      <w:contextualSpacing/>
      <w:spacing w:before="300" w:after="200"/>
    </w:pPr>
    <w:rPr>
      <w:sz w:val="48"/>
      <w:szCs w:val="48"/>
    </w:rPr>
  </w:style>
  <w:style w:type="paragraph" w:styleId="1085">
    <w:name w:val="Body Text First Indent"/>
    <w:basedOn w:val="1053"/>
    <w:uiPriority w:val="0"/>
    <w:qFormat/>
    <w:pPr>
      <w:ind w:firstLine="420"/>
      <w:jc w:val="left"/>
      <w:spacing w:after="120"/>
      <w:widowControl/>
    </w:pPr>
    <w:rPr>
      <w:sz w:val="30"/>
    </w:rPr>
  </w:style>
  <w:style w:type="table" w:styleId="10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7">
    <w:name w:val="endnote reference"/>
    <w:uiPriority w:val="99"/>
    <w:semiHidden/>
    <w:unhideWhenUsed/>
    <w:qFormat/>
    <w:rPr>
      <w:vertAlign w:val="superscript"/>
    </w:rPr>
  </w:style>
  <w:style w:type="character" w:styleId="1088">
    <w:name w:val="Hyperlink"/>
    <w:uiPriority w:val="99"/>
    <w:unhideWhenUsed/>
    <w:qFormat/>
    <w:rPr>
      <w:color w:val="0000ff" w:themeColor="hyperlink"/>
      <w:u w:val="single"/>
      <w14:textFill>
        <w14:solidFill>
          <w14:schemeClr w14:val="hlink"/>
        </w14:solidFill>
      </w14:textFill>
    </w:rPr>
  </w:style>
  <w:style w:type="character" w:styleId="1089">
    <w:name w:val="footnote reference"/>
    <w:uiPriority w:val="99"/>
    <w:unhideWhenUsed/>
    <w:qFormat/>
    <w:rPr>
      <w:vertAlign w:val="superscript"/>
    </w:rPr>
  </w:style>
  <w:style w:type="paragraph" w:styleId="1090">
    <w:name w:val="List Paragraph"/>
    <w:basedOn w:val="1053"/>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091"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1092" w:customStyle="1">
    <w:name w:val="Heading 1 Char"/>
    <w:link w:val="1054"/>
    <w:uiPriority w:val="9"/>
    <w:qFormat/>
    <w:rPr>
      <w:rFonts w:ascii="Arial" w:hAnsi="Arial" w:eastAsia="Arial" w:cs="Arial"/>
      <w:sz w:val="40"/>
      <w:szCs w:val="40"/>
    </w:rPr>
  </w:style>
  <w:style w:type="character" w:styleId="1093" w:customStyle="1">
    <w:name w:val="Heading 2 Char"/>
    <w:link w:val="1055"/>
    <w:uiPriority w:val="9"/>
    <w:qFormat/>
    <w:rPr>
      <w:rFonts w:ascii="Arial" w:hAnsi="Arial" w:eastAsia="Arial" w:cs="Arial"/>
      <w:sz w:val="34"/>
    </w:rPr>
  </w:style>
  <w:style w:type="character" w:styleId="1094" w:customStyle="1">
    <w:name w:val="Heading 3 Char"/>
    <w:link w:val="1056"/>
    <w:uiPriority w:val="9"/>
    <w:qFormat/>
    <w:rPr>
      <w:rFonts w:ascii="Arial" w:hAnsi="Arial" w:eastAsia="Arial" w:cs="Arial"/>
      <w:sz w:val="30"/>
      <w:szCs w:val="30"/>
    </w:rPr>
  </w:style>
  <w:style w:type="character" w:styleId="1095" w:customStyle="1">
    <w:name w:val="Heading 4 Char"/>
    <w:link w:val="1057"/>
    <w:uiPriority w:val="9"/>
    <w:qFormat/>
    <w:rPr>
      <w:rFonts w:ascii="Arial" w:hAnsi="Arial" w:eastAsia="Arial" w:cs="Arial"/>
      <w:b/>
      <w:bCs/>
      <w:sz w:val="26"/>
      <w:szCs w:val="26"/>
    </w:rPr>
  </w:style>
  <w:style w:type="character" w:styleId="1096" w:customStyle="1">
    <w:name w:val="Heading 5 Char"/>
    <w:link w:val="1058"/>
    <w:uiPriority w:val="9"/>
    <w:qFormat/>
    <w:rPr>
      <w:rFonts w:ascii="Arial" w:hAnsi="Arial" w:eastAsia="Arial" w:cs="Arial"/>
      <w:b/>
      <w:bCs/>
      <w:sz w:val="24"/>
      <w:szCs w:val="24"/>
    </w:rPr>
  </w:style>
  <w:style w:type="character" w:styleId="1097" w:customStyle="1">
    <w:name w:val="Heading 6 Char"/>
    <w:link w:val="1059"/>
    <w:uiPriority w:val="9"/>
    <w:qFormat/>
    <w:rPr>
      <w:rFonts w:ascii="Arial" w:hAnsi="Arial" w:eastAsia="Arial" w:cs="Arial"/>
      <w:b/>
      <w:bCs/>
      <w:sz w:val="22"/>
      <w:szCs w:val="22"/>
    </w:rPr>
  </w:style>
  <w:style w:type="character" w:styleId="1098" w:customStyle="1">
    <w:name w:val="Heading 7 Char"/>
    <w:link w:val="1060"/>
    <w:uiPriority w:val="9"/>
    <w:qFormat/>
    <w:rPr>
      <w:rFonts w:ascii="Arial" w:hAnsi="Arial" w:eastAsia="Arial" w:cs="Arial"/>
      <w:b/>
      <w:bCs/>
      <w:i/>
      <w:iCs/>
      <w:sz w:val="22"/>
      <w:szCs w:val="22"/>
    </w:rPr>
  </w:style>
  <w:style w:type="character" w:styleId="1099" w:customStyle="1">
    <w:name w:val="Heading 8 Char"/>
    <w:link w:val="1061"/>
    <w:uiPriority w:val="9"/>
    <w:qFormat/>
    <w:rPr>
      <w:rFonts w:ascii="Arial" w:hAnsi="Arial" w:eastAsia="Arial" w:cs="Arial"/>
      <w:i/>
      <w:iCs/>
      <w:sz w:val="22"/>
      <w:szCs w:val="22"/>
    </w:rPr>
  </w:style>
  <w:style w:type="character" w:styleId="1100" w:customStyle="1">
    <w:name w:val="Heading 9 Char"/>
    <w:link w:val="1062"/>
    <w:uiPriority w:val="9"/>
    <w:qFormat/>
    <w:rPr>
      <w:rFonts w:ascii="Arial" w:hAnsi="Arial" w:eastAsia="Arial" w:cs="Arial"/>
      <w:i/>
      <w:iCs/>
      <w:sz w:val="21"/>
      <w:szCs w:val="21"/>
    </w:rPr>
  </w:style>
  <w:style w:type="paragraph" w:styleId="1101">
    <w:name w:val="No Spacing"/>
    <w:uiPriority w:val="1"/>
    <w:qFormat/>
    <w:pPr>
      <w:spacing w:before="0" w:after="0" w:line="240" w:lineRule="auto"/>
    </w:pPr>
    <w:rPr>
      <w:rFonts w:hint="default" w:ascii="Times New Roman" w:hAnsi="Times New Roman" w:eastAsia="宋体" w:cs="Times New Roman"/>
    </w:rPr>
  </w:style>
  <w:style w:type="character" w:styleId="1102" w:customStyle="1">
    <w:name w:val="Title Char"/>
    <w:link w:val="1084"/>
    <w:uiPriority w:val="10"/>
    <w:qFormat/>
    <w:rPr>
      <w:sz w:val="48"/>
      <w:szCs w:val="48"/>
    </w:rPr>
  </w:style>
  <w:style w:type="character" w:styleId="1103" w:customStyle="1">
    <w:name w:val="Subtitle Char"/>
    <w:link w:val="1078"/>
    <w:uiPriority w:val="11"/>
    <w:qFormat/>
    <w:rPr>
      <w:sz w:val="24"/>
      <w:szCs w:val="24"/>
    </w:rPr>
  </w:style>
  <w:style w:type="paragraph" w:styleId="1104">
    <w:name w:val="Quote"/>
    <w:basedOn w:val="1053"/>
    <w:next w:val="1053"/>
    <w:link w:val="1105"/>
    <w:uiPriority w:val="29"/>
    <w:qFormat/>
    <w:pPr>
      <w:ind w:left="720" w:right="720"/>
    </w:pPr>
    <w:rPr>
      <w:i/>
    </w:rPr>
  </w:style>
  <w:style w:type="character" w:styleId="1105" w:customStyle="1">
    <w:name w:val="Quote Char"/>
    <w:link w:val="1104"/>
    <w:uiPriority w:val="29"/>
    <w:qFormat/>
    <w:rPr>
      <w:i/>
    </w:rPr>
  </w:style>
  <w:style w:type="paragraph" w:styleId="1106">
    <w:name w:val="Intense Quote"/>
    <w:basedOn w:val="1053"/>
    <w:next w:val="1053"/>
    <w:link w:val="11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7" w:customStyle="1">
    <w:name w:val="Intense Quote Char"/>
    <w:link w:val="1106"/>
    <w:uiPriority w:val="30"/>
    <w:qFormat/>
    <w:rPr>
      <w:i/>
    </w:rPr>
  </w:style>
  <w:style w:type="character" w:styleId="1108" w:customStyle="1">
    <w:name w:val="Header Char"/>
    <w:link w:val="1075"/>
    <w:uiPriority w:val="99"/>
    <w:qFormat/>
  </w:style>
  <w:style w:type="character" w:styleId="1109" w:customStyle="1">
    <w:name w:val="Footer Char"/>
    <w:link w:val="1074"/>
    <w:uiPriority w:val="99"/>
    <w:qFormat/>
  </w:style>
  <w:style w:type="character" w:styleId="1110" w:customStyle="1">
    <w:name w:val="Caption Char"/>
    <w:link w:val="1074"/>
    <w:uiPriority w:val="99"/>
    <w:qFormat/>
  </w:style>
  <w:style w:type="table" w:styleId="11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6" w:customStyle="1">
    <w:name w:val="Footnote Text Char"/>
    <w:link w:val="1079"/>
    <w:uiPriority w:val="99"/>
    <w:qFormat/>
    <w:rPr>
      <w:sz w:val="18"/>
    </w:rPr>
  </w:style>
  <w:style w:type="character" w:styleId="1237" w:customStyle="1">
    <w:name w:val="Endnote Text Char"/>
    <w:link w:val="1073"/>
    <w:uiPriority w:val="99"/>
    <w:qFormat/>
    <w:rPr>
      <w:sz w:val="20"/>
    </w:rPr>
  </w:style>
  <w:style w:type="paragraph" w:styleId="1238" w:customStyle="1">
    <w:name w:val="TOC Heading"/>
    <w:uiPriority w:val="39"/>
    <w:unhideWhenUsed/>
    <w:qFormat/>
    <w:rPr>
      <w:rFonts w:hint="default" w:ascii="Times New Roman" w:hAnsi="Times New Roman" w:eastAsia="宋体" w:cs="Times New Roman"/>
    </w:rPr>
  </w:style>
  <w:style w:type="paragraph" w:styleId="1239" w:customStyle="1">
    <w:name w:val="标题 11"/>
    <w:basedOn w:val="1053"/>
    <w:next w:val="1053"/>
    <w:link w:val="1246"/>
    <w:uiPriority w:val="0"/>
    <w:qFormat/>
    <w:pPr>
      <w:jc w:val="center"/>
      <w:keepNext/>
      <w:outlineLvl w:val="0"/>
    </w:pPr>
    <w:rPr>
      <w:rFonts w:ascii="楷体_GB2312" w:hAnsi="楷体_GB2312" w:eastAsia="宋体"/>
      <w:b/>
      <w:sz w:val="28"/>
      <w:szCs w:val="32"/>
    </w:rPr>
  </w:style>
  <w:style w:type="paragraph" w:styleId="1240" w:customStyle="1">
    <w:name w:val="标题 21"/>
    <w:basedOn w:val="1053"/>
    <w:next w:val="1053"/>
    <w:link w:val="1247"/>
    <w:uiPriority w:val="0"/>
    <w:qFormat/>
    <w:pPr>
      <w:jc w:val="center"/>
      <w:keepNext/>
      <w:outlineLvl w:val="1"/>
    </w:pPr>
    <w:rPr>
      <w:rFonts w:ascii="楷体_GB2312" w:eastAsia="楷体_GB2312"/>
      <w:b/>
      <w:bCs/>
      <w:sz w:val="18"/>
    </w:rPr>
  </w:style>
  <w:style w:type="paragraph" w:styleId="1241" w:customStyle="1">
    <w:name w:val="标题 31"/>
    <w:basedOn w:val="1053"/>
    <w:next w:val="1053"/>
    <w:link w:val="1248"/>
    <w:uiPriority w:val="0"/>
    <w:qFormat/>
    <w:pPr>
      <w:jc w:val="center"/>
      <w:keepNext/>
      <w:outlineLvl w:val="2"/>
    </w:pPr>
    <w:rPr>
      <w:rFonts w:eastAsia="楷体_GB2312"/>
      <w:b/>
      <w:bCs/>
      <w:sz w:val="15"/>
    </w:rPr>
  </w:style>
  <w:style w:type="paragraph" w:styleId="1242" w:customStyle="1">
    <w:name w:val="标题 411"/>
    <w:basedOn w:val="1053"/>
    <w:next w:val="1053"/>
    <w:link w:val="1249"/>
    <w:uiPriority w:val="0"/>
    <w:qFormat/>
    <w:pPr>
      <w:jc w:val="center"/>
      <w:keepNext/>
      <w:outlineLvl w:val="3"/>
    </w:pPr>
    <w:rPr>
      <w:rFonts w:eastAsia="楷体_GB2312"/>
      <w:b/>
      <w:bCs/>
      <w:sz w:val="13"/>
    </w:rPr>
  </w:style>
  <w:style w:type="paragraph" w:styleId="1243" w:customStyle="1">
    <w:name w:val="标题 51"/>
    <w:basedOn w:val="1053"/>
    <w:next w:val="1053"/>
    <w:link w:val="1250"/>
    <w:uiPriority w:val="0"/>
    <w:qFormat/>
    <w:pPr>
      <w:numPr>
        <w:ilvl w:val="0"/>
        <w:numId w:val="1"/>
      </w:numPr>
      <w:keepNext/>
      <w:outlineLvl w:val="4"/>
    </w:pPr>
    <w:rPr>
      <w:rFonts w:ascii="楷体_GB2312" w:eastAsia="楷体_GB2312"/>
      <w:bCs/>
      <w:sz w:val="28"/>
    </w:rPr>
  </w:style>
  <w:style w:type="character" w:styleId="1244" w:customStyle="1">
    <w:name w:val="默认段落字体1"/>
    <w:link w:val="1053"/>
    <w:uiPriority w:val="1"/>
    <w:unhideWhenUsed/>
    <w:qFormat/>
  </w:style>
  <w:style w:type="table" w:styleId="1245" w:customStyle="1">
    <w:name w:val="普通表格1"/>
    <w:uiPriority w:val="99"/>
    <w:unhideWhenUsed/>
    <w:qFormat/>
    <w:tblPr/>
  </w:style>
  <w:style w:type="character" w:styleId="1246" w:customStyle="1">
    <w:name w:val="标题 1 字符"/>
    <w:link w:val="1239"/>
    <w:uiPriority w:val="0"/>
    <w:qFormat/>
    <w:rPr>
      <w:rFonts w:ascii="楷体_GB2312" w:hAnsi="楷体_GB2312" w:eastAsia="宋体" w:cs="Times New Roman"/>
      <w:b/>
      <w:sz w:val="28"/>
      <w:szCs w:val="32"/>
    </w:rPr>
  </w:style>
  <w:style w:type="character" w:styleId="1247" w:customStyle="1">
    <w:name w:val="标题 2 字符"/>
    <w:link w:val="1240"/>
    <w:uiPriority w:val="0"/>
    <w:qFormat/>
    <w:rPr>
      <w:rFonts w:ascii="楷体_GB2312" w:hAnsi="Times New Roman" w:eastAsia="楷体_GB2312" w:cs="Times New Roman"/>
      <w:b/>
      <w:bCs/>
      <w:sz w:val="18"/>
      <w:szCs w:val="20"/>
    </w:rPr>
  </w:style>
  <w:style w:type="character" w:styleId="1248" w:customStyle="1">
    <w:name w:val="标题 3 字符"/>
    <w:link w:val="1241"/>
    <w:uiPriority w:val="0"/>
    <w:qFormat/>
    <w:rPr>
      <w:rFonts w:ascii="Times New Roman" w:hAnsi="Times New Roman" w:eastAsia="楷体_GB2312" w:cs="Times New Roman"/>
      <w:b/>
      <w:bCs/>
      <w:sz w:val="15"/>
      <w:szCs w:val="20"/>
    </w:rPr>
  </w:style>
  <w:style w:type="character" w:styleId="1249" w:customStyle="1">
    <w:name w:val="标题 4 字符"/>
    <w:link w:val="1242"/>
    <w:uiPriority w:val="0"/>
    <w:qFormat/>
    <w:rPr>
      <w:rFonts w:ascii="Times New Roman" w:hAnsi="Times New Roman" w:eastAsia="楷体_GB2312" w:cs="Times New Roman"/>
      <w:b/>
      <w:bCs/>
      <w:sz w:val="13"/>
      <w:szCs w:val="20"/>
    </w:rPr>
  </w:style>
  <w:style w:type="character" w:styleId="1250" w:customStyle="1">
    <w:name w:val="标题 5 字符"/>
    <w:link w:val="1243"/>
    <w:uiPriority w:val="0"/>
    <w:qFormat/>
    <w:rPr>
      <w:rFonts w:ascii="楷体_GB2312" w:hAnsi="Times New Roman" w:eastAsia="楷体_GB2312" w:cs="Times New Roman"/>
      <w:bCs/>
      <w:sz w:val="28"/>
      <w:szCs w:val="20"/>
    </w:rPr>
  </w:style>
  <w:style w:type="paragraph" w:styleId="1251" w:customStyle="1">
    <w:name w:val="正文缩进1"/>
    <w:basedOn w:val="1053"/>
    <w:link w:val="1252"/>
    <w:uiPriority w:val="0"/>
    <w:unhideWhenUsed/>
    <w:qFormat/>
    <w:pPr>
      <w:ind w:firstLine="420"/>
    </w:pPr>
  </w:style>
  <w:style w:type="character" w:styleId="1252" w:customStyle="1">
    <w:name w:val="正文缩进 字符"/>
    <w:link w:val="1251"/>
    <w:uiPriority w:val="0"/>
    <w:semiHidden/>
    <w:qFormat/>
    <w:rPr>
      <w:rFonts w:ascii="Times New Roman" w:hAnsi="Times New Roman"/>
      <w:sz w:val="21"/>
    </w:rPr>
  </w:style>
  <w:style w:type="paragraph" w:styleId="1253" w:customStyle="1">
    <w:name w:val="文档结构图1"/>
    <w:basedOn w:val="1053"/>
    <w:link w:val="1254"/>
    <w:uiPriority w:val="0"/>
    <w:semiHidden/>
    <w:qFormat/>
    <w:pPr>
      <w:shd w:val="clear" w:color="auto" w:fill="000080"/>
    </w:pPr>
    <w:rPr>
      <w:sz w:val="20"/>
    </w:rPr>
  </w:style>
  <w:style w:type="character" w:styleId="1254" w:customStyle="1">
    <w:name w:val="文档结构图 字符"/>
    <w:link w:val="1253"/>
    <w:uiPriority w:val="0"/>
    <w:semiHidden/>
    <w:qFormat/>
    <w:rPr>
      <w:rFonts w:ascii="Times New Roman" w:hAnsi="Times New Roman" w:eastAsia="宋体" w:cs="Times New Roman"/>
      <w:szCs w:val="20"/>
      <w:shd w:val="clear" w:color="auto" w:fill="000080"/>
    </w:rPr>
  </w:style>
  <w:style w:type="paragraph" w:styleId="1255" w:customStyle="1">
    <w:name w:val="批注文字1"/>
    <w:basedOn w:val="1053"/>
    <w:link w:val="1256"/>
    <w:uiPriority w:val="99"/>
    <w:semiHidden/>
    <w:qFormat/>
    <w:pPr>
      <w:jc w:val="left"/>
    </w:pPr>
    <w:rPr>
      <w:sz w:val="20"/>
      <w:szCs w:val="24"/>
    </w:rPr>
  </w:style>
  <w:style w:type="character" w:styleId="1256" w:customStyle="1">
    <w:name w:val="批注文字 字符"/>
    <w:link w:val="1255"/>
    <w:uiPriority w:val="99"/>
    <w:semiHidden/>
    <w:qFormat/>
    <w:rPr>
      <w:rFonts w:ascii="Times New Roman" w:hAnsi="Times New Roman" w:eastAsia="宋体" w:cs="Times New Roman"/>
      <w:szCs w:val="24"/>
    </w:rPr>
  </w:style>
  <w:style w:type="paragraph" w:styleId="1257" w:customStyle="1">
    <w:name w:val="正文文本11"/>
    <w:basedOn w:val="1053"/>
    <w:next w:val="1053"/>
    <w:link w:val="1258"/>
    <w:uiPriority w:val="99"/>
    <w:qFormat/>
    <w:rPr>
      <w:rFonts w:ascii="华文中宋" w:eastAsia="华文中宋"/>
      <w:bCs/>
      <w:sz w:val="28"/>
    </w:rPr>
  </w:style>
  <w:style w:type="character" w:styleId="1258" w:customStyle="1">
    <w:name w:val="正文文本 字符"/>
    <w:link w:val="1257"/>
    <w:uiPriority w:val="99"/>
    <w:qFormat/>
    <w:rPr>
      <w:rFonts w:ascii="华文中宋" w:hAnsi="Times New Roman" w:eastAsia="华文中宋" w:cs="Times New Roman"/>
      <w:bCs/>
      <w:sz w:val="28"/>
      <w:szCs w:val="20"/>
    </w:rPr>
  </w:style>
  <w:style w:type="paragraph" w:styleId="1259" w:customStyle="1">
    <w:name w:val="正文文本缩进1"/>
    <w:basedOn w:val="1053"/>
    <w:link w:val="1260"/>
    <w:uiPriority w:val="0"/>
    <w:qFormat/>
    <w:pPr>
      <w:ind w:firstLine="576"/>
    </w:pPr>
    <w:rPr>
      <w:b/>
      <w:sz w:val="30"/>
    </w:rPr>
  </w:style>
  <w:style w:type="character" w:styleId="1260" w:customStyle="1">
    <w:name w:val="正文文本缩进 字符"/>
    <w:link w:val="1259"/>
    <w:uiPriority w:val="0"/>
    <w:qFormat/>
    <w:rPr>
      <w:rFonts w:ascii="Times New Roman" w:hAnsi="Times New Roman" w:eastAsia="宋体" w:cs="Times New Roman"/>
      <w:b/>
      <w:sz w:val="30"/>
      <w:szCs w:val="20"/>
    </w:rPr>
  </w:style>
  <w:style w:type="paragraph" w:styleId="1261" w:customStyle="1">
    <w:name w:val="索引 41"/>
    <w:basedOn w:val="1053"/>
    <w:next w:val="1053"/>
    <w:uiPriority w:val="99"/>
    <w:qFormat/>
    <w:pPr>
      <w:ind w:left="600"/>
    </w:pPr>
    <w:rPr>
      <w:szCs w:val="24"/>
    </w:rPr>
  </w:style>
  <w:style w:type="paragraph" w:styleId="1262" w:customStyle="1">
    <w:name w:val="纯文本1"/>
    <w:basedOn w:val="1053"/>
    <w:link w:val="1263"/>
    <w:uiPriority w:val="99"/>
    <w:qFormat/>
    <w:rPr>
      <w:rFonts w:ascii="宋体" w:hAnsi="Courier New"/>
    </w:rPr>
  </w:style>
  <w:style w:type="character" w:styleId="1263" w:customStyle="1">
    <w:name w:val="纯文本 字符"/>
    <w:link w:val="1262"/>
    <w:uiPriority w:val="99"/>
    <w:qFormat/>
    <w:rPr>
      <w:rFonts w:ascii="宋体" w:hAnsi="Courier New"/>
      <w:sz w:val="21"/>
    </w:rPr>
  </w:style>
  <w:style w:type="paragraph" w:styleId="1264" w:customStyle="1">
    <w:name w:val="日期1"/>
    <w:basedOn w:val="1053"/>
    <w:next w:val="1053"/>
    <w:link w:val="1265"/>
    <w:uiPriority w:val="0"/>
    <w:qFormat/>
    <w:rPr>
      <w:rFonts w:eastAsia="黑体"/>
      <w:b/>
      <w:sz w:val="36"/>
    </w:rPr>
  </w:style>
  <w:style w:type="character" w:styleId="1265" w:customStyle="1">
    <w:name w:val="日期 字符"/>
    <w:link w:val="1264"/>
    <w:uiPriority w:val="0"/>
    <w:qFormat/>
    <w:rPr>
      <w:rFonts w:ascii="Times New Roman" w:hAnsi="Times New Roman" w:eastAsia="黑体" w:cs="Times New Roman"/>
      <w:b/>
      <w:sz w:val="36"/>
      <w:szCs w:val="20"/>
    </w:rPr>
  </w:style>
  <w:style w:type="paragraph" w:styleId="1266" w:customStyle="1">
    <w:name w:val="正文文本缩进 21"/>
    <w:basedOn w:val="1053"/>
    <w:link w:val="1267"/>
    <w:uiPriority w:val="0"/>
    <w:qFormat/>
    <w:pPr>
      <w:ind w:left="900"/>
    </w:pPr>
    <w:rPr>
      <w:rFonts w:ascii="楷体_GB2312" w:eastAsia="楷体_GB2312"/>
      <w:b/>
      <w:sz w:val="28"/>
    </w:rPr>
  </w:style>
  <w:style w:type="character" w:styleId="1267" w:customStyle="1">
    <w:name w:val="正文文本缩进 2 字符"/>
    <w:link w:val="1266"/>
    <w:uiPriority w:val="0"/>
    <w:qFormat/>
    <w:rPr>
      <w:rFonts w:ascii="楷体_GB2312" w:hAnsi="Times New Roman" w:eastAsia="楷体_GB2312" w:cs="Times New Roman"/>
      <w:b/>
      <w:sz w:val="28"/>
      <w:szCs w:val="20"/>
    </w:rPr>
  </w:style>
  <w:style w:type="paragraph" w:styleId="1268" w:customStyle="1">
    <w:name w:val="批注框文本1"/>
    <w:basedOn w:val="1053"/>
    <w:link w:val="1269"/>
    <w:uiPriority w:val="99"/>
    <w:unhideWhenUsed/>
    <w:qFormat/>
    <w:rPr>
      <w:sz w:val="18"/>
      <w:szCs w:val="18"/>
    </w:rPr>
  </w:style>
  <w:style w:type="character" w:styleId="1269" w:customStyle="1">
    <w:name w:val="批注框文本 字符"/>
    <w:link w:val="1268"/>
    <w:uiPriority w:val="99"/>
    <w:semiHidden/>
    <w:qFormat/>
    <w:rPr>
      <w:rFonts w:ascii="Times New Roman" w:hAnsi="Times New Roman" w:eastAsia="宋体" w:cs="Times New Roman"/>
      <w:sz w:val="18"/>
      <w:szCs w:val="18"/>
    </w:rPr>
  </w:style>
  <w:style w:type="paragraph" w:styleId="1270" w:customStyle="1">
    <w:name w:val="页脚1"/>
    <w:basedOn w:val="1053"/>
    <w:next w:val="1271"/>
    <w:link w:val="1272"/>
    <w:uiPriority w:val="0"/>
    <w:unhideWhenUsed/>
    <w:qFormat/>
    <w:pPr>
      <w:jc w:val="left"/>
      <w:tabs>
        <w:tab w:val="center" w:pos="4153" w:leader="none"/>
        <w:tab w:val="right" w:pos="8306" w:leader="none"/>
      </w:tabs>
    </w:pPr>
    <w:rPr>
      <w:sz w:val="18"/>
      <w:szCs w:val="18"/>
    </w:rPr>
  </w:style>
  <w:style w:type="paragraph" w:styleId="1271" w:customStyle="1">
    <w:name w:val="TOC Heading1"/>
    <w:next w:val="1053"/>
    <w:uiPriority w:val="0"/>
    <w:qFormat/>
    <w:rPr>
      <w:rFonts w:hint="default" w:ascii="Times New Roman" w:hAnsi="Times New Roman" w:eastAsia="宋体" w:cs="Times New Roman"/>
      <w:sz w:val="32"/>
      <w:lang w:val="en-US" w:eastAsia="zh-CN" w:bidi="ar-SA"/>
    </w:rPr>
  </w:style>
  <w:style w:type="character" w:styleId="1272" w:customStyle="1">
    <w:name w:val="页脚 字符"/>
    <w:link w:val="1270"/>
    <w:uiPriority w:val="0"/>
    <w:qFormat/>
    <w:rPr>
      <w:sz w:val="18"/>
      <w:szCs w:val="18"/>
    </w:rPr>
  </w:style>
  <w:style w:type="paragraph" w:styleId="1273" w:customStyle="1">
    <w:name w:val="寄信人地址1"/>
    <w:basedOn w:val="1053"/>
    <w:uiPriority w:val="0"/>
    <w:qFormat/>
    <w:rPr>
      <w:rFonts w:ascii="Arial" w:hAnsi="Arial"/>
    </w:rPr>
  </w:style>
  <w:style w:type="paragraph" w:styleId="1274" w:customStyle="1">
    <w:name w:val="页眉1"/>
    <w:basedOn w:val="1053"/>
    <w:link w:val="127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275" w:customStyle="1">
    <w:name w:val="页眉 字符"/>
    <w:link w:val="1274"/>
    <w:uiPriority w:val="0"/>
    <w:qFormat/>
    <w:rPr>
      <w:sz w:val="18"/>
      <w:szCs w:val="18"/>
    </w:rPr>
  </w:style>
  <w:style w:type="paragraph" w:styleId="1276" w:customStyle="1">
    <w:name w:val="列表1"/>
    <w:basedOn w:val="1053"/>
    <w:uiPriority w:val="0"/>
    <w:qFormat/>
    <w:pPr>
      <w:ind w:left="420" w:hanging="420"/>
      <w:spacing w:after="20" w:line="288" w:lineRule="auto"/>
      <w:tabs>
        <w:tab w:val="left" w:pos="420" w:leader="none"/>
      </w:tabs>
    </w:pPr>
    <w:rPr>
      <w:szCs w:val="20"/>
      <w:lang w:val="en-GB"/>
    </w:rPr>
  </w:style>
  <w:style w:type="paragraph" w:styleId="1277" w:customStyle="1">
    <w:name w:val="正文文本缩进 31"/>
    <w:basedOn w:val="1053"/>
    <w:link w:val="1278"/>
    <w:uiPriority w:val="0"/>
    <w:qFormat/>
    <w:pPr>
      <w:ind w:left="359" w:firstLine="359"/>
    </w:pPr>
    <w:rPr>
      <w:sz w:val="20"/>
    </w:rPr>
  </w:style>
  <w:style w:type="character" w:styleId="1278" w:customStyle="1">
    <w:name w:val="正文文本缩进 3 字符"/>
    <w:link w:val="1277"/>
    <w:uiPriority w:val="0"/>
    <w:qFormat/>
    <w:rPr>
      <w:rFonts w:ascii="Times New Roman" w:hAnsi="Times New Roman" w:eastAsia="宋体" w:cs="Times New Roman"/>
      <w:szCs w:val="20"/>
    </w:rPr>
  </w:style>
  <w:style w:type="paragraph" w:styleId="1279" w:customStyle="1">
    <w:name w:val="正文文本 21"/>
    <w:basedOn w:val="1053"/>
    <w:link w:val="1280"/>
    <w:uiPriority w:val="0"/>
    <w:qFormat/>
    <w:pPr>
      <w:spacing w:after="120" w:line="480" w:lineRule="auto"/>
    </w:pPr>
    <w:rPr>
      <w:sz w:val="20"/>
    </w:rPr>
  </w:style>
  <w:style w:type="character" w:styleId="1280" w:customStyle="1">
    <w:name w:val="正文文本 2 字符"/>
    <w:link w:val="1279"/>
    <w:uiPriority w:val="0"/>
    <w:qFormat/>
    <w:rPr>
      <w:rFonts w:ascii="Times New Roman" w:hAnsi="Times New Roman" w:eastAsia="宋体" w:cs="Times New Roman"/>
      <w:szCs w:val="20"/>
    </w:rPr>
  </w:style>
  <w:style w:type="paragraph" w:styleId="1281" w:customStyle="1">
    <w:name w:val="普通(网站)1"/>
    <w:basedOn w:val="1053"/>
    <w:uiPriority w:val="99"/>
    <w:qFormat/>
    <w:pPr>
      <w:jc w:val="left"/>
      <w:spacing w:before="100" w:beforeAutospacing="1" w:after="100" w:afterAutospacing="1"/>
      <w:widowControl/>
    </w:pPr>
    <w:rPr>
      <w:rFonts w:ascii="宋体" w:hAnsi="宋体" w:cs="宋体"/>
      <w:sz w:val="24"/>
      <w:szCs w:val="24"/>
    </w:rPr>
  </w:style>
  <w:style w:type="paragraph" w:styleId="1282" w:customStyle="1">
    <w:name w:val="批注主题1"/>
    <w:basedOn w:val="1255"/>
    <w:next w:val="1255"/>
    <w:link w:val="1283"/>
    <w:uiPriority w:val="99"/>
    <w:semiHidden/>
    <w:qFormat/>
    <w:rPr>
      <w:b/>
      <w:bCs/>
    </w:rPr>
  </w:style>
  <w:style w:type="character" w:styleId="1283" w:customStyle="1">
    <w:name w:val="批注主题 字符"/>
    <w:link w:val="1282"/>
    <w:uiPriority w:val="99"/>
    <w:semiHidden/>
    <w:qFormat/>
    <w:rPr>
      <w:rFonts w:ascii="Times New Roman" w:hAnsi="Times New Roman" w:eastAsia="宋体" w:cs="Times New Roman"/>
      <w:b/>
      <w:bCs/>
      <w:szCs w:val="24"/>
    </w:rPr>
  </w:style>
  <w:style w:type="paragraph" w:styleId="1284" w:customStyle="1">
    <w:name w:val="正文文本首行缩进"/>
    <w:basedOn w:val="1257"/>
    <w:link w:val="1285"/>
    <w:uiPriority w:val="0"/>
    <w:qFormat/>
    <w:pPr>
      <w:ind w:firstLine="420"/>
      <w:spacing w:after="120"/>
    </w:pPr>
    <w:rPr>
      <w:rFonts w:ascii="Times New Roman" w:eastAsia="宋体"/>
      <w:sz w:val="21"/>
      <w:szCs w:val="24"/>
    </w:rPr>
  </w:style>
  <w:style w:type="character" w:styleId="1285" w:customStyle="1">
    <w:name w:val="正文文本首行缩进 字符"/>
    <w:link w:val="1284"/>
    <w:uiPriority w:val="0"/>
    <w:qFormat/>
    <w:rPr>
      <w:rFonts w:ascii="Times New Roman" w:eastAsia="宋体"/>
      <w:sz w:val="21"/>
      <w:szCs w:val="24"/>
    </w:rPr>
  </w:style>
  <w:style w:type="paragraph" w:styleId="1286" w:customStyle="1">
    <w:name w:val="正文文本首行缩进 2"/>
    <w:basedOn w:val="1259"/>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287" w:customStyle="1">
    <w:name w:val="网格型1"/>
    <w:basedOn w:val="1245"/>
    <w:uiPriority w:val="0"/>
    <w:qFormat/>
    <w:pPr>
      <w:jc w:val="both"/>
      <w:widowControl w:val="off"/>
    </w:pPr>
    <w:tblPr/>
  </w:style>
  <w:style w:type="character" w:styleId="1288" w:customStyle="1">
    <w:name w:val="要点1"/>
    <w:link w:val="1053"/>
    <w:uiPriority w:val="99"/>
    <w:qFormat/>
    <w:rPr>
      <w:rFonts w:cs="Times New Roman"/>
      <w:b/>
      <w:bCs/>
    </w:rPr>
  </w:style>
  <w:style w:type="character" w:styleId="1289" w:customStyle="1">
    <w:name w:val="页码1"/>
    <w:link w:val="1053"/>
    <w:uiPriority w:val="0"/>
    <w:qFormat/>
    <w:rPr>
      <w:rFonts w:cs="Times New Roman"/>
    </w:rPr>
  </w:style>
  <w:style w:type="character" w:styleId="1290" w:customStyle="1">
    <w:name w:val="访问过的超链接"/>
    <w:link w:val="1053"/>
    <w:uiPriority w:val="99"/>
    <w:qFormat/>
    <w:rPr>
      <w:rFonts w:cs="Times New Roman"/>
      <w:color w:val="000000"/>
      <w:u w:val="none"/>
    </w:rPr>
  </w:style>
  <w:style w:type="character" w:styleId="1291" w:customStyle="1">
    <w:name w:val="HTML 打字机1"/>
    <w:link w:val="1053"/>
    <w:uiPriority w:val="99"/>
    <w:qFormat/>
    <w:rPr>
      <w:rFonts w:ascii="宋体" w:hAnsi="宋体" w:eastAsia="宋体" w:cs="宋体"/>
      <w:sz w:val="24"/>
      <w:szCs w:val="24"/>
    </w:rPr>
  </w:style>
  <w:style w:type="character" w:styleId="1292" w:customStyle="1">
    <w:name w:val="超链接1"/>
    <w:link w:val="1053"/>
    <w:uiPriority w:val="0"/>
    <w:qFormat/>
    <w:rPr>
      <w:color w:val="000000"/>
      <w:u w:val="none"/>
    </w:rPr>
  </w:style>
  <w:style w:type="paragraph" w:styleId="1293" w:customStyle="1">
    <w:name w:val="_Style 1"/>
    <w:basedOn w:val="1053"/>
    <w:uiPriority w:val="99"/>
    <w:qFormat/>
    <w:pPr>
      <w:ind w:firstLine="420"/>
    </w:pPr>
    <w:rPr>
      <w:rFonts w:ascii="Calibri" w:hAnsi="Calibri" w:eastAsia="宋体" w:cs="Calibri"/>
      <w:sz w:val="34"/>
      <w:szCs w:val="34"/>
    </w:rPr>
  </w:style>
  <w:style w:type="character" w:styleId="1294" w:customStyle="1">
    <w:name w:val="日期 Char1"/>
    <w:link w:val="1053"/>
    <w:uiPriority w:val="0"/>
    <w:semiHidden/>
    <w:qFormat/>
    <w:rPr>
      <w:rFonts w:ascii="Times New Roman" w:hAnsi="Times New Roman" w:eastAsia="宋体" w:cs="Times New Roman"/>
      <w:szCs w:val="20"/>
    </w:rPr>
  </w:style>
  <w:style w:type="character" w:styleId="1295" w:customStyle="1">
    <w:name w:val="正文文本缩进 Char1"/>
    <w:link w:val="1053"/>
    <w:uiPriority w:val="0"/>
    <w:semiHidden/>
    <w:qFormat/>
    <w:rPr>
      <w:rFonts w:ascii="Times New Roman" w:hAnsi="Times New Roman" w:eastAsia="宋体" w:cs="Times New Roman"/>
      <w:szCs w:val="20"/>
    </w:rPr>
  </w:style>
  <w:style w:type="character" w:styleId="1296" w:customStyle="1">
    <w:name w:val="正文文本缩进 2 Char1"/>
    <w:link w:val="1053"/>
    <w:uiPriority w:val="0"/>
    <w:semiHidden/>
    <w:qFormat/>
    <w:rPr>
      <w:rFonts w:ascii="Times New Roman" w:hAnsi="Times New Roman" w:eastAsia="宋体" w:cs="Times New Roman"/>
      <w:szCs w:val="20"/>
    </w:rPr>
  </w:style>
  <w:style w:type="character" w:styleId="1297" w:customStyle="1">
    <w:name w:val="正文文本缩进 3 Char1"/>
    <w:link w:val="1053"/>
    <w:uiPriority w:val="0"/>
    <w:semiHidden/>
    <w:qFormat/>
    <w:rPr>
      <w:rFonts w:ascii="Times New Roman" w:hAnsi="Times New Roman" w:eastAsia="宋体" w:cs="Times New Roman"/>
      <w:sz w:val="16"/>
      <w:szCs w:val="16"/>
    </w:rPr>
  </w:style>
  <w:style w:type="paragraph" w:styleId="1298" w:customStyle="1">
    <w:name w:val="普通文字"/>
    <w:basedOn w:val="1053"/>
    <w:next w:val="1053"/>
    <w:uiPriority w:val="0"/>
    <w:qFormat/>
    <w:rPr>
      <w:rFonts w:ascii="宋体"/>
      <w:sz w:val="24"/>
    </w:rPr>
  </w:style>
  <w:style w:type="character" w:styleId="1299" w:customStyle="1">
    <w:name w:val="文档结构图 Char1"/>
    <w:link w:val="1053"/>
    <w:uiPriority w:val="0"/>
    <w:semiHidden/>
    <w:qFormat/>
    <w:rPr>
      <w:rFonts w:ascii="宋体" w:hAnsi="Times New Roman" w:eastAsia="宋体" w:cs="Times New Roman"/>
      <w:sz w:val="18"/>
      <w:szCs w:val="18"/>
    </w:rPr>
  </w:style>
  <w:style w:type="character" w:styleId="1300" w:customStyle="1">
    <w:name w:val="正文文本 2 Char1"/>
    <w:link w:val="1053"/>
    <w:uiPriority w:val="0"/>
    <w:semiHidden/>
    <w:qFormat/>
    <w:rPr>
      <w:rFonts w:ascii="Times New Roman" w:hAnsi="Times New Roman" w:eastAsia="宋体" w:cs="Times New Roman"/>
      <w:szCs w:val="20"/>
    </w:rPr>
  </w:style>
  <w:style w:type="paragraph" w:styleId="1301" w:customStyle="1">
    <w:name w:val="列表段落"/>
    <w:basedOn w:val="1053"/>
    <w:uiPriority w:val="34"/>
    <w:qFormat/>
    <w:pPr>
      <w:ind w:firstLine="420"/>
    </w:pPr>
  </w:style>
  <w:style w:type="character" w:styleId="1302" w:customStyle="1">
    <w:name w:val="批注框文本 Char1"/>
    <w:link w:val="1053"/>
    <w:uiPriority w:val="99"/>
    <w:semiHidden/>
    <w:qFormat/>
    <w:rPr>
      <w:rFonts w:ascii="Times New Roman" w:hAnsi="Times New Roman" w:eastAsia="宋体" w:cs="Times New Roman"/>
      <w:sz w:val="18"/>
      <w:szCs w:val="18"/>
    </w:rPr>
  </w:style>
  <w:style w:type="paragraph" w:styleId="1303" w:customStyle="1">
    <w:name w:val="样式 小四 段前: 5 磅 段后: 5 磅 首行缩进:  2 字符"/>
    <w:basedOn w:val="1053"/>
    <w:uiPriority w:val="0"/>
    <w:qFormat/>
    <w:pPr>
      <w:jc w:val="center"/>
      <w:spacing w:line="360" w:lineRule="auto"/>
    </w:pPr>
    <w:rPr>
      <w:rFonts w:ascii="宋体" w:hAnsi="宋体"/>
      <w:bCs/>
      <w:color w:val="ff0000"/>
      <w:sz w:val="24"/>
      <w:szCs w:val="24"/>
    </w:rPr>
  </w:style>
  <w:style w:type="character" w:styleId="1304" w:customStyle="1">
    <w:name w:val="正文首行缩进两字 Char"/>
    <w:link w:val="1305"/>
    <w:uiPriority w:val="0"/>
    <w:qFormat/>
    <w:rPr>
      <w:sz w:val="24"/>
      <w:szCs w:val="24"/>
      <w:lang w:val="en-US" w:eastAsia="zh-CN" w:bidi="ar-SA"/>
    </w:rPr>
  </w:style>
  <w:style w:type="paragraph" w:styleId="1305" w:customStyle="1">
    <w:name w:val="正文首行缩进两字"/>
    <w:link w:val="1304"/>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306" w:customStyle="1">
    <w:name w:val="p0 paragraphindent"/>
    <w:basedOn w:val="1053"/>
    <w:uiPriority w:val="0"/>
    <w:qFormat/>
    <w:pPr>
      <w:jc w:val="left"/>
      <w:spacing w:before="100" w:beforeAutospacing="1" w:after="100" w:afterAutospacing="1"/>
      <w:widowControl/>
    </w:pPr>
    <w:rPr>
      <w:rFonts w:ascii="宋体" w:hAnsi="宋体" w:cs="宋体"/>
      <w:sz w:val="24"/>
      <w:szCs w:val="24"/>
    </w:rPr>
  </w:style>
  <w:style w:type="paragraph" w:styleId="1307" w:customStyle="1">
    <w:name w:val="一级条标题"/>
    <w:next w:val="1053"/>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308"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309" w:customStyle="1">
    <w:name w:val="二级无"/>
    <w:basedOn w:val="1053"/>
    <w:uiPriority w:val="0"/>
    <w:qFormat/>
    <w:pPr>
      <w:ind w:left="552" w:hanging="420"/>
      <w:jc w:val="left"/>
      <w:widowControl/>
      <w:tabs>
        <w:tab w:val="left" w:pos="552" w:leader="none"/>
      </w:tabs>
      <w:outlineLvl w:val="3"/>
    </w:pPr>
    <w:rPr>
      <w:rFonts w:ascii="宋体"/>
      <w:szCs w:val="21"/>
    </w:rPr>
  </w:style>
  <w:style w:type="character" w:styleId="1310" w:customStyle="1">
    <w:name w:val="case31"/>
    <w:link w:val="1053"/>
    <w:uiPriority w:val="0"/>
    <w:qFormat/>
    <w:rPr>
      <w:spacing w:val="390"/>
      <w:sz w:val="21"/>
      <w:szCs w:val="21"/>
    </w:rPr>
  </w:style>
  <w:style w:type="character" w:styleId="1311" w:customStyle="1">
    <w:name w:val="NormalCharacter1"/>
    <w:link w:val="1312"/>
    <w:uiPriority w:val="99"/>
    <w:qFormat/>
    <w:rPr>
      <w:sz w:val="20"/>
    </w:rPr>
  </w:style>
  <w:style w:type="paragraph" w:styleId="1312" w:customStyle="1">
    <w:name w:val="UserStyle_4"/>
    <w:basedOn w:val="1053"/>
    <w:link w:val="1311"/>
    <w:uiPriority w:val="99"/>
    <w:qFormat/>
    <w:pPr>
      <w:widowControl/>
    </w:pPr>
    <w:rPr>
      <w:sz w:val="20"/>
    </w:rPr>
  </w:style>
  <w:style w:type="paragraph" w:styleId="1313" w:customStyle="1">
    <w:name w:val="List Paragraph1"/>
    <w:basedOn w:val="1053"/>
    <w:uiPriority w:val="0"/>
    <w:qFormat/>
    <w:pPr>
      <w:ind w:firstLine="420"/>
    </w:pPr>
    <w:rPr>
      <w:szCs w:val="21"/>
    </w:rPr>
  </w:style>
  <w:style w:type="character" w:styleId="1314" w:customStyle="1">
    <w:name w:val="font11"/>
    <w:link w:val="1053"/>
    <w:uiPriority w:val="0"/>
    <w:qFormat/>
    <w:rPr>
      <w:rFonts w:hint="eastAsia" w:ascii="宋体" w:hAnsi="宋体" w:eastAsia="宋体" w:cs="宋体"/>
      <w:color w:val="000000"/>
      <w:sz w:val="20"/>
      <w:szCs w:val="20"/>
      <w:u w:val="none"/>
    </w:rPr>
  </w:style>
  <w:style w:type="character" w:styleId="1315" w:customStyle="1">
    <w:name w:val="font21"/>
    <w:link w:val="1053"/>
    <w:uiPriority w:val="0"/>
    <w:qFormat/>
    <w:rPr>
      <w:rFonts w:hint="eastAsia" w:ascii="仿宋" w:hAnsi="仿宋" w:eastAsia="仿宋" w:cs="仿宋"/>
      <w:color w:val="000000"/>
      <w:sz w:val="24"/>
      <w:szCs w:val="24"/>
      <w:u w:val="none"/>
    </w:rPr>
  </w:style>
  <w:style w:type="character" w:styleId="1316" w:customStyle="1">
    <w:name w:val="font31"/>
    <w:link w:val="1053"/>
    <w:uiPriority w:val="0"/>
    <w:qFormat/>
    <w:rPr>
      <w:rFonts w:hint="eastAsia" w:ascii="仿宋" w:hAnsi="仿宋" w:eastAsia="仿宋" w:cs="仿宋"/>
      <w:color w:val="000000"/>
      <w:sz w:val="24"/>
      <w:szCs w:val="24"/>
      <w:u w:val="none"/>
    </w:rPr>
  </w:style>
  <w:style w:type="paragraph" w:styleId="1317" w:customStyle="1">
    <w:name w:val="首行缩进"/>
    <w:basedOn w:val="1053"/>
    <w:uiPriority w:val="0"/>
    <w:qFormat/>
    <w:pPr>
      <w:ind w:firstLine="480"/>
    </w:pPr>
    <w:rPr>
      <w:szCs w:val="20"/>
      <w:lang w:val="zh-CN"/>
    </w:rPr>
  </w:style>
  <w:style w:type="paragraph" w:styleId="1318" w:customStyle="1">
    <w:name w:val="标题 41"/>
    <w:basedOn w:val="1053"/>
    <w:next w:val="1053"/>
    <w:uiPriority w:val="0"/>
    <w:qFormat/>
    <w:pPr>
      <w:jc w:val="center"/>
      <w:keepNext/>
      <w:outlineLvl w:val="3"/>
    </w:pPr>
    <w:rPr>
      <w:rFonts w:eastAsia="楷体_GB2312"/>
      <w:b/>
      <w:bCs/>
      <w:sz w:val="13"/>
    </w:rPr>
  </w:style>
  <w:style w:type="paragraph" w:styleId="1319" w:customStyle="1">
    <w:name w:val="正文文本1"/>
    <w:basedOn w:val="1053"/>
    <w:next w:val="1053"/>
    <w:uiPriority w:val="0"/>
    <w:qFormat/>
    <w:rPr>
      <w:rFonts w:ascii="仿宋_GB2312" w:hAnsi="Times New Roman" w:eastAsia="仿宋_GB2312"/>
      <w:sz w:val="28"/>
      <w:szCs w:val="20"/>
    </w:rPr>
  </w:style>
  <w:style w:type="paragraph" w:styleId="1320" w:customStyle="1">
    <w:name w:val="pf0"/>
    <w:basedOn w:val="1053"/>
    <w:uiPriority w:val="0"/>
    <w:qFormat/>
    <w:pPr>
      <w:jc w:val="left"/>
      <w:spacing w:before="100" w:beforeAutospacing="1" w:after="100" w:afterAutospacing="1"/>
      <w:widowControl/>
    </w:pPr>
    <w:rPr>
      <w:rFonts w:ascii="宋体" w:hAnsi="宋体" w:cs="宋体"/>
      <w:sz w:val="24"/>
      <w:szCs w:val="24"/>
    </w:rPr>
  </w:style>
  <w:style w:type="paragraph" w:styleId="1321" w:customStyle="1">
    <w:name w:val="_Style 3"/>
    <w:basedOn w:val="1053"/>
    <w:uiPriority w:val="0"/>
    <w:qFormat/>
    <w:pPr>
      <w:ind w:firstLine="420"/>
    </w:pPr>
  </w:style>
  <w:style w:type="paragraph" w:styleId="1322" w:customStyle="1">
    <w:name w:val="列出段落1"/>
    <w:basedOn w:val="1053"/>
    <w:uiPriority w:val="0"/>
    <w:qFormat/>
    <w:pPr>
      <w:ind w:firstLine="420"/>
    </w:pPr>
    <w:rPr>
      <w:rFonts w:ascii="Calibri" w:hAnsi="Calibri"/>
      <w:szCs w:val="22"/>
    </w:rPr>
  </w:style>
  <w:style w:type="paragraph" w:styleId="1323" w:customStyle="1">
    <w:name w:val=" Char Char1 Char Char Char"/>
    <w:basedOn w:val="1053"/>
    <w:uiPriority w:val="0"/>
    <w:qFormat/>
    <w:rPr>
      <w:szCs w:val="24"/>
    </w:rPr>
  </w:style>
  <w:style w:type="numbering" w:styleId="146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时缪悦</dc:creator>
  <cp:lastModifiedBy>高天依</cp:lastModifiedBy>
  <cp:revision>16</cp:revision>
  <dcterms:created xsi:type="dcterms:W3CDTF">2024-05-23T06:35:00Z</dcterms:created>
  <dcterms:modified xsi:type="dcterms:W3CDTF">2025-10-27T07:25:35Z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6CF5EFE93AA6424A9C3964BA178657A0_13</vt:lpwstr>
  </property>
  <property fmtid="{D5CDD505-2E9C-101B-9397-08002B2CF9AE}" pid="4" name="KSOTemplateDocerSaveRecord">
    <vt:lpwstr>eyJoZGlkIjoiZmZlZThjYWY3ZjNjYjI3Njk2ODE4N2E0ZDhiNDY5ZGUiLCJ1c2VySWQiOiIxOTM3MjIwNTUifQ==</vt:lpwstr>
  </property>
</Properties>
</file>