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rPr>
          <w:rFonts w:hint="eastAsia" w:eastAsia="黑体"/>
          <w:b/>
          <w:bCs/>
          <w:color w:val="auto"/>
          <w:sz w:val="84"/>
          <w:highlight w:val="none"/>
        </w:rPr>
      </w:pPr>
      <w:r>
        <w:rPr>
          <w:rFonts w:hint="eastAsia" w:eastAsia="黑体"/>
          <w:b/>
          <w:bCs/>
          <w:color w:val="auto"/>
          <w:sz w:val="84"/>
          <w:highlight w:val="none"/>
        </w:rPr>
      </w:r>
      <w:r/>
    </w:p>
    <w:p>
      <w:pPr>
        <w:pStyle w:val="999"/>
        <w:ind w:firstLine="0"/>
        <w:jc w:val="center"/>
        <w:keepLines w:val="0"/>
        <w:keepNext w:val="0"/>
        <w:pageBreakBefore w:val="0"/>
        <w:spacing w:line="240" w:lineRule="exact"/>
        <w:widowControl w:val="off"/>
        <w:rPr>
          <w:rFonts w:hint="eastAsia" w:eastAsia="黑体"/>
          <w:b/>
          <w:bCs/>
          <w:color w:val="auto"/>
          <w:sz w:val="84"/>
          <w:highlight w:val="none"/>
        </w:rPr>
      </w:pPr>
      <w:r>
        <w:rPr>
          <w:rFonts w:hint="eastAsia" w:eastAsia="黑体"/>
          <w:b/>
          <w:bCs/>
          <w:color w:val="auto"/>
          <w:sz w:val="84"/>
          <w:highlight w:val="none"/>
        </w:rPr>
      </w:r>
      <w:r/>
    </w:p>
    <w:p>
      <w:pPr>
        <w:pStyle w:val="999"/>
        <w:ind w:firstLine="0"/>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pStyle w:val="999"/>
        <w:ind w:firstLine="0"/>
        <w:jc w:val="center"/>
        <w:rPr>
          <w:rFonts w:hint="eastAsia"/>
          <w:b/>
          <w:bCs/>
          <w:color w:val="auto"/>
          <w:sz w:val="32"/>
          <w:highlight w:val="none"/>
        </w:rPr>
      </w:pPr>
      <w:r>
        <w:rPr>
          <w:rFonts w:hint="eastAsia"/>
          <w:b/>
          <w:bCs/>
          <w:color w:val="auto"/>
          <w:sz w:val="32"/>
          <w:highlight w:val="none"/>
        </w:rPr>
      </w:r>
      <w:r/>
    </w:p>
    <w:p>
      <w:pPr>
        <w:pStyle w:val="999"/>
        <w:ind w:firstLine="0"/>
        <w:jc w:val="center"/>
        <w:rPr>
          <w:rFonts w:hint="eastAsia"/>
          <w:b/>
          <w:bCs/>
          <w:color w:val="auto"/>
          <w:sz w:val="32"/>
          <w:highlight w:val="none"/>
        </w:rPr>
      </w:pPr>
      <w:r>
        <w:rPr>
          <w:rFonts w:hint="eastAsia"/>
          <w:b/>
          <w:bCs/>
          <w:color w:val="auto"/>
          <w:sz w:val="32"/>
          <w:highlight w:val="none"/>
        </w:rPr>
      </w:r>
      <w:r/>
    </w:p>
    <w:p>
      <w:pPr>
        <w:pStyle w:val="999"/>
        <w:ind w:firstLine="0"/>
        <w:jc w:val="center"/>
        <w:rPr>
          <w:rFonts w:hint="eastAsia"/>
          <w:b/>
          <w:bCs/>
          <w:color w:val="auto"/>
          <w:sz w:val="32"/>
          <w:highlight w:val="none"/>
        </w:rPr>
      </w:pPr>
      <w:r>
        <w:rPr>
          <w:rFonts w:hint="eastAsia"/>
          <w:b/>
          <w:bCs/>
          <w:color w:val="auto"/>
          <w:sz w:val="32"/>
          <w:highlight w:val="none"/>
        </w:rPr>
      </w:r>
      <w:r/>
    </w:p>
    <w:p>
      <w:pPr>
        <w:pStyle w:val="999"/>
        <w:ind w:left="2244" w:hanging="1606"/>
        <w:jc w:val="both"/>
        <w:rPr>
          <w:b/>
          <w:bCs/>
          <w:color w:val="auto"/>
          <w:sz w:val="32"/>
          <w:highlight w:val="none"/>
          <w:lang w:val="en-US" w:eastAsia="zh-CN"/>
        </w:rPr>
      </w:pPr>
      <w:r>
        <w:rPr>
          <w:rFonts w:hint="eastAsia"/>
          <w:b/>
          <w:bCs/>
          <w:color w:val="auto"/>
          <w:sz w:val="32"/>
          <w:highlight w:val="none"/>
        </w:rPr>
        <w:t xml:space="preserve">项目名称：</w:t>
      </w:r>
      <w:r>
        <w:rPr>
          <w:rFonts w:hint="eastAsia"/>
          <w:b/>
          <w:bCs/>
          <w:color w:val="auto"/>
          <w:sz w:val="32"/>
          <w:highlight w:val="none"/>
          <w:lang w:eastAsia="zh-CN"/>
        </w:rPr>
        <w:t xml:space="preserve">生物中专2025-2026学年车辆租赁服务</w:t>
      </w:r>
      <w:r/>
    </w:p>
    <w:p>
      <w:pPr>
        <w:ind w:firstLine="643"/>
        <w:rPr>
          <w:rFonts w:hint="eastAsia" w:eastAsia="宋体"/>
          <w:b/>
          <w:color w:val="auto"/>
          <w:sz w:val="30"/>
          <w:szCs w:val="30"/>
          <w:highlight w:val="none"/>
          <w:lang w:val="en-US" w:eastAsia="zh-CN"/>
        </w:rPr>
      </w:pPr>
      <w:r>
        <w:rPr>
          <w:rFonts w:hint="eastAsia"/>
          <w:b/>
          <w:bCs/>
          <w:color w:val="auto"/>
          <w:sz w:val="32"/>
          <w:highlight w:val="none"/>
        </w:rPr>
        <w:t xml:space="preserve">项目编号：</w:t>
      </w:r>
      <w:r>
        <w:rPr>
          <w:rFonts w:hint="eastAsia"/>
          <w:b/>
          <w:bCs/>
          <w:color w:val="auto"/>
          <w:sz w:val="32"/>
          <w:highlight w:val="none"/>
          <w:lang w:eastAsia="zh-CN"/>
        </w:rPr>
        <w:t xml:space="preserve">JSZC-320700-SWZD-G2025-0008</w:t>
      </w:r>
      <w:r/>
    </w:p>
    <w:p>
      <w:pPr>
        <w:pStyle w:val="999"/>
        <w:ind w:firstLine="0"/>
        <w:spacing w:before="0" w:after="0"/>
        <w:rPr>
          <w:rFonts w:hint="eastAsia" w:ascii="宋体" w:hAnsi="宋体"/>
          <w:color w:val="auto"/>
          <w:highlight w:val="none"/>
        </w:rPr>
      </w:pPr>
      <w:r>
        <w:rPr>
          <w:rFonts w:hint="eastAsia" w:ascii="宋体" w:hAnsi="宋体"/>
          <w:color w:val="auto"/>
          <w:highlight w:val="none"/>
        </w:rPr>
      </w:r>
      <w:r/>
    </w:p>
    <w:p>
      <w:pPr>
        <w:pStyle w:val="999"/>
        <w:ind w:firstLine="0"/>
        <w:spacing w:before="0" w:after="0"/>
        <w:rPr>
          <w:rFonts w:hint="eastAsia" w:ascii="宋体" w:hAnsi="宋体"/>
          <w:color w:val="auto"/>
          <w:highlight w:val="none"/>
        </w:rPr>
      </w:pPr>
      <w:r>
        <w:rPr>
          <w:rFonts w:hint="eastAsia" w:ascii="宋体" w:hAnsi="宋体"/>
          <w:color w:val="auto"/>
          <w:highlight w:val="none"/>
        </w:rPr>
      </w:r>
      <w:r/>
    </w:p>
    <w:p>
      <w:pPr>
        <w:pStyle w:val="999"/>
        <w:ind w:firstLine="0"/>
        <w:spacing w:before="0" w:after="0"/>
        <w:rPr>
          <w:rFonts w:hint="eastAsia" w:ascii="宋体" w:hAnsi="宋体"/>
          <w:color w:val="auto"/>
          <w:highlight w:val="none"/>
        </w:rPr>
      </w:pPr>
      <w:r>
        <w:rPr>
          <w:rFonts w:hint="eastAsia" w:ascii="宋体" w:hAnsi="宋体"/>
          <w:color w:val="auto"/>
          <w:highlight w:val="none"/>
        </w:rPr>
      </w:r>
      <w:r/>
    </w:p>
    <w:p>
      <w:pPr>
        <w:pStyle w:val="999"/>
        <w:ind w:firstLine="0"/>
        <w:spacing w:before="0" w:after="0"/>
        <w:rPr>
          <w:rFonts w:hint="eastAsia" w:ascii="宋体" w:hAnsi="宋体"/>
          <w:color w:val="auto"/>
          <w:highlight w:val="none"/>
        </w:rPr>
      </w:pPr>
      <w:r>
        <w:rPr>
          <w:rFonts w:hint="eastAsia" w:ascii="宋体" w:hAnsi="宋体"/>
          <w:color w:val="auto"/>
          <w:highlight w:val="none"/>
        </w:rPr>
      </w:r>
      <w:r/>
    </w:p>
    <w:p>
      <w:pPr>
        <w:pStyle w:val="999"/>
        <w:ind w:firstLine="0"/>
        <w:spacing w:before="0" w:after="0"/>
        <w:rPr>
          <w:rFonts w:hint="eastAsia" w:ascii="宋体" w:hAnsi="宋体"/>
          <w:color w:val="auto"/>
          <w:highlight w:val="none"/>
        </w:rPr>
      </w:pPr>
      <w:r>
        <w:rPr>
          <w:rFonts w:hint="eastAsia" w:ascii="宋体" w:hAnsi="宋体"/>
          <w:color w:val="auto"/>
          <w:highlight w:val="none"/>
        </w:rPr>
      </w:r>
      <w:r/>
    </w:p>
    <w:p>
      <w:pPr>
        <w:pStyle w:val="999"/>
        <w:ind w:firstLine="0"/>
        <w:spacing w:before="0" w:after="0"/>
        <w:rPr>
          <w:rFonts w:hint="eastAsia" w:ascii="宋体" w:hAnsi="宋体"/>
          <w:color w:val="auto"/>
          <w:highlight w:val="none"/>
        </w:rPr>
      </w:pPr>
      <w:r>
        <w:rPr>
          <w:rFonts w:hint="eastAsia" w:ascii="宋体" w:hAnsi="宋体"/>
          <w:color w:val="auto"/>
          <w:highlight w:val="none"/>
        </w:rPr>
      </w:r>
      <w:r/>
    </w:p>
    <w:p>
      <w:pPr>
        <w:pStyle w:val="999"/>
        <w:ind w:firstLine="0"/>
        <w:spacing w:before="0" w:after="0"/>
        <w:rPr>
          <w:rFonts w:hint="eastAsia" w:ascii="宋体" w:hAnsi="宋体"/>
          <w:color w:val="auto"/>
          <w:highlight w:val="none"/>
        </w:rPr>
      </w:pPr>
      <w:r>
        <w:rPr>
          <w:rFonts w:hint="eastAsia" w:ascii="宋体" w:hAnsi="宋体"/>
          <w:color w:val="auto"/>
          <w:highlight w:val="none"/>
        </w:rPr>
      </w:r>
      <w:r/>
    </w:p>
    <w:p>
      <w:pPr>
        <w:ind w:firstLine="912"/>
        <w:keepLines w:val="0"/>
        <w:keepNext w:val="0"/>
        <w:pageBreakBefore w:val="0"/>
        <w:spacing w:line="640" w:lineRule="exact"/>
        <w:widowControl w:val="off"/>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 xml:space="preserve">采   购   人：</w:t>
      </w:r>
      <w:r>
        <w:rPr>
          <w:rFonts w:hint="eastAsia" w:ascii="宋体" w:hAnsi="宋体"/>
          <w:bCs/>
          <w:color w:val="auto"/>
          <w:sz w:val="32"/>
          <w:szCs w:val="32"/>
          <w:highlight w:val="none"/>
          <w:lang w:eastAsia="zh-CN"/>
        </w:rPr>
        <w:t xml:space="preserve">连云港生物工程中等专业学校</w:t>
      </w:r>
      <w:r/>
    </w:p>
    <w:p>
      <w:pPr>
        <w:ind w:firstLine="912"/>
        <w:keepLines w:val="0"/>
        <w:keepNext w:val="0"/>
        <w:pageBreakBefore w:val="0"/>
        <w:spacing w:line="640" w:lineRule="exact"/>
        <w:widowControl w:val="off"/>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 xml:space="preserve">采购代理机构：</w:t>
      </w:r>
      <w:r>
        <w:rPr>
          <w:rFonts w:hint="eastAsia" w:ascii="宋体" w:hAnsi="宋体"/>
          <w:bCs/>
          <w:color w:val="auto"/>
          <w:sz w:val="32"/>
          <w:szCs w:val="32"/>
          <w:highlight w:val="none"/>
          <w:lang w:eastAsia="zh-CN"/>
        </w:rPr>
        <w:t xml:space="preserve">江苏伟之达项目管理咨询有限公司</w:t>
      </w:r>
      <w:r/>
    </w:p>
    <w:p>
      <w:pPr>
        <w:pStyle w:val="999"/>
        <w:ind w:firstLine="0"/>
        <w:jc w:val="center"/>
        <w:keepLines w:val="0"/>
        <w:keepNext w:val="0"/>
        <w:pageBreakBefore w:val="0"/>
        <w:spacing w:line="640" w:lineRule="exact"/>
        <w:widowControl w:val="off"/>
        <w:rPr>
          <w:rFonts w:hint="eastAsia"/>
          <w:color w:val="auto"/>
          <w:highlight w:val="none"/>
        </w:rPr>
      </w:pPr>
      <w:r>
        <w:rPr>
          <w:rFonts w:hint="eastAsia" w:ascii="宋体" w:hAnsi="宋体" w:cs="宋体"/>
          <w:bCs/>
          <w:color w:val="auto"/>
          <w:sz w:val="32"/>
          <w:szCs w:val="32"/>
          <w:highlight w:val="none"/>
        </w:rPr>
        <w:t xml:space="preserve">2025年</w:t>
      </w:r>
      <w:r>
        <w:rPr>
          <w:rFonts w:hint="eastAsia" w:ascii="宋体" w:hAnsi="宋体" w:cs="宋体"/>
          <w:bCs/>
          <w:color w:val="auto"/>
          <w:sz w:val="32"/>
          <w:szCs w:val="32"/>
          <w:highlight w:val="none"/>
          <w:lang w:val="en-US" w:eastAsia="zh-CN"/>
        </w:rPr>
        <w:t xml:space="preserve">11</w:t>
      </w:r>
      <w:r>
        <w:rPr>
          <w:rFonts w:hint="eastAsia" w:ascii="宋体" w:hAnsi="宋体" w:cs="宋体"/>
          <w:bCs/>
          <w:color w:val="auto"/>
          <w:sz w:val="32"/>
          <w:szCs w:val="32"/>
          <w:highlight w:val="none"/>
        </w:rPr>
        <w:t xml:space="preserve">月</w:t>
      </w:r>
      <w:r>
        <w:rPr>
          <w:rFonts w:hint="eastAsia"/>
          <w:color w:val="auto"/>
          <w:highlight w:val="none"/>
        </w:rPr>
        <w:t xml:space="preserve">                        </w:t>
      </w:r>
      <w:r/>
    </w:p>
    <w:p>
      <w:pPr>
        <w:jc w:val="center"/>
        <w:spacing w:line="480" w:lineRule="auto"/>
        <w:rPr>
          <w:rFonts w:hint="eastAsia"/>
          <w:color w:val="auto"/>
          <w:highlight w:val="none"/>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20823272"/>
      <w:r/>
      <w:bookmarkStart w:id="2" w:name="_Toc523127445"/>
      <w:r/>
      <w:bookmarkStart w:id="3" w:name="_Toc479757206"/>
      <w:r/>
      <w:bookmarkStart w:id="4" w:name="_Toc16938516"/>
      <w:r/>
      <w:bookmarkStart w:id="5" w:name="_Toc513029200"/>
      <w:r/>
      <w:r/>
    </w:p>
    <w:p>
      <w:pPr>
        <w:jc w:val="center"/>
        <w:spacing w:line="480" w:lineRule="auto"/>
        <w:rPr>
          <w:rFonts w:hint="eastAsia" w:ascii="黑体" w:hAnsi="Arial" w:eastAsia="黑体"/>
          <w:b/>
          <w:color w:val="auto"/>
          <w:sz w:val="44"/>
          <w:highlight w:val="none"/>
        </w:rPr>
        <w:outlineLvl w:val="0"/>
      </w:pPr>
      <w:r>
        <w:rPr>
          <w:rFonts w:hint="eastAsia"/>
          <w:color w:val="auto"/>
          <w:highlight w:val="none"/>
        </w:rPr>
        <w:t xml:space="preserve"> </w:t>
      </w:r>
      <w:bookmarkStart w:id="6" w:name="_Toc2559"/>
      <w:r/>
      <w:bookmarkStart w:id="7" w:name="_Toc3486"/>
      <w:r>
        <w:rPr>
          <w:rFonts w:hint="eastAsia" w:ascii="黑体" w:hAnsi="Arial" w:eastAsia="黑体"/>
          <w:b/>
          <w:color w:val="auto"/>
          <w:sz w:val="44"/>
          <w:highlight w:val="none"/>
        </w:rPr>
        <w:t xml:space="preserve">总  目  录</w:t>
      </w:r>
      <w:bookmarkEnd w:id="6"/>
      <w:r/>
      <w:bookmarkEnd w:id="7"/>
      <w:r/>
      <w:r/>
    </w:p>
    <w:p>
      <w:pPr>
        <w:pStyle w:val="961"/>
        <w:tabs>
          <w:tab w:val="right" w:pos="8953" w:leader="dot"/>
        </w:tabs>
        <w:rPr>
          <w:color w:val="auto"/>
          <w:highlight w:val="none"/>
        </w:rPr>
      </w:pPr>
      <w:r>
        <w:rPr>
          <w:rFonts w:hint="eastAsia" w:ascii="仿宋_GB2312" w:hAnsi="Arial" w:eastAsia="仿宋_GB2312"/>
          <w:b/>
          <w:color w:val="auto"/>
          <w:sz w:val="28"/>
          <w:highlight w:val="none"/>
        </w:rPr>
        <w:fldChar w:fldCharType="begin"/>
      </w:r>
      <w:r>
        <w:rPr>
          <w:rFonts w:hint="eastAsia" w:ascii="仿宋_GB2312" w:hAnsi="Arial" w:eastAsia="仿宋_GB2312"/>
          <w:b/>
          <w:color w:val="auto"/>
          <w:sz w:val="28"/>
          <w:highlight w:val="none"/>
        </w:rPr>
        <w:instrText xml:space="preserve">TOC \o "1-3" \h \u </w:instrText>
      </w:r>
      <w:r>
        <w:rPr>
          <w:rFonts w:hint="eastAsia" w:ascii="仿宋_GB2312" w:hAnsi="Arial" w:eastAsia="仿宋_GB2312"/>
          <w:b/>
          <w:color w:val="auto"/>
          <w:sz w:val="28"/>
          <w:highlight w:val="none"/>
        </w:rPr>
        <w:fldChar w:fldCharType="separate"/>
      </w:r>
      <w:r/>
    </w:p>
    <w:p>
      <w:pPr>
        <w:pStyle w:val="961"/>
        <w:spacing w:line="360" w:lineRule="auto"/>
        <w:tabs>
          <w:tab w:val="right" w:pos="8953" w:leader="dot"/>
        </w:tabs>
        <w:rPr>
          <w:rFonts w:hint="eastAsia" w:cs="宋体"/>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_Toc2933 </w:instrText>
      </w:r>
      <w:r>
        <w:rPr>
          <w:rFonts w:hint="eastAsia" w:cs="宋体"/>
          <w:color w:val="auto"/>
          <w:highlight w:val="none"/>
        </w:rPr>
        <w:fldChar w:fldCharType="separate"/>
      </w:r>
      <w:r>
        <w:rPr>
          <w:rFonts w:hint="eastAsia" w:cs="宋体"/>
          <w:color w:val="auto"/>
          <w:highlight w:val="none"/>
        </w:rPr>
        <w:t xml:space="preserve">第一章  投标邀请</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_Toc2933 \h </w:instrText>
      </w:r>
      <w:r>
        <w:rPr>
          <w:rFonts w:hint="eastAsia" w:cs="宋体"/>
          <w:color w:val="auto"/>
          <w:highlight w:val="none"/>
        </w:rPr>
        <w:fldChar w:fldCharType="separate"/>
      </w:r>
      <w:r>
        <w:rPr>
          <w:rFonts w:hint="eastAsia" w:cs="宋体"/>
          <w:color w:val="auto"/>
          <w:highlight w:val="none"/>
        </w:rPr>
        <w:t xml:space="preserve">１</w:t>
      </w:r>
      <w:r>
        <w:rPr>
          <w:rFonts w:hint="eastAsia" w:cs="宋体"/>
          <w:color w:val="auto"/>
          <w:highlight w:val="none"/>
        </w:rPr>
        <w:fldChar w:fldCharType="end"/>
      </w:r>
      <w:r>
        <w:rPr>
          <w:rFonts w:hint="eastAsia" w:cs="宋体"/>
          <w:color w:val="auto"/>
          <w:highlight w:val="none"/>
        </w:rPr>
        <w:fldChar w:fldCharType="end"/>
      </w:r>
      <w:r/>
    </w:p>
    <w:p>
      <w:pPr>
        <w:pStyle w:val="961"/>
        <w:spacing w:line="360" w:lineRule="auto"/>
        <w:tabs>
          <w:tab w:val="right" w:pos="8953" w:leader="dot"/>
        </w:tabs>
        <w:rPr>
          <w:rFonts w:hint="eastAsia" w:cs="宋体"/>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_Toc28147 </w:instrText>
      </w:r>
      <w:r>
        <w:rPr>
          <w:rFonts w:hint="eastAsia" w:cs="宋体"/>
          <w:color w:val="auto"/>
          <w:highlight w:val="none"/>
        </w:rPr>
        <w:fldChar w:fldCharType="separate"/>
      </w:r>
      <w:r>
        <w:rPr>
          <w:rFonts w:hint="eastAsia" w:cs="宋体"/>
          <w:color w:val="auto"/>
          <w:highlight w:val="none"/>
        </w:rPr>
        <w:t xml:space="preserve">第二章  </w:t>
      </w:r>
      <w:r>
        <w:rPr>
          <w:rFonts w:hint="eastAsia" w:cs="宋体"/>
          <w:color w:val="auto"/>
          <w:highlight w:val="none"/>
          <w:lang w:eastAsia="zh-CN"/>
        </w:rPr>
        <w:t xml:space="preserve">供应商</w:t>
      </w:r>
      <w:r>
        <w:rPr>
          <w:rFonts w:hint="eastAsia" w:cs="宋体"/>
          <w:color w:val="auto"/>
          <w:highlight w:val="none"/>
        </w:rPr>
        <w:t xml:space="preserve">须知</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_Toc28147 \h </w:instrText>
      </w:r>
      <w:r>
        <w:rPr>
          <w:rFonts w:hint="eastAsia" w:cs="宋体"/>
          <w:color w:val="auto"/>
          <w:highlight w:val="none"/>
        </w:rPr>
        <w:fldChar w:fldCharType="separate"/>
      </w:r>
      <w:r>
        <w:rPr>
          <w:rFonts w:hint="eastAsia" w:cs="宋体"/>
          <w:color w:val="auto"/>
          <w:highlight w:val="none"/>
        </w:rPr>
        <w:t xml:space="preserve">５</w:t>
      </w:r>
      <w:r>
        <w:rPr>
          <w:rFonts w:hint="eastAsia" w:cs="宋体"/>
          <w:color w:val="auto"/>
          <w:highlight w:val="none"/>
        </w:rPr>
        <w:fldChar w:fldCharType="end"/>
      </w:r>
      <w:r>
        <w:rPr>
          <w:rFonts w:hint="eastAsia" w:cs="宋体"/>
          <w:color w:val="auto"/>
          <w:highlight w:val="none"/>
        </w:rPr>
        <w:fldChar w:fldCharType="end"/>
      </w:r>
      <w:r/>
    </w:p>
    <w:p>
      <w:pPr>
        <w:pStyle w:val="961"/>
        <w:spacing w:line="360" w:lineRule="auto"/>
        <w:tabs>
          <w:tab w:val="right" w:pos="8953" w:leader="dot"/>
        </w:tabs>
        <w:rPr>
          <w:rFonts w:hint="eastAsia" w:eastAsia="宋体" w:cs="宋体"/>
          <w:color w:val="auto"/>
          <w:highlight w:val="none"/>
          <w:lang w:val="en-US" w:eastAsia="zh-CN"/>
        </w:rPr>
      </w:pPr>
      <w:r>
        <w:rPr>
          <w:rFonts w:hint="eastAsia" w:cs="宋体"/>
          <w:color w:val="auto"/>
          <w:highlight w:val="none"/>
        </w:rPr>
        <w:fldChar w:fldCharType="begin"/>
      </w:r>
      <w:r>
        <w:rPr>
          <w:rFonts w:hint="eastAsia" w:cs="宋体"/>
          <w:color w:val="auto"/>
          <w:highlight w:val="none"/>
        </w:rPr>
        <w:instrText xml:space="preserve"> HYPERLINK \l _Toc20691 </w:instrText>
      </w:r>
      <w:r>
        <w:rPr>
          <w:rFonts w:hint="eastAsia" w:cs="宋体"/>
          <w:color w:val="auto"/>
          <w:highlight w:val="none"/>
        </w:rPr>
        <w:fldChar w:fldCharType="separate"/>
      </w:r>
      <w:r>
        <w:rPr>
          <w:rFonts w:hint="eastAsia" w:cs="宋体"/>
          <w:color w:val="auto"/>
          <w:highlight w:val="none"/>
        </w:rPr>
        <w:t xml:space="preserve">第三章  合同文本</w:t>
      </w:r>
      <w:r>
        <w:rPr>
          <w:rFonts w:hint="eastAsia" w:cs="宋体"/>
          <w:color w:val="auto"/>
          <w:highlight w:val="none"/>
        </w:rPr>
        <w:tab/>
      </w:r>
      <w:r>
        <w:rPr>
          <w:rFonts w:hint="eastAsia" w:cs="宋体"/>
          <w:color w:val="auto"/>
          <w:highlight w:val="none"/>
          <w:lang w:val="en-US" w:eastAsia="zh-CN"/>
        </w:rPr>
        <w:t xml:space="preserve">2</w:t>
      </w:r>
      <w:r>
        <w:rPr>
          <w:rFonts w:hint="eastAsia" w:cs="宋体"/>
          <w:color w:val="auto"/>
          <w:highlight w:val="none"/>
        </w:rPr>
        <w:fldChar w:fldCharType="end"/>
      </w:r>
      <w:r>
        <w:rPr>
          <w:rFonts w:hint="eastAsia" w:cs="宋体"/>
          <w:color w:val="auto"/>
          <w:highlight w:val="none"/>
          <w:lang w:val="en-US" w:eastAsia="zh-CN"/>
        </w:rPr>
        <w:t xml:space="preserve">0</w:t>
      </w:r>
      <w:r/>
    </w:p>
    <w:p>
      <w:pPr>
        <w:pStyle w:val="961"/>
        <w:spacing w:line="360" w:lineRule="auto"/>
        <w:tabs>
          <w:tab w:val="right" w:pos="8953" w:leader="dot"/>
        </w:tabs>
        <w:rPr>
          <w:rFonts w:hint="eastAsia" w:cs="宋体"/>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_Toc21086 </w:instrText>
      </w:r>
      <w:r>
        <w:rPr>
          <w:rFonts w:hint="eastAsia" w:cs="宋体"/>
          <w:color w:val="auto"/>
          <w:highlight w:val="none"/>
        </w:rPr>
        <w:fldChar w:fldCharType="separate"/>
      </w:r>
      <w:r>
        <w:rPr>
          <w:rFonts w:hint="eastAsia" w:cs="宋体"/>
          <w:color w:val="auto"/>
          <w:highlight w:val="none"/>
          <w:lang w:val="en-US" w:eastAsia="zh-CN"/>
        </w:rPr>
        <w:t xml:space="preserve">第四章 采购需求</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_Toc21086 \h </w:instrText>
      </w:r>
      <w:r>
        <w:rPr>
          <w:rFonts w:hint="eastAsia" w:cs="宋体"/>
          <w:color w:val="auto"/>
          <w:highlight w:val="none"/>
        </w:rPr>
        <w:fldChar w:fldCharType="separate"/>
      </w:r>
      <w:r>
        <w:rPr>
          <w:rFonts w:hint="eastAsia" w:cs="宋体"/>
          <w:color w:val="auto"/>
          <w:highlight w:val="none"/>
        </w:rPr>
        <w:t xml:space="preserve">２</w:t>
      </w:r>
      <w:r>
        <w:rPr>
          <w:rFonts w:hint="eastAsia" w:cs="宋体"/>
          <w:color w:val="auto"/>
          <w:highlight w:val="none"/>
          <w:lang w:val="en-US" w:eastAsia="zh-CN"/>
        </w:rPr>
        <w:t xml:space="preserve">5</w:t>
      </w:r>
      <w:r>
        <w:rPr>
          <w:rFonts w:hint="eastAsia" w:cs="宋体"/>
          <w:color w:val="auto"/>
          <w:highlight w:val="none"/>
        </w:rPr>
        <w:fldChar w:fldCharType="end"/>
      </w:r>
      <w:r>
        <w:rPr>
          <w:rFonts w:hint="eastAsia" w:cs="宋体"/>
          <w:color w:val="auto"/>
          <w:highlight w:val="none"/>
        </w:rPr>
        <w:fldChar w:fldCharType="end"/>
      </w:r>
      <w:r/>
    </w:p>
    <w:p>
      <w:pPr>
        <w:pStyle w:val="961"/>
        <w:spacing w:line="360" w:lineRule="auto"/>
        <w:tabs>
          <w:tab w:val="right" w:pos="8953" w:leader="dot"/>
        </w:tabs>
        <w:rPr>
          <w:rFonts w:hint="eastAsia" w:cs="宋体"/>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_Toc32632 </w:instrText>
      </w:r>
      <w:r>
        <w:rPr>
          <w:rFonts w:hint="eastAsia" w:cs="宋体"/>
          <w:color w:val="auto"/>
          <w:highlight w:val="none"/>
        </w:rPr>
        <w:fldChar w:fldCharType="separate"/>
      </w:r>
      <w:r>
        <w:rPr>
          <w:rFonts w:hint="eastAsia" w:cs="宋体"/>
          <w:color w:val="auto"/>
          <w:highlight w:val="none"/>
        </w:rPr>
        <w:t xml:space="preserve">第五章  评标方法与评标标准</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_Toc32632 \h </w:instrText>
      </w:r>
      <w:r>
        <w:rPr>
          <w:rFonts w:hint="eastAsia" w:cs="宋体"/>
          <w:color w:val="auto"/>
          <w:highlight w:val="none"/>
        </w:rPr>
        <w:fldChar w:fldCharType="separate"/>
      </w:r>
      <w:r>
        <w:rPr>
          <w:rFonts w:hint="eastAsia" w:cs="宋体"/>
          <w:color w:val="auto"/>
          <w:highlight w:val="none"/>
        </w:rPr>
        <w:t xml:space="preserve">３</w:t>
      </w:r>
      <w:r>
        <w:rPr>
          <w:rFonts w:hint="eastAsia" w:cs="宋体"/>
          <w:color w:val="auto"/>
          <w:highlight w:val="none"/>
          <w:lang w:val="en-US" w:eastAsia="zh-CN"/>
        </w:rPr>
        <w:t xml:space="preserve">1</w:t>
      </w:r>
      <w:r>
        <w:rPr>
          <w:rFonts w:hint="eastAsia" w:cs="宋体"/>
          <w:color w:val="auto"/>
          <w:highlight w:val="none"/>
        </w:rPr>
        <w:fldChar w:fldCharType="end"/>
      </w:r>
      <w:r>
        <w:rPr>
          <w:rFonts w:hint="eastAsia" w:cs="宋体"/>
          <w:color w:val="auto"/>
          <w:highlight w:val="none"/>
        </w:rPr>
        <w:fldChar w:fldCharType="end"/>
      </w:r>
      <w:r/>
    </w:p>
    <w:p>
      <w:pPr>
        <w:pStyle w:val="961"/>
        <w:spacing w:line="360" w:lineRule="auto"/>
        <w:tabs>
          <w:tab w:val="right" w:pos="8953" w:leader="dot"/>
        </w:tabs>
        <w:rPr>
          <w:rFonts w:hint="eastAsia" w:eastAsia="宋体" w:cs="宋体"/>
          <w:color w:val="auto"/>
          <w:highlight w:val="none"/>
          <w:lang w:val="en-US" w:eastAsia="zh-CN"/>
        </w:rPr>
      </w:pPr>
      <w:r>
        <w:rPr>
          <w:rFonts w:hint="eastAsia" w:cs="宋体"/>
          <w:color w:val="auto"/>
          <w:highlight w:val="none"/>
        </w:rPr>
        <w:fldChar w:fldCharType="begin"/>
      </w:r>
      <w:r>
        <w:rPr>
          <w:rFonts w:hint="eastAsia" w:cs="宋体"/>
          <w:color w:val="auto"/>
          <w:highlight w:val="none"/>
        </w:rPr>
        <w:instrText xml:space="preserve"> HYPERLINK \l _Toc29928 </w:instrText>
      </w:r>
      <w:r>
        <w:rPr>
          <w:rFonts w:hint="eastAsia" w:cs="宋体"/>
          <w:color w:val="auto"/>
          <w:highlight w:val="none"/>
        </w:rPr>
        <w:fldChar w:fldCharType="separate"/>
      </w:r>
      <w:r>
        <w:rPr>
          <w:rFonts w:hint="eastAsia" w:cs="宋体"/>
          <w:color w:val="auto"/>
          <w:highlight w:val="none"/>
        </w:rPr>
        <w:t xml:space="preserve">第六章  投标文件格式</w:t>
      </w:r>
      <w:r>
        <w:rPr>
          <w:rFonts w:hint="eastAsia" w:cs="宋体"/>
          <w:color w:val="auto"/>
          <w:highlight w:val="none"/>
        </w:rPr>
        <w:tab/>
      </w:r>
      <w:r>
        <w:rPr>
          <w:rFonts w:hint="eastAsia" w:cs="宋体"/>
          <w:color w:val="auto"/>
          <w:highlight w:val="none"/>
          <w:lang w:val="en-US" w:eastAsia="zh-CN"/>
        </w:rPr>
        <w:t xml:space="preserve">3</w:t>
      </w:r>
      <w:r>
        <w:rPr>
          <w:rFonts w:hint="eastAsia" w:cs="宋体"/>
          <w:color w:val="auto"/>
          <w:highlight w:val="none"/>
        </w:rPr>
        <w:fldChar w:fldCharType="end"/>
      </w:r>
      <w:r>
        <w:rPr>
          <w:rFonts w:hint="eastAsia" w:cs="宋体"/>
          <w:color w:val="auto"/>
          <w:highlight w:val="none"/>
          <w:lang w:val="en-US" w:eastAsia="zh-CN"/>
        </w:rPr>
        <w:t xml:space="preserve">4</w:t>
      </w:r>
      <w:r/>
    </w:p>
    <w:p>
      <w:pPr>
        <w:pStyle w:val="968"/>
        <w:tabs>
          <w:tab w:val="right" w:pos="8953" w:leader="dot"/>
        </w:tabs>
        <w:rPr>
          <w:color w:val="auto"/>
          <w:highlight w:val="none"/>
        </w:rPr>
      </w:pPr>
      <w:r>
        <w:rPr>
          <w:color w:val="auto"/>
          <w:highlight w:val="none"/>
        </w:rPr>
      </w:r>
      <w:r/>
    </w:p>
    <w:p>
      <w:pPr>
        <w:spacing w:line="480" w:lineRule="auto"/>
        <w:rPr>
          <w:rFonts w:hint="eastAsia" w:ascii="仿宋_GB2312" w:hAnsi="Arial" w:eastAsia="仿宋_GB2312"/>
          <w:b/>
          <w:color w:val="auto"/>
          <w:sz w:val="28"/>
          <w:highlight w:val="none"/>
        </w:rPr>
      </w:pPr>
      <w:r>
        <w:rPr>
          <w:rFonts w:hint="eastAsia" w:ascii="仿宋_GB2312" w:hAnsi="Arial" w:eastAsia="仿宋_GB2312"/>
          <w:color w:val="auto"/>
          <w:highlight w:val="none"/>
        </w:rPr>
        <w:fldChar w:fldCharType="end"/>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11"/>
        <w:rPr>
          <w:rFonts w:hint="eastAsia" w:ascii="黑体" w:eastAsia="黑体"/>
          <w:color w:val="auto"/>
          <w:sz w:val="44"/>
          <w:szCs w:val="44"/>
          <w:highlight w:val="none"/>
        </w:rPr>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bookmarkStart w:id="8" w:name="_Toc1635"/>
      <w:r/>
      <w:bookmarkStart w:id="9" w:name="_Toc2933"/>
      <w:r/>
      <w:r/>
    </w:p>
    <w:p>
      <w:pPr>
        <w:pStyle w:val="911"/>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bookmarkEnd w:id="8"/>
      <w:r/>
      <w:bookmarkEnd w:id="9"/>
      <w:r/>
      <w:r/>
    </w:p>
    <w:p>
      <w:pPr>
        <w:ind w:firstLine="480"/>
        <w:jc w:val="left"/>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连云港生物工程中等专业学校</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lang w:eastAsia="zh-CN"/>
        </w:rPr>
        <w:t xml:space="preserve">江苏伟之达项目管理咨询有限公司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u w:val="single"/>
          <w:lang w:eastAsia="zh-CN"/>
        </w:rPr>
        <w:t xml:space="preserve">生物中专2025-2026学年车辆租赁服务</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lang w:eastAsia="zh-CN"/>
        </w:rPr>
        <w:t xml:space="preserve">JSZC-320700-SWZD-G2025-0008</w:t>
      </w:r>
      <w:r>
        <w:rPr>
          <w:rFonts w:hint="eastAsia" w:ascii="宋体" w:hAnsi="宋体"/>
          <w:color w:val="auto"/>
          <w:sz w:val="24"/>
          <w:szCs w:val="24"/>
          <w:highlight w:val="none"/>
        </w:rPr>
        <w:t xml:space="preserve">)项目进行公开招标采购，欢迎符合条件的供应商投标。</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生物中专2025-2026学年车辆租赁服务</w:t>
      </w:r>
      <w:r>
        <w:rPr>
          <w:rFonts w:hint="eastAsia" w:ascii="宋体" w:hAnsi="宋体"/>
          <w:color w:val="auto"/>
          <w:sz w:val="24"/>
          <w:szCs w:val="24"/>
          <w:highlight w:val="none"/>
        </w:rPr>
        <w:t xml:space="preserve">招标项目的潜在</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2025年</w:t>
      </w:r>
      <w:r>
        <w:rPr>
          <w:rFonts w:hint="eastAsia" w:ascii="宋体" w:hAnsi="宋体"/>
          <w:color w:val="auto"/>
          <w:sz w:val="24"/>
          <w:szCs w:val="24"/>
          <w:highlight w:val="none"/>
          <w:u w:val="single"/>
          <w:lang w:val="en-US" w:eastAsia="zh-CN"/>
        </w:rPr>
        <w:t xml:space="preserve">11</w:t>
      </w:r>
      <w:r>
        <w:rPr>
          <w:rFonts w:hint="eastAsia" w:ascii="宋体" w:hAnsi="宋体"/>
          <w:color w:val="auto"/>
          <w:sz w:val="24"/>
          <w:szCs w:val="24"/>
          <w:highlight w:val="none"/>
          <w:u w:val="single"/>
          <w:lang w:eastAsia="zh-CN"/>
        </w:rPr>
        <w:t xml:space="preserve">月</w:t>
      </w:r>
      <w:r>
        <w:rPr>
          <w:rFonts w:hint="eastAsia" w:ascii="宋体" w:hAnsi="宋体" w:cs="宋体"/>
          <w:color w:val="auto"/>
          <w:sz w:val="24"/>
          <w:szCs w:val="24"/>
          <w:highlight w:val="none"/>
          <w:u w:val="single"/>
          <w:lang w:val="en-US" w:eastAsia="zh-CN"/>
        </w:rPr>
        <w:t xml:space="preserve">27</w:t>
      </w:r>
      <w:r>
        <w:rPr>
          <w:rFonts w:hint="eastAsia" w:ascii="宋体" w:hAnsi="宋体" w:cs="宋体"/>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13"/>
        <w:ind w:firstLine="498"/>
        <w:spacing w:before="145" w:after="145" w:line="360" w:lineRule="auto"/>
        <w:rPr>
          <w:color w:val="auto"/>
          <w:highlight w:val="none"/>
        </w:rPr>
      </w:pPr>
      <w:r/>
      <w:bookmarkStart w:id="10" w:name="_Toc35393790"/>
      <w:r/>
      <w:bookmarkStart w:id="11" w:name="_Toc35393621"/>
      <w:r/>
      <w:bookmarkStart w:id="12" w:name="_Toc21136"/>
      <w:r/>
      <w:bookmarkStart w:id="13" w:name="_Toc16002"/>
      <w:r/>
      <w:bookmarkStart w:id="14" w:name="_Toc28359079"/>
      <w:r/>
      <w:bookmarkStart w:id="15" w:name="_Toc38985263"/>
      <w:r/>
      <w:bookmarkStart w:id="16" w:name="_Hlk24379207"/>
      <w:r/>
      <w:bookmarkStart w:id="17" w:name="_Toc28359002"/>
      <w:r>
        <w:rPr>
          <w:rFonts w:hint="eastAsia"/>
          <w:color w:val="auto"/>
          <w:highlight w:val="none"/>
        </w:rPr>
        <w:t xml:space="preserve">一、项目基本情况</w:t>
      </w:r>
      <w:bookmarkEnd w:id="10"/>
      <w:r/>
      <w:bookmarkEnd w:id="11"/>
      <w:r/>
      <w:bookmarkEnd w:id="12"/>
      <w:r/>
      <w:bookmarkEnd w:id="13"/>
      <w:r/>
      <w:bookmarkEnd w:id="14"/>
      <w:r/>
      <w:bookmarkEnd w:id="15"/>
      <w:r/>
      <w:bookmarkEnd w:id="16"/>
      <w:r/>
      <w:bookmarkEnd w:id="17"/>
      <w:r/>
      <w:r/>
    </w:p>
    <w:p>
      <w:pPr>
        <w:ind w:firstLine="480"/>
        <w:keepLines w:val="0"/>
        <w:keepNext w:val="0"/>
        <w:pageBreakBefore w:val="0"/>
        <w:spacing w:line="52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JSZC-320700-SWZD-G2025-0008</w:t>
      </w:r>
      <w:r/>
    </w:p>
    <w:p>
      <w:pPr>
        <w:ind w:firstLine="480"/>
        <w:keepLines w:val="0"/>
        <w:keepNext w:val="0"/>
        <w:pageBreakBefore w:val="0"/>
        <w:spacing w:line="5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生物中专2025-2026学年车辆租赁服务</w:t>
      </w:r>
      <w:r/>
    </w:p>
    <w:p>
      <w:pPr>
        <w:ind w:firstLine="480"/>
        <w:keepLines w:val="0"/>
        <w:keepNext w:val="0"/>
        <w:pageBreakBefore w:val="0"/>
        <w:spacing w:line="520" w:lineRule="exact"/>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99.25</w:t>
      </w:r>
      <w:r>
        <w:rPr>
          <w:rFonts w:hint="eastAsia" w:ascii="宋体" w:hAnsi="宋体"/>
          <w:color w:val="auto"/>
          <w:sz w:val="24"/>
          <w:szCs w:val="24"/>
          <w:highlight w:val="none"/>
        </w:rPr>
        <w:t xml:space="preserve">万元</w:t>
      </w:r>
      <w:r/>
    </w:p>
    <w:p>
      <w:pPr>
        <w:ind w:firstLine="480"/>
        <w:keepLines w:val="0"/>
        <w:keepNext w:val="0"/>
        <w:pageBreakBefore w:val="0"/>
        <w:spacing w:line="520" w:lineRule="exact"/>
        <w:widowControl w:val="off"/>
        <w:rPr>
          <w:rFonts w:ascii="宋体" w:hAnsi="宋体"/>
          <w:color w:val="auto"/>
          <w:sz w:val="24"/>
          <w:szCs w:val="24"/>
          <w:highlight w:val="none"/>
          <w:lang w:val="en-US" w:eastAsia="zh-CN"/>
        </w:rPr>
      </w:pPr>
      <w:r>
        <w:rPr>
          <w:rFonts w:hint="eastAsia" w:ascii="宋体" w:hAnsi="宋体"/>
          <w:color w:val="auto"/>
          <w:sz w:val="24"/>
          <w:szCs w:val="24"/>
          <w:highlight w:val="none"/>
        </w:rPr>
        <w:t xml:space="preserve">4.最高限价：</w:t>
      </w:r>
      <w:r>
        <w:rPr>
          <w:rFonts w:hint="eastAsia" w:ascii="宋体" w:hAnsi="宋体" w:eastAsia="宋体" w:cs="宋体"/>
          <w:color w:val="auto"/>
          <w:spacing w:val="0"/>
          <w:sz w:val="24"/>
          <w:szCs w:val="24"/>
          <w:highlight w:val="none"/>
          <w:lang w:val="en-US" w:eastAsia="zh-CN"/>
        </w:rPr>
        <w:t xml:space="preserve">最高限价总价</w:t>
      </w:r>
      <w:r>
        <w:rPr>
          <w:rFonts w:hint="eastAsia" w:ascii="宋体" w:hAnsi="宋体" w:cs="宋体"/>
          <w:color w:val="auto"/>
          <w:spacing w:val="0"/>
          <w:sz w:val="24"/>
          <w:szCs w:val="24"/>
          <w:highlight w:val="none"/>
          <w:lang w:val="en-US" w:eastAsia="zh-CN"/>
        </w:rPr>
        <w:t xml:space="preserve">99.25</w:t>
      </w:r>
      <w:r>
        <w:rPr>
          <w:rFonts w:hint="eastAsia" w:ascii="宋体" w:hAnsi="宋体" w:eastAsia="宋体" w:cs="宋体"/>
          <w:color w:val="auto"/>
          <w:spacing w:val="0"/>
          <w:sz w:val="24"/>
          <w:szCs w:val="24"/>
          <w:highlight w:val="none"/>
          <w:lang w:val="en-US" w:eastAsia="zh-CN"/>
        </w:rPr>
        <w:t xml:space="preserve">万元</w:t>
      </w:r>
      <w:r>
        <w:rPr>
          <w:rFonts w:hint="eastAsia" w:ascii="宋体" w:hAnsi="宋体" w:cs="宋体"/>
          <w:color w:val="auto"/>
          <w:spacing w:val="0"/>
          <w:sz w:val="24"/>
          <w:szCs w:val="24"/>
          <w:highlight w:val="none"/>
          <w:lang w:val="en-US" w:eastAsia="zh-CN"/>
        </w:rPr>
        <w:t xml:space="preserve">，限价单价详见项目需求</w:t>
      </w:r>
      <w:r>
        <w:rPr>
          <w:rFonts w:hint="eastAsia" w:ascii="宋体" w:hAnsi="宋体"/>
          <w:strike w:val="0"/>
          <w:color w:val="auto"/>
          <w:sz w:val="24"/>
          <w:szCs w:val="24"/>
          <w:highlight w:val="none"/>
          <w:lang w:val="en-US" w:eastAsia="zh-CN"/>
        </w:rPr>
        <w:t xml:space="preserve">，投标</w:t>
      </w:r>
      <w:r>
        <w:rPr>
          <w:rFonts w:hint="eastAsia" w:ascii="宋体" w:hAnsi="宋体"/>
          <w:color w:val="auto"/>
          <w:sz w:val="24"/>
          <w:szCs w:val="24"/>
          <w:highlight w:val="none"/>
        </w:rPr>
        <w:t xml:space="preserve">报价超过最高限价</w:t>
      </w:r>
      <w:r>
        <w:rPr>
          <w:rFonts w:hint="eastAsia" w:ascii="宋体" w:hAnsi="宋体"/>
          <w:color w:val="auto"/>
          <w:sz w:val="24"/>
          <w:szCs w:val="24"/>
          <w:highlight w:val="none"/>
          <w:lang w:val="en-US" w:eastAsia="zh-CN"/>
        </w:rPr>
        <w:t xml:space="preserve">总价或单价</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投标无效</w:t>
      </w:r>
      <w:r>
        <w:rPr>
          <w:rFonts w:hint="eastAsia" w:ascii="宋体" w:hAnsi="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olor w:val="auto"/>
          <w:sz w:val="24"/>
          <w:szCs w:val="24"/>
          <w:highlight w:val="none"/>
          <w:lang w:val="en-US" w:eastAsia="zh-CN"/>
        </w:rPr>
        <w:t xml:space="preserve">租用车辆接送学生和老师往返学校</w:t>
      </w:r>
      <w:r>
        <w:rPr>
          <w:rFonts w:hint="eastAsia" w:ascii="宋体" w:hAnsi="宋体"/>
          <w:color w:val="auto"/>
          <w:sz w:val="24"/>
          <w:szCs w:val="24"/>
          <w:highlight w:val="none"/>
          <w:lang w:eastAsia="zh-CN"/>
        </w:rPr>
        <w:t xml:space="preserve">，</w:t>
      </w:r>
      <w:r>
        <w:rPr>
          <w:rFonts w:hint="eastAsia" w:ascii="宋体" w:hAnsi="宋体" w:cs="宋体"/>
          <w:color w:val="auto"/>
          <w:sz w:val="24"/>
          <w:szCs w:val="24"/>
          <w:highlight w:val="none"/>
        </w:rPr>
        <w:t xml:space="preserve">详细内容见本招标文件第四章。</w:t>
      </w:r>
      <w:r/>
    </w:p>
    <w:p>
      <w:pPr>
        <w:ind w:firstLine="482"/>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b/>
          <w:bCs/>
          <w:color w:val="auto"/>
          <w:sz w:val="24"/>
          <w:highlight w:val="none"/>
        </w:rPr>
        <w:t xml:space="preserve">对项目采购需求部分的询问、质疑请与采购人联系，由采购人负责答复。</w:t>
      </w:r>
      <w:r/>
    </w:p>
    <w:p>
      <w:pPr>
        <w:ind w:firstLine="480"/>
        <w:keepLines w:val="0"/>
        <w:keepNext w:val="0"/>
        <w:pageBreakBefore w:val="0"/>
        <w:spacing w:line="520" w:lineRule="exact"/>
        <w:widowControl w:val="off"/>
        <w:rPr>
          <w:rFonts w:hint="eastAsia" w:ascii="宋体" w:hAnsi="宋体" w:eastAsia="宋体"/>
          <w:bCs/>
          <w:color w:val="auto"/>
          <w:sz w:val="24"/>
          <w:highlight w:val="none"/>
          <w:lang w:eastAsia="zh-CN"/>
        </w:rPr>
      </w:pPr>
      <w:r>
        <w:rPr>
          <w:rFonts w:hint="eastAsia" w:ascii="宋体" w:hAnsi="宋体"/>
          <w:color w:val="auto"/>
          <w:sz w:val="24"/>
          <w:szCs w:val="24"/>
          <w:highlight w:val="none"/>
        </w:rPr>
        <w:t xml:space="preserve">6.合同履行期限</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2025年-2026年学年</w:t>
      </w:r>
      <w:r>
        <w:rPr>
          <w:rFonts w:hint="eastAsia" w:ascii="宋体" w:hAnsi="宋体"/>
          <w:color w:val="auto"/>
          <w:sz w:val="24"/>
          <w:szCs w:val="24"/>
          <w:highlight w:val="none"/>
          <w:lang w:eastAsia="zh-CN"/>
        </w:rPr>
        <w:t xml:space="preserve">（以采购人指定要求为准）。</w:t>
      </w:r>
      <w:r/>
    </w:p>
    <w:p>
      <w:pPr>
        <w:pStyle w:val="913"/>
        <w:ind w:firstLine="498"/>
        <w:spacing w:before="145" w:after="145" w:line="360" w:lineRule="auto"/>
        <w:rPr>
          <w:color w:val="auto"/>
          <w:highlight w:val="none"/>
        </w:rPr>
      </w:pPr>
      <w:r/>
      <w:bookmarkStart w:id="18" w:name="_Toc1258"/>
      <w:r/>
      <w:bookmarkStart w:id="19" w:name="_Toc35393791"/>
      <w:r/>
      <w:bookmarkStart w:id="20" w:name="_Toc38985264"/>
      <w:r/>
      <w:bookmarkStart w:id="21" w:name="_Toc3796"/>
      <w:r/>
      <w:bookmarkStart w:id="22" w:name="_Toc35393622"/>
      <w:r/>
      <w:bookmarkStart w:id="23" w:name="_Toc28359003"/>
      <w:r/>
      <w:bookmarkStart w:id="24" w:name="_Toc28359080"/>
      <w:r>
        <w:rPr>
          <w:rFonts w:hint="eastAsia"/>
          <w:color w:val="auto"/>
          <w:highlight w:val="none"/>
        </w:rPr>
        <w:t xml:space="preserve">二、申请人的资格要求：</w:t>
      </w:r>
      <w:bookmarkEnd w:id="18"/>
      <w:r/>
      <w:bookmarkEnd w:id="19"/>
      <w:r/>
      <w:bookmarkEnd w:id="20"/>
      <w:r/>
      <w:bookmarkEnd w:id="21"/>
      <w:r/>
      <w:bookmarkEnd w:id="22"/>
      <w:r/>
      <w:bookmarkEnd w:id="23"/>
      <w:r/>
      <w:bookmarkEnd w:id="24"/>
      <w:r/>
      <w:r/>
    </w:p>
    <w:p>
      <w:pPr>
        <w:ind w:firstLine="480"/>
        <w:keepLines w:val="0"/>
        <w:keepNext w:val="0"/>
        <w:pageBreakBefore w:val="0"/>
        <w:spacing w:line="560" w:lineRule="exact"/>
        <w:widowControl w:val="off"/>
        <w:rPr>
          <w:rFonts w:ascii="宋体" w:hAnsi="宋体"/>
          <w:color w:val="auto"/>
          <w:sz w:val="24"/>
          <w:szCs w:val="24"/>
          <w:highlight w:val="none"/>
        </w:rPr>
      </w:pPr>
      <w:r/>
      <w:bookmarkStart w:id="25" w:name="_Toc38985265"/>
      <w:r/>
      <w:bookmarkStart w:id="26" w:name="_Toc35393623"/>
      <w:r/>
      <w:bookmarkStart w:id="27" w:name="_Toc28359004"/>
      <w:r/>
      <w:bookmarkStart w:id="28" w:name="_Toc35393792"/>
      <w:r/>
      <w:bookmarkStart w:id="29"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满足《中华人民共和国政府采购法》第二十二条规定，并提供下列材料：</w:t>
      </w:r>
      <w:r/>
    </w:p>
    <w:p>
      <w:pPr>
        <w:ind w:firstLine="480"/>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法人或者其他组织的营业执照等证明文件，自然人的身份证明；</w:t>
      </w:r>
      <w:r/>
    </w:p>
    <w:p>
      <w:pPr>
        <w:ind w:firstLine="480"/>
        <w:keepLines w:val="0"/>
        <w:keepNext w:val="0"/>
        <w:pageBreakBefore w:val="0"/>
        <w:spacing w:line="56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具有良好的商业信誉和健全的财务会计制度</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rPr>
        <w:t xml:space="preserve">根据连财购〔2023〕4号、连财购</w:t>
      </w:r>
      <w:r>
        <w:rPr>
          <w:rFonts w:hint="eastAsia" w:ascii="宋体" w:hAnsi="宋体"/>
          <w:b/>
          <w:bCs/>
          <w:color w:val="auto"/>
          <w:sz w:val="24"/>
          <w:szCs w:val="24"/>
          <w:highlight w:val="none"/>
          <w:lang w:eastAsia="zh-CN"/>
        </w:rPr>
        <w:t xml:space="preserve">〔2023〕9号</w:t>
      </w:r>
      <w:r>
        <w:rPr>
          <w:rFonts w:hint="eastAsia" w:ascii="宋体" w:hAnsi="宋体"/>
          <w:b/>
          <w:bCs/>
          <w:color w:val="auto"/>
          <w:sz w:val="24"/>
          <w:szCs w:val="24"/>
          <w:highlight w:val="none"/>
        </w:rPr>
        <w:t xml:space="preserve">文件精神，</w:t>
      </w:r>
      <w:r>
        <w:rPr>
          <w:rFonts w:hint="eastAsia" w:ascii="宋体" w:hAnsi="宋体"/>
          <w:b/>
          <w:bCs/>
          <w:color w:val="auto"/>
          <w:sz w:val="24"/>
          <w:szCs w:val="24"/>
          <w:highlight w:val="none"/>
          <w:lang w:val="en-US" w:eastAsia="zh-CN"/>
        </w:rPr>
        <w:t xml:space="preserve">本项</w:t>
      </w:r>
      <w:r>
        <w:rPr>
          <w:rFonts w:hint="eastAsia" w:ascii="宋体" w:hAnsi="宋体"/>
          <w:b/>
          <w:bCs/>
          <w:color w:val="auto"/>
          <w:sz w:val="24"/>
          <w:szCs w:val="24"/>
          <w:highlight w:val="none"/>
        </w:rPr>
        <w:t xml:space="preserve">可以提供《财务状况报告及税收、社会保障资金缴纳情况承诺函》，不再要求</w:t>
      </w:r>
      <w:r>
        <w:rPr>
          <w:rFonts w:hint="eastAsia" w:ascii="宋体" w:hAnsi="宋体"/>
          <w:b/>
          <w:bCs/>
          <w:color w:val="auto"/>
          <w:sz w:val="24"/>
          <w:szCs w:val="24"/>
          <w:highlight w:val="none"/>
          <w:lang w:eastAsia="zh-CN"/>
        </w:rPr>
        <w:t xml:space="preserve">供应商</w:t>
      </w:r>
      <w:r>
        <w:rPr>
          <w:rFonts w:hint="eastAsia" w:ascii="宋体" w:hAnsi="宋体"/>
          <w:b/>
          <w:bCs/>
          <w:color w:val="auto"/>
          <w:sz w:val="24"/>
          <w:szCs w:val="24"/>
          <w:highlight w:val="none"/>
        </w:rPr>
        <w:t xml:space="preserve">提供相关财务状况、缴纳税收和社会保障资金等证明材料，具体格式详见招标文件第六章投标文件格式</w:t>
      </w:r>
      <w:r>
        <w:rPr>
          <w:rFonts w:hint="eastAsia" w:ascii="宋体" w:hAnsi="宋体"/>
          <w:color w:val="auto"/>
          <w:sz w:val="24"/>
          <w:szCs w:val="24"/>
          <w:highlight w:val="none"/>
          <w:lang w:eastAsia="zh-CN"/>
        </w:rPr>
        <w:t xml:space="preserve">；</w:t>
      </w:r>
      <w:r/>
    </w:p>
    <w:p>
      <w:pPr>
        <w:ind w:firstLine="480"/>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依法缴纳税收和社会保障资金的相关材料</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rPr>
        <w:t xml:space="preserve">根据连财购〔2023〕4号、连财购</w:t>
      </w:r>
      <w:r>
        <w:rPr>
          <w:rFonts w:hint="eastAsia" w:ascii="宋体" w:hAnsi="宋体"/>
          <w:b/>
          <w:bCs/>
          <w:color w:val="auto"/>
          <w:sz w:val="24"/>
          <w:szCs w:val="24"/>
          <w:highlight w:val="none"/>
          <w:lang w:eastAsia="zh-CN"/>
        </w:rPr>
        <w:t xml:space="preserve">〔2023〕9号</w:t>
      </w:r>
      <w:r>
        <w:rPr>
          <w:rFonts w:hint="eastAsia" w:ascii="宋体" w:hAnsi="宋体"/>
          <w:b/>
          <w:bCs/>
          <w:color w:val="auto"/>
          <w:sz w:val="24"/>
          <w:szCs w:val="24"/>
          <w:highlight w:val="none"/>
        </w:rPr>
        <w:t xml:space="preserve">文件精神，</w:t>
      </w:r>
      <w:r>
        <w:rPr>
          <w:rFonts w:hint="eastAsia" w:ascii="宋体" w:hAnsi="宋体"/>
          <w:b/>
          <w:bCs/>
          <w:color w:val="auto"/>
          <w:sz w:val="24"/>
          <w:szCs w:val="24"/>
          <w:highlight w:val="none"/>
          <w:lang w:val="en-US" w:eastAsia="zh-CN"/>
        </w:rPr>
        <w:t xml:space="preserve">本项</w:t>
      </w:r>
      <w:r>
        <w:rPr>
          <w:rFonts w:hint="eastAsia" w:ascii="宋体" w:hAnsi="宋体"/>
          <w:b/>
          <w:bCs/>
          <w:color w:val="auto"/>
          <w:sz w:val="24"/>
          <w:szCs w:val="24"/>
          <w:highlight w:val="none"/>
        </w:rPr>
        <w:t xml:space="preserve">可以提供《财务状况报告及税收、社会保障资金缴纳情况承诺函》，不再要求</w:t>
      </w:r>
      <w:r>
        <w:rPr>
          <w:rFonts w:hint="eastAsia" w:ascii="宋体" w:hAnsi="宋体"/>
          <w:b/>
          <w:bCs/>
          <w:color w:val="auto"/>
          <w:sz w:val="24"/>
          <w:szCs w:val="24"/>
          <w:highlight w:val="none"/>
          <w:lang w:eastAsia="zh-CN"/>
        </w:rPr>
        <w:t xml:space="preserve">供应商</w:t>
      </w:r>
      <w:r>
        <w:rPr>
          <w:rFonts w:hint="eastAsia" w:ascii="宋体" w:hAnsi="宋体"/>
          <w:b/>
          <w:bCs/>
          <w:color w:val="auto"/>
          <w:sz w:val="24"/>
          <w:szCs w:val="24"/>
          <w:highlight w:val="none"/>
        </w:rPr>
        <w:t xml:space="preserve">提供相关财务状况、缴纳税收和社会保障资金等证明材料，具体格式详见招标文件第六章投标文件格式</w:t>
      </w:r>
      <w:r>
        <w:rPr>
          <w:rFonts w:hint="eastAsia" w:ascii="宋体" w:hAnsi="宋体"/>
          <w:color w:val="auto"/>
          <w:sz w:val="24"/>
          <w:szCs w:val="24"/>
          <w:highlight w:val="none"/>
          <w:lang w:eastAsia="zh-CN"/>
        </w:rPr>
        <w:t xml:space="preserve">；</w:t>
      </w:r>
      <w:r/>
    </w:p>
    <w:p>
      <w:pPr>
        <w:ind w:firstLine="480"/>
        <w:keepLines w:val="0"/>
        <w:keepNext w:val="0"/>
        <w:pageBreakBefore w:val="0"/>
        <w:spacing w:line="56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具备履行合同所必需的设备和专业技术能力的声明及证明材料；</w:t>
      </w:r>
      <w:r/>
    </w:p>
    <w:p>
      <w:pPr>
        <w:ind w:firstLine="480"/>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参加政府采购活动前3年内在经营活动中没有重大违法记录的声明。</w:t>
      </w:r>
      <w:r/>
    </w:p>
    <w:p>
      <w:pPr>
        <w:ind w:firstLine="482"/>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落实政府采购政策需满足的资格要求：</w:t>
      </w:r>
      <w:r>
        <w:rPr>
          <w:rFonts w:hint="eastAsia" w:ascii="宋体" w:hAnsi="宋体"/>
          <w:color w:val="auto"/>
          <w:sz w:val="24"/>
          <w:szCs w:val="24"/>
          <w:highlight w:val="none"/>
          <w:lang w:val="en-US" w:eastAsia="zh-CN"/>
        </w:rPr>
        <w:t xml:space="preserve">无。</w:t>
      </w:r>
      <w:r/>
    </w:p>
    <w:p>
      <w:pPr>
        <w:ind w:firstLine="482"/>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p>
    <w:p>
      <w:pPr>
        <w:ind w:left="0" w:firstLine="482"/>
        <w:keepLines w:val="0"/>
        <w:keepNext w:val="0"/>
        <w:pageBreakBefore w:val="0"/>
        <w:spacing w:line="560" w:lineRule="exact"/>
        <w:widowControl w:val="off"/>
        <w:rPr>
          <w:rFonts w:hint="eastAsia" w:ascii="宋体" w:hAnsi="宋体"/>
          <w:color w:val="auto"/>
          <w:sz w:val="24"/>
          <w:szCs w:val="24"/>
          <w:highlight w:val="none"/>
          <w:lang w:val="en-US" w:eastAsia="zh-CN"/>
        </w:rPr>
      </w:pPr>
      <w:r/>
      <w:bookmarkStart w:id="30" w:name="_Toc21470"/>
      <w:r/>
      <w:bookmarkStart w:id="31" w:name="_Toc22630"/>
      <w:r>
        <w:rPr>
          <w:rFonts w:hint="eastAsia" w:ascii="宋体" w:hAnsi="宋体"/>
          <w:color w:val="auto"/>
          <w:sz w:val="24"/>
          <w:szCs w:val="24"/>
          <w:highlight w:val="none"/>
          <w:lang w:val="en-US" w:eastAsia="zh-CN"/>
        </w:rPr>
        <w:t xml:space="preserve">1、本项目不接受进口产品（进口产品是指通过中国海关报关验放进入中国境内且产自关境外的产品）；</w:t>
      </w:r>
      <w:r/>
    </w:p>
    <w:p>
      <w:pPr>
        <w:ind w:left="0" w:firstLine="482"/>
        <w:keepLines w:val="0"/>
        <w:keepNext w:val="0"/>
        <w:pageBreakBefore w:val="0"/>
        <w:spacing w:line="5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r/>
    </w:p>
    <w:p>
      <w:pPr>
        <w:ind w:left="0" w:firstLine="482"/>
        <w:keepLines w:val="0"/>
        <w:keepNext w:val="0"/>
        <w:pageBreakBefore w:val="0"/>
        <w:spacing w:line="560" w:lineRule="exact"/>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供应商具有有效期内的《道路运输经营许可证》；</w:t>
      </w:r>
      <w:r/>
    </w:p>
    <w:p>
      <w:pPr>
        <w:ind w:left="0" w:firstLine="482"/>
        <w:keepLines w:val="0"/>
        <w:keepNext w:val="0"/>
        <w:pageBreakBefore w:val="0"/>
        <w:spacing w:line="5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4、本项目中标后不允许分包或转包；</w:t>
      </w:r>
      <w:r/>
    </w:p>
    <w:p>
      <w:pPr>
        <w:ind w:left="0" w:firstLine="482"/>
        <w:keepLines w:val="0"/>
        <w:keepNext w:val="0"/>
        <w:pageBreakBefore w:val="0"/>
        <w:spacing w:line="5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5、本项目</w:t>
      </w:r>
      <w:r>
        <w:rPr>
          <w:rFonts w:hint="eastAsia" w:ascii="宋体" w:hAnsi="宋体"/>
          <w:color w:val="auto"/>
          <w:sz w:val="24"/>
          <w:szCs w:val="24"/>
          <w:highlight w:val="none"/>
          <w:u w:val="single"/>
          <w:lang w:val="en-US" w:eastAsia="zh-CN"/>
        </w:rPr>
        <w:t xml:space="preserve"> 不接受 </w:t>
      </w:r>
      <w:r>
        <w:rPr>
          <w:rFonts w:hint="eastAsia" w:ascii="宋体" w:hAnsi="宋体"/>
          <w:color w:val="auto"/>
          <w:sz w:val="24"/>
          <w:szCs w:val="24"/>
          <w:highlight w:val="none"/>
          <w:lang w:val="en-US" w:eastAsia="zh-CN"/>
        </w:rPr>
        <w:t xml:space="preserve">联合体投标（接受/不接受）；</w:t>
      </w:r>
      <w:r/>
    </w:p>
    <w:p>
      <w:pPr>
        <w:ind w:left="0" w:firstLine="482"/>
        <w:keepLines w:val="0"/>
        <w:keepNext w:val="0"/>
        <w:pageBreakBefore w:val="0"/>
        <w:spacing w:line="5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在“信用中国”网站（www.creditchina.gov.cn）查询，无被列入失信被执行人、重大税收违法案件当事人名单、政府采购严重失信行为记录名单及其他不符合《中华人民共和国政府采购法》第二十二条规定条件的信用记录。（采购人或采购代理机构通过信用中国网站（www.creditchina.gov.cn）、中国政府采购网（www.ccgp.gov.cn），对供应商信用记录情况进行查询，查询结果页面打印留存。投标文件中无需提供证明材料）；</w:t>
      </w:r>
      <w:r/>
    </w:p>
    <w:p>
      <w:pPr>
        <w:ind w:left="0" w:firstLine="482"/>
        <w:keepLines w:val="0"/>
        <w:keepNext w:val="0"/>
        <w:pageBreakBefore w:val="0"/>
        <w:spacing w:line="5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7、法律、法规规定的其他条件。</w:t>
      </w:r>
      <w:r/>
    </w:p>
    <w:p>
      <w:pPr>
        <w:pStyle w:val="913"/>
        <w:ind w:firstLine="498"/>
        <w:spacing w:before="145" w:after="145" w:line="360" w:lineRule="auto"/>
        <w:rPr>
          <w:color w:val="auto"/>
          <w:highlight w:val="none"/>
        </w:rPr>
      </w:pPr>
      <w:r>
        <w:rPr>
          <w:rFonts w:hint="eastAsia"/>
          <w:color w:val="auto"/>
          <w:highlight w:val="none"/>
        </w:rPr>
        <w:t xml:space="preserve">三、获取招标文件</w:t>
      </w:r>
      <w:bookmarkEnd w:id="25"/>
      <w:r/>
      <w:bookmarkEnd w:id="26"/>
      <w:r/>
      <w:bookmarkEnd w:id="27"/>
      <w:r/>
      <w:bookmarkEnd w:id="28"/>
      <w:r/>
      <w:bookmarkEnd w:id="29"/>
      <w:r/>
      <w:bookmarkEnd w:id="30"/>
      <w:r/>
      <w:bookmarkEnd w:id="31"/>
      <w:r/>
      <w:r/>
    </w:p>
    <w:p>
      <w:pPr>
        <w:ind w:firstLine="539"/>
        <w:keepLines w:val="0"/>
        <w:keepNext w:val="0"/>
        <w:pageBreakBefore w:val="0"/>
        <w:spacing w:line="560" w:lineRule="exact"/>
        <w:widowControl w:val="off"/>
        <w:rPr>
          <w:rFonts w:ascii="宋体" w:hAnsi="宋体" w:cs="宋体"/>
          <w:color w:val="auto"/>
          <w:sz w:val="24"/>
          <w:szCs w:val="24"/>
          <w:highlight w:val="none"/>
        </w:rPr>
      </w:pPr>
      <w:r/>
      <w:bookmarkStart w:id="32" w:name="_Toc28359082"/>
      <w:r/>
      <w:bookmarkStart w:id="33" w:name="_Toc28359005"/>
      <w:r/>
      <w:bookmarkStart w:id="34" w:name="_Toc38985266"/>
      <w:r/>
      <w:bookmarkStart w:id="35" w:name="_Toc35393793"/>
      <w:r/>
      <w:bookmarkStart w:id="36" w:name="_Toc35393624"/>
      <w:r>
        <w:rPr>
          <w:rFonts w:hint="eastAsia" w:ascii="宋体" w:hAnsi="宋体" w:cs="宋体"/>
          <w:color w:val="auto"/>
          <w:sz w:val="24"/>
          <w:szCs w:val="24"/>
          <w:highlight w:val="none"/>
        </w:rPr>
        <w:t xml:space="preserve">1.时间：</w:t>
      </w:r>
      <w:r>
        <w:rPr>
          <w:rFonts w:hint="eastAsia" w:ascii="宋体" w:hAnsi="宋体" w:cs="宋体"/>
          <w:color w:val="auto"/>
          <w:sz w:val="24"/>
          <w:szCs w:val="24"/>
          <w:highlight w:val="none"/>
          <w:lang w:eastAsia="zh-CN"/>
        </w:rPr>
        <w:t xml:space="preserve">2025年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日至</w:t>
      </w:r>
      <w:r>
        <w:rPr>
          <w:rFonts w:hint="eastAsia" w:ascii="宋体" w:hAnsi="宋体" w:cs="宋体"/>
          <w:color w:val="auto"/>
          <w:sz w:val="24"/>
          <w:szCs w:val="24"/>
          <w:highlight w:val="none"/>
          <w:lang w:eastAsia="zh-CN"/>
        </w:rPr>
        <w:t xml:space="preserve">2025年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月26</w:t>
      </w:r>
      <w:r>
        <w:rPr>
          <w:rFonts w:hint="eastAsia" w:ascii="宋体" w:hAnsi="宋体" w:cs="宋体"/>
          <w:color w:val="auto"/>
          <w:sz w:val="24"/>
          <w:szCs w:val="24"/>
          <w:highlight w:val="none"/>
        </w:rPr>
        <w:t xml:space="preserve">日23:59止（北京时间）。</w:t>
      </w:r>
      <w:r/>
    </w:p>
    <w:p>
      <w:pPr>
        <w:ind w:firstLine="539"/>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2.地点：在“江苏政府采购网”自行免费下载招标文件。</w:t>
      </w:r>
      <w:r/>
    </w:p>
    <w:p>
      <w:pPr>
        <w:ind w:firstLine="539"/>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3.方式：登录http://jszfcg.jsczt.cn/或进入江苏政府采购网，点击“苏采云”进入系统。</w:t>
      </w:r>
      <w:r/>
    </w:p>
    <w:p>
      <w:pPr>
        <w:ind w:firstLine="539"/>
        <w:keepLines w:val="0"/>
        <w:keepNext w:val="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pStyle w:val="913"/>
        <w:ind w:firstLine="498"/>
        <w:spacing w:before="145" w:after="145" w:line="360" w:lineRule="auto"/>
        <w:rPr>
          <w:color w:val="auto"/>
          <w:highlight w:val="none"/>
        </w:rPr>
      </w:pPr>
      <w:r/>
      <w:bookmarkStart w:id="37" w:name="_Toc19306"/>
      <w:r/>
      <w:bookmarkStart w:id="38" w:name="_Toc20677"/>
      <w:r>
        <w:rPr>
          <w:rFonts w:hint="eastAsia"/>
          <w:color w:val="auto"/>
          <w:highlight w:val="none"/>
        </w:rPr>
        <w:t xml:space="preserve">四、提交投标文件</w:t>
      </w:r>
      <w:bookmarkEnd w:id="32"/>
      <w:r/>
      <w:bookmarkEnd w:id="33"/>
      <w:r>
        <w:rPr>
          <w:rFonts w:hint="eastAsia"/>
          <w:color w:val="auto"/>
          <w:highlight w:val="none"/>
        </w:rPr>
        <w:t xml:space="preserve">截止时间、开标时间和地点</w:t>
      </w:r>
      <w:bookmarkEnd w:id="34"/>
      <w:r/>
      <w:bookmarkEnd w:id="35"/>
      <w:r/>
      <w:bookmarkEnd w:id="36"/>
      <w:r/>
      <w:bookmarkEnd w:id="37"/>
      <w:r/>
      <w:bookmarkEnd w:id="38"/>
      <w:r/>
      <w:r/>
    </w:p>
    <w:p>
      <w:pPr>
        <w:ind w:firstLine="480"/>
        <w:keepLines w:val="0"/>
        <w:keepNext w:val="0"/>
        <w:pageBreakBefore w:val="0"/>
        <w:spacing w:line="560" w:lineRule="exact"/>
        <w:widowControl w:val="off"/>
        <w:rPr>
          <w:rFonts w:ascii="宋体" w:hAnsi="宋体"/>
          <w:bCs/>
          <w:color w:val="auto"/>
          <w:sz w:val="24"/>
          <w:szCs w:val="24"/>
          <w:highlight w:val="none"/>
          <w:u w:val="singl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2025年</w:t>
      </w: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lang w:val="en-US" w:eastAsia="zh-CN"/>
        </w:rPr>
        <w:t xml:space="preserve">27</w:t>
      </w:r>
      <w:r>
        <w:rPr>
          <w:rFonts w:hint="eastAsia" w:ascii="宋体" w:hAnsi="宋体" w:cs="宋体"/>
          <w:color w:val="auto"/>
          <w:sz w:val="24"/>
          <w:szCs w:val="24"/>
          <w:highlight w:val="none"/>
        </w:rPr>
        <w:t xml:space="preserve">日</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点00分（北京时间）</w:t>
      </w:r>
      <w:r/>
    </w:p>
    <w:p>
      <w:pPr>
        <w:ind w:firstLine="480"/>
        <w:keepLines w:val="0"/>
        <w:keepNext w:val="0"/>
        <w:pageBreakBefore w:val="0"/>
        <w:spacing w:line="560" w:lineRule="exact"/>
        <w:widowControl w:val="off"/>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2.地点：“苏采云”政府采购交易系统网上开标大厅。</w:t>
      </w:r>
      <w:r/>
    </w:p>
    <w:p>
      <w:pPr>
        <w:pStyle w:val="913"/>
        <w:ind w:firstLine="498"/>
        <w:spacing w:before="145" w:after="145" w:line="360" w:lineRule="auto"/>
        <w:rPr>
          <w:color w:val="auto"/>
          <w:highlight w:val="none"/>
        </w:rPr>
      </w:pPr>
      <w:r/>
      <w:bookmarkStart w:id="39" w:name="_Toc35393625"/>
      <w:r/>
      <w:bookmarkStart w:id="40" w:name="_Toc28359084"/>
      <w:r/>
      <w:bookmarkStart w:id="41" w:name="_Toc28359007"/>
      <w:r/>
      <w:bookmarkStart w:id="42" w:name="_Toc38985267"/>
      <w:r/>
      <w:bookmarkStart w:id="43" w:name="_Toc35393794"/>
      <w:r/>
      <w:bookmarkStart w:id="44" w:name="_Toc14305"/>
      <w:r/>
      <w:bookmarkStart w:id="45" w:name="_Toc5821"/>
      <w:r>
        <w:rPr>
          <w:rFonts w:hint="eastAsia"/>
          <w:color w:val="auto"/>
          <w:highlight w:val="none"/>
        </w:rPr>
        <w:t xml:space="preserve">五、公告期限</w:t>
      </w:r>
      <w:bookmarkEnd w:id="39"/>
      <w:r/>
      <w:bookmarkEnd w:id="40"/>
      <w:r/>
      <w:bookmarkEnd w:id="41"/>
      <w:r/>
      <w:bookmarkEnd w:id="42"/>
      <w:r/>
      <w:bookmarkEnd w:id="43"/>
      <w:r/>
      <w:bookmarkEnd w:id="44"/>
      <w:r/>
      <w:bookmarkEnd w:id="45"/>
      <w:r/>
      <w:r/>
    </w:p>
    <w:p>
      <w:pPr>
        <w:ind w:firstLine="480"/>
        <w:keepLines w:val="0"/>
        <w:keepNext w:val="0"/>
        <w:pageBreakBefore w:val="0"/>
        <w:spacing w:line="560" w:lineRule="exact"/>
        <w:widowControl w:val="off"/>
        <w:rPr>
          <w:rFonts w:ascii="宋体" w:hAnsi="宋体" w:cs="宋体"/>
          <w:color w:val="auto"/>
          <w:sz w:val="24"/>
          <w:szCs w:val="24"/>
          <w:highlight w:val="none"/>
        </w:rPr>
      </w:pPr>
      <w:r/>
      <w:bookmarkStart w:id="46" w:name="_Toc35393795"/>
      <w:r/>
      <w:bookmarkStart w:id="47" w:name="_Toc38985268"/>
      <w:r/>
      <w:bookmarkStart w:id="48" w:name="_Toc35393626"/>
      <w:r>
        <w:rPr>
          <w:rFonts w:hint="eastAsia" w:ascii="宋体" w:hAnsi="宋体" w:cs="宋体"/>
          <w:color w:val="auto"/>
          <w:sz w:val="24"/>
          <w:szCs w:val="24"/>
          <w:highlight w:val="none"/>
        </w:rPr>
        <w:t xml:space="preserve">自本公告发布之日起5个工作日。</w:t>
      </w:r>
      <w:r/>
    </w:p>
    <w:p>
      <w:pPr>
        <w:pStyle w:val="913"/>
        <w:ind w:firstLine="498"/>
        <w:spacing w:before="145" w:after="145" w:line="360" w:lineRule="auto"/>
        <w:rPr>
          <w:color w:val="auto"/>
          <w:highlight w:val="none"/>
        </w:rPr>
      </w:pPr>
      <w:r/>
      <w:bookmarkStart w:id="49" w:name="_Toc22483"/>
      <w:r/>
      <w:bookmarkStart w:id="50" w:name="_Toc19730"/>
      <w:r>
        <w:rPr>
          <w:rFonts w:hint="eastAsia"/>
          <w:color w:val="auto"/>
          <w:highlight w:val="none"/>
        </w:rPr>
        <w:t xml:space="preserve">六、其他补充事宜</w:t>
      </w:r>
      <w:bookmarkEnd w:id="46"/>
      <w:r/>
      <w:bookmarkEnd w:id="47"/>
      <w:r/>
      <w:bookmarkEnd w:id="48"/>
      <w:r/>
      <w:bookmarkEnd w:id="49"/>
      <w:r/>
      <w:bookmarkEnd w:id="50"/>
      <w:r/>
      <w:r/>
    </w:p>
    <w:p>
      <w:pPr>
        <w:ind w:left="0" w:firstLine="480"/>
        <w:pageBreakBefore w:val="0"/>
        <w:spacing w:line="360" w:lineRule="auto"/>
        <w:rPr>
          <w:rFonts w:hint="eastAsia" w:ascii="宋体" w:hAnsi="宋体" w:cs="宋体"/>
          <w:color w:val="auto"/>
          <w:sz w:val="24"/>
          <w:szCs w:val="24"/>
          <w:highlight w:val="none"/>
        </w:rPr>
      </w:pPr>
      <w:r/>
      <w:bookmarkStart w:id="51" w:name="_Toc28359008"/>
      <w:r/>
      <w:bookmarkStart w:id="52" w:name="_Toc35393627"/>
      <w:r/>
      <w:bookmarkStart w:id="53" w:name="_Toc5783"/>
      <w:r/>
      <w:bookmarkStart w:id="54" w:name="_Toc28359085"/>
      <w:r/>
      <w:bookmarkStart w:id="55" w:name="_Toc35393796"/>
      <w:r/>
      <w:bookmarkStart w:id="56" w:name="_Toc38985269"/>
      <w:r/>
      <w:bookmarkStart w:id="57" w:name="_Toc26205"/>
      <w:r>
        <w:rPr>
          <w:rFonts w:hint="eastAsia" w:ascii="宋体" w:hAnsi="宋体" w:cs="宋体"/>
          <w:color w:val="auto"/>
          <w:sz w:val="24"/>
          <w:szCs w:val="24"/>
          <w:highlight w:val="none"/>
        </w:rPr>
        <w:t xml:space="preserve">1.本招标文件中标注★的款项为实质性响应要求和条件，如不满足将按无效响应处理。</w:t>
      </w:r>
      <w:r/>
    </w:p>
    <w:p>
      <w:pPr>
        <w:ind w:lef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.无论出于何种原因，采购人在采购活动开始前可对</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进行修改、补充或变更，其内容作为</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的重要组成部分，请各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关注江苏政府采购网。若因</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自身原因未及时关注本项目有关修改、补充或变更信息，导致投标文件编制或提交失误，由此造成的一切损失由</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自行承担。</w:t>
      </w:r>
      <w:r/>
    </w:p>
    <w:p>
      <w:pPr>
        <w:ind w:lef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3.供应商</w:t>
      </w:r>
      <w:r>
        <w:rPr>
          <w:rFonts w:hint="eastAsia" w:ascii="宋体" w:hAnsi="宋体" w:cs="宋体"/>
          <w:color w:val="auto"/>
          <w:sz w:val="24"/>
          <w:szCs w:val="24"/>
          <w:highlight w:val="none"/>
        </w:rPr>
        <w:t xml:space="preserve">制作投标文件时如遇投标工具中投标格式与采购文件不一致，请</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按照采购文件中投标格</w:t>
      </w:r>
      <w:r>
        <w:rPr>
          <w:rFonts w:hint="eastAsia" w:ascii="宋体" w:hAnsi="宋体" w:cs="宋体"/>
          <w:color w:val="auto"/>
          <w:sz w:val="24"/>
          <w:szCs w:val="24"/>
          <w:highlight w:val="none"/>
          <w:lang w:eastAsia="zh-CN"/>
        </w:rPr>
        <w:t xml:space="preserve">式的</w:t>
      </w:r>
      <w:r>
        <w:rPr>
          <w:rFonts w:hint="eastAsia" w:ascii="宋体" w:hAnsi="宋体" w:cs="宋体"/>
          <w:color w:val="auto"/>
          <w:sz w:val="24"/>
          <w:szCs w:val="24"/>
          <w:highlight w:val="none"/>
        </w:rPr>
        <w:t xml:space="preserve">要求编制一份投标文件资料添加在投标工具其他材料中。</w:t>
      </w:r>
      <w:r/>
    </w:p>
    <w:p>
      <w:pPr>
        <w:ind w:lef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根据苏财购</w:t>
      </w:r>
      <w:r>
        <w:rPr>
          <w:rFonts w:hint="eastAsia" w:ascii="宋体" w:hAnsi="宋体" w:cs="宋体"/>
          <w:color w:val="auto"/>
          <w:sz w:val="24"/>
          <w:szCs w:val="24"/>
          <w:highlight w:val="none"/>
          <w:lang w:eastAsia="zh-CN"/>
        </w:rPr>
        <w:t xml:space="preserve">〔2020〕52号</w:t>
      </w:r>
      <w:r>
        <w:rPr>
          <w:rFonts w:hint="eastAsia" w:ascii="宋体" w:hAnsi="宋体" w:cs="宋体"/>
          <w:color w:val="auto"/>
          <w:sz w:val="24"/>
          <w:szCs w:val="24"/>
          <w:highlight w:val="none"/>
        </w:rPr>
        <w:t xml:space="preserve">规定，本项目不收取投标保证金。</w:t>
      </w:r>
      <w:r/>
    </w:p>
    <w:p>
      <w:pPr>
        <w:pStyle w:val="913"/>
        <w:ind w:firstLine="498"/>
        <w:spacing w:before="145" w:after="145" w:line="360" w:lineRule="auto"/>
        <w:rPr>
          <w:color w:val="auto"/>
          <w:highlight w:val="none"/>
        </w:rPr>
      </w:pPr>
      <w:r>
        <w:rPr>
          <w:rFonts w:hint="eastAsia"/>
          <w:color w:val="auto"/>
          <w:highlight w:val="none"/>
        </w:rPr>
        <w:t xml:space="preserve">七、本次招标联系方式</w:t>
      </w:r>
      <w:bookmarkEnd w:id="51"/>
      <w:r/>
      <w:bookmarkEnd w:id="52"/>
      <w:r/>
      <w:bookmarkEnd w:id="53"/>
      <w:r/>
      <w:bookmarkEnd w:id="54"/>
      <w:r/>
      <w:bookmarkEnd w:id="55"/>
      <w:r/>
      <w:bookmarkEnd w:id="56"/>
      <w:r/>
      <w:bookmarkEnd w:id="57"/>
      <w:r/>
      <w:r/>
    </w:p>
    <w:p>
      <w:pPr>
        <w:ind w:firstLine="720"/>
        <w:jc w:val="left"/>
        <w:keepLines w:val="0"/>
        <w:keepNext w:val="0"/>
        <w:pageBreakBefore w:val="0"/>
        <w:spacing w:line="560" w:lineRule="exact"/>
        <w:widowControl/>
        <w:rPr>
          <w:rFonts w:ascii="宋体" w:hAnsi="宋体"/>
          <w:color w:val="auto"/>
          <w:sz w:val="24"/>
          <w:szCs w:val="24"/>
          <w:highlight w:val="none"/>
        </w:rPr>
      </w:pPr>
      <w:r>
        <w:rPr>
          <w:rFonts w:hint="eastAsia" w:ascii="宋体" w:hAnsi="宋体" w:cs="宋体"/>
          <w:color w:val="auto"/>
          <w:sz w:val="24"/>
          <w:szCs w:val="24"/>
          <w:highlight w:val="none"/>
        </w:rPr>
        <w:t xml:space="preserve">1.采购人信息</w:t>
      </w:r>
      <w:r/>
    </w:p>
    <w:p>
      <w:pPr>
        <w:ind w:firstLine="720"/>
        <w:jc w:val="left"/>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连云港生物工程中等专业学校</w:t>
      </w:r>
      <w:r/>
    </w:p>
    <w:p>
      <w:pPr>
        <w:ind w:left="1079" w:hanging="300"/>
        <w:jc w:val="left"/>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lang w:eastAsia="zh-CN"/>
        </w:rPr>
        <w:t xml:space="preserve">连云港市连云区徐圩街道</w:t>
      </w:r>
      <w:r/>
    </w:p>
    <w:p>
      <w:pPr>
        <w:ind w:left="1079" w:hanging="300"/>
        <w:jc w:val="left"/>
        <w:keepLines w:val="0"/>
        <w:keepNext w:val="0"/>
        <w:pageBreakBefore w:val="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赵老师</w:t>
      </w:r>
      <w:r/>
    </w:p>
    <w:p>
      <w:pPr>
        <w:ind w:left="1079" w:hanging="300"/>
        <w:jc w:val="left"/>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联系方式：</w:t>
      </w:r>
      <w:bookmarkStart w:id="58" w:name="_Toc28359086"/>
      <w:r/>
      <w:bookmarkStart w:id="59" w:name="_Toc28359009"/>
      <w:r>
        <w:rPr>
          <w:rFonts w:hint="eastAsia" w:ascii="宋体" w:hAnsi="宋体"/>
          <w:color w:val="auto"/>
          <w:sz w:val="24"/>
          <w:szCs w:val="24"/>
          <w:highlight w:val="none"/>
          <w:lang w:eastAsia="zh-CN"/>
        </w:rPr>
        <w:t xml:space="preserve">15896100002</w:t>
      </w:r>
      <w:r/>
    </w:p>
    <w:p>
      <w:pPr>
        <w:ind w:left="1079" w:hanging="300"/>
        <w:jc w:val="left"/>
        <w:keepLines w:val="0"/>
        <w:keepNext w:val="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079" w:hanging="300"/>
        <w:jc w:val="left"/>
        <w:keepLines w:val="0"/>
        <w:keepNext w:val="0"/>
        <w:pageBreakBefore w:val="0"/>
        <w:spacing w:line="560" w:lineRule="exact"/>
        <w:rPr>
          <w:rFonts w:ascii="宋体" w:hAnsi="宋体"/>
          <w:color w:val="auto"/>
          <w:sz w:val="24"/>
          <w:szCs w:val="24"/>
          <w:highlight w:val="none"/>
        </w:rPr>
      </w:pPr>
      <w:r>
        <w:rPr>
          <w:rFonts w:hint="eastAsia" w:ascii="宋体" w:hAnsi="宋体" w:cs="宋体"/>
          <w:color w:val="auto"/>
          <w:sz w:val="24"/>
          <w:szCs w:val="24"/>
          <w:highlight w:val="none"/>
        </w:rPr>
        <w:t xml:space="preserve">2.</w:t>
      </w:r>
      <w:bookmarkEnd w:id="58"/>
      <w:r/>
      <w:bookmarkEnd w:id="59"/>
      <w:r>
        <w:rPr>
          <w:rFonts w:hint="eastAsia" w:ascii="宋体" w:hAnsi="宋体" w:cs="宋体"/>
          <w:color w:val="auto"/>
          <w:sz w:val="24"/>
          <w:szCs w:val="24"/>
          <w:highlight w:val="none"/>
        </w:rPr>
        <w:t xml:space="preserve">采购代理机构信息</w:t>
      </w:r>
      <w:r/>
    </w:p>
    <w:p>
      <w:pPr>
        <w:ind w:firstLine="720"/>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江苏伟之达项目管理咨询有限公司</w:t>
      </w:r>
      <w:r/>
    </w:p>
    <w:p>
      <w:pPr>
        <w:ind w:firstLine="720"/>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lang w:eastAsia="zh-CN"/>
        </w:rPr>
        <w:t xml:space="preserve">连云港市海州区新大街9号凤凰·光辉岁月商务花园3号楼一层</w:t>
      </w:r>
      <w:r/>
    </w:p>
    <w:p>
      <w:pPr>
        <w:ind w:firstLine="720"/>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eastAsia="zh-CN"/>
        </w:rPr>
        <w:t xml:space="preserve">刘工</w:t>
      </w:r>
      <w:r/>
    </w:p>
    <w:p>
      <w:pPr>
        <w:ind w:firstLine="720"/>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联系方式：</w:t>
      </w:r>
      <w:bookmarkStart w:id="60" w:name="_Toc28359087"/>
      <w:r/>
      <w:bookmarkStart w:id="61" w:name="_Toc28359010"/>
      <w:r>
        <w:rPr>
          <w:rFonts w:hint="eastAsia" w:ascii="宋体" w:hAnsi="宋体"/>
          <w:color w:val="auto"/>
          <w:sz w:val="24"/>
          <w:szCs w:val="24"/>
          <w:highlight w:val="none"/>
          <w:lang w:eastAsia="zh-CN"/>
        </w:rPr>
        <w:t xml:space="preserve">18115991881</w:t>
      </w:r>
      <w:r/>
    </w:p>
    <w:p>
      <w:pPr>
        <w:ind w:firstLine="720"/>
        <w:keepLines w:val="0"/>
        <w:keepNext w:val="0"/>
        <w:pageBreakBefore w:val="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720"/>
        <w:keepLines w:val="0"/>
        <w:keepNext w:val="0"/>
        <w:pageBreakBefore w:val="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720"/>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项目联系人：刘</w:t>
      </w:r>
      <w:r>
        <w:rPr>
          <w:rFonts w:hint="eastAsia" w:ascii="宋体" w:hAnsi="宋体"/>
          <w:color w:val="auto"/>
          <w:sz w:val="24"/>
          <w:szCs w:val="24"/>
          <w:highlight w:val="none"/>
          <w:lang w:val="en-US" w:eastAsia="zh-CN"/>
        </w:rPr>
        <w:t xml:space="preserve">工</w:t>
      </w:r>
      <w:r/>
    </w:p>
    <w:p>
      <w:pPr>
        <w:ind w:firstLine="720"/>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电话：</w:t>
      </w:r>
      <w:r>
        <w:rPr>
          <w:rFonts w:hint="eastAsia" w:ascii="宋体" w:hAnsi="宋体"/>
          <w:color w:val="auto"/>
          <w:sz w:val="24"/>
          <w:szCs w:val="24"/>
          <w:highlight w:val="none"/>
          <w:lang w:eastAsia="zh-CN"/>
        </w:rPr>
        <w:t xml:space="preserve">18115991881</w:t>
      </w:r>
      <w:bookmarkEnd w:id="60"/>
      <w:r/>
      <w:bookmarkEnd w:id="61"/>
      <w:r/>
      <w:r/>
    </w:p>
    <w:p>
      <w:pPr>
        <w:pStyle w:val="913"/>
        <w:ind w:firstLine="498"/>
        <w:spacing w:before="145" w:after="145" w:line="360" w:lineRule="auto"/>
        <w:rPr>
          <w:color w:val="auto"/>
          <w:highlight w:val="none"/>
        </w:rPr>
      </w:pPr>
      <w:r/>
      <w:bookmarkStart w:id="62" w:name="_Toc25874"/>
      <w:r/>
      <w:bookmarkStart w:id="63" w:name="_Toc5164"/>
      <w:r>
        <w:rPr>
          <w:rFonts w:hint="eastAsia"/>
          <w:color w:val="auto"/>
          <w:highlight w:val="none"/>
        </w:rPr>
        <w:t xml:space="preserve">八、其他</w:t>
      </w:r>
      <w:bookmarkEnd w:id="62"/>
      <w:r/>
      <w:bookmarkEnd w:id="63"/>
      <w:r/>
      <w:r/>
    </w:p>
    <w:p>
      <w:pPr>
        <w:ind w:firstLine="480"/>
        <w:jc w:val="left"/>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通过“苏采云”系统参与政府采购项目，需要办理（更换）CA数字证书和电子签章。具体办理指南和操作手册见链接：http://www.ccgp-jiangsu.gov.cn/jiangsu/zlxz/ee/ee3a4bc5a3454aa2b0d9312230633ce9.html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请</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按照《操作手册》要求获取招标文件，制作、递交（上传）电子投标文件，参加开标，澄清、说明或者补正。因</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未按要求操作原因导致电子投标文件被拒绝、造成无效响应的，自行承担一切损失。</w:t>
      </w:r>
      <w:r/>
    </w:p>
    <w:p>
      <w:pPr>
        <w:pStyle w:val="912"/>
        <w:jc w:val="center"/>
        <w:rPr>
          <w:rFonts w:hint="eastAsia" w:ascii="黑体" w:eastAsia="黑体"/>
          <w:b w:val="0"/>
          <w:bCs w:val="0"/>
          <w:color w:val="auto"/>
          <w:highlight w:val="none"/>
        </w:rPr>
      </w:pPr>
      <w:r>
        <w:rPr>
          <w:rFonts w:ascii="宋体" w:hAnsi="宋体"/>
          <w:color w:val="auto"/>
          <w:sz w:val="24"/>
          <w:szCs w:val="24"/>
          <w:highlight w:val="none"/>
        </w:rPr>
        <w:br w:type="page" w:clear="all"/>
      </w:r>
      <w:bookmarkStart w:id="64" w:name="_Toc120614211"/>
      <w:r/>
      <w:bookmarkStart w:id="65" w:name="_Toc18854"/>
      <w:r/>
      <w:bookmarkStart w:id="66" w:name="_Toc28147"/>
      <w:r>
        <w:rPr>
          <w:rFonts w:hint="eastAsia" w:ascii="黑体" w:hAnsi="Times New Roman" w:eastAsia="黑体"/>
          <w:b w:val="0"/>
          <w:bCs w:val="0"/>
          <w:color w:val="auto"/>
          <w:highlight w:val="none"/>
        </w:rPr>
        <w:t xml:space="preserve">第二章  </w:t>
      </w:r>
      <w:bookmarkEnd w:id="1"/>
      <w:r/>
      <w:bookmarkEnd w:id="2"/>
      <w:r/>
      <w:bookmarkEnd w:id="3"/>
      <w:r/>
      <w:bookmarkEnd w:id="4"/>
      <w:r/>
      <w:bookmarkEnd w:id="5"/>
      <w:r/>
      <w:bookmarkEnd w:id="64"/>
      <w:r/>
      <w:bookmarkStart w:id="67" w:name="_Toc20823274"/>
      <w:r/>
      <w:bookmarkStart w:id="68" w:name="_Toc120614213"/>
      <w:r/>
      <w:bookmarkStart w:id="69" w:name="_Toc513029202"/>
      <w:r/>
      <w:bookmarkStart w:id="70" w:name="_Toc16938518"/>
      <w:r>
        <w:rPr>
          <w:rFonts w:hint="eastAsia" w:ascii="黑体" w:hAnsi="Times New Roman" w:eastAsia="黑体"/>
          <w:b w:val="0"/>
          <w:bCs w:val="0"/>
          <w:color w:val="auto"/>
          <w:highlight w:val="none"/>
          <w:lang w:eastAsia="zh-CN"/>
        </w:rPr>
        <w:t xml:space="preserve">供应商</w:t>
      </w:r>
      <w:r>
        <w:rPr>
          <w:rFonts w:hint="eastAsia" w:ascii="黑体" w:hAnsi="Times New Roman" w:eastAsia="黑体"/>
          <w:b w:val="0"/>
          <w:bCs w:val="0"/>
          <w:color w:val="auto"/>
          <w:highlight w:val="none"/>
        </w:rPr>
        <w:t xml:space="preserve">须知</w:t>
      </w:r>
      <w:bookmarkEnd w:id="65"/>
      <w:r/>
      <w:bookmarkEnd w:id="66"/>
      <w:r/>
      <w:bookmarkEnd w:id="67"/>
      <w:r/>
      <w:bookmarkEnd w:id="68"/>
      <w:r/>
      <w:bookmarkEnd w:id="69"/>
      <w:r/>
      <w:bookmarkEnd w:id="70"/>
      <w:r/>
      <w:r/>
    </w:p>
    <w:p>
      <w:pPr>
        <w:pStyle w:val="913"/>
        <w:ind w:firstLine="498"/>
        <w:pageBreakBefore w:val="0"/>
        <w:spacing w:before="145" w:after="145" w:line="560" w:lineRule="exact"/>
        <w:widowControl w:val="off"/>
        <w:rPr>
          <w:rFonts w:hint="eastAsia"/>
          <w:color w:val="auto"/>
          <w:highlight w:val="none"/>
        </w:rPr>
      </w:pPr>
      <w:r/>
      <w:bookmarkStart w:id="71" w:name="_Toc16938519"/>
      <w:r/>
      <w:bookmarkStart w:id="72" w:name="_Toc513029203"/>
      <w:r/>
      <w:bookmarkStart w:id="73" w:name="_Toc6848"/>
      <w:r/>
      <w:bookmarkStart w:id="74" w:name="_Toc20823275"/>
      <w:r/>
      <w:bookmarkStart w:id="75" w:name="_Toc1598"/>
      <w:r/>
      <w:bookmarkStart w:id="76" w:name="_Toc120614214"/>
      <w:r>
        <w:rPr>
          <w:rFonts w:hint="eastAsia"/>
          <w:color w:val="auto"/>
          <w:highlight w:val="none"/>
        </w:rPr>
        <w:t xml:space="preserve">一、总则</w:t>
      </w:r>
      <w:bookmarkEnd w:id="71"/>
      <w:r/>
      <w:bookmarkEnd w:id="72"/>
      <w:r/>
      <w:bookmarkEnd w:id="73"/>
      <w:r/>
      <w:bookmarkEnd w:id="74"/>
      <w:r/>
      <w:bookmarkEnd w:id="75"/>
      <w:r/>
      <w:bookmarkEnd w:id="76"/>
      <w:r/>
      <w:r/>
    </w:p>
    <w:p>
      <w:pPr>
        <w:pStyle w:val="915"/>
        <w:ind w:firstLine="420"/>
        <w:pageBreakBefore w:val="0"/>
        <w:spacing w:before="0" w:after="0" w:line="560" w:lineRule="exact"/>
        <w:widowControl w:val="off"/>
        <w:rPr>
          <w:rFonts w:hint="eastAsia"/>
          <w:b w:val="0"/>
          <w:bCs w:val="0"/>
          <w:color w:val="auto"/>
          <w:highlight w:val="none"/>
        </w:rPr>
      </w:pPr>
      <w:r/>
      <w:bookmarkStart w:id="77" w:name="_Hlt16619475"/>
      <w:r/>
      <w:bookmarkEnd w:id="77"/>
      <w:r/>
      <w:bookmarkStart w:id="78" w:name="_Toc458694821"/>
      <w:r/>
      <w:bookmarkStart w:id="79" w:name="_Toc513029204"/>
      <w:r/>
      <w:bookmarkStart w:id="80" w:name="_Toc20823276"/>
      <w:r/>
      <w:bookmarkStart w:id="81" w:name="_Toc16938520"/>
      <w:r>
        <w:rPr>
          <w:rFonts w:hint="eastAsia"/>
          <w:b w:val="0"/>
          <w:bCs w:val="0"/>
          <w:color w:val="auto"/>
          <w:highlight w:val="none"/>
        </w:rPr>
        <w:t xml:space="preserve">1</w:t>
      </w:r>
      <w:bookmarkEnd w:id="78"/>
      <w:r>
        <w:rPr>
          <w:rFonts w:hint="eastAsia"/>
          <w:b w:val="0"/>
          <w:bCs w:val="0"/>
          <w:color w:val="auto"/>
          <w:highlight w:val="none"/>
        </w:rPr>
        <w:t xml:space="preserve">、招标方式</w:t>
      </w:r>
      <w:bookmarkEnd w:id="79"/>
      <w:r/>
      <w:bookmarkEnd w:id="80"/>
      <w:r/>
      <w:bookmarkEnd w:id="81"/>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915"/>
        <w:ind w:firstLine="420"/>
        <w:pageBreakBefore w:val="0"/>
        <w:spacing w:before="0" w:after="0" w:line="560" w:lineRule="exact"/>
        <w:widowControl w:val="off"/>
        <w:rPr>
          <w:rFonts w:hint="eastAsia" w:eastAsia="黑体"/>
          <w:b w:val="0"/>
          <w:bCs w:val="0"/>
          <w:color w:val="auto"/>
          <w:highlight w:val="none"/>
          <w:lang w:eastAsia="zh-CN"/>
        </w:rPr>
      </w:pPr>
      <w:r/>
      <w:bookmarkStart w:id="82" w:name="_Toc20823277"/>
      <w:r/>
      <w:bookmarkStart w:id="83" w:name="_Toc16938521"/>
      <w:r/>
      <w:bookmarkStart w:id="84" w:name="_Toc513029205"/>
      <w:r>
        <w:rPr>
          <w:rFonts w:hint="eastAsia"/>
          <w:b w:val="0"/>
          <w:bCs w:val="0"/>
          <w:color w:val="auto"/>
          <w:highlight w:val="none"/>
        </w:rPr>
        <w:t xml:space="preserve">2、合格的</w:t>
      </w:r>
      <w:bookmarkEnd w:id="82"/>
      <w:r/>
      <w:bookmarkEnd w:id="83"/>
      <w:r/>
      <w:bookmarkEnd w:id="84"/>
      <w:r>
        <w:rPr>
          <w:rFonts w:hint="eastAsia"/>
          <w:b w:val="0"/>
          <w:bCs w:val="0"/>
          <w:color w:val="auto"/>
          <w:highlight w:val="none"/>
          <w:lang w:eastAsia="zh-CN"/>
        </w:rPr>
        <w:t xml:space="preserve">供应商</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pStyle w:val="915"/>
        <w:ind w:firstLine="420"/>
        <w:pageBreakBefore w:val="0"/>
        <w:spacing w:before="0" w:after="0" w:line="560" w:lineRule="exact"/>
        <w:widowControl w:val="off"/>
        <w:rPr>
          <w:rFonts w:hint="eastAsia"/>
          <w:b w:val="0"/>
          <w:bCs w:val="0"/>
          <w:color w:val="auto"/>
          <w:highlight w:val="none"/>
        </w:rPr>
      </w:pPr>
      <w:r/>
      <w:bookmarkStart w:id="85" w:name="_Toc513029206"/>
      <w:r/>
      <w:bookmarkStart w:id="86" w:name="_Toc20823278"/>
      <w:r/>
      <w:bookmarkStart w:id="87" w:name="_Toc16938522"/>
      <w:r>
        <w:rPr>
          <w:rFonts w:hint="eastAsia"/>
          <w:b w:val="0"/>
          <w:bCs w:val="0"/>
          <w:color w:val="auto"/>
          <w:highlight w:val="none"/>
        </w:rPr>
        <w:t xml:space="preserve">3、适用法律</w:t>
      </w:r>
      <w:bookmarkEnd w:id="85"/>
      <w:r/>
      <w:bookmarkEnd w:id="86"/>
      <w:r/>
      <w:bookmarkEnd w:id="87"/>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915"/>
        <w:ind w:firstLine="420"/>
        <w:pageBreakBefore w:val="0"/>
        <w:spacing w:before="0" w:after="0" w:line="560" w:lineRule="exact"/>
        <w:widowControl w:val="off"/>
        <w:rPr>
          <w:rFonts w:hint="eastAsia"/>
          <w:b w:val="0"/>
          <w:bCs w:val="0"/>
          <w:color w:val="auto"/>
          <w:highlight w:val="none"/>
        </w:rPr>
      </w:pPr>
      <w:r/>
      <w:bookmarkStart w:id="88" w:name="_Toc16938523"/>
      <w:r/>
      <w:bookmarkStart w:id="89" w:name="_Toc462564067"/>
      <w:r/>
      <w:bookmarkStart w:id="90" w:name="_Toc513029207"/>
      <w:r/>
      <w:bookmarkStart w:id="91" w:name="_Toc20823279"/>
      <w:r>
        <w:rPr>
          <w:rFonts w:hint="eastAsia"/>
          <w:b w:val="0"/>
          <w:bCs w:val="0"/>
          <w:color w:val="auto"/>
          <w:highlight w:val="none"/>
        </w:rPr>
        <w:t xml:space="preserve">4、投标费用</w:t>
      </w:r>
      <w:bookmarkEnd w:id="88"/>
      <w:r/>
      <w:bookmarkEnd w:id="89"/>
      <w:r/>
      <w:bookmarkEnd w:id="90"/>
      <w:r/>
      <w:bookmarkEnd w:id="91"/>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4.1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应自行承担所有与参加投标有关的费用，无论投标过程中的做法和结果如何，</w:t>
      </w:r>
      <w:r>
        <w:rPr>
          <w:rFonts w:hint="eastAsia" w:ascii="宋体" w:hAnsi="宋体"/>
          <w:color w:val="auto"/>
          <w:sz w:val="24"/>
          <w:highlight w:val="none"/>
          <w:lang w:eastAsia="zh-CN"/>
        </w:rPr>
        <w:t xml:space="preserve">江苏伟之达项目管理咨询有限公司</w:t>
      </w:r>
      <w:r>
        <w:rPr>
          <w:rFonts w:hint="eastAsia" w:ascii="宋体" w:hAnsi="宋体"/>
          <w:color w:val="auto"/>
          <w:sz w:val="24"/>
          <w:highlight w:val="none"/>
        </w:rPr>
        <w:t xml:space="preserve">（以下简称采购代理机构）及</w:t>
      </w:r>
      <w:r>
        <w:rPr>
          <w:rFonts w:hint="eastAsia" w:ascii="宋体" w:hAnsi="宋体"/>
          <w:color w:val="auto"/>
          <w:sz w:val="24"/>
          <w:highlight w:val="none"/>
          <w:lang w:eastAsia="zh-CN"/>
        </w:rPr>
        <w:t xml:space="preserve">连云港生物工程中等专业学校</w:t>
      </w:r>
      <w:r>
        <w:rPr>
          <w:rFonts w:hint="eastAsia" w:ascii="宋体" w:hAnsi="宋体"/>
          <w:color w:val="auto"/>
          <w:sz w:val="24"/>
          <w:highlight w:val="none"/>
        </w:rPr>
        <w:t xml:space="preserve">（以下简称采购人）在任何情况下均无义务和责任承担这些费用。</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4.2 本次招标采</w:t>
      </w:r>
      <w:r>
        <w:rPr>
          <w:rFonts w:hint="eastAsia" w:ascii="宋体" w:hAnsi="宋体" w:eastAsia="宋体" w:cs="Times New Roman"/>
          <w:color w:val="auto"/>
          <w:sz w:val="24"/>
          <w:highlight w:val="none"/>
        </w:rPr>
        <w:t xml:space="preserve">购代理服务费：按照苏</w:t>
      </w:r>
      <w:r>
        <w:rPr>
          <w:rFonts w:hint="eastAsia" w:ascii="宋体" w:hAnsi="宋体" w:eastAsia="宋体" w:cs="Times New Roman"/>
          <w:color w:val="auto"/>
          <w:sz w:val="24"/>
          <w:highlight w:val="none"/>
          <w:lang w:val="en-US" w:eastAsia="zh-CN"/>
        </w:rPr>
        <w:t xml:space="preserve">政采协</w:t>
      </w:r>
      <w:r>
        <w:rPr>
          <w:rFonts w:hint="eastAsia" w:ascii="宋体" w:hAnsi="宋体" w:eastAsia="宋体" w:cs="Times New Roman"/>
          <w:color w:val="auto"/>
          <w:sz w:val="24"/>
          <w:highlight w:val="none"/>
          <w:lang w:eastAsia="zh-CN"/>
        </w:rPr>
        <w:t xml:space="preserve">〔202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20</w:t>
      </w:r>
      <w:r>
        <w:rPr>
          <w:rFonts w:hint="eastAsia" w:ascii="宋体" w:hAnsi="宋体" w:eastAsia="宋体" w:cs="Times New Roman"/>
          <w:color w:val="auto"/>
          <w:sz w:val="24"/>
          <w:highlight w:val="none"/>
          <w:lang w:eastAsia="zh-CN"/>
        </w:rPr>
        <w:t xml:space="preserve">号</w:t>
      </w:r>
      <w:r>
        <w:rPr>
          <w:rFonts w:hint="eastAsia" w:ascii="宋体" w:hAnsi="宋体" w:eastAsia="宋体" w:cs="Times New Roman"/>
          <w:color w:val="auto"/>
          <w:sz w:val="24"/>
          <w:highlight w:val="none"/>
        </w:rPr>
        <w:t xml:space="preserve">规定（服务）标准</w:t>
      </w:r>
      <w:r>
        <w:rPr>
          <w:rFonts w:hint="eastAsia" w:ascii="宋体" w:hAnsi="宋体" w:eastAsia="宋体" w:cs="Times New Roman"/>
          <w:color w:val="auto"/>
          <w:sz w:val="24"/>
          <w:highlight w:val="none"/>
          <w:lang w:val="en-US" w:eastAsia="zh-CN"/>
        </w:rPr>
        <w:t xml:space="preserve">的80%</w:t>
      </w:r>
      <w:r>
        <w:rPr>
          <w:rFonts w:hint="eastAsia" w:ascii="宋体" w:hAnsi="宋体" w:eastAsia="宋体" w:cs="Times New Roman"/>
          <w:color w:val="auto"/>
          <w:sz w:val="24"/>
          <w:highlight w:val="none"/>
        </w:rPr>
        <w:t xml:space="preserve">收取；以上费用最终由中标人</w:t>
      </w:r>
      <w:r>
        <w:rPr>
          <w:rFonts w:hint="eastAsia" w:ascii="宋体" w:hAnsi="宋体"/>
          <w:color w:val="auto"/>
          <w:sz w:val="24"/>
          <w:highlight w:val="none"/>
        </w:rPr>
        <w:t xml:space="preserve">在领取中标通知书时一次性支付，</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须将此部分费用综合考虑在报价中，不得单列。</w:t>
      </w:r>
      <w:r/>
    </w:p>
    <w:p>
      <w:pPr>
        <w:pStyle w:val="915"/>
        <w:ind w:firstLine="602"/>
        <w:pageBreakBefore w:val="0"/>
        <w:spacing w:before="0" w:after="0" w:line="560" w:lineRule="exact"/>
        <w:widowControl w:val="off"/>
        <w:rPr>
          <w:rFonts w:hint="eastAsia" w:ascii="黑体" w:hAnsi="宋体"/>
          <w:b w:val="0"/>
          <w:bCs w:val="0"/>
          <w:color w:val="auto"/>
          <w:highlight w:val="none"/>
        </w:rPr>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5.1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一旦参加本项目采购活动，即被认为接受了本招标文件的规定和约束。</w:t>
      </w:r>
      <w:r/>
    </w:p>
    <w:p>
      <w:pPr>
        <w:pStyle w:val="913"/>
        <w:ind w:firstLine="321"/>
        <w:pageBreakBefore w:val="0"/>
        <w:spacing w:before="145" w:after="145" w:line="560" w:lineRule="exact"/>
        <w:widowControl w:val="off"/>
        <w:rPr>
          <w:rFonts w:hint="eastAsia"/>
          <w:color w:val="auto"/>
          <w:highlight w:val="none"/>
        </w:rPr>
      </w:pPr>
      <w:r/>
      <w:bookmarkStart w:id="92" w:name="_Toc16938525"/>
      <w:r/>
      <w:bookmarkStart w:id="93" w:name="_Toc2081"/>
      <w:r/>
      <w:bookmarkStart w:id="94" w:name="_Toc20823281"/>
      <w:r/>
      <w:bookmarkStart w:id="95" w:name="_Toc13550"/>
      <w:r/>
      <w:bookmarkStart w:id="96" w:name="_Toc120614215"/>
      <w:r/>
      <w:bookmarkStart w:id="97" w:name="_Toc513029209"/>
      <w:r>
        <w:rPr>
          <w:rFonts w:hint="eastAsia"/>
          <w:color w:val="auto"/>
          <w:highlight w:val="none"/>
        </w:rPr>
        <w:t xml:space="preserve">二、招标文件</w:t>
      </w:r>
      <w:bookmarkEnd w:id="92"/>
      <w:r/>
      <w:bookmarkEnd w:id="93"/>
      <w:r/>
      <w:bookmarkEnd w:id="94"/>
      <w:r/>
      <w:bookmarkEnd w:id="95"/>
      <w:r/>
      <w:bookmarkEnd w:id="96"/>
      <w:r/>
      <w:bookmarkEnd w:id="97"/>
      <w:r/>
      <w:r/>
    </w:p>
    <w:p>
      <w:pPr>
        <w:pStyle w:val="915"/>
        <w:ind w:firstLine="420"/>
        <w:pageBreakBefore w:val="0"/>
        <w:spacing w:before="0" w:after="0" w:line="560" w:lineRule="exact"/>
        <w:widowControl w:val="off"/>
        <w:rPr>
          <w:rFonts w:hint="eastAsia"/>
          <w:b w:val="0"/>
          <w:bCs w:val="0"/>
          <w:color w:val="auto"/>
          <w:highlight w:val="none"/>
        </w:rPr>
      </w:pPr>
      <w:r/>
      <w:bookmarkStart w:id="98" w:name="_Toc16938526"/>
      <w:r/>
      <w:bookmarkStart w:id="99" w:name="_Toc20823282"/>
      <w:r/>
      <w:bookmarkStart w:id="100" w:name="_Toc513029210"/>
      <w:r>
        <w:rPr>
          <w:rFonts w:hint="eastAsia"/>
          <w:b w:val="0"/>
          <w:bCs w:val="0"/>
          <w:color w:val="auto"/>
          <w:highlight w:val="none"/>
        </w:rPr>
        <w:t xml:space="preserve">6、招标文件构成</w:t>
      </w:r>
      <w:bookmarkEnd w:id="98"/>
      <w:r/>
      <w:bookmarkEnd w:id="99"/>
      <w:r/>
      <w:bookmarkEnd w:id="100"/>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须知</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请仔细检查招标文件是否齐全，如有缺漏请立即与采购代理机构联系解决。</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6.2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自行承担。</w:t>
      </w:r>
      <w:r/>
    </w:p>
    <w:p>
      <w:pPr>
        <w:pStyle w:val="915"/>
        <w:ind w:firstLine="560"/>
        <w:pageBreakBefore w:val="0"/>
        <w:spacing w:before="0" w:after="0" w:line="560" w:lineRule="exact"/>
        <w:widowControl w:val="off"/>
        <w:rPr>
          <w:rFonts w:hint="eastAsia"/>
          <w:b w:val="0"/>
          <w:bCs w:val="0"/>
          <w:color w:val="auto"/>
          <w:highlight w:val="none"/>
        </w:rPr>
      </w:pPr>
      <w:r/>
      <w:bookmarkStart w:id="101" w:name="_Toc20823283"/>
      <w:r/>
      <w:bookmarkStart w:id="102" w:name="_Toc513029211"/>
      <w:r/>
      <w:bookmarkStart w:id="103" w:name="_Toc16938527"/>
      <w:r/>
      <w:bookmarkStart w:id="104" w:name="_Toc462564070"/>
      <w:r>
        <w:rPr>
          <w:rFonts w:hint="eastAsia"/>
          <w:b w:val="0"/>
          <w:bCs w:val="0"/>
          <w:color w:val="auto"/>
          <w:highlight w:val="none"/>
        </w:rPr>
        <w:t xml:space="preserve">7、招标文件的澄清</w:t>
      </w:r>
      <w:bookmarkEnd w:id="101"/>
      <w:r/>
      <w:bookmarkEnd w:id="102"/>
      <w:r/>
      <w:bookmarkEnd w:id="103"/>
      <w:r/>
      <w:bookmarkEnd w:id="104"/>
      <w:r/>
      <w:r/>
    </w:p>
    <w:p>
      <w:pPr>
        <w:ind w:firstLine="480"/>
        <w:pageBreakBefore w:val="0"/>
        <w:spacing w:line="560" w:lineRule="exact"/>
        <w:widowControl w:val="off"/>
        <w:rPr>
          <w:rFonts w:hint="eastAsia" w:ascii="宋体" w:hAnsi="宋体"/>
          <w:color w:val="auto"/>
          <w:sz w:val="24"/>
          <w:szCs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任何要求对招标文件进行澄清的</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highlight w:val="none"/>
        </w:rPr>
        <w:t xml:space="preserve">按招标公告中的通讯地址，以书面形式通知采购代理机构或采购人。</w:t>
      </w:r>
      <w:r/>
    </w:p>
    <w:p>
      <w:pPr>
        <w:pStyle w:val="915"/>
        <w:ind w:firstLine="560"/>
        <w:pageBreakBefore w:val="0"/>
        <w:spacing w:before="0" w:after="0" w:line="560" w:lineRule="exact"/>
        <w:widowControl w:val="off"/>
        <w:rPr>
          <w:rFonts w:hint="eastAsia"/>
          <w:b w:val="0"/>
          <w:bCs w:val="0"/>
          <w:color w:val="auto"/>
          <w:highlight w:val="none"/>
        </w:rPr>
      </w:pPr>
      <w:r/>
      <w:bookmarkStart w:id="105" w:name="_Toc513029212"/>
      <w:r/>
      <w:bookmarkStart w:id="106" w:name="_Toc462564071"/>
      <w:r/>
      <w:bookmarkStart w:id="107" w:name="_Toc16938528"/>
      <w:r/>
      <w:bookmarkStart w:id="108" w:name="_Toc20823284"/>
      <w:r>
        <w:rPr>
          <w:rFonts w:hint="eastAsia"/>
          <w:b w:val="0"/>
          <w:bCs w:val="0"/>
          <w:color w:val="auto"/>
          <w:highlight w:val="none"/>
        </w:rPr>
        <w:t xml:space="preserve">8、招标文件的修改</w:t>
      </w:r>
      <w:bookmarkEnd w:id="105"/>
      <w:r/>
      <w:bookmarkEnd w:id="106"/>
      <w:r/>
      <w:bookmarkEnd w:id="107"/>
      <w:r/>
      <w:bookmarkEnd w:id="108"/>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8.1 在投标截止时间前，采购人可以对招标文件进行修改。</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8.2 采购人有权按照法定的要求推迟投标截止日期和开标日期。</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8.3 招标文件的修改将在江苏政府采购网公布，补充文件将作为招标文件的组成部分，并对</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具有约束力。</w:t>
      </w:r>
      <w:r/>
    </w:p>
    <w:p>
      <w:pPr>
        <w:pStyle w:val="913"/>
        <w:ind w:firstLine="482"/>
        <w:pageBreakBefore w:val="0"/>
        <w:spacing w:before="145" w:after="145" w:line="560" w:lineRule="exact"/>
        <w:widowControl w:val="off"/>
        <w:rPr>
          <w:rFonts w:hint="eastAsia"/>
          <w:color w:val="auto"/>
          <w:highlight w:val="none"/>
        </w:rPr>
      </w:pPr>
      <w:r/>
      <w:bookmarkStart w:id="109" w:name="_Toc16938529"/>
      <w:r/>
      <w:bookmarkStart w:id="110" w:name="_Toc18646"/>
      <w:r/>
      <w:bookmarkStart w:id="111" w:name="_Toc462564072"/>
      <w:r/>
      <w:bookmarkStart w:id="112" w:name="_Toc20823285"/>
      <w:r/>
      <w:bookmarkStart w:id="113" w:name="_Toc513029213"/>
      <w:r/>
      <w:bookmarkStart w:id="114" w:name="_Toc120614216"/>
      <w:r/>
      <w:bookmarkStart w:id="115" w:name="_Toc18017"/>
      <w:r>
        <w:rPr>
          <w:rFonts w:hint="eastAsia"/>
          <w:color w:val="auto"/>
          <w:highlight w:val="none"/>
        </w:rPr>
        <w:t xml:space="preserve">三、投标文件的编制</w:t>
      </w:r>
      <w:bookmarkEnd w:id="109"/>
      <w:r/>
      <w:bookmarkEnd w:id="110"/>
      <w:r/>
      <w:bookmarkEnd w:id="111"/>
      <w:r/>
      <w:bookmarkEnd w:id="112"/>
      <w:r/>
      <w:bookmarkEnd w:id="113"/>
      <w:r/>
      <w:bookmarkEnd w:id="114"/>
      <w:r/>
      <w:bookmarkEnd w:id="115"/>
      <w:r/>
      <w:r/>
    </w:p>
    <w:p>
      <w:pPr>
        <w:pStyle w:val="915"/>
        <w:ind w:firstLine="560"/>
        <w:pageBreakBefore w:val="0"/>
        <w:spacing w:before="0" w:after="0" w:line="560" w:lineRule="exact"/>
        <w:widowControl w:val="off"/>
        <w:rPr>
          <w:rFonts w:hint="eastAsia"/>
          <w:bCs w:val="0"/>
          <w:color w:val="auto"/>
          <w:highlight w:val="none"/>
        </w:rPr>
      </w:pPr>
      <w:r/>
      <w:bookmarkStart w:id="116" w:name="_Toc513029214"/>
      <w:r/>
      <w:bookmarkStart w:id="117" w:name="_Toc16938530"/>
      <w:r/>
      <w:bookmarkStart w:id="118" w:name="_Toc462564073"/>
      <w:r/>
      <w:bookmarkStart w:id="119" w:name="_Toc20823286"/>
      <w:r>
        <w:rPr>
          <w:rFonts w:hint="eastAsia"/>
          <w:b w:val="0"/>
          <w:bCs w:val="0"/>
          <w:color w:val="auto"/>
          <w:highlight w:val="none"/>
        </w:rPr>
        <w:t xml:space="preserve">9、投标文件的语言及度量衡单位</w:t>
      </w:r>
      <w:bookmarkEnd w:id="116"/>
      <w:r/>
      <w:bookmarkEnd w:id="117"/>
      <w:r/>
      <w:bookmarkEnd w:id="118"/>
      <w:r/>
      <w:bookmarkEnd w:id="119"/>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提交的投标文件以及</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与采购人、采购代理机构就有关投标的所有来往通知、函件和文件均应使用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915"/>
        <w:ind w:firstLine="420"/>
        <w:pageBreakBefore w:val="0"/>
        <w:spacing w:before="0" w:after="0" w:line="560" w:lineRule="exact"/>
        <w:widowControl w:val="off"/>
        <w:rPr>
          <w:rFonts w:hint="eastAsia"/>
          <w:b w:val="0"/>
          <w:bCs w:val="0"/>
          <w:color w:val="auto"/>
          <w:highlight w:val="none"/>
        </w:rPr>
      </w:pPr>
      <w:r/>
      <w:bookmarkStart w:id="120" w:name="_Toc20823287"/>
      <w:r/>
      <w:bookmarkStart w:id="121" w:name="_Toc16938531"/>
      <w:r/>
      <w:bookmarkStart w:id="122" w:name="_Toc462564074"/>
      <w:r/>
      <w:bookmarkStart w:id="123" w:name="_Toc513029215"/>
      <w:r>
        <w:rPr>
          <w:rFonts w:hint="eastAsia"/>
          <w:b w:val="0"/>
          <w:bCs w:val="0"/>
          <w:color w:val="auto"/>
          <w:highlight w:val="none"/>
        </w:rPr>
        <w:t xml:space="preserve">10、投标文件构成</w:t>
      </w:r>
      <w:bookmarkEnd w:id="120"/>
      <w:r/>
      <w:bookmarkEnd w:id="121"/>
      <w:r/>
      <w:bookmarkEnd w:id="122"/>
      <w:r/>
      <w:bookmarkEnd w:id="123"/>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10.1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编写的投标文件应包括资格证明文件、符合性证明文件、投标分项报价表、技术要求响应及偏离表、商务要求响应及偏离表、其他证明文件、投标函、开标一览表等部分。</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如标书制作工具中格式和内容与“江苏政府采购网”发布的招标文件不一致，请以“江苏政府采购网”发布的招标文件为准。</w:t>
      </w:r>
      <w:r/>
    </w:p>
    <w:p>
      <w:pPr>
        <w:pStyle w:val="915"/>
        <w:ind w:firstLine="420"/>
        <w:pageBreakBefore w:val="0"/>
        <w:spacing w:before="0" w:after="0" w:line="560" w:lineRule="exact"/>
        <w:widowControl w:val="off"/>
        <w:rPr>
          <w:rFonts w:hint="eastAsia"/>
          <w:b w:val="0"/>
          <w:bCs w:val="0"/>
          <w:color w:val="auto"/>
          <w:highlight w:val="none"/>
        </w:rPr>
      </w:pPr>
      <w:r/>
      <w:bookmarkStart w:id="124" w:name="_Hlt26670360"/>
      <w:r/>
      <w:bookmarkEnd w:id="124"/>
      <w:r/>
      <w:bookmarkStart w:id="125" w:name="_Hlt26954838"/>
      <w:r/>
      <w:bookmarkEnd w:id="125"/>
      <w:r/>
      <w:bookmarkStart w:id="126" w:name="_Hlt26668975"/>
      <w:r/>
      <w:bookmarkEnd w:id="126"/>
      <w:r/>
      <w:bookmarkStart w:id="127" w:name="_Toc513029219"/>
      <w:r/>
      <w:bookmarkStart w:id="128" w:name="_Toc49090509"/>
      <w:r/>
      <w:bookmarkStart w:id="129" w:name="_Toc14577354"/>
      <w:r/>
      <w:bookmarkStart w:id="130" w:name="_Toc14577357"/>
      <w:r/>
      <w:bookmarkStart w:id="131" w:name="_Toc513029216"/>
      <w:r/>
      <w:bookmarkStart w:id="132" w:name="_Toc49090507"/>
      <w:r>
        <w:rPr>
          <w:rFonts w:hint="eastAsia"/>
          <w:b w:val="0"/>
          <w:bCs w:val="0"/>
          <w:color w:val="auto"/>
          <w:highlight w:val="none"/>
        </w:rPr>
        <w:t xml:space="preserve">11、证明</w:t>
      </w:r>
      <w:r>
        <w:rPr>
          <w:rFonts w:hint="eastAsia"/>
          <w:b w:val="0"/>
          <w:bCs w:val="0"/>
          <w:color w:val="auto"/>
          <w:highlight w:val="none"/>
          <w:lang w:eastAsia="zh-CN"/>
        </w:rPr>
        <w:t xml:space="preserve">供应商</w:t>
      </w:r>
      <w:r>
        <w:rPr>
          <w:rFonts w:hint="eastAsia"/>
          <w:b w:val="0"/>
          <w:bCs w:val="0"/>
          <w:color w:val="auto"/>
          <w:highlight w:val="none"/>
        </w:rPr>
        <w:t xml:space="preserve">及投标标的符合招标文件规定的文件</w:t>
      </w:r>
      <w:bookmarkEnd w:id="127"/>
      <w:r/>
      <w:bookmarkEnd w:id="128"/>
      <w:r/>
      <w:bookmarkEnd w:id="129"/>
      <w:r/>
      <w:bookmarkEnd w:id="130"/>
      <w:r/>
      <w:bookmarkEnd w:id="131"/>
      <w:r/>
      <w:bookmarkEnd w:id="132"/>
      <w:r/>
      <w:r/>
    </w:p>
    <w:p>
      <w:pPr>
        <w:ind w:firstLine="480"/>
        <w:pageBreakBefore w:val="0"/>
        <w:spacing w:line="560" w:lineRule="exact"/>
        <w:widowControl w:val="off"/>
        <w:rPr>
          <w:rFonts w:hint="eastAsia" w:ascii="宋体" w:hAnsi="宋体"/>
          <w:color w:val="auto"/>
          <w:sz w:val="24"/>
          <w:highlight w:val="none"/>
        </w:rPr>
      </w:pPr>
      <w:r/>
      <w:bookmarkStart w:id="133" w:name="_Toc14577355"/>
      <w:r/>
      <w:bookmarkStart w:id="134" w:name="_Toc49090508"/>
      <w:r>
        <w:rPr>
          <w:rFonts w:hint="eastAsia" w:ascii="宋体" w:hAnsi="宋体"/>
          <w:color w:val="auto"/>
          <w:sz w:val="24"/>
          <w:highlight w:val="none"/>
        </w:rPr>
        <w:t xml:space="preserve">11.1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应按照法律、法规、规章和规范性文件以及招标文件要求提交证明文件，证明其及投标标的符合招标文件规定。</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r/>
    </w:p>
    <w:p>
      <w:pPr>
        <w:pStyle w:val="915"/>
        <w:ind w:firstLine="420"/>
        <w:pageBreakBefore w:val="0"/>
        <w:spacing w:before="0" w:after="0" w:line="560" w:lineRule="exact"/>
        <w:widowControl w:val="off"/>
        <w:rPr>
          <w:rFonts w:hint="eastAsia"/>
          <w:b w:val="0"/>
          <w:bCs w:val="0"/>
          <w:color w:val="auto"/>
          <w:highlight w:val="none"/>
        </w:rPr>
      </w:pPr>
      <w:r>
        <w:rPr>
          <w:rFonts w:hint="eastAsia"/>
          <w:b w:val="0"/>
          <w:bCs w:val="0"/>
          <w:color w:val="auto"/>
          <w:highlight w:val="none"/>
        </w:rPr>
        <w:t xml:space="preserve">12、投标分项报价</w:t>
      </w:r>
      <w:bookmarkEnd w:id="133"/>
      <w:r/>
      <w:bookmarkStart w:id="135" w:name="_Hlt26670373"/>
      <w:r/>
      <w:bookmarkEnd w:id="135"/>
      <w:r>
        <w:rPr>
          <w:rFonts w:hint="eastAsia"/>
          <w:b w:val="0"/>
          <w:bCs w:val="0"/>
          <w:color w:val="auto"/>
          <w:highlight w:val="none"/>
        </w:rPr>
        <w:t xml:space="preserve">表</w:t>
      </w:r>
      <w:bookmarkEnd w:id="134"/>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12.1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应按照招标文件规定格式填报投标分项报价表</w:t>
      </w:r>
      <w:bookmarkStart w:id="136" w:name="_Hlt26670399"/>
      <w:r/>
      <w:bookmarkEnd w:id="136"/>
      <w:r>
        <w:rPr>
          <w:rFonts w:hint="eastAsia" w:ascii="宋体" w:hAnsi="宋体"/>
          <w:color w:val="auto"/>
          <w:sz w:val="24"/>
          <w:highlight w:val="none"/>
        </w:rPr>
        <w:t xml:space="preserve">。</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12.2投标货币。投标文件中的单价和总价无特殊规定的采用人民币报价，以元为单位标注。招标文件中另有规定的按规定执行。</w:t>
      </w:r>
      <w:r/>
    </w:p>
    <w:p>
      <w:pPr>
        <w:pStyle w:val="915"/>
        <w:ind w:firstLine="420"/>
        <w:pageBreakBefore w:val="0"/>
        <w:spacing w:before="0" w:after="0" w:line="560" w:lineRule="exact"/>
        <w:widowControl w:val="off"/>
        <w:rPr>
          <w:rFonts w:hint="eastAsia"/>
          <w:b w:val="0"/>
          <w:bCs w:val="0"/>
          <w:color w:val="auto"/>
          <w:highlight w:val="none"/>
        </w:rPr>
      </w:pPr>
      <w:r/>
      <w:bookmarkStart w:id="137" w:name="_Hlt26670482"/>
      <w:r/>
      <w:bookmarkEnd w:id="137"/>
      <w:r/>
      <w:bookmarkStart w:id="138" w:name="_Hlt26954844"/>
      <w:r/>
      <w:bookmarkEnd w:id="138"/>
      <w:r/>
      <w:bookmarkStart w:id="139" w:name="_Hlt26954842"/>
      <w:r/>
      <w:bookmarkEnd w:id="139"/>
      <w:r/>
      <w:bookmarkStart w:id="140" w:name="_Hlt26954846"/>
      <w:r/>
      <w:bookmarkEnd w:id="140"/>
      <w:r/>
      <w:bookmarkStart w:id="141" w:name="_Hlt26668983"/>
      <w:r/>
      <w:bookmarkEnd w:id="141"/>
      <w:r/>
      <w:bookmarkStart w:id="142" w:name="_Hlt26670403"/>
      <w:r/>
      <w:bookmarkEnd w:id="142"/>
      <w:r/>
      <w:bookmarkStart w:id="143" w:name="_Hlt26954848"/>
      <w:r/>
      <w:bookmarkEnd w:id="143"/>
      <w:r/>
      <w:bookmarkStart w:id="144" w:name="_Hlt26670486"/>
      <w:r/>
      <w:bookmarkEnd w:id="144"/>
      <w:r/>
      <w:bookmarkStart w:id="145" w:name="_Hlt26954731"/>
      <w:r/>
      <w:bookmarkEnd w:id="145"/>
      <w:r/>
      <w:bookmarkStart w:id="146" w:name="_Hlt26670425"/>
      <w:r/>
      <w:bookmarkEnd w:id="146"/>
      <w:r>
        <w:rPr>
          <w:rFonts w:hint="eastAsia"/>
          <w:b w:val="0"/>
          <w:bCs w:val="0"/>
          <w:color w:val="auto"/>
          <w:highlight w:val="none"/>
        </w:rPr>
        <w:t xml:space="preserve">13、技术要求响应及偏离表、商务要求响应及偏离表</w:t>
      </w:r>
      <w:r/>
    </w:p>
    <w:p>
      <w:pPr>
        <w:ind w:left="0" w:right="0" w:firstLine="480"/>
        <w:pageBreakBefore w:val="0"/>
        <w:spacing w:line="360" w:lineRule="auto"/>
        <w:widowControl w:val="off"/>
        <w:rPr>
          <w:rFonts w:hint="eastAsia" w:ascii="宋体" w:hAnsi="Arial" w:cs="宋体"/>
          <w:color w:val="auto"/>
          <w:sz w:val="24"/>
          <w:szCs w:val="21"/>
          <w:highlight w:val="none"/>
          <w:lang w:val="zh-CN"/>
        </w:rPr>
      </w:pPr>
      <w:r>
        <w:rPr>
          <w:rFonts w:hint="eastAsia" w:ascii="宋体" w:hAnsi="宋体"/>
          <w:color w:val="auto"/>
          <w:sz w:val="24"/>
          <w:highlight w:val="none"/>
          <w:lang w:val="zh-CN"/>
        </w:rPr>
        <w:t xml:space="preserve">1</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供应商需对招标文件中的技术要求与商务要求逐项作出响应或偏离，并说明原因。</w:t>
      </w:r>
      <w:r/>
    </w:p>
    <w:p>
      <w:pPr>
        <w:ind w:left="0" w:right="0" w:firstLine="480"/>
        <w:pageBreakBefore w:val="0"/>
        <w:spacing w:line="360" w:lineRule="auto"/>
        <w:widowControl w:val="off"/>
        <w:rPr>
          <w:rFonts w:hint="eastAsia" w:ascii="宋体" w:hAnsi="Arial" w:cs="宋体"/>
          <w:color w:val="auto"/>
          <w:sz w:val="24"/>
          <w:szCs w:val="21"/>
          <w:highlight w:val="none"/>
          <w:lang w:val="zh-CN" w:eastAsia="zh-CN"/>
        </w:rPr>
      </w:pPr>
      <w:r>
        <w:rPr>
          <w:rFonts w:hint="eastAsia" w:ascii="宋体" w:hAnsi="Arial" w:cs="宋体"/>
          <w:color w:val="auto"/>
          <w:sz w:val="24"/>
          <w:szCs w:val="21"/>
          <w:highlight w:val="none"/>
          <w:lang w:val="zh-CN" w:eastAsia="zh-CN"/>
        </w:rPr>
        <w:t xml:space="preserve">13.2 供应商需根据招标文件第四章采购需求的要求提供相关证明材料。</w:t>
      </w:r>
      <w:r/>
    </w:p>
    <w:p>
      <w:pPr>
        <w:ind w:left="0" w:right="0" w:firstLine="480"/>
        <w:pageBreakBefore w:val="0"/>
        <w:spacing w:line="360" w:lineRule="auto"/>
        <w:widowControl w:val="off"/>
        <w:rPr>
          <w:rFonts w:hint="eastAsia" w:ascii="宋体" w:hAnsi="宋体"/>
          <w:color w:val="auto"/>
          <w:sz w:val="24"/>
          <w:highlight w:val="none"/>
          <w:lang w:val="zh-CN"/>
        </w:rPr>
      </w:pPr>
      <w:r>
        <w:rPr>
          <w:rFonts w:hint="eastAsia" w:ascii="宋体" w:hAnsi="Arial" w:cs="宋体"/>
          <w:color w:val="auto"/>
          <w:sz w:val="24"/>
          <w:szCs w:val="21"/>
          <w:highlight w:val="none"/>
          <w:lang w:val="zh-CN"/>
        </w:rPr>
        <w:t xml:space="preserve">13.</w:t>
      </w:r>
      <w:r>
        <w:rPr>
          <w:rFonts w:hint="eastAsia" w:ascii="宋体" w:hAnsi="Arial" w:cs="宋体"/>
          <w:color w:val="auto"/>
          <w:sz w:val="24"/>
          <w:szCs w:val="21"/>
          <w:highlight w:val="none"/>
          <w:lang w:val="zh-CN" w:eastAsia="zh-CN"/>
        </w:rPr>
        <w:t xml:space="preserve">3</w:t>
      </w:r>
      <w:r>
        <w:rPr>
          <w:rFonts w:hint="eastAsia" w:ascii="宋体" w:hAnsi="Arial" w:cs="宋体"/>
          <w:color w:val="auto"/>
          <w:sz w:val="24"/>
          <w:szCs w:val="21"/>
          <w:highlight w:val="none"/>
          <w:lang w:val="zh-CN"/>
        </w:rPr>
        <w:t xml:space="preserve"> 供应商可在投标文件中提供认为需要的其他技术文件或说明。</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47" w:name="_Toc513029242"/>
      <w:r/>
      <w:bookmarkStart w:id="148" w:name="_Toc479757207"/>
      <w:r/>
      <w:bookmarkStart w:id="149" w:name="_Toc16938558"/>
      <w:r/>
      <w:bookmarkStart w:id="150" w:name="_Toc20823314"/>
      <w:r/>
      <w:bookmarkStart w:id="151" w:name="_Toc120614221"/>
      <w:r>
        <w:rPr>
          <w:rFonts w:hint="eastAsia" w:ascii="Arial" w:hAnsi="Arial" w:eastAsia="黑体" w:cs="Arial"/>
          <w:color w:val="auto"/>
          <w:sz w:val="28"/>
          <w:szCs w:val="28"/>
          <w:highlight w:val="none"/>
        </w:rPr>
        <w:t xml:space="preserve">14、服务承诺、培训计划、人员安排及其他</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14.1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需根据招标文件要求提供有关售后服务的管理制度，售后服务机构的分布情况，售后服务人员的数量、素质、技术水平及售后服务的反应能力等。</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14.2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需根据招标文件要求提供培训计划。</w:t>
      </w:r>
      <w:r/>
    </w:p>
    <w:p>
      <w:pPr>
        <w:ind w:left="0" w:right="0" w:firstLine="480"/>
        <w:pageBreakBefore w:val="0"/>
        <w:spacing w:line="360" w:lineRule="auto"/>
        <w:widowControl w:val="off"/>
        <w:rPr>
          <w:rFonts w:hint="eastAsia" w:ascii="宋体" w:hAnsi="Arial" w:cs="宋体"/>
          <w:color w:val="auto"/>
          <w:sz w:val="24"/>
          <w:szCs w:val="21"/>
          <w:highlight w:val="none"/>
          <w:lang w:val="zh-CN"/>
        </w:rPr>
      </w:pPr>
      <w:r>
        <w:rPr>
          <w:rFonts w:hint="eastAsia" w:ascii="宋体" w:hAnsi="宋体"/>
          <w:color w:val="auto"/>
          <w:sz w:val="24"/>
          <w:szCs w:val="24"/>
          <w:highlight w:val="none"/>
        </w:rPr>
        <w:t xml:space="preserve">14.3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需根据招标文件要求提供</w:t>
      </w:r>
      <w:r>
        <w:rPr>
          <w:rFonts w:hint="eastAsia" w:ascii="宋体" w:hAnsi="Arial" w:cs="宋体"/>
          <w:color w:val="auto"/>
          <w:sz w:val="24"/>
          <w:szCs w:val="21"/>
          <w:highlight w:val="none"/>
          <w:lang w:val="zh-CN"/>
        </w:rPr>
        <w:t xml:space="preserve">所投标的主要组成部分、功能设计、实现思路及关键技术等。</w:t>
      </w:r>
      <w:r/>
    </w:p>
    <w:p>
      <w:pPr>
        <w:ind w:left="0" w:right="0" w:firstLine="480"/>
        <w:pageBreakBefore w:val="0"/>
        <w:spacing w:line="360" w:lineRule="auto"/>
        <w:widowControl w:val="off"/>
        <w:rPr>
          <w:color w:val="auto"/>
          <w:highlight w:val="none"/>
          <w:lang w:val="en-US" w:eastAsia="zh-CN"/>
        </w:rPr>
      </w:pPr>
      <w:r>
        <w:rPr>
          <w:rFonts w:hint="eastAsia" w:ascii="宋体" w:hAnsi="Arial" w:cs="宋体"/>
          <w:color w:val="auto"/>
          <w:sz w:val="24"/>
          <w:szCs w:val="21"/>
          <w:highlight w:val="none"/>
          <w:lang w:val="en-US" w:eastAsia="zh-CN"/>
        </w:rPr>
        <w:t xml:space="preserve">14.4 供应商需根据招标文件要求提供实施方案、质保承诺等。</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52" w:name="_Toc49090510"/>
      <w:r/>
      <w:bookmarkStart w:id="153" w:name="_Toc14577359"/>
      <w:r>
        <w:rPr>
          <w:rFonts w:hint="eastAsia" w:ascii="Arial" w:hAnsi="Arial" w:eastAsia="黑体" w:cs="Arial"/>
          <w:color w:val="auto"/>
          <w:sz w:val="28"/>
          <w:szCs w:val="28"/>
          <w:highlight w:val="none"/>
        </w:rPr>
        <w:t xml:space="preserve">15、投标函和开标一览表</w:t>
      </w:r>
      <w:r/>
    </w:p>
    <w:p>
      <w:pPr>
        <w:ind w:left="0" w:right="0"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w:t>
      </w:r>
      <w:r>
        <w:rPr>
          <w:rFonts w:hint="eastAsia" w:ascii="宋体" w:hAnsi="宋体"/>
          <w:color w:val="auto"/>
          <w:sz w:val="24"/>
          <w:szCs w:val="21"/>
          <w:highlight w:val="none"/>
          <w:lang w:eastAsia="zh-CN"/>
        </w:rPr>
        <w:t xml:space="preserve">供应商</w:t>
      </w:r>
      <w:r>
        <w:rPr>
          <w:rFonts w:hint="eastAsia" w:ascii="宋体" w:hAnsi="宋体"/>
          <w:color w:val="auto"/>
          <w:sz w:val="24"/>
          <w:szCs w:val="21"/>
          <w:highlight w:val="none"/>
        </w:rPr>
        <w:t xml:space="preserve">应按照招标文件中提供的格式完整、正确填写投标函、开标一览表。</w:t>
      </w:r>
      <w:r/>
    </w:p>
    <w:p>
      <w:pPr>
        <w:ind w:left="0" w:right="0"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52"/>
      <w:r/>
      <w:bookmarkEnd w:id="153"/>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54" w:name="_Toc49090511"/>
      <w:r/>
      <w:bookmarkStart w:id="155" w:name="_Toc14577360"/>
      <w:r>
        <w:rPr>
          <w:rFonts w:hint="eastAsia" w:ascii="Arial" w:hAnsi="Arial" w:eastAsia="黑体" w:cs="Arial"/>
          <w:color w:val="auto"/>
          <w:sz w:val="28"/>
          <w:szCs w:val="28"/>
          <w:highlight w:val="none"/>
        </w:rPr>
        <w:t xml:space="preserve">16、投标有效期</w:t>
      </w:r>
      <w:bookmarkEnd w:id="154"/>
      <w:r/>
      <w:bookmarkEnd w:id="155"/>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16.1投标有效期为采购</w:t>
      </w:r>
      <w:r>
        <w:rPr>
          <w:rFonts w:hint="eastAsia" w:ascii="宋体" w:hAnsi="宋体"/>
          <w:bCs/>
          <w:color w:val="auto"/>
          <w:sz w:val="24"/>
          <w:szCs w:val="21"/>
          <w:highlight w:val="none"/>
          <w:lang w:val="en-US" w:eastAsia="zh-CN"/>
        </w:rPr>
        <w:t xml:space="preserve">人</w:t>
      </w:r>
      <w:r>
        <w:rPr>
          <w:rFonts w:hint="eastAsia" w:ascii="宋体" w:hAnsi="宋体"/>
          <w:bCs/>
          <w:color w:val="auto"/>
          <w:sz w:val="24"/>
          <w:szCs w:val="21"/>
          <w:highlight w:val="none"/>
        </w:rPr>
        <w:t xml:space="preserve">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。投标有效期比规定短的将被视为未实质性响应招标文件而予以拒绝。</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w:t>
      </w:r>
      <w:r>
        <w:rPr>
          <w:rFonts w:hint="eastAsia" w:ascii="宋体" w:hAnsi="宋体"/>
          <w:bCs/>
          <w:color w:val="auto"/>
          <w:sz w:val="24"/>
          <w:szCs w:val="21"/>
          <w:highlight w:val="none"/>
          <w:lang w:val="en-US" w:eastAsia="zh-CN"/>
        </w:rPr>
        <w:t xml:space="preserve">人</w:t>
      </w:r>
      <w:r>
        <w:rPr>
          <w:rFonts w:hint="eastAsia" w:ascii="宋体" w:hAnsi="宋体"/>
          <w:bCs/>
          <w:color w:val="auto"/>
          <w:sz w:val="24"/>
          <w:szCs w:val="21"/>
          <w:highlight w:val="none"/>
        </w:rPr>
        <w:t xml:space="preserve">于原投标有效期满之前，可向</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提出延长投标有效期的要求。这种要求与答复均应采用书面形式。</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可以拒绝采购</w:t>
      </w:r>
      <w:r>
        <w:rPr>
          <w:rFonts w:hint="eastAsia" w:ascii="宋体" w:hAnsi="宋体"/>
          <w:bCs/>
          <w:color w:val="auto"/>
          <w:sz w:val="24"/>
          <w:szCs w:val="21"/>
          <w:highlight w:val="none"/>
          <w:lang w:val="en-US" w:eastAsia="zh-CN"/>
        </w:rPr>
        <w:t xml:space="preserve">人</w:t>
      </w:r>
      <w:r>
        <w:rPr>
          <w:rFonts w:hint="eastAsia" w:ascii="宋体" w:hAnsi="宋体"/>
          <w:bCs/>
          <w:color w:val="auto"/>
          <w:sz w:val="24"/>
          <w:szCs w:val="21"/>
          <w:highlight w:val="none"/>
        </w:rPr>
        <w:t xml:space="preserve">的这一要求而放弃投标，同意延长投标有效期的</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left="0" w:right="0"/>
        <w:keepLines/>
        <w:keepNext/>
        <w:pageBreakBefore w:val="0"/>
        <w:spacing w:line="360" w:lineRule="auto"/>
        <w:widowControl w:val="off"/>
        <w:rPr>
          <w:rFonts w:hint="eastAsia" w:ascii="Times New Roman" w:hAnsi="Times New Roman"/>
          <w:b/>
          <w:bCs/>
          <w:color w:val="auto"/>
          <w:sz w:val="32"/>
          <w:szCs w:val="32"/>
          <w:highlight w:val="none"/>
        </w:rPr>
        <w:outlineLvl w:val="2"/>
      </w:pPr>
      <w:r/>
      <w:bookmarkStart w:id="156" w:name="_Hlt26954739"/>
      <w:r/>
      <w:bookmarkEnd w:id="156"/>
      <w:r/>
      <w:bookmarkStart w:id="157" w:name="_Hlt26954852"/>
      <w:r/>
      <w:bookmarkEnd w:id="157"/>
      <w:r/>
      <w:bookmarkStart w:id="158" w:name="_Toc10826"/>
      <w:r/>
      <w:bookmarkStart w:id="159" w:name="_Toc18316"/>
      <w:r/>
      <w:bookmarkStart w:id="160" w:name="_Toc513029224"/>
      <w:r/>
      <w:bookmarkStart w:id="161" w:name="_Toc120614217"/>
      <w:r/>
      <w:bookmarkStart w:id="162" w:name="_Toc9858"/>
      <w:r/>
      <w:bookmarkStart w:id="163" w:name="_Toc20823296"/>
      <w:r/>
      <w:bookmarkStart w:id="164" w:name="_Toc12166"/>
      <w:r/>
      <w:bookmarkStart w:id="165" w:name="_Toc16938540"/>
      <w:r>
        <w:rPr>
          <w:rFonts w:hint="eastAsia" w:ascii="Times New Roman" w:hAnsi="Times New Roman"/>
          <w:b/>
          <w:bCs/>
          <w:color w:val="auto"/>
          <w:sz w:val="32"/>
          <w:szCs w:val="32"/>
          <w:highlight w:val="none"/>
        </w:rPr>
        <w:t xml:space="preserve">四、投标文件的递交</w:t>
      </w:r>
      <w:bookmarkEnd w:id="158"/>
      <w:r/>
      <w:bookmarkEnd w:id="159"/>
      <w:r/>
      <w:bookmarkEnd w:id="160"/>
      <w:r/>
      <w:bookmarkEnd w:id="161"/>
      <w:r/>
      <w:bookmarkEnd w:id="162"/>
      <w:r/>
      <w:bookmarkEnd w:id="163"/>
      <w:r/>
      <w:bookmarkEnd w:id="164"/>
      <w:r/>
      <w:bookmarkEnd w:id="165"/>
      <w:r/>
      <w:r/>
    </w:p>
    <w:p>
      <w:pPr>
        <w:ind w:left="0" w:right="0" w:firstLine="420"/>
        <w:keepLines/>
        <w:keepNext/>
        <w:pageBreakBefore w:val="0"/>
        <w:spacing w:line="360" w:lineRule="auto"/>
        <w:widowControl w:val="off"/>
        <w:rPr>
          <w:rFonts w:hint="eastAsia" w:ascii="黑体" w:hAnsi="Arial" w:eastAsia="黑体" w:cs="Arial"/>
          <w:color w:val="auto"/>
          <w:sz w:val="28"/>
          <w:szCs w:val="28"/>
          <w:highlight w:val="none"/>
        </w:rPr>
        <w:outlineLvl w:val="3"/>
      </w:pPr>
      <w:r/>
      <w:bookmarkStart w:id="166" w:name="_Toc16938541"/>
      <w:r/>
      <w:bookmarkStart w:id="167" w:name="_Toc462564084"/>
      <w:r/>
      <w:bookmarkStart w:id="168" w:name="_Toc20823297"/>
      <w:r/>
      <w:bookmarkStart w:id="169" w:name="_Toc513029225"/>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166"/>
      <w:r/>
      <w:bookmarkEnd w:id="167"/>
      <w:r/>
      <w:bookmarkEnd w:id="168"/>
      <w:r/>
      <w:bookmarkEnd w:id="169"/>
      <w:r>
        <w:rPr>
          <w:rFonts w:hint="eastAsia" w:ascii="黑体" w:hAnsi="Arial" w:eastAsia="黑体" w:cs="Arial"/>
          <w:color w:val="auto"/>
          <w:sz w:val="28"/>
          <w:szCs w:val="28"/>
          <w:highlight w:val="none"/>
        </w:rPr>
        <w:t xml:space="preserve">的递交</w:t>
      </w:r>
      <w:r/>
    </w:p>
    <w:p>
      <w:pPr>
        <w:ind w:left="0" w:right="0" w:firstLine="480"/>
        <w:jc w:val="left"/>
        <w:keepLines w:val="0"/>
        <w:keepNext w:val="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18.1</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w:t>
      </w:r>
      <w:r/>
    </w:p>
    <w:p>
      <w:pPr>
        <w:ind w:right="0"/>
        <w:jc w:val="left"/>
        <w:keepLines w:val="0"/>
        <w:keepNext w:val="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文件。</w:t>
      </w:r>
      <w:bookmarkStart w:id="170" w:name="_Toc16938542"/>
      <w:r/>
      <w:bookmarkStart w:id="171" w:name="_Toc513029226"/>
      <w:r/>
      <w:bookmarkStart w:id="172" w:name="_Toc20823298"/>
      <w:r/>
      <w:r/>
    </w:p>
    <w:p>
      <w:pPr>
        <w:ind w:left="0" w:right="0" w:firstLine="420"/>
        <w:keepLines/>
        <w:keepNext/>
        <w:pageBreakBefore w:val="0"/>
        <w:spacing w:line="360" w:lineRule="auto"/>
        <w:widowControl w:val="off"/>
        <w:rPr>
          <w:rFonts w:hint="eastAsia"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、投标截止日期</w:t>
      </w:r>
      <w:bookmarkEnd w:id="170"/>
      <w:r/>
      <w:bookmarkEnd w:id="171"/>
      <w:r/>
      <w:bookmarkEnd w:id="172"/>
      <w:r/>
      <w:r/>
    </w:p>
    <w:p>
      <w:pPr>
        <w:ind w:left="0" w:right="0" w:firstLine="482"/>
        <w:pageBreakBefore w:val="0"/>
        <w:spacing w:line="360" w:lineRule="auto"/>
        <w:widowControl w:val="off"/>
        <w:rPr>
          <w:rFonts w:hint="eastAsia" w:ascii="宋体" w:hAnsi="宋体"/>
          <w:b/>
          <w:bCs/>
          <w:i w:val="0"/>
          <w:iCs/>
          <w:color w:val="auto"/>
          <w:sz w:val="24"/>
          <w:szCs w:val="21"/>
          <w:highlight w:val="none"/>
          <w:u w:val="single"/>
        </w:rPr>
      </w:pPr>
      <w:r>
        <w:rPr>
          <w:rFonts w:ascii="宋体" w:hAnsi="宋体"/>
          <w:b/>
          <w:bCs/>
          <w:i w:val="0"/>
          <w:iCs/>
          <w:color w:val="auto"/>
          <w:sz w:val="24"/>
          <w:szCs w:val="21"/>
          <w:highlight w:val="none"/>
          <w:u w:val="single"/>
        </w:rPr>
        <w:t xml:space="preserve">19</w:t>
      </w:r>
      <w:r>
        <w:rPr>
          <w:rFonts w:hint="eastAsia" w:ascii="宋体" w:hAnsi="宋体"/>
          <w:b/>
          <w:bCs/>
          <w:i w:val="0"/>
          <w:iCs/>
          <w:color w:val="auto"/>
          <w:sz w:val="24"/>
          <w:szCs w:val="21"/>
          <w:highlight w:val="none"/>
          <w:u w:val="single"/>
        </w:rPr>
        <w:t xml:space="preserve">.1 </w:t>
      </w:r>
      <w:r>
        <w:rPr>
          <w:rFonts w:hint="eastAsia" w:ascii="宋体" w:hAnsi="宋体"/>
          <w:b/>
          <w:bCs/>
          <w:i w:val="0"/>
          <w:iCs/>
          <w:color w:val="auto"/>
          <w:sz w:val="24"/>
          <w:szCs w:val="21"/>
          <w:highlight w:val="none"/>
          <w:u w:val="single"/>
          <w:lang w:eastAsia="zh-CN"/>
        </w:rPr>
        <w:t xml:space="preserve">供应商</w:t>
      </w:r>
      <w:r>
        <w:rPr>
          <w:rFonts w:hint="eastAsia" w:ascii="宋体" w:hAnsi="宋体"/>
          <w:b/>
          <w:bCs/>
          <w:i w:val="0"/>
          <w:iCs/>
          <w:color w:val="auto"/>
          <w:sz w:val="24"/>
          <w:szCs w:val="21"/>
          <w:highlight w:val="none"/>
          <w:u w:val="single"/>
        </w:rPr>
        <w:t xml:space="preserve">上传电子投标文件的时间不得迟于招标公告中规定的投标截止时间。</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应</w:t>
      </w:r>
      <w:r>
        <w:rPr>
          <w:rFonts w:hint="eastAsia" w:ascii="宋体" w:hAnsi="宋体"/>
          <w:bCs/>
          <w:color w:val="auto"/>
          <w:sz w:val="24"/>
          <w:szCs w:val="21"/>
          <w:highlight w:val="none"/>
          <w:lang w:eastAsia="zh-CN"/>
        </w:rPr>
        <w:t xml:space="preserve">充分考虑</w:t>
      </w:r>
      <w:r>
        <w:rPr>
          <w:rFonts w:hint="eastAsia" w:ascii="宋体" w:hAnsi="宋体"/>
          <w:bCs/>
          <w:color w:val="auto"/>
          <w:sz w:val="24"/>
          <w:szCs w:val="21"/>
          <w:highlight w:val="none"/>
        </w:rPr>
        <w:t xml:space="preserve">网络环境、网络带宽等风险因素，如因</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自身原因造成的电子投标文件上传不成功的按照本招标文件第二章第27.1.2条规定做无效投标处理。</w:t>
      </w:r>
      <w:r/>
    </w:p>
    <w:p>
      <w:pPr>
        <w:ind w:left="0" w:right="0" w:firstLine="480"/>
        <w:pageBreakBefore w:val="0"/>
        <w:spacing w:line="360" w:lineRule="auto"/>
        <w:widowControl w:val="off"/>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w:t>
      </w:r>
      <w:r>
        <w:rPr>
          <w:rFonts w:hint="eastAsia" w:ascii="宋体" w:hAnsi="宋体"/>
          <w:bCs/>
          <w:color w:val="auto"/>
          <w:sz w:val="24"/>
          <w:szCs w:val="21"/>
          <w:highlight w:val="none"/>
          <w:lang w:val="en-US" w:eastAsia="zh-CN"/>
        </w:rPr>
        <w:t xml:space="preserve">人</w:t>
      </w:r>
      <w:r>
        <w:rPr>
          <w:rFonts w:hint="eastAsia" w:ascii="宋体" w:hAnsi="宋体"/>
          <w:bCs/>
          <w:color w:val="auto"/>
          <w:sz w:val="24"/>
          <w:szCs w:val="21"/>
          <w:highlight w:val="none"/>
        </w:rPr>
        <w:t xml:space="preserve">可以按照规定，通过修改招标文件酌情延长投标截止日期，在此情况下，</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的所有权利和义务以及</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受制的截止日期均应以延长后新的截止日期为准。</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73" w:name="_Toc513029227"/>
      <w:r/>
      <w:bookmarkStart w:id="174" w:name="_Toc20823299"/>
      <w:r/>
      <w:bookmarkStart w:id="175" w:name="_Toc1693854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173"/>
      <w:r/>
      <w:bookmarkEnd w:id="174"/>
      <w:r/>
      <w:bookmarkEnd w:id="175"/>
      <w:r>
        <w:rPr>
          <w:rFonts w:hint="eastAsia" w:ascii="Arial" w:hAnsi="Arial" w:eastAsia="黑体" w:cs="Arial"/>
          <w:color w:val="auto"/>
          <w:sz w:val="28"/>
          <w:szCs w:val="28"/>
          <w:highlight w:val="none"/>
        </w:rPr>
        <w:t xml:space="preserve">的拒收</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w:t>
      </w:r>
      <w:r>
        <w:rPr>
          <w:rFonts w:hint="eastAsia" w:ascii="宋体" w:hAnsi="宋体"/>
          <w:bCs/>
          <w:color w:val="auto"/>
          <w:sz w:val="24"/>
          <w:szCs w:val="21"/>
          <w:highlight w:val="none"/>
          <w:lang w:val="en-US" w:eastAsia="zh-CN"/>
        </w:rPr>
        <w:t xml:space="preserve">人或采购代理机构</w:t>
      </w:r>
      <w:r>
        <w:rPr>
          <w:rFonts w:hint="eastAsia" w:ascii="宋体" w:hAnsi="宋体"/>
          <w:bCs/>
          <w:color w:val="auto"/>
          <w:sz w:val="24"/>
          <w:szCs w:val="21"/>
          <w:highlight w:val="none"/>
        </w:rPr>
        <w:t xml:space="preserve">拒绝接收在其规定的投标截止时间后上传的任何投标文件。</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76" w:name="_Toc20823300"/>
      <w:r/>
      <w:bookmarkStart w:id="177" w:name="_Toc513029228"/>
      <w:r/>
      <w:bookmarkStart w:id="178" w:name="_Toc1693854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176"/>
      <w:r/>
      <w:bookmarkEnd w:id="177"/>
      <w:r/>
      <w:bookmarkEnd w:id="178"/>
      <w:r/>
      <w:r/>
    </w:p>
    <w:p>
      <w:pPr>
        <w:ind w:left="0" w:right="0"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left="0" w:right="0"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left="0" w:right="0"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eastAsia="zh-CN"/>
        </w:rPr>
        <w:t xml:space="preserve">供应商</w:t>
      </w:r>
      <w:r>
        <w:rPr>
          <w:rFonts w:hint="eastAsia" w:ascii="宋体" w:hAnsi="宋体"/>
          <w:color w:val="auto"/>
          <w:sz w:val="24"/>
          <w:szCs w:val="21"/>
          <w:highlight w:val="none"/>
        </w:rPr>
        <w:t xml:space="preserve">可在投标截止时间前，撤回其电子投标文件，具体操作方法见《操作手册》。</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撤回电子投标文件，则认为其不再参与本项目投标活动。</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 投标文件的修改</w:t>
      </w:r>
      <w:r/>
    </w:p>
    <w:p>
      <w:pPr>
        <w:ind w:left="0" w:right="0"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21.2.1</w:t>
      </w:r>
      <w:r>
        <w:rPr>
          <w:rFonts w:hint="eastAsia" w:ascii="宋体" w:hAnsi="宋体"/>
          <w:color w:val="auto"/>
          <w:sz w:val="24"/>
          <w:szCs w:val="21"/>
          <w:highlight w:val="none"/>
          <w:lang w:eastAsia="zh-CN"/>
        </w:rPr>
        <w:t xml:space="preserve">供应商</w:t>
      </w:r>
      <w:r>
        <w:rPr>
          <w:rFonts w:hint="eastAsia" w:ascii="宋体" w:hAnsi="宋体"/>
          <w:color w:val="auto"/>
          <w:sz w:val="24"/>
          <w:szCs w:val="21"/>
          <w:highlight w:val="none"/>
        </w:rPr>
        <w:t xml:space="preserve">可在投标截止时间前，对其电子投标文件进行修改，具体操作方法见《操作手册》。</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不得对其电子投标文件作任何修改。</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不得撤回其投标。</w:t>
      </w:r>
      <w:r/>
    </w:p>
    <w:p>
      <w:pPr>
        <w:ind w:left="0" w:right="0" w:firstLine="482"/>
        <w:keepLines/>
        <w:keepNext/>
        <w:pageBreakBefore w:val="0"/>
        <w:spacing w:line="360" w:lineRule="auto"/>
        <w:widowControl w:val="off"/>
        <w:rPr>
          <w:rFonts w:hint="eastAsia" w:ascii="Times New Roman" w:hAnsi="Times New Roman"/>
          <w:b/>
          <w:bCs/>
          <w:color w:val="auto"/>
          <w:sz w:val="32"/>
          <w:szCs w:val="32"/>
          <w:highlight w:val="none"/>
        </w:rPr>
        <w:outlineLvl w:val="2"/>
      </w:pPr>
      <w:r/>
      <w:bookmarkStart w:id="179" w:name="_Toc245"/>
      <w:r/>
      <w:bookmarkStart w:id="180" w:name="_Toc16938545"/>
      <w:r/>
      <w:bookmarkStart w:id="181" w:name="_Toc120614218"/>
      <w:r/>
      <w:bookmarkStart w:id="182" w:name="_Toc20823301"/>
      <w:r/>
      <w:bookmarkStart w:id="183" w:name="_Toc513029229"/>
      <w:r/>
      <w:bookmarkStart w:id="184" w:name="_Toc13257"/>
      <w:r/>
      <w:bookmarkStart w:id="185" w:name="_Toc6935"/>
      <w:r/>
      <w:bookmarkStart w:id="186" w:name="_Toc2850"/>
      <w:r>
        <w:rPr>
          <w:rFonts w:hint="eastAsia" w:ascii="Times New Roman" w:hAnsi="Times New Roman"/>
          <w:b/>
          <w:bCs/>
          <w:color w:val="auto"/>
          <w:sz w:val="32"/>
          <w:szCs w:val="32"/>
          <w:highlight w:val="none"/>
        </w:rPr>
        <w:t xml:space="preserve">五、开标与评标</w:t>
      </w:r>
      <w:bookmarkEnd w:id="179"/>
      <w:r/>
      <w:bookmarkEnd w:id="180"/>
      <w:r/>
      <w:bookmarkEnd w:id="181"/>
      <w:r/>
      <w:bookmarkEnd w:id="182"/>
      <w:r/>
      <w:bookmarkEnd w:id="183"/>
      <w:r/>
      <w:bookmarkEnd w:id="184"/>
      <w:r/>
      <w:bookmarkEnd w:id="185"/>
      <w:r/>
      <w:bookmarkEnd w:id="186"/>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87" w:name="_Toc20823302"/>
      <w:r/>
      <w:bookmarkStart w:id="188" w:name="_Toc16938546"/>
      <w:r/>
      <w:bookmarkStart w:id="189" w:name="_Toc513029230"/>
      <w:r>
        <w:rPr>
          <w:rFonts w:hint="eastAsia" w:ascii="Arial" w:hAnsi="Arial" w:eastAsia="黑体" w:cs="Arial"/>
          <w:color w:val="auto"/>
          <w:sz w:val="28"/>
          <w:szCs w:val="28"/>
          <w:highlight w:val="none"/>
        </w:rPr>
        <w:t xml:space="preserve">22、开标</w:t>
      </w:r>
      <w:bookmarkEnd w:id="187"/>
      <w:r/>
      <w:bookmarkEnd w:id="188"/>
      <w:r/>
      <w:bookmarkEnd w:id="189"/>
      <w:r/>
      <w:r/>
    </w:p>
    <w:p>
      <w:pPr>
        <w:ind w:left="0" w:right="0" w:firstLine="360"/>
        <w:pageBreakBefore w:val="0"/>
        <w:spacing w:line="360" w:lineRule="auto"/>
        <w:widowControl w:val="off"/>
        <w:rPr>
          <w:rFonts w:hint="eastAsia" w:ascii="Times New Roman" w:hAnsi="Times New Roman"/>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采购人或</w:t>
      </w:r>
      <w:r>
        <w:rPr>
          <w:rFonts w:hint="eastAsia" w:ascii="宋体" w:hAnsi="宋体"/>
          <w:color w:val="auto"/>
          <w:sz w:val="24"/>
          <w:szCs w:val="24"/>
          <w:highlight w:val="none"/>
        </w:rPr>
        <w:t xml:space="preserve">采购</w:t>
      </w:r>
      <w:r>
        <w:rPr>
          <w:rFonts w:hint="eastAsia" w:ascii="宋体" w:hAnsi="宋体"/>
          <w:color w:val="auto"/>
          <w:sz w:val="24"/>
          <w:szCs w:val="24"/>
          <w:highlight w:val="none"/>
          <w:lang w:val="en-US" w:eastAsia="zh-CN"/>
        </w:rPr>
        <w:t xml:space="preserve">代理机构</w:t>
      </w:r>
      <w:r>
        <w:rPr>
          <w:rFonts w:hint="eastAsia" w:ascii="宋体" w:hAnsi="宋体"/>
          <w:bCs/>
          <w:color w:val="auto"/>
          <w:sz w:val="24"/>
          <w:szCs w:val="21"/>
          <w:highlight w:val="none"/>
        </w:rPr>
        <w:t xml:space="preserve">将在招标公告中规定的时间和地点组织公开开标</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名称和投标价格。</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在开标过程中涉及到的投标文件解密、开标结果确认等工作，应按照《操作手册》规定执行。</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如果对开标过程和开标记录有疑义，应当根据《操作手册》规定提出，如 苏采云系统中《开标记录表》宣布后5分钟内未提出的，视同认可开标结果。</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90" w:name="_Toc513029231"/>
      <w:r/>
      <w:bookmarkStart w:id="191" w:name="_Toc20823303"/>
      <w:r/>
      <w:bookmarkStart w:id="192" w:name="_Toc1693854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ind w:left="0" w:right="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开标后，采购</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将立即组织评标委员会（以下简称评委会）进行评标。</w:t>
      </w:r>
      <w:r/>
    </w:p>
    <w:p>
      <w:pPr>
        <w:ind w:left="0" w:right="0"/>
        <w:pageBreakBefore w:val="0"/>
        <w:spacing w:line="360" w:lineRule="auto"/>
        <w:widowControl w:val="off"/>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 评委会由采购人代表和有关技术、经济等方面的专家组成，且人员构成符合政府采购有关规定。</w:t>
      </w:r>
      <w:r/>
    </w:p>
    <w:p>
      <w:pPr>
        <w:ind w:left="0" w:right="0"/>
        <w:pageBreakBefore w:val="0"/>
        <w:spacing w:line="360" w:lineRule="auto"/>
        <w:widowControl w:val="off"/>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.3评委会独立工作，负责评审所有投标文件并确定中标</w:t>
      </w:r>
      <w:r>
        <w:rPr>
          <w:rFonts w:hint="eastAsia" w:ascii="宋体" w:hAnsi="宋体"/>
          <w:color w:val="auto"/>
          <w:sz w:val="24"/>
          <w:szCs w:val="24"/>
          <w:highlight w:val="none"/>
          <w:lang w:eastAsia="zh-CN"/>
        </w:rPr>
        <w:t xml:space="preserve">候</w:t>
      </w:r>
      <w:r>
        <w:rPr>
          <w:rFonts w:hint="eastAsia" w:ascii="宋体" w:hAnsi="宋体"/>
          <w:color w:val="auto"/>
          <w:sz w:val="24"/>
          <w:szCs w:val="24"/>
          <w:highlight w:val="none"/>
        </w:rPr>
        <w:t xml:space="preserve">选人。</w:t>
      </w:r>
      <w:r/>
    </w:p>
    <w:p>
      <w:pPr>
        <w:ind w:left="0" w:right="0" w:firstLine="420"/>
        <w:keepLines/>
        <w:keepNext/>
        <w:pageBreakBefore w:val="0"/>
        <w:spacing w:line="360" w:lineRule="auto"/>
        <w:widowControl w:val="off"/>
        <w:rPr>
          <w:rFonts w:hint="eastAsia"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190"/>
      <w:r/>
      <w:bookmarkEnd w:id="191"/>
      <w:r/>
      <w:bookmarkEnd w:id="192"/>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凡是与审查、澄清、评价和比较投标的有关资料以及授标建议等，采购人、评委、采购</w:t>
      </w:r>
      <w:r>
        <w:rPr>
          <w:rFonts w:hint="eastAsia" w:ascii="宋体" w:hAnsi="宋体"/>
          <w:bCs/>
          <w:color w:val="auto"/>
          <w:sz w:val="24"/>
          <w:szCs w:val="21"/>
          <w:highlight w:val="none"/>
          <w:lang w:val="en-US" w:eastAsia="zh-CN"/>
        </w:rPr>
        <w:t xml:space="preserve">代理机构</w:t>
      </w:r>
      <w:r>
        <w:rPr>
          <w:rFonts w:hint="eastAsia" w:ascii="宋体" w:hAnsi="宋体"/>
          <w:bCs/>
          <w:color w:val="auto"/>
          <w:sz w:val="24"/>
          <w:szCs w:val="21"/>
          <w:highlight w:val="none"/>
        </w:rPr>
        <w:t xml:space="preserve">均不得向</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或与评标无关的其他人员透露。</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在评标过程中，</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不得以任何行为影响评标过程，否则其投标文件将被作为无效投标文件。</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w:t>
      </w:r>
      <w:r>
        <w:rPr>
          <w:rFonts w:hint="eastAsia" w:ascii="宋体" w:hAnsi="宋体"/>
          <w:color w:val="auto"/>
          <w:sz w:val="24"/>
          <w:szCs w:val="24"/>
          <w:highlight w:val="none"/>
          <w:lang w:val="en-US" w:eastAsia="zh-CN"/>
        </w:rPr>
        <w:t xml:space="preserve">人、采购代理机构</w:t>
      </w:r>
      <w:r>
        <w:rPr>
          <w:rFonts w:hint="eastAsia" w:ascii="宋体" w:hAnsi="宋体"/>
          <w:color w:val="auto"/>
          <w:sz w:val="24"/>
          <w:szCs w:val="24"/>
          <w:highlight w:val="none"/>
        </w:rPr>
        <w:t xml:space="preserve">和评标委员会不向未中标的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解释未中标原因，也不公布评标过程中的相关细节。</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可于中标结果公告期限届满之日起通过苏采云系统查看自己的评审得分及排序情况。</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93" w:name="_Toc16938548"/>
      <w:r/>
      <w:bookmarkStart w:id="194" w:name="_Toc20823304"/>
      <w:r/>
      <w:bookmarkStart w:id="195" w:name="_Toc513029232"/>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193"/>
      <w:r/>
      <w:bookmarkEnd w:id="194"/>
      <w:r/>
      <w:bookmarkEnd w:id="195"/>
      <w:r/>
      <w:r/>
    </w:p>
    <w:p>
      <w:pPr>
        <w:ind w:left="0" w:right="0" w:firstLine="480"/>
        <w:pageBreakBefore w:val="0"/>
        <w:spacing w:line="360" w:lineRule="auto"/>
        <w:widowControl w:val="off"/>
        <w:rPr>
          <w:rFonts w:ascii="宋体" w:hAnsi="宋体"/>
          <w:color w:val="auto"/>
          <w:sz w:val="24"/>
          <w:szCs w:val="24"/>
          <w:highlight w:val="none"/>
        </w:rPr>
      </w:pPr>
      <w:r/>
      <w:bookmarkStart w:id="196" w:name="_Toc20823305"/>
      <w:r/>
      <w:bookmarkStart w:id="197" w:name="_Toc16938549"/>
      <w:r/>
      <w:bookmarkStart w:id="198" w:name="_Toc513029233"/>
      <w:r>
        <w:rPr>
          <w:rFonts w:ascii="宋体" w:hAnsi="宋体"/>
          <w:color w:val="auto"/>
          <w:sz w:val="24"/>
          <w:szCs w:val="24"/>
          <w:highlight w:val="none"/>
        </w:rPr>
        <w:t xml:space="preserve">25</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作出必要的澄清、说明或者补正。</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的澄清、说明或者补正不得超出投标文件的范围或者改变投标文件的实质性内容。</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w:t>
      </w:r>
      <w:r>
        <w:rPr>
          <w:rFonts w:hint="eastAsia" w:ascii="宋体" w:hAnsi="宋体"/>
          <w:color w:val="auto"/>
          <w:sz w:val="24"/>
          <w:szCs w:val="24"/>
          <w:highlight w:val="none"/>
          <w:lang w:eastAsia="zh-CN"/>
        </w:rPr>
        <w:t xml:space="preserve">供应商</w:t>
      </w:r>
      <w:r>
        <w:rPr>
          <w:rFonts w:ascii="宋体" w:hAnsi="宋体"/>
          <w:color w:val="auto"/>
          <w:sz w:val="24"/>
          <w:szCs w:val="24"/>
          <w:highlight w:val="none"/>
        </w:rPr>
        <w:t xml:space="preserve">都做澄清要求</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.2需要</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进行澄清、说明和补正的，评委会将通过苏采云系统向</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发出“澄清要求函”，接到“澄清要求函”的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接到评委会澄清、说明和补正要求的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如未按规定</w:t>
      </w:r>
      <w:r>
        <w:rPr>
          <w:rFonts w:hint="eastAsia" w:ascii="宋体" w:hAnsi="宋体"/>
          <w:color w:val="auto"/>
          <w:sz w:val="24"/>
          <w:szCs w:val="24"/>
          <w:highlight w:val="none"/>
          <w:lang w:eastAsia="zh-CN"/>
        </w:rPr>
        <w:t xml:space="preserve">作出</w:t>
      </w:r>
      <w:r>
        <w:rPr>
          <w:rFonts w:hint="eastAsia" w:ascii="宋体" w:hAnsi="宋体"/>
          <w:color w:val="auto"/>
          <w:sz w:val="24"/>
          <w:szCs w:val="24"/>
          <w:highlight w:val="none"/>
        </w:rPr>
        <w:t xml:space="preserve">澄清、说明和补正，其风险由</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自行承担。</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196"/>
      <w:r/>
      <w:bookmarkEnd w:id="197"/>
      <w:r/>
      <w:bookmarkEnd w:id="198"/>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tbl>
      <w:tblPr>
        <w:tblStyle w:val="738"/>
        <w:tblpPr w:horzAnchor="page" w:tblpX="1680" w:vertAnchor="text" w:tblpY="378" w:leftFromText="180" w:topFromText="0" w:rightFromText="180" w:bottomFromText="0"/>
        <w:tblW w:w="89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4942"/>
        <w:gridCol w:w="3327"/>
      </w:tblGrid>
      <w:tr>
        <w:trPr>
          <w:trHeight w:val="628"/>
        </w:trPr>
        <w:tc>
          <w:tcPr>
            <w:tcW w:w="647"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4942" w:type="dxa"/>
            <w:vAlign w:val="center"/>
            <w:textDirection w:val="lrTb"/>
            <w:noWrap w:val="false"/>
          </w:tcPr>
          <w:p>
            <w:pPr>
              <w:jc w:val="center"/>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资料名称</w:t>
            </w:r>
            <w:r/>
          </w:p>
        </w:tc>
        <w:tc>
          <w:tcPr>
            <w:tcW w:w="3327" w:type="dxa"/>
            <w:vAlign w:val="center"/>
            <w:textDirection w:val="lrTb"/>
            <w:noWrap w:val="false"/>
          </w:tcPr>
          <w:p>
            <w:pPr>
              <w:jc w:val="center"/>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  注</w:t>
            </w:r>
            <w:r/>
          </w:p>
        </w:tc>
      </w:tr>
      <w:tr>
        <w:trPr>
          <w:trHeight w:val="480"/>
        </w:trPr>
        <w:tc>
          <w:tcPr>
            <w:tcW w:w="647" w:type="dxa"/>
            <w:vAlign w:val="center"/>
            <w:textDirection w:val="lrTb"/>
            <w:noWrap w:val="false"/>
          </w:tcPr>
          <w:p>
            <w:pPr>
              <w:jc w:val="center"/>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4942"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营业执照</w:t>
            </w:r>
            <w:r/>
          </w:p>
        </w:tc>
        <w:tc>
          <w:tcPr>
            <w:tcW w:w="3327"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74"/>
        </w:trPr>
        <w:tc>
          <w:tcPr>
            <w:tcW w:w="647" w:type="dxa"/>
            <w:vAlign w:val="center"/>
            <w:textDirection w:val="lrTb"/>
            <w:noWrap w:val="false"/>
          </w:tcPr>
          <w:p>
            <w:pPr>
              <w:jc w:val="center"/>
              <w:spacing w:line="264"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4942"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3327" w:type="dxa"/>
            <w:vAlign w:val="center"/>
            <w:vMerge w:val="restart"/>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根据连财购〔2023〕4号、连财购</w:t>
            </w:r>
            <w:r>
              <w:rPr>
                <w:rFonts w:hint="eastAsia" w:ascii="宋体" w:hAnsi="宋体" w:eastAsia="宋体" w:cs="宋体"/>
                <w:color w:val="auto"/>
                <w:sz w:val="21"/>
                <w:szCs w:val="21"/>
                <w:highlight w:val="none"/>
                <w:lang w:eastAsia="zh-CN"/>
              </w:rPr>
              <w:t xml:space="preserve">〔2023〕9号</w:t>
            </w:r>
            <w:r>
              <w:rPr>
                <w:rFonts w:hint="eastAsia" w:ascii="宋体" w:hAnsi="宋体" w:eastAsia="宋体" w:cs="宋体"/>
                <w:color w:val="auto"/>
                <w:sz w:val="21"/>
                <w:szCs w:val="21"/>
                <w:highlight w:val="none"/>
              </w:rPr>
              <w:t xml:space="preserve">文件精神，</w:t>
            </w:r>
            <w:r>
              <w:rPr>
                <w:rFonts w:hint="eastAsia" w:ascii="宋体" w:hAnsi="宋体" w:eastAsia="宋体" w:cs="宋体"/>
                <w:color w:val="auto"/>
                <w:sz w:val="21"/>
                <w:szCs w:val="21"/>
                <w:highlight w:val="none"/>
                <w:lang w:val="en-US" w:eastAsia="zh-CN"/>
              </w:rPr>
              <w:t xml:space="preserve">不再要求供应商提供相关财务状况、缴纳税收和社会保障资金等证明材料，具体格式详见招标文件第六章投标文件格式</w:t>
            </w:r>
            <w:r/>
          </w:p>
        </w:tc>
      </w:tr>
      <w:tr>
        <w:trPr>
          <w:trHeight w:val="567"/>
        </w:trPr>
        <w:tc>
          <w:tcPr>
            <w:tcW w:w="647" w:type="dxa"/>
            <w:vAlign w:val="center"/>
            <w:textDirection w:val="lrTb"/>
            <w:noWrap w:val="false"/>
          </w:tcPr>
          <w:p>
            <w:pPr>
              <w:jc w:val="center"/>
              <w:spacing w:line="264"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4942" w:type="dxa"/>
            <w:vAlign w:val="center"/>
            <w:textDirection w:val="lrTb"/>
            <w:noWrap w:val="false"/>
          </w:tcPr>
          <w:p>
            <w:pPr>
              <w:jc w:val="left"/>
              <w:spacing w:line="264"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依法缴纳税收和社会保障资金的相关</w:t>
            </w:r>
            <w:r>
              <w:rPr>
                <w:rFonts w:hint="eastAsia" w:ascii="宋体" w:hAnsi="宋体" w:cs="宋体"/>
                <w:color w:val="auto"/>
                <w:sz w:val="21"/>
                <w:szCs w:val="21"/>
                <w:highlight w:val="none"/>
                <w:lang w:val="en-US" w:eastAsia="zh-CN"/>
              </w:rPr>
              <w:t xml:space="preserve">证明</w:t>
            </w:r>
            <w:r/>
          </w:p>
        </w:tc>
        <w:tc>
          <w:tcPr>
            <w:tcW w:w="3327" w:type="dxa"/>
            <w:vAlign w:val="center"/>
            <w:vMerge w:val="continue"/>
            <w:textDirection w:val="lrTb"/>
            <w:noWrap w:val="false"/>
          </w:tcPr>
          <w:p>
            <w:pPr>
              <w:jc w:val="center"/>
              <w:spacing w:line="264"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17"/>
        </w:trPr>
        <w:tc>
          <w:tcPr>
            <w:tcW w:w="647" w:type="dxa"/>
            <w:vAlign w:val="center"/>
            <w:textDirection w:val="lrTb"/>
            <w:noWrap w:val="false"/>
          </w:tcPr>
          <w:p>
            <w:pPr>
              <w:jc w:val="center"/>
              <w:spacing w:line="264"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shd w:val="clear" w:color="auto" w:fill="auto"/>
            <w:tcW w:w="4942"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具备履行合同所必需的设备和专业技术能力的声明</w:t>
            </w:r>
            <w:r/>
          </w:p>
        </w:tc>
        <w:tc>
          <w:tcPr>
            <w:tcW w:w="3327" w:type="dxa"/>
            <w:vAlign w:val="center"/>
            <w:textDirection w:val="lrTb"/>
            <w:noWrap w:val="false"/>
          </w:tcPr>
          <w:p>
            <w:pPr>
              <w:jc w:val="center"/>
              <w:spacing w:line="264"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69"/>
        </w:trPr>
        <w:tc>
          <w:tcPr>
            <w:tcW w:w="647" w:type="dxa"/>
            <w:vAlign w:val="center"/>
            <w:textDirection w:val="lrTb"/>
            <w:noWrap w:val="false"/>
          </w:tcPr>
          <w:p>
            <w:pPr>
              <w:jc w:val="center"/>
              <w:spacing w:line="264"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4942" w:type="dxa"/>
            <w:vAlign w:val="center"/>
            <w:textDirection w:val="lrTb"/>
            <w:noWrap w:val="false"/>
          </w:tcPr>
          <w:p>
            <w:pPr>
              <w:jc w:val="left"/>
              <w:spacing w:line="264"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参加政府采购活动前3年内在经营活动中没有重大违法记录的书面声明</w:t>
            </w:r>
            <w:r/>
          </w:p>
        </w:tc>
        <w:tc>
          <w:tcPr>
            <w:tcW w:w="3327" w:type="dxa"/>
            <w:vAlign w:val="center"/>
            <w:textDirection w:val="lrTb"/>
            <w:noWrap w:val="false"/>
          </w:tcPr>
          <w:p>
            <w:pPr>
              <w:jc w:val="center"/>
              <w:spacing w:line="264"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74"/>
        </w:trPr>
        <w:tc>
          <w:tcPr>
            <w:tcW w:w="647" w:type="dxa"/>
            <w:vAlign w:val="center"/>
            <w:textDirection w:val="lrTb"/>
            <w:noWrap w:val="false"/>
          </w:tcPr>
          <w:p>
            <w:pPr>
              <w:jc w:val="center"/>
              <w:spacing w:line="264"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W w:w="4942"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法定代表人授权委托书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授权代表人身份证</w:t>
            </w:r>
            <w:r/>
          </w:p>
        </w:tc>
        <w:tc>
          <w:tcPr>
            <w:tcW w:w="3327" w:type="dxa"/>
            <w:vAlign w:val="center"/>
            <w:textDirection w:val="lrTb"/>
            <w:noWrap w:val="false"/>
          </w:tcPr>
          <w:p>
            <w:pPr>
              <w:jc w:val="center"/>
              <w:spacing w:line="264"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法人参加投标时</w:t>
            </w:r>
            <w:r>
              <w:rPr>
                <w:rFonts w:hint="eastAsia" w:ascii="宋体" w:hAnsi="宋体" w:cs="宋体"/>
                <w:color w:val="auto"/>
                <w:sz w:val="21"/>
                <w:szCs w:val="21"/>
                <w:highlight w:val="none"/>
                <w:lang w:eastAsia="zh-CN"/>
              </w:rPr>
              <w:t xml:space="preserve">无需</w:t>
            </w: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eastAsia="zh-CN"/>
              </w:rPr>
              <w:t xml:space="preserve">授权委托书</w:t>
            </w:r>
            <w:r/>
          </w:p>
        </w:tc>
      </w:tr>
      <w:tr>
        <w:trPr>
          <w:trHeight w:val="574"/>
        </w:trPr>
        <w:tc>
          <w:tcPr>
            <w:tcW w:w="647" w:type="dxa"/>
            <w:vAlign w:val="center"/>
            <w:textDirection w:val="lrTb"/>
            <w:noWrap w:val="false"/>
          </w:tcPr>
          <w:p>
            <w:pPr>
              <w:jc w:val="center"/>
              <w:spacing w:line="264"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W w:w="4942"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有效期内的《道路运输经营许可证》</w:t>
            </w:r>
            <w:r/>
          </w:p>
        </w:tc>
        <w:tc>
          <w:tcPr>
            <w:tcW w:w="3327" w:type="dxa"/>
            <w:vAlign w:val="center"/>
            <w:textDirection w:val="lrTb"/>
            <w:noWrap w:val="false"/>
          </w:tcPr>
          <w:p>
            <w:pPr>
              <w:jc w:val="left"/>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2"/>
        <w:spacing w:line="360" w:lineRule="auto"/>
        <w:rPr>
          <w:rFonts w:hint="eastAsia" w:ascii="宋体" w:hAnsi="宋体" w:eastAsia="宋体" w:cs="Times New Roman"/>
          <w:bCs/>
          <w:color w:val="auto"/>
          <w:sz w:val="24"/>
          <w:szCs w:val="21"/>
          <w:highlight w:val="none"/>
          <w:lang w:val="en-US" w:eastAsia="zh-CN"/>
        </w:rPr>
      </w:pPr>
      <w:r>
        <w:rPr>
          <w:rFonts w:hint="eastAsia" w:ascii="宋体" w:hAnsi="宋体" w:cs="宋体"/>
          <w:b/>
          <w:bCs/>
          <w:color w:val="auto"/>
          <w:sz w:val="21"/>
          <w:szCs w:val="21"/>
          <w:highlight w:val="none"/>
        </w:rPr>
        <w:t xml:space="preserve">注：上述资料原件彩色扫描件必须上传至响应文件制作工具中</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否则视为资格审查不通过。</w:t>
      </w:r>
      <w:r/>
    </w:p>
    <w:p>
      <w:pPr>
        <w:ind w:left="0" w:right="0" w:firstLine="482"/>
        <w:jc w:val="left"/>
        <w:keepLines w:val="0"/>
        <w:keepNext w:val="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采购人在进行资格性审查的同时，将在“信用中国”网站（www.creditchina.gov.cn）</w:t>
      </w:r>
      <w:r>
        <w:rPr>
          <w:rFonts w:hint="eastAsia" w:ascii="宋体" w:hAnsi="宋体"/>
          <w:bCs/>
          <w:color w:val="auto"/>
          <w:sz w:val="24"/>
          <w:szCs w:val="21"/>
          <w:highlight w:val="none"/>
          <w:lang w:eastAsia="zh-CN"/>
        </w:rPr>
        <w:t xml:space="preserve">、</w:t>
      </w:r>
      <w:r>
        <w:rPr>
          <w:rFonts w:hint="eastAsia" w:ascii="宋体" w:hAnsi="宋体"/>
          <w:color w:val="auto"/>
          <w:sz w:val="24"/>
          <w:szCs w:val="24"/>
          <w:highlight w:val="none"/>
        </w:rPr>
        <w:t xml:space="preserve">中国政府采购网（www.ccgp.gov.cn）</w:t>
      </w:r>
      <w:r>
        <w:rPr>
          <w:rFonts w:hint="eastAsia" w:ascii="宋体" w:hAnsi="宋体"/>
          <w:bCs/>
          <w:color w:val="auto"/>
          <w:sz w:val="24"/>
          <w:szCs w:val="21"/>
          <w:highlight w:val="none"/>
        </w:rPr>
        <w:t xml:space="preserve">查询</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的信用记录，以确定</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是否具备投标资格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，采购</w:t>
      </w:r>
      <w:r>
        <w:rPr>
          <w:rFonts w:hint="eastAsia" w:ascii="宋体" w:hAnsi="宋体"/>
          <w:bCs/>
          <w:color w:val="auto"/>
          <w:sz w:val="24"/>
          <w:szCs w:val="21"/>
          <w:highlight w:val="none"/>
          <w:lang w:val="en-US" w:eastAsia="zh-CN"/>
        </w:rPr>
        <w:t xml:space="preserve">人或</w:t>
      </w:r>
      <w:r>
        <w:rPr>
          <w:rFonts w:hint="eastAsia" w:ascii="宋体" w:hAnsi="宋体"/>
          <w:bCs/>
          <w:color w:val="auto"/>
          <w:sz w:val="24"/>
          <w:szCs w:val="21"/>
          <w:highlight w:val="none"/>
        </w:rPr>
        <w:t xml:space="preserve">采购</w:t>
      </w:r>
      <w:r>
        <w:rPr>
          <w:rFonts w:hint="eastAsia" w:ascii="宋体" w:hAnsi="宋体"/>
          <w:bCs/>
          <w:color w:val="auto"/>
          <w:sz w:val="24"/>
          <w:szCs w:val="21"/>
          <w:highlight w:val="none"/>
          <w:lang w:val="en-US" w:eastAsia="zh-CN"/>
        </w:rPr>
        <w:t xml:space="preserve">代理机构</w:t>
      </w:r>
      <w:r>
        <w:rPr>
          <w:rFonts w:hint="eastAsia" w:ascii="宋体" w:hAnsi="宋体"/>
          <w:bCs/>
          <w:color w:val="auto"/>
          <w:sz w:val="24"/>
          <w:szCs w:val="21"/>
          <w:highlight w:val="none"/>
        </w:rPr>
        <w:t xml:space="preserve">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w:t>
      </w:r>
      <w:r>
        <w:rPr>
          <w:rFonts w:hint="eastAsia" w:ascii="宋体" w:hAnsi="宋体"/>
          <w:bCs/>
          <w:color w:val="auto"/>
          <w:sz w:val="24"/>
          <w:szCs w:val="21"/>
          <w:highlight w:val="none"/>
          <w:lang w:val="en-US" w:eastAsia="zh-CN"/>
        </w:rPr>
        <w:t xml:space="preserve">人或采购代理机构</w:t>
      </w:r>
      <w:r>
        <w:rPr>
          <w:rFonts w:hint="eastAsia" w:ascii="宋体" w:hAnsi="宋体"/>
          <w:bCs/>
          <w:color w:val="auto"/>
          <w:sz w:val="24"/>
          <w:szCs w:val="21"/>
          <w:highlight w:val="none"/>
        </w:rPr>
        <w:t xml:space="preserve">将不再告知未通过资格审查或符合性审查的原因。</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的权利或</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的义务，纠正这些偏离或保留将会对其他实质性响应要求的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合要求的偏离或保留而使其投标成为实质性响应的投标。</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left="0" w:right="0"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left="0" w:right="0"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left="0" w:right="0"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left="0" w:right="0" w:firstLine="480"/>
        <w:pageBreakBefore w:val="0"/>
        <w:spacing w:line="360" w:lineRule="auto"/>
        <w:widowControl w:val="off"/>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告知</w:t>
      </w:r>
      <w:r>
        <w:rPr>
          <w:rFonts w:hint="eastAsia" w:ascii="宋体" w:hAnsi="宋体"/>
          <w:bCs/>
          <w:color w:val="auto"/>
          <w:sz w:val="24"/>
          <w:szCs w:val="21"/>
          <w:highlight w:val="none"/>
          <w:lang w:eastAsia="zh-CN"/>
        </w:rPr>
        <w:t xml:space="preserve">供应商</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调整后的价格</w:t>
      </w:r>
      <w:r>
        <w:rPr>
          <w:rFonts w:hint="eastAsia" w:ascii="宋体" w:hAnsi="宋体"/>
          <w:bCs/>
          <w:color w:val="auto"/>
          <w:sz w:val="24"/>
          <w:szCs w:val="21"/>
          <w:highlight w:val="none"/>
          <w:lang w:eastAsia="zh-CN"/>
        </w:rPr>
        <w:t xml:space="preserve">对供应商</w:t>
      </w:r>
      <w:r>
        <w:rPr>
          <w:rFonts w:hint="eastAsia" w:ascii="宋体" w:hAnsi="宋体"/>
          <w:bCs/>
          <w:color w:val="auto"/>
          <w:sz w:val="24"/>
          <w:szCs w:val="21"/>
          <w:highlight w:val="none"/>
        </w:rPr>
        <w:t xml:space="preserve">具有约束力。如果</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不接受修正后的价格，则其投标将被拒绝。</w:t>
      </w:r>
      <w:r/>
    </w:p>
    <w:p>
      <w:pPr>
        <w:ind w:left="0" w:right="0" w:firstLine="480"/>
        <w:pageBreakBefore w:val="0"/>
        <w:spacing w:line="360" w:lineRule="auto"/>
        <w:widowControl w:val="off"/>
        <w:rPr>
          <w:rFonts w:ascii="宋体" w:hAnsi="宋体"/>
          <w:color w:val="auto"/>
          <w:sz w:val="24"/>
          <w:szCs w:val="21"/>
          <w:highlight w:val="none"/>
        </w:rPr>
      </w:pPr>
      <w:r/>
      <w:bookmarkStart w:id="199" w:name="_Toc513029234"/>
      <w:r/>
      <w:bookmarkStart w:id="200" w:name="_Toc16938550"/>
      <w:r/>
      <w:bookmarkStart w:id="201"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使用综合评分法的采购项目，提供相同品牌产品且通过资格审查、符合性审查的不同</w:t>
      </w:r>
      <w:r>
        <w:rPr>
          <w:rFonts w:hint="eastAsia" w:ascii="宋体" w:hAnsi="宋体"/>
          <w:color w:val="auto"/>
          <w:sz w:val="24"/>
          <w:szCs w:val="21"/>
          <w:highlight w:val="none"/>
          <w:lang w:eastAsia="zh-CN"/>
        </w:rPr>
        <w:t xml:space="preserve">供应商</w:t>
      </w:r>
      <w:r>
        <w:rPr>
          <w:rFonts w:ascii="宋体" w:hAnsi="宋体"/>
          <w:color w:val="auto"/>
          <w:sz w:val="24"/>
          <w:szCs w:val="21"/>
          <w:highlight w:val="none"/>
        </w:rPr>
        <w:t xml:space="preserve">参加同一合同项下投标的，按一家</w:t>
      </w:r>
      <w:r>
        <w:rPr>
          <w:rFonts w:hint="eastAsia" w:ascii="宋体" w:hAnsi="宋体"/>
          <w:color w:val="auto"/>
          <w:sz w:val="24"/>
          <w:szCs w:val="21"/>
          <w:highlight w:val="none"/>
          <w:lang w:eastAsia="zh-CN"/>
        </w:rPr>
        <w:t xml:space="preserve">供应商</w:t>
      </w:r>
      <w:r>
        <w:rPr>
          <w:rFonts w:ascii="宋体" w:hAnsi="宋体"/>
          <w:color w:val="auto"/>
          <w:sz w:val="24"/>
          <w:szCs w:val="21"/>
          <w:highlight w:val="none"/>
        </w:rPr>
        <w:t xml:space="preserve">计算，评审后得分最高的同品牌</w:t>
      </w:r>
      <w:r>
        <w:rPr>
          <w:rFonts w:hint="eastAsia" w:ascii="宋体" w:hAnsi="宋体"/>
          <w:color w:val="auto"/>
          <w:sz w:val="24"/>
          <w:szCs w:val="21"/>
          <w:highlight w:val="none"/>
          <w:lang w:eastAsia="zh-CN"/>
        </w:rPr>
        <w:t xml:space="preserve">供应商</w:t>
      </w:r>
      <w:r>
        <w:rPr>
          <w:rFonts w:ascii="宋体" w:hAnsi="宋体"/>
          <w:color w:val="auto"/>
          <w:sz w:val="24"/>
          <w:szCs w:val="21"/>
          <w:highlight w:val="none"/>
        </w:rPr>
        <w:t xml:space="preserve">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w:t>
      </w:r>
      <w:r>
        <w:rPr>
          <w:rFonts w:hint="eastAsia" w:ascii="宋体" w:hAnsi="宋体"/>
          <w:color w:val="auto"/>
          <w:sz w:val="24"/>
          <w:szCs w:val="21"/>
          <w:highlight w:val="none"/>
          <w:lang w:eastAsia="zh-CN"/>
        </w:rPr>
        <w:t xml:space="preserve">供应商</w:t>
      </w:r>
      <w:r>
        <w:rPr>
          <w:rFonts w:ascii="宋体" w:hAnsi="宋体"/>
          <w:color w:val="auto"/>
          <w:sz w:val="24"/>
          <w:szCs w:val="21"/>
          <w:highlight w:val="none"/>
        </w:rPr>
        <w:t xml:space="preserve">不作为中标候选人。</w:t>
      </w:r>
      <w:r/>
    </w:p>
    <w:p>
      <w:pPr>
        <w:ind w:left="0" w:right="0" w:firstLine="420"/>
        <w:pageBreakBefore w:val="0"/>
        <w:spacing w:line="360" w:lineRule="auto"/>
        <w:widowControl w:val="off"/>
        <w:rPr>
          <w:rFonts w:hint="eastAsia"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w:t>
      </w:r>
      <w:r>
        <w:rPr>
          <w:rFonts w:hint="eastAsia" w:ascii="宋体" w:hAnsi="宋体"/>
          <w:color w:val="auto"/>
          <w:sz w:val="24"/>
          <w:szCs w:val="21"/>
          <w:highlight w:val="none"/>
          <w:lang w:eastAsia="zh-CN"/>
        </w:rPr>
        <w:t xml:space="preserve">供应商</w:t>
      </w:r>
      <w:r>
        <w:rPr>
          <w:rFonts w:ascii="宋体" w:hAnsi="宋体"/>
          <w:color w:val="auto"/>
          <w:sz w:val="24"/>
          <w:szCs w:val="21"/>
          <w:highlight w:val="none"/>
        </w:rPr>
        <w:t xml:space="preserve">提供的核心产品品牌相同的，按前两款规定处理。</w:t>
      </w:r>
      <w:r/>
    </w:p>
    <w:p>
      <w:pPr>
        <w:ind w:left="0" w:right="0" w:firstLine="42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w:t>
      </w:r>
      <w:r>
        <w:rPr>
          <w:rFonts w:hint="eastAsia" w:ascii="宋体" w:hAnsi="宋体"/>
          <w:color w:val="auto"/>
          <w:sz w:val="24"/>
          <w:szCs w:val="21"/>
          <w:highlight w:val="none"/>
          <w:lang w:eastAsia="zh-CN"/>
        </w:rPr>
        <w:t xml:space="preserve">供应商</w:t>
      </w:r>
      <w:r>
        <w:rPr>
          <w:rFonts w:hint="eastAsia" w:ascii="宋体" w:hAnsi="宋体"/>
          <w:color w:val="auto"/>
          <w:sz w:val="24"/>
          <w:szCs w:val="21"/>
          <w:highlight w:val="none"/>
        </w:rPr>
        <w:t xml:space="preserve">在开、评标全过程中应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并安排专人与采购</w:t>
      </w:r>
      <w:r>
        <w:rPr>
          <w:rFonts w:hint="eastAsia" w:ascii="宋体" w:hAnsi="宋体"/>
          <w:color w:val="auto"/>
          <w:sz w:val="24"/>
          <w:szCs w:val="21"/>
          <w:highlight w:val="none"/>
          <w:lang w:val="en-US" w:eastAsia="zh-CN"/>
        </w:rPr>
        <w:t xml:space="preserve">人、采购代理机构</w:t>
      </w:r>
      <w:r>
        <w:rPr>
          <w:rFonts w:hint="eastAsia" w:ascii="宋体" w:hAnsi="宋体"/>
          <w:color w:val="auto"/>
          <w:sz w:val="24"/>
          <w:szCs w:val="21"/>
          <w:highlight w:val="none"/>
        </w:rPr>
        <w:t xml:space="preserve">及评标委员会联系。</w:t>
      </w:r>
      <w:r/>
    </w:p>
    <w:p>
      <w:pPr>
        <w:ind w:left="0" w:right="0"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199"/>
      <w:r/>
      <w:bookmarkEnd w:id="200"/>
      <w:r/>
      <w:bookmarkEnd w:id="201"/>
      <w:r>
        <w:rPr>
          <w:rFonts w:hint="eastAsia" w:ascii="Arial" w:hAnsi="Arial" w:eastAsia="黑体" w:cs="Arial"/>
          <w:color w:val="auto"/>
          <w:sz w:val="28"/>
          <w:szCs w:val="28"/>
          <w:highlight w:val="none"/>
        </w:rPr>
        <w:t xml:space="preserve">无效投标条款和废标条款</w:t>
      </w:r>
      <w:r/>
    </w:p>
    <w:p>
      <w:pPr>
        <w:ind w:left="0" w:right="0" w:firstLine="480"/>
        <w:pageBreakBefore w:val="0"/>
        <w:spacing w:line="360" w:lineRule="auto"/>
        <w:widowControl w:val="off"/>
        <w:rPr>
          <w:rFonts w:hint="eastAsia" w:ascii="宋体" w:hAnsi="宋体"/>
          <w:bCs/>
          <w:color w:val="auto"/>
          <w:sz w:val="24"/>
          <w:szCs w:val="21"/>
          <w:highlight w:val="none"/>
        </w:rPr>
      </w:pPr>
      <w:r/>
      <w:bookmarkStart w:id="202" w:name="_Toc16938551"/>
      <w:r/>
      <w:bookmarkStart w:id="203" w:name="_Toc20823307"/>
      <w:r/>
      <w:bookmarkStart w:id="204" w:name="_Toc513029235"/>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未按照招标文件要求上传电子投标文件的。</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不具备招标文件中规定资格要求的。</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的报价超过了采购预算或最高限价的。</w:t>
      </w:r>
      <w:r/>
    </w:p>
    <w:p>
      <w:pPr>
        <w:ind w:left="0" w:right="0" w:firstLine="480"/>
        <w:pageBreakBefore w:val="0"/>
        <w:spacing w:line="360" w:lineRule="auto"/>
        <w:widowControl w:val="off"/>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left="0" w:right="0" w:firstLine="360"/>
        <w:pageBreakBefore w:val="0"/>
        <w:spacing w:line="360" w:lineRule="auto"/>
        <w:widowControl w:val="off"/>
        <w:rPr>
          <w:rFonts w:hint="eastAsia" w:ascii="宋体" w:hAnsi="宋体" w:eastAsia="宋体"/>
          <w:b/>
          <w:bCs w:val="0"/>
          <w:i w:val="0"/>
          <w:iCs w:val="0"/>
          <w:color w:val="auto"/>
          <w:sz w:val="24"/>
          <w:szCs w:val="21"/>
          <w:highlight w:val="none"/>
          <w:u w:val="single"/>
          <w:lang w:eastAsia="zh-CN"/>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rPr>
          <w:rFonts w:hint="eastAsia" w:ascii="宋体" w:hAnsi="宋体"/>
          <w:bCs/>
          <w:color w:val="auto"/>
          <w:sz w:val="24"/>
          <w:szCs w:val="21"/>
          <w:highlight w:val="none"/>
          <w:lang w:eastAsia="zh-CN"/>
        </w:rPr>
        <w:t xml:space="preserve">。</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被 “信用中国”网站（www.creditchina.gov.cn）</w:t>
      </w:r>
      <w:r>
        <w:rPr>
          <w:rFonts w:hint="eastAsia" w:ascii="宋体" w:hAnsi="宋体"/>
          <w:bCs/>
          <w:color w:val="auto"/>
          <w:sz w:val="24"/>
          <w:szCs w:val="21"/>
          <w:highlight w:val="none"/>
          <w:lang w:eastAsia="zh-CN"/>
        </w:rPr>
        <w:t xml:space="preserve">、</w:t>
      </w:r>
      <w:r>
        <w:rPr>
          <w:rFonts w:hint="eastAsia" w:ascii="宋体" w:hAnsi="宋体"/>
          <w:color w:val="auto"/>
          <w:sz w:val="24"/>
          <w:szCs w:val="24"/>
          <w:highlight w:val="none"/>
        </w:rPr>
        <w:t xml:space="preserve">中国政府采购网（www.ccgp.gov.cn）</w:t>
      </w:r>
      <w:r>
        <w:rPr>
          <w:rFonts w:hint="eastAsia" w:ascii="宋体" w:hAnsi="宋体"/>
          <w:bCs/>
          <w:color w:val="auto"/>
          <w:sz w:val="24"/>
          <w:szCs w:val="21"/>
          <w:highlight w:val="none"/>
        </w:rPr>
        <w:t xml:space="preserve">列入失信被执行人或重大税收违法案件当事人名单或政府采购严重失信行为记录名单。或查询“信用中国”网站后发现</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存在其他不符合《中华人民共和国政府采购法》第二十二条规定条件的信用记录。</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评标委员会认为</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的报价明显低于其他通过符合性审查</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不能证明其报价合理性的，评标委员会应当将其作为无效投标处理。</w:t>
      </w:r>
      <w:r/>
    </w:p>
    <w:p>
      <w:pPr>
        <w:ind w:left="0" w:right="0" w:firstLine="480"/>
        <w:pageBreakBefore w:val="0"/>
        <w:spacing w:line="360" w:lineRule="auto"/>
        <w:widowControl w:val="off"/>
        <w:rPr>
          <w:rFonts w:hint="default" w:ascii="宋体" w:hAnsi="宋体" w:eastAsia="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评审过程中出现下列情形之一的，评审委员会应当启动异常低价投标（响应）审查程序：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①投标（响应）报价低于采购项目预算50%的，即投标（响应）报价&lt;采购项目预算×50%；</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②投标（响应）报价低于采购项目最高限价45%的，即投标（响应）报价&lt;采购项目最高限价×45%；</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③评审委员会认定的供应商报价过低、有可能影响产品质量或者不能诚信履约的其他情形。</w:t>
      </w:r>
      <w:r/>
    </w:p>
    <w:p>
      <w:pPr>
        <w:ind w:firstLine="480"/>
        <w:jc w:val="left"/>
        <w:spacing w:line="360" w:lineRule="auto"/>
        <w:rPr>
          <w:rFonts w:hint="eastAsia" w:ascii="宋体" w:hAnsi="宋体"/>
          <w:bCs/>
          <w:color w:val="auto"/>
          <w:sz w:val="24"/>
          <w:szCs w:val="21"/>
          <w:highlight w:val="none"/>
        </w:rPr>
      </w:pPr>
      <w:r>
        <w:rPr>
          <w:rFonts w:hint="eastAsia" w:ascii="宋体" w:hAnsi="宋体" w:eastAsia="宋体" w:cs="宋体"/>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w:t>
      </w:r>
      <w:r>
        <w:rPr>
          <w:rFonts w:hint="eastAsia" w:ascii="宋体" w:hAnsi="宋体"/>
          <w:bCs/>
          <w:color w:val="auto"/>
          <w:sz w:val="24"/>
          <w:szCs w:val="21"/>
          <w:highlight w:val="none"/>
          <w:lang w:eastAsia="zh-CN"/>
        </w:rPr>
        <w:t xml:space="preserve">国家发展改革委</w:t>
      </w:r>
      <w:r>
        <w:rPr>
          <w:rFonts w:hint="eastAsia" w:ascii="宋体" w:hAnsi="宋体"/>
          <w:bCs/>
          <w:color w:val="auto"/>
          <w:sz w:val="24"/>
          <w:szCs w:val="21"/>
          <w:highlight w:val="none"/>
        </w:rPr>
        <w:t xml:space="preserve">、生态环境部等列入“节能产品品目清单</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环境标志产品品目清单”强制采购范围，而</w:t>
      </w:r>
      <w:r>
        <w:rPr>
          <w:rFonts w:hint="eastAsia" w:ascii="宋体" w:hAnsi="宋体"/>
          <w:bCs/>
          <w:color w:val="auto"/>
          <w:sz w:val="24"/>
          <w:szCs w:val="21"/>
          <w:highlight w:val="none"/>
          <w:lang w:eastAsia="zh-CN"/>
        </w:rPr>
        <w:t xml:space="preserve">供应商</w:t>
      </w:r>
      <w:r>
        <w:rPr>
          <w:rFonts w:hint="eastAsia" w:ascii="宋体" w:hAnsi="宋体"/>
          <w:bCs/>
          <w:color w:val="auto"/>
          <w:sz w:val="24"/>
          <w:szCs w:val="21"/>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其他法律、法规及本招标文件规定的属无效投标的情形。</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27.2废标条款</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27.2.1符合专业条件的</w:t>
      </w:r>
      <w:r>
        <w:rPr>
          <w:rFonts w:hint="eastAsia" w:ascii="宋体" w:hAnsi="宋体" w:cs="Times New Roman"/>
          <w:bCs/>
          <w:color w:val="auto"/>
          <w:sz w:val="24"/>
          <w:szCs w:val="21"/>
          <w:highlight w:val="none"/>
          <w:lang w:eastAsia="zh-CN"/>
        </w:rPr>
        <w:t xml:space="preserve">供应商</w:t>
      </w:r>
      <w:r>
        <w:rPr>
          <w:rFonts w:hint="eastAsia" w:ascii="宋体" w:hAnsi="宋体" w:eastAsia="宋体" w:cs="Times New Roman"/>
          <w:bCs/>
          <w:color w:val="auto"/>
          <w:sz w:val="24"/>
          <w:szCs w:val="21"/>
          <w:highlight w:val="none"/>
        </w:rPr>
        <w:t xml:space="preserve">或者对招标文件作实质响应的</w:t>
      </w:r>
      <w:r>
        <w:rPr>
          <w:rFonts w:hint="eastAsia" w:ascii="宋体" w:hAnsi="宋体" w:cs="Times New Roman"/>
          <w:bCs/>
          <w:color w:val="auto"/>
          <w:sz w:val="24"/>
          <w:szCs w:val="21"/>
          <w:highlight w:val="none"/>
          <w:lang w:eastAsia="zh-CN"/>
        </w:rPr>
        <w:t xml:space="preserve">供应商</w:t>
      </w:r>
      <w:r>
        <w:rPr>
          <w:rFonts w:hint="eastAsia" w:ascii="宋体" w:hAnsi="宋体" w:eastAsia="宋体" w:cs="Times New Roman"/>
          <w:bCs/>
          <w:color w:val="auto"/>
          <w:sz w:val="24"/>
          <w:szCs w:val="21"/>
          <w:highlight w:val="none"/>
        </w:rPr>
        <w:t xml:space="preserve">不足三家的。</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27.2.2出现影响采购公正的违法、违规行为的。</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27.2.3因重大变故，采购任务取消的。</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27.2.4评标委员会认定招标文件存在歧义、重大缺陷导致评审工作无法进行。</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27.2.5 因苏采云</w:t>
      </w:r>
      <w:r>
        <w:rPr>
          <w:rFonts w:hint="eastAsia" w:ascii="宋体" w:hAnsi="宋体" w:cs="Times New Roman"/>
          <w:bCs/>
          <w:color w:val="auto"/>
          <w:sz w:val="24"/>
          <w:szCs w:val="21"/>
          <w:highlight w:val="none"/>
          <w:lang w:eastAsia="zh-CN"/>
        </w:rPr>
        <w:t xml:space="preserve">系统故障</w:t>
      </w:r>
      <w:r>
        <w:rPr>
          <w:rFonts w:hint="eastAsia" w:ascii="宋体" w:hAnsi="宋体" w:eastAsia="宋体" w:cs="Times New Roman"/>
          <w:bCs/>
          <w:color w:val="auto"/>
          <w:sz w:val="24"/>
          <w:szCs w:val="21"/>
          <w:highlight w:val="none"/>
        </w:rPr>
        <w:t xml:space="preserve">原因造成开标不成功的。</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27.3 投标截止时间结束后参加投标的</w:t>
      </w:r>
      <w:r>
        <w:rPr>
          <w:rFonts w:hint="eastAsia" w:ascii="宋体" w:hAnsi="宋体" w:cs="Times New Roman"/>
          <w:bCs/>
          <w:color w:val="auto"/>
          <w:sz w:val="24"/>
          <w:szCs w:val="21"/>
          <w:highlight w:val="none"/>
          <w:lang w:eastAsia="zh-CN"/>
        </w:rPr>
        <w:t xml:space="preserve">供应商</w:t>
      </w:r>
      <w:r>
        <w:rPr>
          <w:rFonts w:hint="eastAsia" w:ascii="宋体" w:hAnsi="宋体" w:eastAsia="宋体" w:cs="Times New Roman"/>
          <w:bCs/>
          <w:color w:val="auto"/>
          <w:sz w:val="24"/>
          <w:szCs w:val="21"/>
          <w:highlight w:val="none"/>
        </w:rPr>
        <w:t xml:space="preserve">不足三家的处理：</w:t>
      </w:r>
      <w:r/>
    </w:p>
    <w:p>
      <w:pPr>
        <w:ind w:left="0" w:right="0"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27.3.1如出现投标截止时间结束后参加投标的</w:t>
      </w:r>
      <w:r>
        <w:rPr>
          <w:rFonts w:hint="eastAsia" w:ascii="宋体" w:hAnsi="宋体" w:cs="Times New Roman"/>
          <w:bCs/>
          <w:color w:val="auto"/>
          <w:sz w:val="24"/>
          <w:szCs w:val="21"/>
          <w:highlight w:val="none"/>
          <w:lang w:eastAsia="zh-CN"/>
        </w:rPr>
        <w:t xml:space="preserve">供应商</w:t>
      </w:r>
      <w:r>
        <w:rPr>
          <w:rFonts w:hint="eastAsia" w:ascii="宋体" w:hAnsi="宋体" w:eastAsia="宋体" w:cs="Times New Roman"/>
          <w:bCs/>
          <w:color w:val="auto"/>
          <w:sz w:val="24"/>
          <w:szCs w:val="21"/>
          <w:highlight w:val="none"/>
        </w:rPr>
        <w:t xml:space="preserve">或者在评标期间对招标文件做出实质响应的</w:t>
      </w:r>
      <w:r>
        <w:rPr>
          <w:rFonts w:hint="eastAsia" w:ascii="宋体" w:hAnsi="宋体" w:cs="Times New Roman"/>
          <w:bCs/>
          <w:color w:val="auto"/>
          <w:sz w:val="24"/>
          <w:szCs w:val="21"/>
          <w:highlight w:val="none"/>
          <w:lang w:eastAsia="zh-CN"/>
        </w:rPr>
        <w:t xml:space="preserve">供应商</w:t>
      </w:r>
      <w:r>
        <w:rPr>
          <w:rFonts w:hint="eastAsia" w:ascii="宋体" w:hAnsi="宋体" w:eastAsia="宋体" w:cs="Times New Roman"/>
          <w:bCs/>
          <w:color w:val="auto"/>
          <w:sz w:val="24"/>
          <w:szCs w:val="21"/>
          <w:highlight w:val="none"/>
        </w:rPr>
        <w:t xml:space="preserve">不足三家情况，按政府采购相关规定执行。</w:t>
      </w:r>
      <w:r/>
    </w:p>
    <w:p>
      <w:pPr>
        <w:ind w:left="0" w:right="0" w:firstLine="482"/>
        <w:keepLines/>
        <w:keepNext/>
        <w:pageBreakBefore w:val="0"/>
        <w:spacing w:line="360" w:lineRule="auto"/>
        <w:widowControl w:val="off"/>
        <w:rPr>
          <w:rFonts w:hint="eastAsia" w:ascii="Times New Roman" w:hAnsi="Times New Roman"/>
          <w:b/>
          <w:bCs/>
          <w:color w:val="auto"/>
          <w:sz w:val="32"/>
          <w:szCs w:val="32"/>
          <w:highlight w:val="none"/>
        </w:rPr>
        <w:outlineLvl w:val="2"/>
      </w:pPr>
      <w:r/>
      <w:bookmarkStart w:id="205" w:name="_Toc2053"/>
      <w:r/>
      <w:bookmarkStart w:id="206" w:name="_Toc12475"/>
      <w:r/>
      <w:bookmarkStart w:id="207" w:name="_Toc518"/>
      <w:r/>
      <w:bookmarkStart w:id="208" w:name="_Toc120614219"/>
      <w:r/>
      <w:bookmarkStart w:id="209" w:name="_Toc23694"/>
      <w:r>
        <w:rPr>
          <w:rFonts w:hint="eastAsia" w:ascii="Times New Roman" w:hAnsi="Times New Roman"/>
          <w:b/>
          <w:bCs/>
          <w:color w:val="auto"/>
          <w:sz w:val="32"/>
          <w:szCs w:val="32"/>
          <w:highlight w:val="none"/>
        </w:rPr>
        <w:t xml:space="preserve">六、</w:t>
      </w:r>
      <w:bookmarkEnd w:id="202"/>
      <w:r/>
      <w:bookmarkEnd w:id="203"/>
      <w:r/>
      <w:bookmarkEnd w:id="204"/>
      <w:r>
        <w:rPr>
          <w:rFonts w:hint="eastAsia" w:ascii="Times New Roman" w:hAnsi="Times New Roman"/>
          <w:b/>
          <w:bCs/>
          <w:color w:val="auto"/>
          <w:sz w:val="32"/>
          <w:szCs w:val="32"/>
          <w:highlight w:val="none"/>
        </w:rPr>
        <w:t xml:space="preserve">定标</w:t>
      </w:r>
      <w:bookmarkEnd w:id="205"/>
      <w:r/>
      <w:bookmarkEnd w:id="206"/>
      <w:r/>
      <w:bookmarkEnd w:id="207"/>
      <w:r/>
      <w:bookmarkEnd w:id="208"/>
      <w:r/>
      <w:bookmarkEnd w:id="209"/>
      <w:r/>
      <w:r/>
    </w:p>
    <w:p>
      <w:pPr>
        <w:ind w:left="0" w:right="0" w:firstLine="600"/>
        <w:keepLines/>
        <w:keepNext/>
        <w:pageBreakBefore w:val="0"/>
        <w:spacing w:line="360" w:lineRule="auto"/>
        <w:widowControl w:val="off"/>
        <w:rPr>
          <w:rFonts w:hint="eastAsia" w:ascii="黑体" w:hAnsi="宋体" w:eastAsia="黑体"/>
          <w:bCs/>
          <w:color w:val="auto"/>
          <w:sz w:val="30"/>
          <w:szCs w:val="30"/>
          <w:highlight w:val="none"/>
        </w:rPr>
        <w:outlineLvl w:val="3"/>
      </w:pPr>
      <w:r/>
      <w:bookmarkStart w:id="210" w:name="_Toc513029238"/>
      <w:r/>
      <w:bookmarkStart w:id="211" w:name="_Toc20823310"/>
      <w:r/>
      <w:bookmarkStart w:id="212" w:name="_Toc16938554"/>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r>
        <w:rPr>
          <w:rFonts w:hint="eastAsia" w:ascii="黑体" w:hAnsi="宋体" w:eastAsia="黑体"/>
          <w:bCs/>
          <w:color w:val="auto"/>
          <w:sz w:val="30"/>
          <w:szCs w:val="30"/>
          <w:highlight w:val="none"/>
        </w:rPr>
        <w:t xml:space="preserve">、</w:t>
      </w:r>
      <w:bookmarkEnd w:id="210"/>
      <w:r>
        <w:rPr>
          <w:rFonts w:hint="eastAsia" w:ascii="黑体" w:hAnsi="宋体" w:eastAsia="黑体"/>
          <w:bCs/>
          <w:color w:val="auto"/>
          <w:sz w:val="30"/>
          <w:szCs w:val="30"/>
          <w:highlight w:val="none"/>
        </w:rPr>
        <w:t xml:space="preserve">确定</w:t>
      </w:r>
      <w:bookmarkEnd w:id="211"/>
      <w:r/>
      <w:bookmarkEnd w:id="212"/>
      <w:r>
        <w:rPr>
          <w:rFonts w:hint="eastAsia" w:ascii="黑体" w:hAnsi="宋体" w:eastAsia="黑体"/>
          <w:bCs/>
          <w:color w:val="auto"/>
          <w:sz w:val="30"/>
          <w:szCs w:val="30"/>
          <w:highlight w:val="none"/>
        </w:rPr>
        <w:t xml:space="preserve">中标单位</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.1中标候选人的选取原则和数量见招标文件第五章规定。 </w:t>
      </w:r>
      <w:r/>
    </w:p>
    <w:p>
      <w:pPr>
        <w:ind w:left="0" w:righ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en-US" w:eastAsia="zh-CN"/>
        </w:rPr>
        <w:t xml:space="preserve">采购人或</w:t>
      </w:r>
      <w:r>
        <w:rPr>
          <w:rFonts w:hint="eastAsia" w:ascii="宋体" w:hAnsi="宋体"/>
          <w:color w:val="auto"/>
          <w:sz w:val="24"/>
          <w:szCs w:val="24"/>
          <w:highlight w:val="none"/>
        </w:rPr>
        <w:t xml:space="preserve">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将在“江苏政府采购网”发布中标公告，公告期限为1个工作日。</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  若有充分证据证明，中标人出现下列情况之一的，一经查实，将被取消中标资格：</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.4.1提供虚假材料谋取中标的。</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.4.2向采购人、</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行贿或者提供其他不正当利益的。</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.4.3属于本文件规定的无效条件，但在评标过程中又未被评委会发现的。</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.4.4与采购人或者其他</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恶意串通的。</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.4.5采取不正当手段诋毁、排挤其他</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w:t>
      </w:r>
      <w:r/>
    </w:p>
    <w:p>
      <w:pPr>
        <w:ind w:left="0" w:right="0" w:firstLine="480"/>
        <w:pageBreakBefore w:val="0"/>
        <w:spacing w:line="360" w:lineRule="auto"/>
        <w:widowControl w:val="off"/>
        <w:rPr>
          <w:rFonts w:ascii="宋体" w:hAnsi="宋体"/>
          <w:color w:val="auto"/>
          <w:sz w:val="24"/>
          <w:szCs w:val="24"/>
          <w:highlight w:val="none"/>
        </w:rPr>
      </w:pPr>
      <w:r/>
      <w:bookmarkStart w:id="213" w:name="_Toc200451960"/>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 </w:t>
      </w:r>
      <w:r>
        <w:rPr>
          <w:rFonts w:hint="eastAsia" w:ascii="Times New Roman" w:hAnsi="Times New Roman"/>
          <w:color w:val="auto"/>
          <w:szCs w:val="21"/>
          <w:highlight w:val="none"/>
        </w:rPr>
        <w:t xml:space="preserve"> </w:t>
      </w:r>
      <w:r>
        <w:rPr>
          <w:rFonts w:ascii="Times New Roman" w:hAnsi="宋体" w:cs="宋体"/>
          <w:color w:val="auto"/>
          <w:sz w:val="24"/>
          <w:szCs w:val="24"/>
          <w:highlight w:val="none"/>
        </w:rPr>
        <w:t xml:space="preserve">有下列情形之一的，</w:t>
      </w:r>
      <w:r>
        <w:rPr>
          <w:rFonts w:hint="eastAsia" w:ascii="Times New Roman" w:hAnsi="宋体" w:cs="宋体"/>
          <w:color w:val="auto"/>
          <w:sz w:val="24"/>
          <w:szCs w:val="24"/>
          <w:highlight w:val="none"/>
        </w:rPr>
        <w:t xml:space="preserve">视为</w:t>
      </w:r>
      <w:r>
        <w:rPr>
          <w:rFonts w:hint="eastAsia" w:hAnsi="宋体" w:cs="宋体"/>
          <w:color w:val="auto"/>
          <w:sz w:val="24"/>
          <w:szCs w:val="24"/>
          <w:highlight w:val="none"/>
          <w:lang w:eastAsia="zh-CN"/>
        </w:rPr>
        <w:t xml:space="preserve">供应商</w:t>
      </w:r>
      <w:r>
        <w:rPr>
          <w:rFonts w:ascii="Times New Roman" w:hAnsi="宋体" w:cs="宋体"/>
          <w:color w:val="auto"/>
          <w:sz w:val="24"/>
          <w:szCs w:val="24"/>
          <w:highlight w:val="none"/>
        </w:rPr>
        <w:t xml:space="preserve">串通</w:t>
      </w:r>
      <w:r>
        <w:rPr>
          <w:rFonts w:hint="eastAsia" w:ascii="Times New Roman" w:hAnsi="宋体" w:cs="宋体"/>
          <w:color w:val="auto"/>
          <w:sz w:val="24"/>
          <w:szCs w:val="24"/>
          <w:highlight w:val="none"/>
        </w:rPr>
        <w:t xml:space="preserve">投标，投标无效：</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.5.1不同</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的投标文件由同一单位或者个人编制；</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.5.2不同</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委托同一单位或者个人办理投标事宜；</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.5.3不同</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的投标文件载明的项目管理成员或者联系人员为同一人；</w:t>
      </w:r>
      <w:r/>
    </w:p>
    <w:p>
      <w:pPr>
        <w:ind w:left="0" w:right="0" w:firstLine="48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.5.4不同</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的投标文件异常一致或者投标报价呈规律性差异</w:t>
      </w:r>
      <w:r>
        <w:rPr>
          <w:rFonts w:hint="eastAsia" w:ascii="宋体" w:hAnsi="宋体"/>
          <w:color w:val="auto"/>
          <w:sz w:val="24"/>
          <w:szCs w:val="24"/>
          <w:highlight w:val="none"/>
          <w:lang w:val="en-US" w:eastAsia="zh-CN"/>
        </w:rPr>
        <w:t xml:space="preserve">。</w:t>
      </w:r>
      <w:r/>
    </w:p>
    <w:p>
      <w:pPr>
        <w:ind w:left="0" w:right="0" w:firstLine="600"/>
        <w:keepLines/>
        <w:keepNext/>
        <w:pageBreakBefore w:val="0"/>
        <w:spacing w:line="360" w:lineRule="auto"/>
        <w:widowControl w:val="off"/>
        <w:rPr>
          <w:rFonts w:hint="eastAsia"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213"/>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 提出质疑的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应当是参与所质疑项目采购活动的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。潜在</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依法获取其可质疑的</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的，可以对</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提出质疑。</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认为</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、采购过程和采购结果使自己的权益受到损害的，可以在知道或应知其权益受到损害之日起七个工作日内，以书面形式根据下述29.4条款的规定向采购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或采购人提出质疑。上述应知其权益受到损害之日，是指：</w:t>
      </w:r>
      <w:r/>
    </w:p>
    <w:p>
      <w:pPr>
        <w:ind w:left="0" w:right="0" w:firstLine="480"/>
        <w:pageBreakBefore w:val="0"/>
        <w:spacing w:line="360" w:lineRule="auto"/>
        <w:widowControl w:val="off"/>
        <w:rPr>
          <w:rFonts w:ascii="Times New Roman"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w:t>
      </w:r>
      <w:r>
        <w:rPr>
          <w:rFonts w:hint="eastAsia" w:ascii="Times New Roman" w:hAnsi="宋体" w:cs="宋体"/>
          <w:color w:val="auto"/>
          <w:sz w:val="24"/>
          <w:szCs w:val="24"/>
          <w:highlight w:val="none"/>
          <w:lang w:eastAsia="zh-CN"/>
        </w:rPr>
        <w:t xml:space="preserve">招标文件</w:t>
      </w:r>
      <w:r>
        <w:rPr>
          <w:rFonts w:ascii="Times New Roman" w:hAnsi="宋体" w:cs="宋体"/>
          <w:color w:val="auto"/>
          <w:sz w:val="24"/>
          <w:szCs w:val="24"/>
          <w:highlight w:val="none"/>
        </w:rPr>
        <w:t xml:space="preserve">提出质疑的，为收到</w:t>
      </w:r>
      <w:r>
        <w:rPr>
          <w:rFonts w:hint="eastAsia" w:ascii="Times New Roman" w:hAnsi="宋体" w:cs="宋体"/>
          <w:color w:val="auto"/>
          <w:sz w:val="24"/>
          <w:szCs w:val="24"/>
          <w:highlight w:val="none"/>
          <w:lang w:eastAsia="zh-CN"/>
        </w:rPr>
        <w:t xml:space="preserve">招标文件</w:t>
      </w:r>
      <w:r>
        <w:rPr>
          <w:rFonts w:ascii="Times New Roman" w:hAnsi="宋体" w:cs="宋体"/>
          <w:color w:val="auto"/>
          <w:sz w:val="24"/>
          <w:szCs w:val="24"/>
          <w:highlight w:val="none"/>
        </w:rPr>
        <w:t xml:space="preserve">之日或者</w:t>
      </w:r>
      <w:r>
        <w:rPr>
          <w:rFonts w:hint="eastAsia" w:ascii="Times New Roman" w:hAnsi="宋体" w:cs="宋体"/>
          <w:color w:val="auto"/>
          <w:sz w:val="24"/>
          <w:szCs w:val="24"/>
          <w:highlight w:val="none"/>
          <w:lang w:eastAsia="zh-CN"/>
        </w:rPr>
        <w:t xml:space="preserve">招标文件</w:t>
      </w:r>
      <w:r>
        <w:rPr>
          <w:rFonts w:ascii="Times New Roman" w:hAnsi="宋体" w:cs="宋体"/>
          <w:color w:val="auto"/>
          <w:sz w:val="24"/>
          <w:szCs w:val="24"/>
          <w:highlight w:val="none"/>
        </w:rPr>
        <w:t xml:space="preserve">公告期限届满之日；</w:t>
      </w:r>
      <w:r/>
    </w:p>
    <w:p>
      <w:pPr>
        <w:ind w:left="0" w:right="0" w:firstLine="480"/>
        <w:pageBreakBefore w:val="0"/>
        <w:spacing w:line="360" w:lineRule="auto"/>
        <w:widowControl w:val="off"/>
        <w:rPr>
          <w:rFonts w:hint="eastAsia" w:ascii="Times New Roman"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rPr>
          <w:rFonts w:ascii="Times New Roman" w:hAnsi="宋体" w:cs="宋体"/>
          <w:color w:val="auto"/>
          <w:sz w:val="24"/>
          <w:szCs w:val="24"/>
          <w:highlight w:val="none"/>
        </w:rPr>
        <w:br w:type="textWrapping" w:clear="all"/>
      </w:r>
      <w:r>
        <w:rPr>
          <w:rFonts w:ascii="Times New Roman"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对中标或者成交结果提出质疑的，为中标或者成交结果公告期限届满之日。</w:t>
      </w:r>
      <w:r/>
    </w:p>
    <w:p>
      <w:pPr>
        <w:ind w:left="0" w:right="0" w:firstLine="480"/>
        <w:pageBreakBefore w:val="0"/>
        <w:spacing w:line="360" w:lineRule="auto"/>
        <w:widowControl w:val="off"/>
        <w:rPr>
          <w:rFonts w:hint="eastAsia" w:ascii="Times New Roman" w:hAnsi="宋体" w:cs="宋体"/>
          <w:color w:val="auto"/>
          <w:sz w:val="24"/>
          <w:szCs w:val="24"/>
          <w:highlight w:val="none"/>
        </w:rPr>
      </w:pPr>
      <w:r>
        <w:rPr>
          <w:rFonts w:hint="eastAsia" w:hAnsi="宋体" w:cs="宋体"/>
          <w:color w:val="auto"/>
          <w:sz w:val="24"/>
          <w:szCs w:val="24"/>
          <w:highlight w:val="none"/>
          <w:lang w:eastAsia="zh-CN"/>
        </w:rPr>
        <w:t xml:space="preserve">供应商</w:t>
      </w:r>
      <w:r>
        <w:rPr>
          <w:rFonts w:hint="eastAsia" w:ascii="Times New Roman" w:hAnsi="宋体" w:cs="宋体"/>
          <w:color w:val="auto"/>
          <w:sz w:val="24"/>
          <w:szCs w:val="24"/>
          <w:highlight w:val="none"/>
        </w:rPr>
        <w:t xml:space="preserve">应当在法定质疑期内一次性提出针对同一采购程序环节的质疑。</w:t>
      </w:r>
      <w:r>
        <w:rPr>
          <w:rFonts w:hint="eastAsia" w:hAnsi="宋体" w:cs="宋体"/>
          <w:color w:val="auto"/>
          <w:sz w:val="24"/>
          <w:szCs w:val="24"/>
          <w:highlight w:val="none"/>
          <w:lang w:eastAsia="zh-CN"/>
        </w:rPr>
        <w:t xml:space="preserve">供应商</w:t>
      </w:r>
      <w:r>
        <w:rPr>
          <w:rFonts w:hint="eastAsia" w:ascii="Times New Roman" w:hAnsi="宋体" w:cs="宋体"/>
          <w:color w:val="auto"/>
          <w:sz w:val="24"/>
          <w:szCs w:val="24"/>
          <w:highlight w:val="none"/>
        </w:rPr>
        <w:t xml:space="preserve">如在法定期限内对同一采购程序环节提出多次质疑的，采购</w:t>
      </w:r>
      <w:r>
        <w:rPr>
          <w:rFonts w:hint="eastAsia" w:ascii="Times New Roman" w:hAnsi="宋体" w:cs="宋体"/>
          <w:color w:val="auto"/>
          <w:sz w:val="24"/>
          <w:szCs w:val="24"/>
          <w:highlight w:val="none"/>
          <w:lang w:val="en-US" w:eastAsia="zh-CN"/>
        </w:rPr>
        <w:t xml:space="preserve">代理机构</w:t>
      </w:r>
      <w:r>
        <w:rPr>
          <w:rFonts w:hint="eastAsia" w:ascii="Times New Roman" w:hAnsi="宋体" w:cs="宋体"/>
          <w:color w:val="auto"/>
          <w:sz w:val="24"/>
          <w:szCs w:val="24"/>
          <w:highlight w:val="none"/>
        </w:rPr>
        <w:t xml:space="preserve">、</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w:t>
      </w:r>
      <w:r>
        <w:rPr>
          <w:rFonts w:hint="eastAsia" w:hAnsi="宋体" w:cs="宋体"/>
          <w:color w:val="auto"/>
          <w:sz w:val="24"/>
          <w:szCs w:val="24"/>
          <w:highlight w:val="none"/>
          <w:lang w:eastAsia="zh-CN"/>
        </w:rPr>
        <w:t xml:space="preserve">供应商</w:t>
      </w:r>
      <w:r>
        <w:rPr>
          <w:rFonts w:hint="eastAsia" w:ascii="Times New Roman" w:hAnsi="宋体" w:cs="宋体"/>
          <w:color w:val="auto"/>
          <w:sz w:val="24"/>
          <w:szCs w:val="24"/>
          <w:highlight w:val="none"/>
        </w:rPr>
        <w:t xml:space="preserve">第一次质疑作出答复。</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.3质疑函必须按照本招标文件中《质疑函范本》要求的格式和内容进行填写。</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如组成联合体参加投标，则《质疑函范本》中要求签字、盖章、加盖公章之处，联合体各方均须按要求签字、盖章、加盖公章。</w:t>
      </w:r>
      <w:r/>
    </w:p>
    <w:p>
      <w:pPr>
        <w:ind w:left="0" w:right="0" w:firstLine="480"/>
        <w:pageBreakBefore w:val="0"/>
        <w:spacing w:line="360" w:lineRule="auto"/>
        <w:widowControl w:val="off"/>
        <w:rPr>
          <w:rFonts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（含潜在</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招标文件中采购</w:t>
      </w:r>
      <w:r>
        <w:rPr>
          <w:rFonts w:ascii="宋体" w:hAnsi="宋体"/>
          <w:color w:val="auto"/>
          <w:sz w:val="24"/>
          <w:szCs w:val="24"/>
          <w:highlight w:val="none"/>
        </w:rPr>
        <w:t xml:space="preserve">需求</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对</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资格条件、评标方法和评标标准的询问</w:t>
      </w:r>
      <w:r>
        <w:rPr>
          <w:rFonts w:ascii="宋体" w:hAnsi="宋体"/>
          <w:color w:val="auto"/>
          <w:sz w:val="24"/>
          <w:szCs w:val="24"/>
          <w:highlight w:val="none"/>
        </w:rPr>
        <w:t xml:space="preserve">、质疑请向采购</w:t>
      </w:r>
      <w:r>
        <w:rPr>
          <w:rFonts w:hint="eastAsia" w:ascii="宋体" w:hAnsi="宋体"/>
          <w:color w:val="auto"/>
          <w:sz w:val="24"/>
          <w:szCs w:val="24"/>
          <w:highlight w:val="none"/>
          <w:lang w:val="en-US" w:eastAsia="zh-CN"/>
        </w:rPr>
        <w:t xml:space="preserve">代理机构</w:t>
      </w:r>
      <w:r>
        <w:rPr>
          <w:rFonts w:ascii="宋体" w:hAnsi="宋体"/>
          <w:color w:val="auto"/>
          <w:sz w:val="24"/>
          <w:szCs w:val="24"/>
          <w:highlight w:val="none"/>
        </w:rPr>
        <w:t xml:space="preserve">提出，由采购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负责</w:t>
      </w:r>
      <w:r>
        <w:rPr>
          <w:rFonts w:ascii="宋体" w:hAnsi="宋体"/>
          <w:color w:val="auto"/>
          <w:sz w:val="24"/>
          <w:szCs w:val="24"/>
          <w:highlight w:val="none"/>
        </w:rPr>
        <w:t xml:space="preserve">答复。</w:t>
      </w:r>
      <w:r>
        <w:rPr>
          <w:rFonts w:hint="eastAsia" w:ascii="宋体" w:hAnsi="宋体"/>
          <w:b/>
          <w:color w:val="auto"/>
          <w:sz w:val="24"/>
          <w:szCs w:val="24"/>
          <w:highlight w:val="none"/>
        </w:rPr>
        <w:t xml:space="preserve"> </w:t>
      </w:r>
      <w:r/>
    </w:p>
    <w:p>
      <w:pPr>
        <w:ind w:left="0" w:right="0" w:firstLine="482"/>
        <w:pageBreakBefore w:val="0"/>
        <w:spacing w:line="360" w:lineRule="auto"/>
        <w:widowControl w:val="off"/>
        <w:rPr>
          <w:rFonts w:hint="eastAsia" w:ascii="宋体" w:hAnsi="宋体"/>
          <w:color w:val="auto"/>
          <w:sz w:val="24"/>
          <w:szCs w:val="24"/>
          <w:highlight w:val="none"/>
        </w:rPr>
      </w:pPr>
      <w:r>
        <w:rPr>
          <w:rFonts w:hint="eastAsia" w:ascii="宋体" w:hAnsi="宋体"/>
          <w:b/>
          <w:bCs/>
          <w:color w:val="auto"/>
          <w:sz w:val="24"/>
          <w:szCs w:val="24"/>
          <w:highlight w:val="none"/>
        </w:rPr>
        <w:t xml:space="preserve">采购人及采购</w:t>
      </w:r>
      <w:r>
        <w:rPr>
          <w:rFonts w:hint="eastAsia" w:ascii="宋体" w:hAnsi="宋体"/>
          <w:b/>
          <w:bCs/>
          <w:color w:val="auto"/>
          <w:sz w:val="24"/>
          <w:szCs w:val="24"/>
          <w:highlight w:val="none"/>
          <w:lang w:val="en-US" w:eastAsia="zh-CN"/>
        </w:rPr>
        <w:t xml:space="preserve">代理机构</w:t>
      </w:r>
      <w:r>
        <w:rPr>
          <w:rFonts w:hint="eastAsia" w:ascii="宋体" w:hAnsi="宋体"/>
          <w:b/>
          <w:bCs/>
          <w:color w:val="auto"/>
          <w:sz w:val="24"/>
          <w:szCs w:val="24"/>
          <w:highlight w:val="none"/>
        </w:rPr>
        <w:t xml:space="preserve">只接收以纸质原件形式送达的质疑</w:t>
      </w:r>
      <w:r>
        <w:rPr>
          <w:rFonts w:hint="eastAsia" w:ascii="宋体" w:hAnsi="宋体"/>
          <w:b/>
          <w:bCs/>
          <w:color w:val="auto"/>
          <w:sz w:val="24"/>
          <w:szCs w:val="24"/>
          <w:highlight w:val="none"/>
          <w:lang w:eastAsia="zh-CN"/>
        </w:rPr>
        <w:t xml:space="preserve">，供应商</w:t>
      </w:r>
      <w:r>
        <w:rPr>
          <w:rFonts w:hint="eastAsia" w:ascii="宋体" w:hAnsi="宋体"/>
          <w:b/>
          <w:bCs/>
          <w:color w:val="auto"/>
          <w:sz w:val="24"/>
          <w:szCs w:val="24"/>
          <w:highlight w:val="none"/>
          <w:lang w:val="en-US" w:eastAsia="zh-CN"/>
        </w:rPr>
        <w:t xml:space="preserve">可以</w:t>
      </w:r>
      <w:r>
        <w:rPr>
          <w:rFonts w:hint="eastAsia" w:ascii="宋体" w:hAnsi="宋体"/>
          <w:b/>
          <w:bCs/>
          <w:color w:val="auto"/>
          <w:sz w:val="24"/>
          <w:szCs w:val="24"/>
          <w:highlight w:val="none"/>
          <w:lang w:eastAsia="zh-CN"/>
        </w:rPr>
        <w:t xml:space="preserve">通过</w:t>
      </w:r>
      <w:r>
        <w:rPr>
          <w:rFonts w:hint="eastAsia" w:ascii="宋体" w:hAnsi="宋体"/>
          <w:b/>
          <w:bCs/>
          <w:color w:val="auto"/>
          <w:sz w:val="24"/>
          <w:szCs w:val="24"/>
          <w:highlight w:val="none"/>
          <w:lang w:val="en-US" w:eastAsia="zh-CN"/>
        </w:rPr>
        <w:t xml:space="preserve">现场递交或</w:t>
      </w:r>
      <w:r>
        <w:rPr>
          <w:rFonts w:hint="eastAsia" w:ascii="宋体" w:hAnsi="宋体"/>
          <w:b/>
          <w:bCs/>
          <w:color w:val="auto"/>
          <w:sz w:val="24"/>
          <w:szCs w:val="24"/>
          <w:highlight w:val="none"/>
          <w:lang w:eastAsia="zh-CN"/>
        </w:rPr>
        <w:t xml:space="preserve">邮寄方式提交质疑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质疑接收部门为</w:t>
      </w:r>
      <w:r>
        <w:rPr>
          <w:rFonts w:hint="eastAsia" w:ascii="宋体" w:hAnsi="宋体"/>
          <w:color w:val="auto"/>
          <w:sz w:val="24"/>
          <w:szCs w:val="24"/>
          <w:highlight w:val="none"/>
          <w:lang w:val="en-US" w:eastAsia="zh-CN"/>
        </w:rPr>
        <w:t xml:space="preserve">江苏伟之达项目管理咨询有限公司招标代理部</w:t>
      </w:r>
      <w:r>
        <w:rPr>
          <w:rFonts w:hint="eastAsia" w:ascii="宋体" w:hAnsi="宋体"/>
          <w:color w:val="auto"/>
          <w:sz w:val="24"/>
          <w:szCs w:val="24"/>
          <w:highlight w:val="none"/>
        </w:rPr>
        <w:t xml:space="preserve">，联系地址：</w:t>
      </w:r>
      <w:r>
        <w:rPr>
          <w:rFonts w:hint="eastAsia" w:ascii="宋体" w:hAnsi="宋体" w:eastAsia="宋体" w:cs="Times New Roman"/>
          <w:color w:val="auto"/>
          <w:sz w:val="24"/>
          <w:szCs w:val="24"/>
          <w:highlight w:val="none"/>
        </w:rPr>
        <w:t xml:space="preserve">连云港市海州区新大街9号凤凰·光辉岁月商务花园3号楼一</w:t>
      </w:r>
      <w:r>
        <w:rPr>
          <w:rFonts w:hint="eastAsia" w:ascii="宋体" w:hAnsi="宋体" w:eastAsia="宋体" w:cs="Times New Roman"/>
          <w:color w:val="auto"/>
          <w:sz w:val="24"/>
          <w:szCs w:val="24"/>
          <w:highlight w:val="none"/>
          <w:lang w:eastAsia="zh-CN"/>
        </w:rPr>
        <w:t xml:space="preserve">楼招标代理部</w:t>
      </w:r>
      <w:r>
        <w:rPr>
          <w:rFonts w:hint="eastAsia" w:ascii="宋体" w:hAnsi="宋体" w:eastAsia="宋体" w:cs="Times New Roman"/>
          <w:color w:val="auto"/>
          <w:sz w:val="24"/>
          <w:szCs w:val="24"/>
          <w:highlight w:val="none"/>
        </w:rPr>
        <w:t xml:space="preserve">，</w:t>
      </w: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eastAsia="zh-CN"/>
        </w:rPr>
        <w:t xml:space="preserve">0518-85855</w:t>
      </w:r>
      <w:r>
        <w:rPr>
          <w:rFonts w:hint="eastAsia" w:ascii="宋体" w:hAnsi="宋体" w:eastAsia="宋体" w:cs="Times New Roman"/>
          <w:color w:val="auto"/>
          <w:sz w:val="24"/>
          <w:szCs w:val="24"/>
          <w:highlight w:val="none"/>
          <w:lang w:eastAsia="zh-CN"/>
        </w:rPr>
        <w:t xml:space="preserve">258，</w:t>
      </w:r>
      <w:r>
        <w:rPr>
          <w:rFonts w:hint="eastAsia" w:ascii="宋体" w:hAnsi="宋体" w:eastAsia="宋体" w:cs="Times New Roman"/>
          <w:color w:val="auto"/>
          <w:sz w:val="24"/>
          <w:szCs w:val="24"/>
          <w:highlight w:val="none"/>
        </w:rPr>
        <w:t xml:space="preserve">18115991881。</w:t>
      </w:r>
      <w:r/>
    </w:p>
    <w:p>
      <w:pPr>
        <w:ind w:left="0" w:right="0"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 内容不符合《政府采购质疑和投诉办法》第十二条规定的质疑。</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 超出政府采购法定期限的质疑。</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 以传真、电子邮件等方式递交的非原件形式的质疑。</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 未参加投标活动的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或在投标活动中自身权益未受到损害的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所提出的质疑。</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组成联合体参加投标，联合体中任何一方或多方未按要求签字、盖章、加盖公章的质疑。</w:t>
      </w:r>
      <w:r/>
    </w:p>
    <w:p>
      <w:pPr>
        <w:ind w:left="0" w:right="0" w:firstLine="468"/>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提出书面质疑必须有理、有据，不得捏造事实、提供虚假材料进行恶意质疑。否则，一经查实，采购</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有权依据政府采购的有关规定，报请政府采购监管部门对该</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进行相应的行政处罚和记录该</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的失信信息。</w:t>
      </w:r>
      <w:r/>
    </w:p>
    <w:p>
      <w:pPr>
        <w:ind w:left="0" w:right="0" w:firstLine="600"/>
        <w:keepLines/>
        <w:keepNext/>
        <w:pageBreakBefore w:val="0"/>
        <w:spacing w:line="360" w:lineRule="auto"/>
        <w:widowControl w:val="off"/>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、中标通知书</w:t>
      </w:r>
      <w:r/>
    </w:p>
    <w:p>
      <w:pPr>
        <w:ind w:left="0" w:right="0" w:firstLine="600"/>
        <w:pageBreakBefore w:val="0"/>
        <w:spacing w:line="360" w:lineRule="auto"/>
        <w:widowControl w:val="off"/>
        <w:rPr>
          <w:rFonts w:hint="eastAsia" w:ascii="宋体" w:hAnsi="宋体" w:eastAsia="宋体"/>
          <w:b/>
          <w:bCs w:val="0"/>
          <w:color w:val="auto"/>
          <w:sz w:val="24"/>
          <w:szCs w:val="24"/>
          <w:highlight w:val="none"/>
          <w:lang w:val="en-US" w:eastAsia="zh-CN"/>
        </w:rPr>
      </w:pPr>
      <w:r>
        <w:rPr>
          <w:rFonts w:ascii="宋体" w:hAnsi="宋体"/>
          <w:color w:val="auto"/>
          <w:sz w:val="24"/>
          <w:szCs w:val="24"/>
          <w:highlight w:val="none"/>
        </w:rPr>
        <w:t xml:space="preserve">30</w:t>
      </w:r>
      <w:r>
        <w:rPr>
          <w:rFonts w:hint="eastAsia" w:ascii="宋体" w:hAnsi="宋体"/>
          <w:color w:val="auto"/>
          <w:sz w:val="24"/>
          <w:szCs w:val="24"/>
          <w:highlight w:val="none"/>
        </w:rPr>
        <w:t xml:space="preserve">.l</w:t>
      </w:r>
      <w:r>
        <w:rPr>
          <w:rFonts w:hint="eastAsia" w:ascii="宋体" w:hAnsi="宋体"/>
          <w:b/>
          <w:color w:val="auto"/>
          <w:sz w:val="24"/>
          <w:szCs w:val="24"/>
          <w:highlight w:val="none"/>
        </w:rPr>
        <w:t xml:space="preserve"> </w:t>
      </w:r>
      <w:r>
        <w:rPr>
          <w:rFonts w:hint="eastAsia" w:ascii="宋体" w:hAnsi="宋体"/>
          <w:b w:val="0"/>
          <w:bCs/>
          <w:color w:val="auto"/>
          <w:sz w:val="24"/>
          <w:szCs w:val="24"/>
          <w:highlight w:val="none"/>
        </w:rPr>
        <w:t xml:space="preserve">中标人确定后，中标结果由采购代理机构在</w:t>
      </w:r>
      <w:r>
        <w:rPr>
          <w:rFonts w:hint="eastAsia" w:ascii="宋体" w:hAnsi="宋体"/>
          <w:b w:val="0"/>
          <w:bCs/>
          <w:color w:val="auto"/>
          <w:sz w:val="24"/>
          <w:szCs w:val="24"/>
          <w:highlight w:val="none"/>
          <w:lang w:val="en-US" w:eastAsia="zh-CN"/>
        </w:rPr>
        <w:t xml:space="preserve">江苏政府采购网</w:t>
      </w:r>
      <w:r>
        <w:rPr>
          <w:rFonts w:hint="eastAsia" w:ascii="宋体" w:hAnsi="宋体"/>
          <w:b w:val="0"/>
          <w:bCs/>
          <w:color w:val="auto"/>
          <w:sz w:val="24"/>
          <w:szCs w:val="24"/>
          <w:highlight w:val="none"/>
        </w:rPr>
        <w:t xml:space="preserve">公告，中标公告期限为1个工作日，同时由采购代理机构向中标人发出中标通</w:t>
      </w:r>
      <w:r>
        <w:rPr>
          <w:rFonts w:hint="eastAsia" w:ascii="宋体" w:hAnsi="宋体"/>
          <w:b w:val="0"/>
          <w:bCs/>
          <w:color w:val="auto"/>
          <w:sz w:val="24"/>
          <w:szCs w:val="24"/>
          <w:highlight w:val="none"/>
          <w:lang w:val="en-US" w:eastAsia="zh-CN"/>
        </w:rPr>
        <w:t xml:space="preserve">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b/>
          <w:bCs w:val="0"/>
          <w:color w:val="auto"/>
          <w:sz w:val="24"/>
          <w:szCs w:val="24"/>
          <w:highlight w:val="none"/>
        </w:rPr>
        <w:t xml:space="preserve">中标</w:t>
      </w:r>
      <w:r>
        <w:rPr>
          <w:rFonts w:hint="eastAsia" w:ascii="宋体" w:hAnsi="宋体"/>
          <w:b/>
          <w:bCs w:val="0"/>
          <w:color w:val="auto"/>
          <w:sz w:val="24"/>
          <w:szCs w:val="24"/>
          <w:highlight w:val="none"/>
          <w:lang w:val="en-US" w:eastAsia="zh-CN"/>
        </w:rPr>
        <w:t xml:space="preserve">人</w:t>
      </w:r>
      <w:r>
        <w:rPr>
          <w:rFonts w:hint="eastAsia" w:ascii="宋体" w:hAnsi="宋体"/>
          <w:b/>
          <w:bCs w:val="0"/>
          <w:color w:val="auto"/>
          <w:sz w:val="24"/>
          <w:szCs w:val="24"/>
          <w:highlight w:val="none"/>
        </w:rPr>
        <w:t xml:space="preserve">在领取中标通知书时，需提供五份与电子投标文件一致的纸质打印投标文件，须封面、骑缝加盖公章</w:t>
      </w:r>
      <w:r>
        <w:rPr>
          <w:rFonts w:hint="eastAsia" w:ascii="宋体" w:hAnsi="宋体"/>
          <w:b/>
          <w:bCs w:val="0"/>
          <w:color w:val="auto"/>
          <w:sz w:val="24"/>
          <w:szCs w:val="24"/>
          <w:highlight w:val="none"/>
          <w:lang w:eastAsia="zh-CN"/>
        </w:rPr>
        <w:t xml:space="preserve">。</w:t>
      </w:r>
      <w:r/>
    </w:p>
    <w:p>
      <w:pPr>
        <w:ind w:left="0" w:right="0" w:firstLine="60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.2中标通知书将是合同的一个组成部分。对采购人和中标</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均具有法律效力。中标通知书发出后，采购人改变中标结果的，或者中标</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放弃中标项目的，应当依法承担法律责任。</w:t>
      </w:r>
      <w:r/>
    </w:p>
    <w:p>
      <w:pPr>
        <w:ind w:left="0" w:right="0"/>
        <w:keepLines/>
        <w:keepNext/>
        <w:pageBreakBefore w:val="0"/>
        <w:spacing w:line="360" w:lineRule="auto"/>
        <w:widowControl w:val="off"/>
        <w:rPr>
          <w:rFonts w:hint="eastAsia" w:ascii="Times New Roman" w:hAnsi="Times New Roman"/>
          <w:b/>
          <w:bCs/>
          <w:color w:val="auto"/>
          <w:sz w:val="32"/>
          <w:szCs w:val="32"/>
          <w:highlight w:val="none"/>
        </w:rPr>
        <w:outlineLvl w:val="2"/>
      </w:pPr>
      <w:r/>
      <w:bookmarkStart w:id="214" w:name="_Toc120614220"/>
      <w:r/>
      <w:bookmarkStart w:id="215" w:name="_Toc28119"/>
      <w:r/>
      <w:bookmarkStart w:id="216" w:name="_Toc6083"/>
      <w:r/>
      <w:bookmarkStart w:id="217" w:name="_Toc20823308"/>
      <w:r/>
      <w:bookmarkStart w:id="218" w:name="_Toc5539"/>
      <w:r/>
      <w:bookmarkStart w:id="219" w:name="_Toc513029236"/>
      <w:r/>
      <w:bookmarkStart w:id="220" w:name="_Toc16265"/>
      <w:r/>
      <w:bookmarkStart w:id="221" w:name="_Toc16938552"/>
      <w:r>
        <w:rPr>
          <w:rFonts w:hint="eastAsia" w:ascii="Times New Roman" w:hAnsi="Times New Roman"/>
          <w:b/>
          <w:bCs/>
          <w:color w:val="auto"/>
          <w:sz w:val="32"/>
          <w:szCs w:val="32"/>
          <w:highlight w:val="none"/>
        </w:rPr>
        <w:t xml:space="preserve">七、授予合同</w:t>
      </w:r>
      <w:bookmarkEnd w:id="214"/>
      <w:r/>
      <w:bookmarkEnd w:id="215"/>
      <w:r/>
      <w:bookmarkEnd w:id="216"/>
      <w:r/>
      <w:bookmarkEnd w:id="217"/>
      <w:r/>
      <w:bookmarkEnd w:id="218"/>
      <w:r/>
      <w:bookmarkEnd w:id="219"/>
      <w:r/>
      <w:bookmarkEnd w:id="220"/>
      <w:r/>
      <w:bookmarkEnd w:id="221"/>
      <w:r/>
      <w:r/>
    </w:p>
    <w:p>
      <w:pPr>
        <w:ind w:left="0" w:right="0" w:firstLine="600"/>
        <w:keepLines/>
        <w:keepNext/>
        <w:pageBreakBefore w:val="0"/>
        <w:spacing w:line="360" w:lineRule="auto"/>
        <w:widowControl w:val="off"/>
        <w:rPr>
          <w:rFonts w:hint="eastAsia" w:ascii="黑体" w:hAnsi="宋体" w:eastAsia="黑体"/>
          <w:bCs/>
          <w:color w:val="auto"/>
          <w:sz w:val="30"/>
          <w:szCs w:val="30"/>
          <w:highlight w:val="none"/>
        </w:rPr>
        <w:outlineLvl w:val="3"/>
      </w:pPr>
      <w:r/>
      <w:bookmarkStart w:id="222" w:name="_Toc16938553"/>
      <w:r/>
      <w:bookmarkStart w:id="223" w:name="_Toc20823309"/>
      <w:r/>
      <w:bookmarkStart w:id="224" w:name="_Toc513029237"/>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left="0" w:right="0" w:firstLine="60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r/>
    </w:p>
    <w:p>
      <w:pPr>
        <w:ind w:left="0" w:right="0" w:firstLine="60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left="0" w:right="0" w:firstLine="60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31.3 签订合同后</w:t>
      </w:r>
      <w:r>
        <w:rPr>
          <w:rFonts w:hint="eastAsia" w:ascii="宋体" w:hAnsi="宋体"/>
          <w:i w:val="0"/>
          <w:iCs w:val="0"/>
          <w:color w:val="auto"/>
          <w:sz w:val="24"/>
          <w:szCs w:val="24"/>
          <w:highlight w:val="none"/>
        </w:rPr>
        <w:t xml:space="preserve">，★</w:t>
      </w:r>
      <w:r>
        <w:rPr>
          <w:rFonts w:hint="eastAsia" w:ascii="宋体" w:hAnsi="宋体"/>
          <w:b/>
          <w:bCs/>
          <w:i w:val="0"/>
          <w:iCs w:val="0"/>
          <w:color w:val="auto"/>
          <w:sz w:val="24"/>
          <w:szCs w:val="24"/>
          <w:highlight w:val="none"/>
          <w:u w:val="single"/>
        </w:rPr>
        <w:t xml:space="preserve">中标人不得将合同标的进行转包</w:t>
      </w:r>
      <w:r>
        <w:rPr>
          <w:rFonts w:hint="eastAsia" w:ascii="宋体" w:hAnsi="宋体"/>
          <w:i w:val="0"/>
          <w:iCs w:val="0"/>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15"/>
        <w:ind w:firstLine="600"/>
        <w:pageBreakBefore w:val="0"/>
        <w:spacing w:before="0" w:after="0" w:line="560" w:lineRule="exact"/>
        <w:widowControl w:val="off"/>
        <w:rPr>
          <w:rFonts w:hint="eastAsia" w:ascii="黑体" w:hAnsi="宋体"/>
          <w:b w:val="0"/>
          <w:color w:val="auto"/>
          <w:sz w:val="30"/>
          <w:szCs w:val="30"/>
          <w:highlight w:val="none"/>
        </w:rPr>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w:t>
      </w:r>
      <w:r>
        <w:rPr>
          <w:rFonts w:hint="eastAsia" w:ascii="黑体" w:hAnsi="宋体"/>
          <w:b w:val="0"/>
          <w:color w:val="auto"/>
          <w:sz w:val="30"/>
          <w:szCs w:val="30"/>
          <w:highlight w:val="none"/>
        </w:rPr>
        <w:t xml:space="preserve">服务（包含与服务相关的货物）的追加</w:t>
      </w:r>
      <w:r/>
    </w:p>
    <w:p>
      <w:pPr>
        <w:ind w:left="0" w:right="0" w:firstLine="600"/>
        <w:pageBreakBefore w:val="0"/>
        <w:spacing w:line="360" w:lineRule="auto"/>
        <w:widowControl w:val="off"/>
        <w:rPr>
          <w:rFonts w:hint="eastAsia" w:ascii="宋体" w:hAnsi="宋体" w:eastAsia="宋体" w:cs="Times New Roman"/>
          <w:i w:val="0"/>
          <w:iCs w:val="0"/>
          <w:color w:val="auto"/>
          <w:sz w:val="24"/>
          <w:szCs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eastAsia="宋体" w:cs="Times New Roman"/>
          <w:i w:val="0"/>
          <w:iCs w:val="0"/>
          <w:color w:val="auto"/>
          <w:sz w:val="24"/>
          <w:szCs w:val="24"/>
          <w:highlight w:val="none"/>
        </w:rPr>
        <w:t xml:space="preserve">。</w:t>
      </w:r>
      <w:bookmarkEnd w:id="222"/>
      <w:r/>
      <w:bookmarkEnd w:id="223"/>
      <w:r/>
      <w:bookmarkEnd w:id="224"/>
      <w:r/>
      <w:r/>
    </w:p>
    <w:p>
      <w:pPr>
        <w:ind w:left="0" w:right="0" w:firstLine="600"/>
        <w:keepLines/>
        <w:keepNext/>
        <w:pageBreakBefore w:val="0"/>
        <w:spacing w:line="360" w:lineRule="auto"/>
        <w:widowControl w:val="off"/>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3</w:t>
      </w:r>
      <w:r>
        <w:rPr>
          <w:rFonts w:hint="eastAsia" w:ascii="黑体" w:hAnsi="宋体" w:eastAsia="黑体"/>
          <w:bCs/>
          <w:color w:val="auto"/>
          <w:sz w:val="30"/>
          <w:szCs w:val="30"/>
          <w:highlight w:val="none"/>
        </w:rPr>
        <w:t xml:space="preserve">、政府采购履约资金扶持政策</w:t>
      </w:r>
      <w:r/>
    </w:p>
    <w:p>
      <w:pPr>
        <w:ind w:left="0" w:right="0" w:firstLine="555"/>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可凭政府采购合同办理融资贷款，详情请见江苏政府采购网“政采贷”专栏。</w:t>
      </w:r>
      <w:r/>
    </w:p>
    <w:p>
      <w:pPr>
        <w:ind w:left="0" w:right="0" w:firstLine="321"/>
        <w:keepLines/>
        <w:keepNext/>
        <w:pageBreakBefore w:val="0"/>
        <w:spacing w:line="360" w:lineRule="auto"/>
        <w:widowControl w:val="off"/>
        <w:rPr>
          <w:rFonts w:ascii="Times New Roman" w:hAnsi="Times New Roman" w:eastAsia="宋体"/>
          <w:b/>
          <w:bCs/>
          <w:color w:val="auto"/>
          <w:sz w:val="32"/>
          <w:szCs w:val="32"/>
          <w:highlight w:val="none"/>
          <w:lang w:val="en-US" w:eastAsia="zh-CN"/>
        </w:rPr>
        <w:outlineLvl w:val="2"/>
      </w:pPr>
      <w:r/>
      <w:bookmarkStart w:id="225" w:name="_Toc13962"/>
      <w:r/>
      <w:bookmarkStart w:id="226" w:name="_Toc1717"/>
      <w:r/>
      <w:bookmarkStart w:id="227" w:name="_Toc28632"/>
      <w:r/>
      <w:bookmarkStart w:id="228" w:name="_Toc27968"/>
      <w:r>
        <w:rPr>
          <w:rFonts w:hint="eastAsia" w:ascii="Times New Roman" w:hAnsi="Times New Roman"/>
          <w:b/>
          <w:bCs/>
          <w:color w:val="auto"/>
          <w:sz w:val="32"/>
          <w:szCs w:val="32"/>
          <w:highlight w:val="none"/>
          <w:lang w:val="en-US" w:eastAsia="zh-CN"/>
        </w:rPr>
        <w:t xml:space="preserve">八</w:t>
      </w:r>
      <w:r>
        <w:rPr>
          <w:rFonts w:hint="eastAsia" w:ascii="Times New Roman" w:hAnsi="Times New Roman"/>
          <w:b/>
          <w:bCs/>
          <w:color w:val="auto"/>
          <w:sz w:val="32"/>
          <w:szCs w:val="32"/>
          <w:highlight w:val="none"/>
        </w:rPr>
        <w:t xml:space="preserve">、</w:t>
      </w:r>
      <w:r>
        <w:rPr>
          <w:rFonts w:hint="eastAsia" w:ascii="Times New Roman" w:hAnsi="Times New Roman"/>
          <w:b/>
          <w:bCs/>
          <w:color w:val="auto"/>
          <w:sz w:val="32"/>
          <w:szCs w:val="32"/>
          <w:highlight w:val="none"/>
          <w:lang w:val="en-US" w:eastAsia="zh-CN"/>
        </w:rPr>
        <w:t xml:space="preserve">政策功能</w:t>
      </w:r>
      <w:bookmarkEnd w:id="225"/>
      <w:r/>
      <w:bookmarkEnd w:id="226"/>
      <w:r/>
      <w:bookmarkEnd w:id="227"/>
      <w:r/>
      <w:bookmarkEnd w:id="228"/>
      <w:r/>
      <w:r/>
    </w:p>
    <w:p>
      <w:pPr>
        <w:ind w:left="0" w:right="0" w:firstLine="600"/>
        <w:keepLines/>
        <w:keepNext/>
        <w:pageBreakBefore w:val="0"/>
        <w:spacing w:line="360" w:lineRule="auto"/>
        <w:widowControl w:val="off"/>
        <w:rPr>
          <w:rFonts w:ascii="黑体" w:hAnsi="宋体" w:eastAsia="黑体"/>
          <w:bCs/>
          <w:color w:val="auto"/>
          <w:sz w:val="30"/>
          <w:szCs w:val="30"/>
          <w:highlight w:val="none"/>
          <w:lang w:val="en-US" w:eastAsia="zh-CN"/>
        </w:rPr>
        <w:outlineLvl w:val="3"/>
      </w:pPr>
      <w:r>
        <w:rPr>
          <w:rFonts w:hint="eastAsia" w:ascii="黑体" w:hAnsi="宋体" w:eastAsia="黑体"/>
          <w:bCs/>
          <w:color w:val="auto"/>
          <w:sz w:val="30"/>
          <w:szCs w:val="30"/>
          <w:highlight w:val="none"/>
        </w:rPr>
        <w:t xml:space="preserve">3</w:t>
      </w:r>
      <w:r>
        <w:rPr>
          <w:rFonts w:hint="eastAsia" w:ascii="黑体" w:hAnsi="宋体" w:eastAsia="黑体"/>
          <w:bCs/>
          <w:color w:val="auto"/>
          <w:sz w:val="30"/>
          <w:szCs w:val="30"/>
          <w:highlight w:val="none"/>
          <w:lang w:val="en-US" w:eastAsia="zh-CN"/>
        </w:rPr>
        <w:t xml:space="preserve">4</w:t>
      </w:r>
      <w:r>
        <w:rPr>
          <w:rFonts w:hint="eastAsia" w:ascii="黑体" w:hAnsi="宋体" w:eastAsia="黑体"/>
          <w:bCs/>
          <w:color w:val="auto"/>
          <w:sz w:val="30"/>
          <w:szCs w:val="30"/>
          <w:highlight w:val="none"/>
        </w:rPr>
        <w:t xml:space="preserve">、</w:t>
      </w:r>
      <w:r>
        <w:rPr>
          <w:rFonts w:hint="eastAsia" w:ascii="黑体" w:hAnsi="宋体" w:eastAsia="黑体"/>
          <w:bCs/>
          <w:color w:val="auto"/>
          <w:sz w:val="30"/>
          <w:szCs w:val="30"/>
          <w:highlight w:val="none"/>
          <w:lang w:val="en-US" w:eastAsia="zh-CN"/>
        </w:rPr>
        <w:t xml:space="preserve">落实的政府采购政策</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eastAsia="宋体" w:cs="Times New Roman"/>
          <w:color w:val="auto"/>
          <w:sz w:val="24"/>
          <w:szCs w:val="24"/>
          <w:highlight w:val="none"/>
          <w:lang w:val="en-US" w:eastAsia="zh-CN"/>
        </w:rPr>
        <w:t xml:space="preserve">34.1</w:t>
      </w:r>
      <w:r>
        <w:rPr>
          <w:rFonts w:hint="eastAsia" w:ascii="宋体" w:hAnsi="宋体"/>
          <w:color w:val="auto"/>
          <w:sz w:val="24"/>
          <w:highlight w:val="none"/>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中小企业参加政府采购活动，应当出具本办法规定的《中小企业声明函》，否则不得享受相关中小企业扶持政策。投标文件中提供《中小企业声明函》，否则不予认可。</w:t>
      </w:r>
      <w:r/>
    </w:p>
    <w:p>
      <w:pPr>
        <w:ind w:firstLine="480"/>
        <w:pageBreakBefore w:val="0"/>
        <w:spacing w:line="560" w:lineRule="exact"/>
        <w:widowControl w:val="off"/>
        <w:rPr>
          <w:rFonts w:hint="eastAsia" w:ascii="宋体" w:hAnsi="宋体"/>
          <w:b/>
          <w:bCs/>
          <w:color w:val="auto"/>
          <w:sz w:val="24"/>
          <w:szCs w:val="24"/>
          <w:highlight w:val="none"/>
        </w:rPr>
      </w:pPr>
      <w:r>
        <w:rPr>
          <w:rFonts w:hint="eastAsia" w:ascii="宋体" w:hAnsi="宋体" w:eastAsia="宋体" w:cs="Times New Roman"/>
          <w:color w:val="auto"/>
          <w:sz w:val="24"/>
          <w:szCs w:val="24"/>
          <w:highlight w:val="none"/>
          <w:lang w:val="en-US" w:eastAsia="zh-CN"/>
        </w:rPr>
        <w:t xml:space="preserve">34.2依据财法函[2020]46号文“关于印发《政府采购促进中小企业发展管理办法》的通知”。投标人符合《工业和信息化部、国家统计局、国家发展和改革委员会、财政部关于印发中小企业划型标准规定的通知》（工信部联企业[2011]300号）规定的划分标准：即本项目所采购的服务全部由小型、微型企业承接，全部属于小型、微型企业的，提供小微企业声明函，在投标报价的价格评审时给予10%的扣除，用扣除后的价格参加评审。</w:t>
      </w:r>
      <w:r/>
    </w:p>
    <w:p>
      <w:pPr>
        <w:ind w:firstLine="482"/>
        <w:pageBreakBefore w:val="0"/>
        <w:spacing w:line="56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（1）供应商为小型企业、微型企业的，提供《小</w:t>
      </w:r>
      <w:r>
        <w:rPr>
          <w:rFonts w:hint="eastAsia" w:ascii="宋体" w:hAnsi="宋体"/>
          <w:b/>
          <w:bCs/>
          <w:color w:val="auto"/>
          <w:sz w:val="24"/>
          <w:szCs w:val="24"/>
          <w:highlight w:val="none"/>
          <w:lang w:val="en-US" w:eastAsia="zh-CN"/>
        </w:rPr>
        <w:t xml:space="preserve">微</w:t>
      </w:r>
      <w:r>
        <w:rPr>
          <w:rFonts w:hint="eastAsia" w:ascii="宋体" w:hAnsi="宋体"/>
          <w:b/>
          <w:bCs/>
          <w:color w:val="auto"/>
          <w:sz w:val="24"/>
          <w:szCs w:val="24"/>
          <w:highlight w:val="none"/>
        </w:rPr>
        <w:t xml:space="preserve">企业声明函》（第六章 投标文件格式）。</w:t>
      </w:r>
      <w:r/>
    </w:p>
    <w:p>
      <w:pPr>
        <w:ind w:firstLine="482"/>
        <w:pageBreakBefore w:val="0"/>
        <w:spacing w:line="56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（2）残疾人福利性单位视同小型、微型企业，提供《残疾人福利性单位声明函》（第六章 投标文件格式）。</w:t>
      </w:r>
      <w:r/>
    </w:p>
    <w:p>
      <w:pPr>
        <w:ind w:firstLine="482"/>
        <w:pageBreakBefore w:val="0"/>
        <w:spacing w:line="56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pageBreakBefore w:val="0"/>
        <w:spacing w:line="56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（4）供应商按照本办法规定提供声明函内容不实的，属于提供虚假材料谋取中标、成交，依照《中华人民共和国政府采购法》等国家有关规定追究相应责任。</w:t>
      </w:r>
      <w:r/>
    </w:p>
    <w:p>
      <w:pPr>
        <w:ind w:firstLine="600"/>
        <w:keepLines/>
        <w:keepNext/>
        <w:pageBreakBefore w:val="0"/>
        <w:spacing w:line="560" w:lineRule="exact"/>
        <w:widowControl w:val="off"/>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hint="eastAsia" w:ascii="黑体" w:hAnsi="宋体" w:eastAsia="黑体"/>
          <w:bCs/>
          <w:color w:val="auto"/>
          <w:sz w:val="30"/>
          <w:szCs w:val="30"/>
          <w:highlight w:val="none"/>
          <w:lang w:val="en-US" w:eastAsia="zh-CN"/>
        </w:rPr>
        <w:t xml:space="preserve">5</w:t>
      </w:r>
      <w:r>
        <w:rPr>
          <w:rFonts w:hint="eastAsia" w:ascii="黑体" w:hAnsi="宋体" w:eastAsia="黑体"/>
          <w:bCs/>
          <w:color w:val="auto"/>
          <w:sz w:val="30"/>
          <w:szCs w:val="30"/>
          <w:highlight w:val="none"/>
        </w:rPr>
        <w:t xml:space="preserve">、支持绿色发展</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须按招标文件要求提供相关产品认证证书。</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.2为助力打好污染防治攻坚战，严格执行绿色采购需求标准。推广使用绿色包装，政府采购货物、工程和服务项目中涉及商品包装、快递包装、绿色数据中心的，</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提供产品及相关快递服务的具体包装等要求要参考《商品包装政府采购需求标准（试行）》《快递包装政府采购需求标准（试行）》《绿色数据中心政府采购需求标准（试行）》。</w:t>
      </w:r>
      <w:r/>
    </w:p>
    <w:p>
      <w:pPr>
        <w:ind w:firstLine="480"/>
        <w:pageBreakBefore w:val="0"/>
        <w:spacing w:line="560" w:lineRule="exact"/>
        <w:widowControl w:val="off"/>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.3落实挥发性有机化合物（VOCs）治理要求，政府采购项目中涉及涂料、胶黏剂、油墨、清洗剂等挥发性有机物产品的，属于强制性标准的，</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须执行国家和我省 VOCs含量限制标准；</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优先使用低挥发性原辅材料，将使用低 VOCs 含量的涂料、胶黏剂等纳入政府采购合同条款。</w:t>
      </w:r>
      <w:r/>
    </w:p>
    <w:p>
      <w:pPr>
        <w:ind w:firstLine="560"/>
        <w:jc w:val="left"/>
        <w:keepLines/>
        <w:keepNext/>
        <w:pageBreakBefore w:val="0"/>
        <w:spacing w:line="560" w:lineRule="exact"/>
        <w:widowControl w:val="off"/>
        <w:rPr>
          <w:rFonts w:hint="eastAsia" w:ascii="黑体" w:hAnsi="宋体" w:eastAsia="黑体"/>
          <w:bCs/>
          <w:color w:val="auto"/>
          <w:sz w:val="28"/>
          <w:szCs w:val="28"/>
          <w:highlight w:val="none"/>
        </w:rPr>
        <w:outlineLvl w:val="3"/>
      </w:pPr>
      <w:r>
        <w:rPr>
          <w:rFonts w:hint="eastAsia" w:ascii="黑体" w:hAnsi="宋体" w:eastAsia="黑体"/>
          <w:bCs/>
          <w:color w:val="auto"/>
          <w:sz w:val="28"/>
          <w:szCs w:val="28"/>
          <w:highlight w:val="none"/>
        </w:rPr>
        <w:t xml:space="preserve">3</w:t>
      </w:r>
      <w:r>
        <w:rPr>
          <w:rFonts w:hint="eastAsia" w:ascii="黑体" w:hAnsi="宋体" w:eastAsia="黑体"/>
          <w:bCs/>
          <w:color w:val="auto"/>
          <w:sz w:val="28"/>
          <w:szCs w:val="28"/>
          <w:highlight w:val="none"/>
          <w:lang w:val="en-US" w:eastAsia="zh-CN"/>
        </w:rPr>
        <w:t xml:space="preserve">6</w:t>
      </w:r>
      <w:r>
        <w:rPr>
          <w:rFonts w:hint="eastAsia" w:ascii="黑体" w:hAnsi="宋体" w:eastAsia="黑体"/>
          <w:bCs/>
          <w:color w:val="auto"/>
          <w:sz w:val="28"/>
          <w:szCs w:val="28"/>
          <w:highlight w:val="none"/>
        </w:rPr>
        <w:t xml:space="preserve">、政府采购需求标准</w:t>
      </w:r>
      <w:r/>
    </w:p>
    <w:p>
      <w:pPr>
        <w:ind w:firstLine="480"/>
        <w:jc w:val="left"/>
        <w:pageBreakBefore w:val="0"/>
        <w:spacing w:line="56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.1本项目执行《绿色数据中</w:t>
      </w:r>
      <w:r>
        <w:rPr>
          <w:rFonts w:hint="eastAsia" w:ascii="宋体" w:hAnsi="宋体"/>
          <w:bCs/>
          <w:color w:val="auto"/>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11"/>
        <w:rPr>
          <w:rFonts w:hint="eastAsia" w:ascii="黑体" w:eastAsia="黑体"/>
          <w:bCs/>
          <w:color w:val="auto"/>
          <w:sz w:val="44"/>
          <w:highlight w:val="none"/>
        </w:rPr>
      </w:pPr>
      <w:r>
        <w:rPr>
          <w:rFonts w:hint="eastAsia" w:ascii="黑体" w:eastAsia="黑体"/>
          <w:bCs/>
          <w:color w:val="auto"/>
          <w:sz w:val="44"/>
          <w:highlight w:val="none"/>
        </w:rPr>
        <w:br w:type="page" w:clear="all"/>
      </w:r>
      <w:bookmarkEnd w:id="147"/>
      <w:r/>
      <w:bookmarkEnd w:id="148"/>
      <w:r/>
      <w:bookmarkEnd w:id="149"/>
      <w:r/>
      <w:bookmarkEnd w:id="150"/>
      <w:r/>
      <w:bookmarkEnd w:id="151"/>
      <w:r/>
      <w:bookmarkStart w:id="229" w:name="_Toc20691"/>
      <w:r/>
      <w:bookmarkStart w:id="230" w:name="_Toc20997"/>
      <w:r/>
      <w:bookmarkStart w:id="231" w:name="_Hlt16619350"/>
      <w:r/>
      <w:bookmarkStart w:id="232" w:name="_Toc20823346"/>
      <w:r/>
      <w:bookmarkStart w:id="233" w:name="_Toc120614244"/>
      <w:r/>
      <w:bookmarkStart w:id="234" w:name="_Toc16938590"/>
      <w:r/>
      <w:bookmarkStart w:id="235" w:name="_Toc462564139"/>
      <w:r/>
      <w:bookmarkStart w:id="236" w:name="_Toc479757211"/>
      <w:r>
        <w:rPr>
          <w:rFonts w:hint="eastAsia" w:ascii="黑体" w:eastAsia="黑体"/>
          <w:color w:val="auto"/>
          <w:sz w:val="44"/>
          <w:szCs w:val="44"/>
          <w:highlight w:val="none"/>
        </w:rPr>
        <w:t xml:space="preserve">第三章  合同文本</w:t>
      </w:r>
      <w:bookmarkEnd w:id="229"/>
      <w:r/>
      <w:bookmarkEnd w:id="230"/>
      <w:r/>
      <w:r/>
    </w:p>
    <w:p>
      <w:pPr>
        <w:ind w:firstLine="480"/>
        <w:jc w:val="left"/>
        <w:spacing w:line="500" w:lineRule="exact"/>
        <w:rPr>
          <w:rFonts w:hint="eastAsia" w:ascii="宋体" w:hAnsi="宋体" w:eastAsia="宋体" w:cs="宋体"/>
          <w:color w:val="auto"/>
          <w:sz w:val="24"/>
          <w:szCs w:val="24"/>
          <w:highlight w:val="none"/>
        </w:rPr>
      </w:pPr>
      <w:r/>
      <w:bookmarkStart w:id="237" w:name="_Hlt16619369"/>
      <w:r/>
      <w:bookmarkEnd w:id="237"/>
      <w:r/>
      <w:r/>
    </w:p>
    <w:p>
      <w:pPr>
        <w:jc w:val="center"/>
        <w:spacing w:line="5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连云港市政府采购合同（服务）</w:t>
      </w:r>
      <w:r/>
    </w:p>
    <w:p>
      <w:pPr>
        <w:jc w:val="center"/>
        <w:spacing w:line="50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（合同编号：</w:t>
      </w:r>
      <w:r>
        <w:rPr>
          <w:rFonts w:hint="eastAsia" w:ascii="宋体" w:hAnsi="宋体" w:cs="宋体"/>
          <w:color w:val="auto"/>
          <w:sz w:val="28"/>
          <w:szCs w:val="24"/>
          <w:highlight w:val="none"/>
          <w:lang w:val="en-US" w:eastAsia="zh-CN"/>
        </w:rPr>
        <w:t xml:space="preserve">        </w:t>
      </w:r>
      <w:r>
        <w:rPr>
          <w:rFonts w:hint="eastAsia" w:ascii="宋体" w:hAnsi="宋体" w:eastAsia="宋体" w:cs="宋体"/>
          <w:color w:val="auto"/>
          <w:sz w:val="28"/>
          <w:szCs w:val="24"/>
          <w:highlight w:val="none"/>
        </w:rPr>
        <w:t xml:space="preserve">）</w:t>
      </w:r>
      <w:r/>
    </w:p>
    <w:p>
      <w:pPr>
        <w:ind w:firstLine="480"/>
        <w:spacing w:line="360" w:lineRule="auto"/>
        <w:rPr>
          <w:rFonts w:hint="eastAsia" w:ascii="宋体" w:hAnsi="宋体" w:eastAsia="宋体" w:cs="宋体"/>
          <w:b w:val="0"/>
          <w:bCs/>
          <w:color w:val="auto"/>
          <w:sz w:val="24"/>
          <w:szCs w:val="24"/>
          <w:highlight w:val="none"/>
        </w:rPr>
      </w:pPr>
      <w:r/>
      <w:bookmarkStart w:id="238" w:name="_Toc513029243"/>
      <w:r/>
      <w:bookmarkStart w:id="239" w:name="_Toc16938559"/>
      <w:r/>
      <w:bookmarkStart w:id="240" w:name="_Toc20823315"/>
      <w:r>
        <w:rPr>
          <w:rFonts w:hint="eastAsia" w:ascii="宋体" w:hAnsi="宋体" w:eastAsia="宋体" w:cs="宋体"/>
          <w:b w:val="0"/>
          <w:bCs/>
          <w:color w:val="auto"/>
          <w:sz w:val="24"/>
          <w:szCs w:val="24"/>
          <w:highlight w:val="none"/>
        </w:rPr>
        <w:t xml:space="preserve">以下为中标后</w:t>
      </w:r>
      <w:r>
        <w:rPr>
          <w:rFonts w:hint="eastAsia" w:ascii="宋体" w:hAnsi="宋体" w:cs="宋体"/>
          <w:b w:val="0"/>
          <w:bCs/>
          <w:color w:val="auto"/>
          <w:sz w:val="24"/>
          <w:szCs w:val="24"/>
          <w:highlight w:val="none"/>
          <w:lang w:eastAsia="zh-CN"/>
        </w:rPr>
        <w:t xml:space="preserve">签订</w:t>
      </w:r>
      <w:r>
        <w:rPr>
          <w:rFonts w:hint="eastAsia" w:ascii="宋体" w:hAnsi="宋体" w:eastAsia="宋体" w:cs="宋体"/>
          <w:b w:val="0"/>
          <w:bCs/>
          <w:color w:val="auto"/>
          <w:sz w:val="24"/>
          <w:szCs w:val="24"/>
          <w:highlight w:val="none"/>
        </w:rPr>
        <w:t xml:space="preserve">本项目合同的通用条款，采购人与中标人应按此签订采购合同。中标人不得提出实质性的修改，关于专用条款将由采购人与中标人结合本项目具体情况协商后签订。</w:t>
      </w:r>
      <w:bookmarkEnd w:id="238"/>
      <w:bookmarkEnd w:id="239"/>
      <w:bookmarkEnd w:id="240"/>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甲方：</w:t>
      </w:r>
      <w:r/>
    </w:p>
    <w:p>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乙方：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甲乙双方就乙方为甲方</w:t>
      </w:r>
      <w:r>
        <w:rPr>
          <w:rFonts w:hint="eastAsia" w:ascii="宋体" w:hAnsi="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服务，协商一致，签订年度合同。</w:t>
      </w:r>
      <w:r/>
    </w:p>
    <w:p>
      <w:pPr>
        <w:spacing w:line="360" w:lineRule="auto"/>
        <w:shd w:val="clear" w:color="auto" w:fill="ffffff"/>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rPr>
        <w:t xml:space="preserve">    </w:t>
      </w:r>
      <w:r>
        <w:rPr>
          <w:rFonts w:hint="eastAsia" w:ascii="宋体" w:hAnsi="宋体" w:eastAsia="宋体" w:cs="宋体"/>
          <w:b w:val="0"/>
          <w:bCs/>
          <w:color w:val="auto"/>
          <w:sz w:val="24"/>
          <w:szCs w:val="24"/>
          <w:highlight w:val="none"/>
        </w:rPr>
        <w:t xml:space="preserve">一、承运工具及用途</w:t>
      </w:r>
      <w:r>
        <w:rPr>
          <w:rFonts w:hint="eastAsia" w:ascii="宋体" w:hAnsi="宋体" w:cs="宋体"/>
          <w:b w:val="0"/>
          <w:bCs/>
          <w:color w:val="auto"/>
          <w:sz w:val="24"/>
          <w:szCs w:val="24"/>
          <w:highlight w:val="none"/>
          <w:lang w:eastAsia="zh-CN"/>
        </w:rPr>
        <w:t xml:space="preserve">：</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rPr>
          <w:rFonts w:hint="eastAsia" w:ascii="宋体" w:hAnsi="宋体" w:eastAsia="宋体" w:cs="宋体"/>
          <w:b w:val="0"/>
          <w:bCs/>
          <w:color w:val="auto"/>
          <w:sz w:val="24"/>
          <w:szCs w:val="24"/>
          <w:highlight w:val="none"/>
        </w:rPr>
        <w:t xml:space="preserve">二、 服务要求</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1、乙方及时进行设备的维护</w:t>
      </w:r>
      <w:r>
        <w:rPr>
          <w:rFonts w:hint="eastAsia" w:ascii="宋体" w:hAnsi="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无安全隐患</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运行完好率100%。</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2、乙方确保安全行驶，无事故；如发生意外事件，乙方应做到反应迅速、处理得当，使损失降低到最低。</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3、乙方确保服务准时、承运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整洁、卫生。</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4、乙方需要根据甲方需求情况进行车辆数量和车次运行时间的调配。</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5、其他要求：</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三</w:t>
      </w:r>
      <w:r>
        <w:rPr>
          <w:rFonts w:hint="eastAsia" w:ascii="宋体" w:hAnsi="宋体" w:eastAsia="宋体" w:cs="宋体"/>
          <w:b w:val="0"/>
          <w:bCs/>
          <w:color w:val="auto"/>
          <w:sz w:val="24"/>
          <w:szCs w:val="24"/>
          <w:highlight w:val="none"/>
        </w:rPr>
        <w:t xml:space="preserve">、合同价款及结算方式</w:t>
      </w:r>
      <w:r/>
    </w:p>
    <w:p>
      <w:pPr>
        <w:pStyle w:val="772"/>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1、本合同价款：</w:t>
      </w:r>
      <w:r>
        <w:rPr>
          <w:rFonts w:hint="eastAsia" w:ascii="宋体" w:hAnsi="宋体" w:cs="宋体"/>
          <w:bCs/>
          <w:color w:val="auto"/>
          <w:sz w:val="24"/>
          <w:szCs w:val="24"/>
          <w:highlight w:val="none"/>
          <w:lang w:val="en-US" w:eastAsia="zh-CN"/>
        </w:rPr>
        <w:t xml:space="preserve">暂定</w:t>
      </w:r>
      <w:r>
        <w:rPr>
          <w:rFonts w:hint="eastAsia" w:ascii="宋体" w:hAnsi="宋体" w:eastAsia="宋体" w:cs="宋体"/>
          <w:bCs/>
          <w:color w:val="auto"/>
          <w:sz w:val="24"/>
          <w:szCs w:val="24"/>
          <w:highlight w:val="none"/>
          <w:lang w:eastAsia="zh-CN"/>
        </w:rPr>
        <w:t xml:space="preserve">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元整</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按实际使用数量乘以单价结算</w:t>
      </w:r>
      <w:r>
        <w:rPr>
          <w:rFonts w:hint="eastAsia" w:ascii="宋体" w:hAnsi="宋体" w:eastAsia="宋体" w:cs="宋体"/>
          <w:bCs/>
          <w:color w:val="auto"/>
          <w:sz w:val="24"/>
          <w:szCs w:val="24"/>
          <w:highlight w:val="none"/>
          <w:lang w:eastAsia="zh-CN"/>
        </w:rPr>
        <w:t xml:space="preserve">。</w:t>
      </w:r>
      <w:r/>
    </w:p>
    <w:p>
      <w:pPr>
        <w:ind w:firstLine="480"/>
        <w:jc w:val="left"/>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2、付款方式：</w:t>
      </w:r>
      <w:r>
        <w:rPr>
          <w:rFonts w:hint="eastAsia" w:ascii="宋体" w:hAnsi="宋体" w:cs="宋体"/>
          <w:b/>
          <w:bCs/>
          <w:color w:val="auto"/>
          <w:sz w:val="24"/>
          <w:szCs w:val="24"/>
          <w:highlight w:val="none"/>
          <w:u w:val="single"/>
          <w:lang w:eastAsia="zh-CN"/>
        </w:rPr>
        <w:t xml:space="preserve">本项目车辆租赁服务费按各路线中标单价*实际使用辆次/天数进行结算付款。</w:t>
      </w:r>
      <w:r>
        <w:rPr>
          <w:rFonts w:hint="eastAsia" w:ascii="宋体" w:hAnsi="宋体" w:cs="宋体"/>
          <w:b/>
          <w:bCs/>
          <w:color w:val="auto"/>
          <w:sz w:val="24"/>
          <w:szCs w:val="24"/>
          <w:highlight w:val="none"/>
          <w:u w:val="single"/>
          <w:lang w:val="en-US" w:eastAsia="zh-CN"/>
        </w:rPr>
        <w:t xml:space="preserve">老师及学生供</w:t>
      </w:r>
      <w:r>
        <w:rPr>
          <w:rFonts w:hint="eastAsia" w:ascii="宋体" w:hAnsi="宋体" w:cs="宋体"/>
          <w:b/>
          <w:bCs/>
          <w:color w:val="auto"/>
          <w:sz w:val="24"/>
          <w:szCs w:val="24"/>
          <w:highlight w:val="none"/>
          <w:u w:val="single"/>
          <w:lang w:eastAsia="zh-CN"/>
        </w:rPr>
        <w:t xml:space="preserve">承担约42.25万元，采取</w:t>
      </w:r>
      <w:r>
        <w:rPr>
          <w:rFonts w:hint="eastAsia" w:ascii="宋体" w:hAnsi="宋体" w:cs="宋体"/>
          <w:b/>
          <w:bCs/>
          <w:color w:val="auto"/>
          <w:sz w:val="24"/>
          <w:szCs w:val="24"/>
          <w:highlight w:val="none"/>
          <w:u w:val="single"/>
          <w:lang w:val="en-US" w:eastAsia="zh-CN"/>
        </w:rPr>
        <w:t xml:space="preserve">现结</w:t>
      </w:r>
      <w:r>
        <w:rPr>
          <w:rFonts w:hint="eastAsia" w:ascii="宋体" w:hAnsi="宋体" w:cs="宋体"/>
          <w:b/>
          <w:bCs/>
          <w:color w:val="auto"/>
          <w:sz w:val="24"/>
          <w:szCs w:val="24"/>
          <w:highlight w:val="none"/>
          <w:u w:val="single"/>
          <w:lang w:eastAsia="zh-CN"/>
        </w:rPr>
        <w:t xml:space="preserve">的方式（</w:t>
      </w:r>
      <w:r>
        <w:rPr>
          <w:rFonts w:hint="eastAsia" w:ascii="宋体" w:hAnsi="宋体" w:cs="宋体"/>
          <w:b/>
          <w:bCs/>
          <w:color w:val="auto"/>
          <w:sz w:val="24"/>
          <w:szCs w:val="24"/>
          <w:highlight w:val="none"/>
          <w:u w:val="single"/>
          <w:lang w:val="en-US" w:eastAsia="zh-CN"/>
        </w:rPr>
        <w:t xml:space="preserve">师生乘车现场支付，中标人须配合师生要求提供乘车发票</w:t>
      </w:r>
      <w:r>
        <w:rPr>
          <w:rFonts w:hint="eastAsia" w:ascii="宋体" w:hAnsi="宋体" w:cs="宋体"/>
          <w:b/>
          <w:bCs/>
          <w:color w:val="auto"/>
          <w:sz w:val="24"/>
          <w:szCs w:val="24"/>
          <w:highlight w:val="none"/>
          <w:u w:val="single"/>
          <w:lang w:eastAsia="zh-CN"/>
        </w:rPr>
        <w:t xml:space="preserve">）；财政承担57万，付款前1月成交供应商需提供等额的增值税专用发票及相关路线用车明细汇总，待双方审核一致后，每学年结算一次。否则延迟付款责任由乙方自行承担。</w:t>
      </w:r>
      <w:r/>
    </w:p>
    <w:p>
      <w:pPr>
        <w:pStyle w:val="772"/>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3、乙方应对其指定的下列账户信息的真实性、安全性、准确性负责。</w:t>
      </w:r>
      <w:r/>
    </w:p>
    <w:p>
      <w:pPr>
        <w:pStyle w:val="772"/>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公司全称： </w:t>
      </w:r>
      <w:r/>
    </w:p>
    <w:p>
      <w:pPr>
        <w:pStyle w:val="772"/>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开户银行：</w:t>
      </w:r>
      <w:r/>
    </w:p>
    <w:p>
      <w:pPr>
        <w:pStyle w:val="772"/>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银行账号</w:t>
      </w:r>
      <w:r>
        <w:rPr>
          <w:rFonts w:hint="eastAsia" w:ascii="宋体" w:hAnsi="宋体" w:eastAsia="宋体" w:cs="宋体"/>
          <w:bCs/>
          <w:color w:val="auto"/>
          <w:sz w:val="24"/>
          <w:szCs w:val="24"/>
          <w:highlight w:val="none"/>
          <w:lang w:eastAsia="zh-CN"/>
        </w:rPr>
        <w:t xml:space="preserve">：</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rPr>
          <w:rFonts w:hint="eastAsia" w:ascii="宋体" w:hAnsi="宋体" w:eastAsia="宋体" w:cs="宋体"/>
          <w:b w:val="0"/>
          <w:bCs/>
          <w:color w:val="auto"/>
          <w:sz w:val="24"/>
          <w:szCs w:val="24"/>
          <w:highlight w:val="none"/>
        </w:rPr>
        <w:t xml:space="preserve">五、履行期限：</w:t>
      </w:r>
      <w:r>
        <w:rPr>
          <w:rFonts w:hint="eastAsia" w:ascii="宋体" w:hAnsi="宋体" w:eastAsia="宋体" w:cs="宋体"/>
          <w:b w:val="0"/>
          <w:color w:val="auto"/>
          <w:sz w:val="24"/>
          <w:szCs w:val="24"/>
          <w:highlight w:val="none"/>
        </w:rPr>
        <w:t xml:space="preserve">合同期限两年：自</w:t>
      </w:r>
      <w:r>
        <w:rPr>
          <w:rFonts w:hint="eastAsia" w:ascii="宋体" w:hAnsi="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 xml:space="preserve"> 年 月 日至 </w:t>
      </w:r>
      <w:r>
        <w:rPr>
          <w:rFonts w:hint="eastAsia" w:ascii="宋体" w:hAnsi="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 xml:space="preserve">年 月 日。合同履行</w:t>
      </w:r>
      <w:r>
        <w:rPr>
          <w:rFonts w:hint="eastAsia" w:ascii="宋体" w:hAnsi="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 xml:space="preserve">年    </w:t>
      </w:r>
      <w:r>
        <w:rPr>
          <w:rFonts w:hint="eastAsia" w:ascii="宋体" w:hAnsi="宋体" w:eastAsia="宋体" w:cs="宋体"/>
          <w:b w:val="0"/>
          <w:bCs/>
          <w:color w:val="auto"/>
          <w:sz w:val="24"/>
          <w:szCs w:val="24"/>
          <w:highlight w:val="none"/>
        </w:rPr>
        <w:t xml:space="preserve">六、双方的权利和义务</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w:t>
      </w:r>
      <w:r>
        <w:rPr>
          <w:rFonts w:hint="eastAsia" w:ascii="宋体" w:hAnsi="宋体" w:eastAsia="宋体" w:cs="宋体"/>
          <w:b w:val="0"/>
          <w:bCs/>
          <w:color w:val="auto"/>
          <w:sz w:val="24"/>
          <w:szCs w:val="24"/>
          <w:highlight w:val="none"/>
        </w:rPr>
        <w:t xml:space="preserve">甲方的权利和义务</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(1)根据需要指定承运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行驶区域、路线、站点设置和时间。</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(2)甲方如需法定节假日用车（包括公休和节假日）或者因特殊情况需延长服务时间等，应提前通知乙方，相关费用不变。</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(3)检查乙方承运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状况，并对其服务进行监督，对不符合约定的有权要求乙方整改、更换驾驶人员或承运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(4)有权参与客运过程中发生事故的调查处理。</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(5)按合同约定支付合同价款。</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)甲方有权对乙方车辆委托 4S 店或其他部门进行车况审查。有权查验乙方的运营手续（含保险、证照），有权对不称职或违反招标人规章制度的驾驶员进行教育、批评，并有权向乙方提出更换。</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    2、乙方的权利和义务</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(1)遵守国家有关法律、法规和甲方关于运输服务</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的安全管理规定。</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(2)按合同约定提供安全、优质的客运服务，严格执行甲方指定的时间、行驶区域、路线、站点设置，保证按时按点、安全运行，不影响甲方正常工作。</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(3) 乙方自行承担车辆运行的司机工资、燃料、保险、安全、停车费等费用，并根据甲方要求购买交强险、第三者责任险、车上人员责任险（含乘客和驾驶员）和不计免赔险），以及乙方投标时承诺购买的其他险种。发生交通事故，依法处理。</w:t>
      </w:r>
      <w:r/>
    </w:p>
    <w:p>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(4)乙方确保其司机用真实、有效的驾驶证，并熟悉《中华人民共和国道路交通安全法》的相关内容。司机应保持仪表整洁，服务周到，语言礼貌。</w:t>
      </w:r>
      <w:r/>
    </w:p>
    <w:p>
      <w:pPr>
        <w:spacing w:line="360" w:lineRule="auto"/>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rPr>
        <w:t xml:space="preserve">    (5)乙方司机要确保行车安全和优质服务，并根据天气变化要随时开动冷暖设备保证适宜的车内温度。</w:t>
      </w:r>
      <w:r/>
    </w:p>
    <w:p>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(6)乙方须保持车辆状况良好，干净整洁、车内无异味，定期对坐垫、靠背等设施清洗、消毒，备箱无杂物，车、司机证照及税费齐全有效，车内各种设施功能正常。签订合同时及服务期内每年提供有效证件含车辆合格证、</w:t>
      </w:r>
      <w:r>
        <w:rPr>
          <w:rFonts w:hint="eastAsia" w:ascii="宋体" w:hAnsi="宋体" w:cs="宋体"/>
          <w:b w:val="0"/>
          <w:color w:val="auto"/>
          <w:sz w:val="24"/>
          <w:szCs w:val="24"/>
          <w:highlight w:val="none"/>
          <w:lang w:val="en-US" w:eastAsia="zh-CN"/>
        </w:rPr>
        <w:t xml:space="preserve">车辆安全检测报告、</w:t>
      </w:r>
      <w:r>
        <w:rPr>
          <w:rFonts w:hint="eastAsia" w:ascii="宋体" w:hAnsi="宋体" w:eastAsia="宋体" w:cs="宋体"/>
          <w:b w:val="0"/>
          <w:color w:val="auto"/>
          <w:sz w:val="24"/>
          <w:szCs w:val="24"/>
          <w:highlight w:val="none"/>
        </w:rPr>
        <w:t xml:space="preserve">车辆行驶证、投保单据、驾驶人员驾驶证等相关资料复印件，否则甲方有权无条件单方解除合同。</w:t>
      </w:r>
      <w:r>
        <w:rPr>
          <w:rFonts w:hint="eastAsia" w:ascii="宋体" w:hAnsi="宋体" w:cs="宋体"/>
          <w:b w:val="0"/>
          <w:color w:val="auto"/>
          <w:sz w:val="24"/>
          <w:szCs w:val="24"/>
          <w:highlight w:val="none"/>
          <w:lang w:val="en-US" w:eastAsia="zh-CN"/>
        </w:rPr>
        <w:t xml:space="preserve">所有车辆安装GPS，车辆中标后要录入徐圩新区公车平台。</w:t>
      </w:r>
      <w:r/>
    </w:p>
    <w:p>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(7)车辆在行驶当中出现事故、故障及其他非自然灾害因素不能按合同约定提供服务时，乙方应及时通知甲方负责人并迅速调配不低于同档次车辆顶替以保证甲方人员正常用车需求。如30分钟后仍无车到达，甲方可使用其他第三方车辆完成需求，费用由乙方承担，甲方不予支付该次服务费用。乙方司机不属于甲方工作人员，在工作期间，由于乙方司机的言行对第三者造成的不良影响或损失，由乙方承担全部责任。</w:t>
      </w:r>
      <w:r/>
    </w:p>
    <w:p>
      <w:pPr>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(8)如果在乘客运输过程中出现任何事故导致发生任何财产损失或人身伤亡时，乙方必须承担因此造成的一切后果。乙方应就上述损害或索赔责任购买中国的保险公司所能提供的相应保险，并且如该保险公司的赔付不足以补偿损失时，乙方应承担支付余额的责任。</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车辆的保管、维护保养由乙方负责，因车辆年检、维修等停驶时，乙方应安排不低于同档次车辆顶替；如果毁损、丢失或其他形式的灭失，甲方不承担任何责任，且乙方应及时安排不低于同档次车辆接送乘客前往目的地。</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(10)服务期内，车辆出现质量问题影响正常使用的，或甲方对司机不满意的，乙方应当在接到甲方通知（书面或口头）起半个小</w:t>
      </w:r>
      <w:r>
        <w:rPr>
          <w:rFonts w:hint="eastAsia" w:ascii="宋体" w:hAnsi="宋体" w:cs="宋体"/>
          <w:b w:val="0"/>
          <w:color w:val="auto"/>
          <w:sz w:val="24"/>
          <w:szCs w:val="24"/>
          <w:highlight w:val="none"/>
          <w:lang w:eastAsia="zh-CN"/>
        </w:rPr>
        <w:t xml:space="preserve">时内</w:t>
      </w:r>
      <w:r>
        <w:rPr>
          <w:rFonts w:hint="eastAsia" w:ascii="宋体" w:hAnsi="宋体" w:eastAsia="宋体" w:cs="宋体"/>
          <w:b w:val="0"/>
          <w:color w:val="auto"/>
          <w:sz w:val="24"/>
          <w:szCs w:val="24"/>
          <w:highlight w:val="none"/>
        </w:rPr>
        <w:t xml:space="preserve">派专业技术人员进行维修或更换同等条件车辆或更换司机。如乙方未按时进行维修或更换的，甲方可另行选择他人进行维修、更换车辆或司机以及采取其他合理的补救措施，所产生的一切费用将由乙方承担。</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(11)提供服务的承运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保持性能良好，符合国家规定和甲方客运要求，并对甲方提出的机械问题和安全隐患及时整改。</w:t>
      </w:r>
      <w:r/>
    </w:p>
    <w:p>
      <w:pPr>
        <w:spacing w:line="360" w:lineRule="auto"/>
        <w:shd w:val="clear" w:color="auto" w:fill="ffffff"/>
        <w:tabs>
          <w:tab w:val="left" w:pos="567"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(12)乙方应负责驾驶员的安全教育，驾驶人员必须具备该承运工具的驾驶执照，身体健康，职业道德良好，无重大责任事故记录，驾龄在5年以上。</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(13)应当向乘车人员告知安全运输注意事项，并对乘车人员进行安全警示教育。</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(14)未经甲方同意，乙方不得在承运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行驶途中随意停车或招揽顾客。</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w:t>
      </w:r>
      <w:r>
        <w:rPr>
          <w:rFonts w:hint="eastAsia" w:ascii="宋体" w:hAnsi="宋体" w:eastAsia="宋体" w:cs="宋体"/>
          <w:color w:val="auto"/>
          <w:sz w:val="24"/>
          <w:highlight w:val="none"/>
        </w:rPr>
        <w:t xml:space="preserve">对于因车况（空调、安全、卫生等）原因连续投诉同一车辆多次的（3 次及以上），乙方应更换车辆；因驾驶员两个月内被投诉多次的（3 次及以上），应更换驾驶员。</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w:t>
      </w: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)按合同约定取得合同价款。</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七、</w:t>
      </w:r>
      <w:r>
        <w:rPr>
          <w:rFonts w:hint="eastAsia" w:ascii="宋体" w:hAnsi="宋体" w:eastAsia="宋体" w:cs="宋体"/>
          <w:b w:val="0"/>
          <w:bCs/>
          <w:color w:val="auto"/>
          <w:sz w:val="24"/>
          <w:szCs w:val="24"/>
          <w:highlight w:val="none"/>
        </w:rPr>
        <w:t xml:space="preserve">违约责任</w:t>
      </w:r>
      <w:r/>
    </w:p>
    <w:p>
      <w:pPr>
        <w:spacing w:line="360" w:lineRule="auto"/>
        <w:shd w:val="clear" w:color="auto" w:fill="ffffff"/>
        <w:rPr>
          <w:rFonts w:hint="default" w:ascii="宋体" w:hAnsi="宋体" w:eastAsia="宋体" w:cs="宋体"/>
          <w:b w:val="0"/>
          <w:color w:val="auto"/>
          <w:sz w:val="24"/>
          <w:szCs w:val="24"/>
          <w:highlight w:val="none"/>
          <w:lang w:val="en-US"/>
        </w:rPr>
      </w:pPr>
      <w:r>
        <w:rPr>
          <w:rFonts w:hint="eastAsia" w:ascii="宋体" w:hAnsi="宋体" w:eastAsia="宋体" w:cs="宋体"/>
          <w:b w:val="0"/>
          <w:color w:val="auto"/>
          <w:sz w:val="24"/>
          <w:szCs w:val="24"/>
          <w:highlight w:val="none"/>
        </w:rPr>
        <w:t xml:space="preserve">   1、乙方擅自变更承运工具而降低服务标准的，或因车辆车况、驾驶员被甲方员工投诉，应按每次</w:t>
      </w:r>
      <w:r>
        <w:rPr>
          <w:rFonts w:hint="eastAsia" w:ascii="宋体" w:hAnsi="宋体" w:eastAsia="宋体" w:cs="宋体"/>
          <w:b w:val="0"/>
          <w:color w:val="auto"/>
          <w:sz w:val="24"/>
          <w:szCs w:val="24"/>
          <w:highlight w:val="none"/>
          <w:u w:val="single"/>
        </w:rPr>
        <w:t xml:space="preserve">1000</w:t>
      </w:r>
      <w:r>
        <w:rPr>
          <w:rFonts w:hint="eastAsia" w:ascii="宋体" w:hAnsi="宋体" w:eastAsia="宋体" w:cs="宋体"/>
          <w:b w:val="0"/>
          <w:color w:val="auto"/>
          <w:sz w:val="24"/>
          <w:szCs w:val="24"/>
          <w:highlight w:val="none"/>
        </w:rPr>
        <w:t xml:space="preserve">元向甲方支付违约金，并应及时整改。</w:t>
      </w:r>
      <w:r>
        <w:rPr>
          <w:rFonts w:hint="eastAsia" w:ascii="宋体" w:hAnsi="宋体" w:eastAsia="宋体" w:cs="宋体"/>
          <w:b w:val="0"/>
          <w:color w:val="auto"/>
          <w:sz w:val="24"/>
          <w:szCs w:val="24"/>
          <w:highlight w:val="none"/>
          <w:lang w:val="en-US" w:eastAsia="zh-CN"/>
        </w:rPr>
        <w:t xml:space="preserve">每月累计发生达到或超过</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lang w:val="en-US" w:eastAsia="zh-CN"/>
        </w:rPr>
        <w:t xml:space="preserve">次的，或者服务期内累计达到或超过</w:t>
      </w:r>
      <w:r>
        <w:rPr>
          <w:rFonts w:hint="eastAsia" w:ascii="宋体" w:hAnsi="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lang w:val="en-US" w:eastAsia="zh-CN"/>
        </w:rPr>
        <w:t xml:space="preserve">次的，甲方有权解除本合同。甲方解除合同的，乙方还应向甲方支付合同总金额</w:t>
      </w:r>
      <w:r>
        <w:rPr>
          <w:rFonts w:hint="eastAsia" w:ascii="宋体" w:hAnsi="宋体" w:cs="宋体"/>
          <w:b w:val="0"/>
          <w:color w:val="auto"/>
          <w:sz w:val="24"/>
          <w:szCs w:val="24"/>
          <w:highlight w:val="none"/>
          <w:lang w:val="en-US" w:eastAsia="zh-CN"/>
        </w:rPr>
        <w:t xml:space="preserve">30</w:t>
      </w:r>
      <w:r>
        <w:rPr>
          <w:rFonts w:hint="eastAsia" w:ascii="宋体" w:hAnsi="宋体" w:eastAsia="宋体" w:cs="宋体"/>
          <w:b w:val="0"/>
          <w:color w:val="auto"/>
          <w:sz w:val="24"/>
          <w:szCs w:val="24"/>
          <w:highlight w:val="none"/>
          <w:lang w:val="en-US" w:eastAsia="zh-CN"/>
        </w:rPr>
        <w:t xml:space="preserve">%的违约金，如造成甲方的损失超过违约金的，超出部分由乙方继续承担赔偿责任</w:t>
      </w:r>
      <w:r>
        <w:rPr>
          <w:rFonts w:hint="eastAsia" w:ascii="宋体" w:hAnsi="宋体" w:cs="宋体"/>
          <w:b w:val="0"/>
          <w:color w:val="auto"/>
          <w:sz w:val="24"/>
          <w:szCs w:val="24"/>
          <w:highlight w:val="none"/>
          <w:lang w:val="en-US" w:eastAsia="zh-CN"/>
        </w:rPr>
        <w:t xml:space="preserve">。</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2、因乙方原因若每月无故迟到3次，甲方有权扣除乙方当月服务费10%作为违约金，且3次迟到后每多1次迟到，甲方有权再从乙方当月服务费中扣除500元/次作为违约金。</w:t>
      </w:r>
      <w:r>
        <w:rPr>
          <w:rFonts w:hint="eastAsia" w:ascii="宋体" w:hAnsi="宋体" w:eastAsia="宋体" w:cs="宋体"/>
          <w:b w:val="0"/>
          <w:color w:val="auto"/>
          <w:sz w:val="24"/>
          <w:szCs w:val="24"/>
          <w:highlight w:val="none"/>
          <w:lang w:val="en-US" w:eastAsia="zh-CN"/>
        </w:rPr>
        <w:t xml:space="preserve">每月累计发生达到或超过</w:t>
      </w:r>
      <w:r>
        <w:rPr>
          <w:rFonts w:hint="eastAsia" w:ascii="宋体" w:hAnsi="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lang w:val="en-US" w:eastAsia="zh-CN"/>
        </w:rPr>
        <w:t xml:space="preserve">次的，或者服务期内累计达到或超过</w:t>
      </w:r>
      <w:r>
        <w:rPr>
          <w:rFonts w:hint="eastAsia" w:ascii="宋体" w:hAnsi="宋体" w:cs="宋体"/>
          <w:b w:val="0"/>
          <w:color w:val="auto"/>
          <w:sz w:val="24"/>
          <w:szCs w:val="24"/>
          <w:highlight w:val="none"/>
          <w:lang w:val="en-US" w:eastAsia="zh-CN"/>
        </w:rPr>
        <w:t xml:space="preserve">10</w:t>
      </w:r>
      <w:r>
        <w:rPr>
          <w:rFonts w:hint="eastAsia" w:ascii="宋体" w:hAnsi="宋体" w:eastAsia="宋体" w:cs="宋体"/>
          <w:b w:val="0"/>
          <w:color w:val="auto"/>
          <w:sz w:val="24"/>
          <w:szCs w:val="24"/>
          <w:highlight w:val="none"/>
          <w:lang w:val="en-US" w:eastAsia="zh-CN"/>
        </w:rPr>
        <w:t xml:space="preserve">次的，甲方有权解除本合同。甲方解除合同的，乙方还应向甲方支付合同总金额</w:t>
      </w:r>
      <w:r>
        <w:rPr>
          <w:rFonts w:hint="eastAsia" w:ascii="宋体" w:hAnsi="宋体" w:cs="宋体"/>
          <w:b w:val="0"/>
          <w:color w:val="auto"/>
          <w:sz w:val="24"/>
          <w:szCs w:val="24"/>
          <w:highlight w:val="none"/>
          <w:lang w:val="en-US" w:eastAsia="zh-CN"/>
        </w:rPr>
        <w:t xml:space="preserve">30</w:t>
      </w:r>
      <w:r>
        <w:rPr>
          <w:rFonts w:hint="eastAsia" w:ascii="宋体" w:hAnsi="宋体" w:eastAsia="宋体" w:cs="宋体"/>
          <w:b w:val="0"/>
          <w:color w:val="auto"/>
          <w:sz w:val="24"/>
          <w:szCs w:val="24"/>
          <w:highlight w:val="none"/>
          <w:lang w:val="en-US" w:eastAsia="zh-CN"/>
        </w:rPr>
        <w:t xml:space="preserve">%的违约金，如造成甲方的损失超过违约金的，超出部分由乙方继续承担赔偿责任</w:t>
      </w:r>
      <w:r>
        <w:rPr>
          <w:rFonts w:hint="eastAsia" w:ascii="宋体" w:hAnsi="宋体" w:cs="宋体"/>
          <w:b w:val="0"/>
          <w:color w:val="auto"/>
          <w:sz w:val="24"/>
          <w:szCs w:val="24"/>
          <w:highlight w:val="none"/>
          <w:lang w:val="en-US" w:eastAsia="zh-CN"/>
        </w:rPr>
        <w:t xml:space="preserve">。</w:t>
      </w:r>
      <w:r/>
    </w:p>
    <w:p>
      <w:pPr>
        <w:numPr>
          <w:ilvl w:val="0"/>
          <w:numId w:val="0"/>
        </w:numPr>
        <w:jc w:val="left"/>
        <w:keepLines w:val="0"/>
        <w:keepNext w:val="0"/>
        <w:widowControl/>
        <w:rPr>
          <w:rFonts w:hint="eastAsia" w:ascii="宋体" w:hAnsi="宋体" w:eastAsia="宋体" w:cs="宋体"/>
          <w:b w:val="0"/>
          <w:color w:val="auto"/>
          <w:sz w:val="24"/>
          <w:szCs w:val="24"/>
          <w:highlight w:val="none"/>
        </w:rPr>
        <w:suppressLineNumbers w:val="0"/>
      </w:pPr>
      <w:r>
        <w:rPr>
          <w:rFonts w:hint="eastAsia" w:ascii="宋体" w:hAnsi="宋体" w:eastAsia="宋体" w:cs="宋体"/>
          <w:b w:val="0"/>
          <w:color w:val="auto"/>
          <w:sz w:val="24"/>
          <w:szCs w:val="24"/>
          <w:highlight w:val="none"/>
        </w:rPr>
        <w:t xml:space="preserve">   3、甲方未按合同约定按时支付服务价款，每逾期一天应向乙方支付应付未付价款万分之五的违约金。</w:t>
      </w:r>
      <w:r>
        <w:rPr>
          <w:rFonts w:hint="eastAsia" w:ascii="宋体" w:hAnsi="宋体" w:eastAsia="宋体" w:cs="宋体"/>
          <w:b w:val="0"/>
          <w:color w:val="auto"/>
          <w:sz w:val="24"/>
          <w:szCs w:val="24"/>
          <w:highlight w:val="none"/>
          <w:lang w:val="en-US" w:eastAsia="zh-CN"/>
        </w:rPr>
        <w:t xml:space="preserve">但累计违约金总额不超过逾期付款总额的</w:t>
      </w:r>
      <w:r>
        <w:rPr>
          <w:rFonts w:hint="eastAsia" w:ascii="宋体" w:hAnsi="宋体" w:cs="宋体"/>
          <w:b w:val="0"/>
          <w:color w:val="auto"/>
          <w:sz w:val="24"/>
          <w:szCs w:val="24"/>
          <w:highlight w:val="none"/>
          <w:lang w:val="en-US" w:eastAsia="zh-CN"/>
        </w:rPr>
        <w:t xml:space="preserve">30</w:t>
      </w:r>
      <w:r>
        <w:rPr>
          <w:rFonts w:hint="eastAsia" w:ascii="宋体" w:hAnsi="宋体" w:eastAsia="宋体" w:cs="宋体"/>
          <w:b w:val="0"/>
          <w:color w:val="auto"/>
          <w:sz w:val="24"/>
          <w:szCs w:val="24"/>
          <w:highlight w:val="none"/>
          <w:lang w:val="en-US" w:eastAsia="zh-CN"/>
        </w:rPr>
        <w:t xml:space="preserve">%</w:t>
      </w:r>
      <w:r/>
    </w:p>
    <w:p>
      <w:pPr>
        <w:spacing w:line="360" w:lineRule="auto"/>
        <w:shd w:val="clear" w:color="auto" w:fill="ffffff"/>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rPr>
        <w:t xml:space="preserve">   4、</w:t>
      </w:r>
      <w:r>
        <w:rPr>
          <w:rFonts w:hint="eastAsia" w:ascii="宋体" w:hAnsi="宋体" w:eastAsia="宋体" w:cs="宋体"/>
          <w:b w:val="0"/>
          <w:color w:val="auto"/>
          <w:sz w:val="24"/>
          <w:szCs w:val="24"/>
          <w:highlight w:val="none"/>
          <w:lang w:val="en-US" w:eastAsia="zh-CN"/>
        </w:rPr>
        <w:t xml:space="preserve">乙方有逾期提供服务、有单方解约行为、有导致甲方损失、有转包或分包业务、有在甲方提出异议后乙方不予整改等违约行为之一的，甲方也有权解除合同。甲方解除合同的，无需支付费用，乙方还应向甲方支付合同总金额</w:t>
      </w:r>
      <w:r>
        <w:rPr>
          <w:rFonts w:hint="eastAsia" w:ascii="宋体" w:hAnsi="宋体" w:cs="宋体"/>
          <w:b w:val="0"/>
          <w:color w:val="auto"/>
          <w:sz w:val="24"/>
          <w:szCs w:val="24"/>
          <w:highlight w:val="none"/>
          <w:lang w:val="en-US" w:eastAsia="zh-CN"/>
        </w:rPr>
        <w:t xml:space="preserve">30</w:t>
      </w:r>
      <w:r>
        <w:rPr>
          <w:rFonts w:hint="eastAsia" w:ascii="宋体" w:hAnsi="宋体" w:eastAsia="宋体" w:cs="宋体"/>
          <w:b w:val="0"/>
          <w:color w:val="auto"/>
          <w:sz w:val="24"/>
          <w:szCs w:val="24"/>
          <w:highlight w:val="none"/>
          <w:lang w:val="en-US" w:eastAsia="zh-CN"/>
        </w:rPr>
        <w:t xml:space="preserve">%的违约金，如造成甲方的损失超过违约金的，超出部分由乙方继续承担赔偿责任。如因上述原因或因乙方自身原因无法及时提供服务的，甲方有权选择第三方提供服务由此给甲方造成损失的，由乙方承担赔偿责任。</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   八、合同的生效、变更、解除和终止</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1、本合同经双方法定代表人（负责人）或委托代理人签字并加盖印章后生效。</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2、本合同经双方协商一致，可以变更或解除，合同变更或解除协议应采用书面形式。</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3、具备下列情形之一的，解除权人可单方解除合同，但应向对方发出书面的合同解除通知，通知送达对方时合同解除。</w:t>
      </w:r>
      <w:r/>
    </w:p>
    <w:p>
      <w:pPr>
        <w:spacing w:line="360" w:lineRule="auto"/>
        <w:shd w:val="clear" w:color="auto" w:fill="ffff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(1)甲方解除合同条件</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①在履行期限届满之前，乙方明确表示或者以自己实际行为表明其不履行合同义务的。</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②乙方未按合同约定配备承运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、驾驶人员或未按甲方要求更换承运</w:t>
      </w:r>
      <w:r>
        <w:rPr>
          <w:rFonts w:hint="eastAsia" w:ascii="宋体" w:hAnsi="宋体" w:cs="宋体"/>
          <w:b w:val="0"/>
          <w:color w:val="auto"/>
          <w:sz w:val="24"/>
          <w:szCs w:val="24"/>
          <w:highlight w:val="none"/>
          <w:lang w:val="en-US" w:eastAsia="zh-CN"/>
        </w:rPr>
        <w:t xml:space="preserve">车辆</w:t>
      </w:r>
      <w:r>
        <w:rPr>
          <w:rFonts w:hint="eastAsia" w:ascii="宋体" w:hAnsi="宋体" w:eastAsia="宋体" w:cs="宋体"/>
          <w:b w:val="0"/>
          <w:color w:val="auto"/>
          <w:sz w:val="24"/>
          <w:szCs w:val="24"/>
          <w:highlight w:val="none"/>
        </w:rPr>
        <w:t xml:space="preserve">（因车况连续投诉同一车辆两次）、更换驾驶人员（一个月内同一驾驶人员被甲方员工投诉两次），接到甲方书面催告两次后仍拒不整改的。</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③乙方未按约定履行客运义务，经催告两次仍不履行的。</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④发生事故等造成甲方人员伤亡或财产损失，乙方未按规定及时理赔的。</w:t>
      </w:r>
      <w:r/>
    </w:p>
    <w:p>
      <w:pPr>
        <w:jc w:val="left"/>
        <w:keepLines w:val="0"/>
        <w:keepNext w:val="0"/>
        <w:widowControl/>
        <w:rPr>
          <w:rFonts w:hint="eastAsia" w:ascii="宋体" w:hAnsi="宋体" w:eastAsia="宋体" w:cs="宋体"/>
          <w:b w:val="0"/>
          <w:color w:val="auto"/>
          <w:sz w:val="24"/>
          <w:szCs w:val="24"/>
          <w:highlight w:val="none"/>
        </w:rPr>
        <w:suppressLineNumbers w:val="0"/>
      </w:pPr>
      <w:r>
        <w:rPr>
          <w:rFonts w:hint="eastAsia" w:ascii="宋体" w:hAnsi="宋体" w:eastAsia="宋体" w:cs="宋体"/>
          <w:b w:val="0"/>
          <w:color w:val="auto"/>
          <w:sz w:val="24"/>
          <w:szCs w:val="24"/>
          <w:highlight w:val="none"/>
        </w:rPr>
        <w:t xml:space="preserve">   如发生上述情形，乙方须承担违约责任及承担赔偿责任，且甲方有权要求乙方继续履行合同义务，或解除合同</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解除合同的</w:t>
      </w:r>
      <w:r>
        <w:rPr>
          <w:rFonts w:hint="eastAsia" w:ascii="宋体" w:hAnsi="宋体" w:eastAsia="宋体" w:cs="宋体"/>
          <w:b w:val="0"/>
          <w:color w:val="auto"/>
          <w:sz w:val="24"/>
          <w:szCs w:val="24"/>
          <w:highlight w:val="none"/>
          <w:lang w:val="en-US" w:eastAsia="zh-CN"/>
        </w:rPr>
        <w:t xml:space="preserve">乙方还应向甲方支付合同总金额</w:t>
      </w:r>
      <w:r>
        <w:rPr>
          <w:rFonts w:hint="eastAsia" w:ascii="宋体" w:hAnsi="宋体" w:cs="宋体"/>
          <w:b w:val="0"/>
          <w:color w:val="auto"/>
          <w:sz w:val="24"/>
          <w:szCs w:val="24"/>
          <w:highlight w:val="none"/>
          <w:lang w:val="en-US" w:eastAsia="zh-CN"/>
        </w:rPr>
        <w:t xml:space="preserve">30</w:t>
      </w:r>
      <w:r>
        <w:rPr>
          <w:rFonts w:hint="eastAsia" w:ascii="宋体" w:hAnsi="宋体" w:eastAsia="宋体" w:cs="宋体"/>
          <w:b w:val="0"/>
          <w:color w:val="auto"/>
          <w:sz w:val="24"/>
          <w:szCs w:val="24"/>
          <w:highlight w:val="none"/>
          <w:lang w:val="en-US" w:eastAsia="zh-CN"/>
        </w:rPr>
        <w:t xml:space="preserve">%的违约金，如造成甲方的损失超过违约金的，超出部分由乙方继续承担赔偿责任</w:t>
      </w:r>
      <w:r>
        <w:rPr>
          <w:rFonts w:hint="eastAsia" w:ascii="宋体" w:hAnsi="宋体" w:cs="宋体"/>
          <w:b w:val="0"/>
          <w:color w:val="auto"/>
          <w:sz w:val="24"/>
          <w:szCs w:val="24"/>
          <w:highlight w:val="none"/>
          <w:lang w:val="en-US" w:eastAsia="zh-CN"/>
        </w:rPr>
        <w:t xml:space="preserve">。</w:t>
      </w:r>
      <w:r>
        <w:rPr>
          <w:rFonts w:hint="eastAsia" w:ascii="宋体" w:hAnsi="宋体" w:eastAsia="宋体" w:cs="宋体"/>
          <w:b w:val="0"/>
          <w:color w:val="auto"/>
          <w:sz w:val="24"/>
          <w:szCs w:val="24"/>
          <w:highlight w:val="none"/>
          <w:lang w:val="en-US" w:eastAsia="zh-CN"/>
        </w:rPr>
        <w:t xml:space="preserve">本合同另有约定的，从其约定。</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   (2)乙方解除合同条件</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①在履行期限届满之前，甲方明确表示或者以自己实际行为表明其不履行合同义务的。</w:t>
      </w:r>
      <w:r/>
    </w:p>
    <w:p>
      <w:pPr>
        <w:ind w:firstLine="36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②经两次催告后甲方拒不支付合同价款的。</w:t>
      </w:r>
      <w:r/>
    </w:p>
    <w:p>
      <w:pPr>
        <w:ind w:firstLine="36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乙方有权要求甲方继续履行合同义务，或解除合同。</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4、有下列情形之一的，本合同的权利义务终止：</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(1)合同已经按照约定履行完结。</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 双方协商解除合同。</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(3)一方依据法定或约定原因解除合同的。</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九、争议的解决</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本合同履行过程中发生的纠纷双方可采取协商或向甲方所在地人民法院以诉讼的方式解决。</w:t>
      </w:r>
      <w:r/>
    </w:p>
    <w:p>
      <w:pPr>
        <w:ind w:firstLine="480"/>
        <w:spacing w:line="360" w:lineRule="auto"/>
        <w:shd w:val="clear" w:color="auto" w:fill="ffff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九、合同组成</w:t>
      </w:r>
      <w:r/>
    </w:p>
    <w:p>
      <w:pPr>
        <w:ind w:firstLine="480"/>
        <w:spacing w:line="360" w:lineRule="auto"/>
        <w:shd w:val="clear" w:color="auto" w:fill="ffff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1、本合同文本           3、招标文件及投标文件</w:t>
      </w:r>
      <w:r/>
    </w:p>
    <w:p>
      <w:pPr>
        <w:ind w:firstLine="480"/>
        <w:spacing w:line="360" w:lineRule="auto"/>
        <w:shd w:val="clear" w:color="auto" w:fill="ffff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2、中标通知书           4、甲乙双方商定的其他必要文件</w:t>
      </w:r>
      <w:r/>
    </w:p>
    <w:p>
      <w:pPr>
        <w:ind w:firstLine="48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十、</w:t>
      </w:r>
      <w:r>
        <w:rPr>
          <w:rFonts w:hint="eastAsia" w:ascii="宋体" w:hAnsi="宋体" w:cs="宋体"/>
          <w:b w:val="0"/>
          <w:bCs/>
          <w:color w:val="auto"/>
          <w:sz w:val="24"/>
          <w:szCs w:val="24"/>
          <w:highlight w:val="none"/>
          <w:lang w:eastAsia="zh-CN"/>
        </w:rPr>
        <w:t xml:space="preserve">其他约定</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1、合同服务期内，乙方的车辆发生交通事故时，由乙方自行处理，甲方可以协助乙方做好善后工作，但不承担任何责任和费用。</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2、合同期内，乙方的车辆进行常规维修保养时，乙方应及时为甲方提供同种、同质车辆供甲方正常使用。否则，承租方有权扣除此期间租金。</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3、接送站车辆至少应提前半小时到达甲方指定地点等候，如发生车辆故障或无法提供服务时，乙方应及时提供应急保障车辆并确保30分钟内到达甲方指定地点。</w:t>
      </w:r>
      <w:r/>
    </w:p>
    <w:p>
      <w:pPr>
        <w:ind w:firstLine="42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4、车辆要求：</w:t>
      </w:r>
      <w:r>
        <w:rPr>
          <w:rFonts w:hint="eastAsia" w:ascii="宋体" w:hAnsi="宋体" w:eastAsia="宋体" w:cs="宋体"/>
          <w:color w:val="auto"/>
          <w:sz w:val="24"/>
          <w:szCs w:val="24"/>
          <w:highlight w:val="none"/>
        </w:rPr>
        <w:t xml:space="preserve">所有车型提供的车辆需</w:t>
      </w:r>
      <w:r>
        <w:rPr>
          <w:rFonts w:hint="eastAsia" w:ascii="宋体" w:hAnsi="宋体" w:eastAsia="宋体" w:cs="宋体"/>
          <w:bCs/>
          <w:color w:val="auto"/>
          <w:sz w:val="24"/>
          <w:szCs w:val="24"/>
          <w:highlight w:val="none"/>
          <w:u w:val="single"/>
        </w:rPr>
        <w:t xml:space="preserve">符合《中华人民共和国道路交通安全法》规定的安全行驶相关要求。</w:t>
      </w:r>
      <w:r>
        <w:rPr>
          <w:rFonts w:hint="eastAsia" w:ascii="宋体" w:hAnsi="宋体" w:eastAsia="宋体" w:cs="宋体"/>
          <w:color w:val="auto"/>
          <w:sz w:val="24"/>
          <w:szCs w:val="24"/>
          <w:highlight w:val="none"/>
        </w:rPr>
        <w:t xml:space="preserve">轿车车型应采用不低于大众帕萨特、迈腾级别的合资品牌车</w:t>
      </w:r>
      <w:r>
        <w:rPr>
          <w:rFonts w:hint="eastAsia" w:ascii="宋体" w:hAnsi="宋体" w:eastAsia="宋体" w:cs="宋体"/>
          <w:b w:val="0"/>
          <w:color w:val="auto"/>
          <w:sz w:val="24"/>
          <w:szCs w:val="24"/>
          <w:highlight w:val="none"/>
        </w:rPr>
        <w:t xml:space="preserve">。</w:t>
      </w:r>
      <w:r/>
    </w:p>
    <w:p>
      <w:pPr>
        <w:ind w:firstLine="420"/>
        <w:spacing w:line="360" w:lineRule="auto"/>
        <w:rPr>
          <w:rFonts w:hint="eastAsia" w:ascii="宋体" w:hAnsi="宋体" w:eastAsia="宋体" w:cs="宋体"/>
          <w:b w:val="0"/>
          <w:color w:val="auto"/>
          <w:sz w:val="24"/>
          <w:szCs w:val="24"/>
          <w:highlight w:val="none"/>
        </w:rPr>
      </w:pPr>
      <w:r>
        <w:rPr>
          <w:rFonts w:hint="eastAsia" w:ascii="宋体" w:hAnsi="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驾驶员要求：</w:t>
      </w:r>
      <w:r>
        <w:rPr>
          <w:rFonts w:hint="eastAsia" w:ascii="宋体" w:hAnsi="宋体" w:eastAsia="宋体" w:cs="宋体"/>
          <w:bCs/>
          <w:color w:val="auto"/>
          <w:sz w:val="24"/>
          <w:szCs w:val="24"/>
          <w:highlight w:val="none"/>
          <w:u w:val="single"/>
        </w:rPr>
        <w:t xml:space="preserve">所有驾驶人员应合法持有驾照（驾照等级满足准驾车型要求），身体健康，具备安全驾驶条件。</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、合同未尽事项，由甲乙双方根据国家法律、法规及有关规定协商另行订立补充协议。</w:t>
      </w:r>
      <w:r/>
    </w:p>
    <w:p>
      <w:pPr>
        <w:ind w:firstLine="426"/>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cs="宋体"/>
          <w:b w:val="0"/>
          <w:color w:val="auto"/>
          <w:sz w:val="24"/>
          <w:szCs w:val="24"/>
          <w:highlight w:val="none"/>
          <w:lang w:val="en-US" w:eastAsia="zh-CN"/>
        </w:rPr>
        <w:t xml:space="preserve">7</w:t>
      </w:r>
      <w:r>
        <w:rPr>
          <w:rFonts w:hint="eastAsia" w:ascii="宋体" w:hAnsi="宋体" w:eastAsia="宋体" w:cs="宋体"/>
          <w:b w:val="0"/>
          <w:color w:val="auto"/>
          <w:sz w:val="24"/>
          <w:szCs w:val="24"/>
          <w:highlight w:val="none"/>
        </w:rPr>
        <w:t xml:space="preserve">、本合同一式柒份，甲方执肆份，乙方执叁份，每份具有同等法律效力。</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甲方：                乙方：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（盖章）                                （盖章）</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法定代表人：                           法定代表人：</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委托代理人：                           委托代理人：</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r/>
    </w:p>
    <w:p>
      <w:pPr>
        <w:ind w:firstLine="600"/>
        <w:spacing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年   月   日                          年   月   日</w:t>
      </w:r>
      <w:r/>
    </w:p>
    <w:p>
      <w:pPr>
        <w:pStyle w:val="948"/>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948"/>
        <w:ind w:firstLine="360"/>
        <w:jc w:val="left"/>
        <w:spacing w:line="560" w:lineRule="exact"/>
        <w:rPr>
          <w:rFonts w:hint="eastAsia" w:hAnsi="宋体"/>
          <w:color w:val="auto"/>
          <w:sz w:val="24"/>
          <w:szCs w:val="24"/>
          <w:highlight w:val="none"/>
        </w:rPr>
      </w:pPr>
      <w:r>
        <w:rPr>
          <w:rFonts w:hint="eastAsia" w:hAnsi="宋体"/>
          <w:color w:val="auto"/>
          <w:sz w:val="24"/>
          <w:szCs w:val="24"/>
          <w:highlight w:val="none"/>
        </w:rPr>
      </w:r>
      <w:r/>
    </w:p>
    <w:p>
      <w:pPr>
        <w:pStyle w:val="948"/>
        <w:jc w:val="left"/>
        <w:keepLines w:val="0"/>
        <w:keepNext w:val="0"/>
        <w:pageBreakBefore w:val="0"/>
        <w:spacing w:line="0" w:lineRule="atLeast"/>
        <w:widowControl w:val="off"/>
        <w:rPr>
          <w:rFonts w:hint="eastAsia" w:ascii="宋体" w:hAnsi="宋体" w:eastAsia="宋体" w:cs="宋体"/>
          <w:color w:val="auto"/>
          <w:sz w:val="24"/>
          <w:szCs w:val="24"/>
          <w:highlight w:val="none"/>
        </w:rPr>
        <w:outlineLvl w:val="0"/>
      </w:pPr>
      <w:r>
        <w:rPr>
          <w:rFonts w:ascii="黑体" w:eastAsia="黑体"/>
          <w:bCs/>
          <w:color w:val="auto"/>
          <w:sz w:val="44"/>
          <w:highlight w:val="none"/>
        </w:rPr>
        <w:br w:type="page" w:clear="all"/>
      </w:r>
      <w:r/>
    </w:p>
    <w:p>
      <w:pPr>
        <w:pStyle w:val="948"/>
        <w:jc w:val="center"/>
        <w:spacing w:before="120" w:after="120" w:line="0" w:lineRule="atLeast"/>
        <w:rPr>
          <w:rFonts w:hint="eastAsia" w:hAnsi="宋体"/>
          <w:color w:val="auto"/>
          <w:sz w:val="24"/>
          <w:szCs w:val="24"/>
          <w:highlight w:val="none"/>
        </w:rPr>
        <w:outlineLvl w:val="0"/>
      </w:pPr>
      <w:r/>
      <w:bookmarkStart w:id="241" w:name="_Toc21086"/>
      <w:r>
        <w:rPr>
          <w:rFonts w:hint="eastAsia" w:ascii="黑体" w:hAnsi="Times New Roman" w:eastAsia="黑体"/>
          <w:color w:val="auto"/>
          <w:sz w:val="44"/>
          <w:szCs w:val="44"/>
          <w:highlight w:val="none"/>
        </w:rPr>
        <w:t xml:space="preserve">第</w:t>
      </w:r>
      <w:bookmarkEnd w:id="231"/>
      <w:r>
        <w:rPr>
          <w:rFonts w:hint="eastAsia" w:ascii="黑体" w:hAnsi="Times New Roman" w:eastAsia="黑体"/>
          <w:color w:val="auto"/>
          <w:sz w:val="44"/>
          <w:szCs w:val="44"/>
          <w:highlight w:val="none"/>
        </w:rPr>
        <w:t xml:space="preserve">四章 采购需求</w:t>
      </w:r>
      <w:bookmarkEnd w:id="232"/>
      <w:r/>
      <w:bookmarkEnd w:id="233"/>
      <w:r/>
      <w:bookmarkEnd w:id="234"/>
      <w:r/>
      <w:bookmarkEnd w:id="241"/>
      <w:r/>
      <w:r/>
    </w:p>
    <w:p>
      <w:pPr>
        <w:ind w:firstLine="480"/>
        <w:spacing w:line="360" w:lineRule="auto"/>
        <w:rPr>
          <w:rFonts w:hint="eastAsia" w:ascii="宋体" w:hAnsi="宋体"/>
          <w:color w:val="auto"/>
          <w:sz w:val="24"/>
          <w:szCs w:val="24"/>
          <w:highlight w:val="none"/>
        </w:rPr>
      </w:pPr>
      <w:r/>
      <w:bookmarkStart w:id="242" w:name="_Toc26554093"/>
      <w:r/>
      <w:bookmarkStart w:id="243" w:name="_Toc49090575"/>
      <w:r>
        <w:rPr>
          <w:rFonts w:hint="eastAsia" w:ascii="宋体" w:hAnsi="宋体"/>
          <w:color w:val="auto"/>
          <w:sz w:val="24"/>
          <w:szCs w:val="24"/>
          <w:highlight w:val="none"/>
        </w:rPr>
        <w:t xml:space="preserve">项目属性：</w:t>
      </w:r>
      <w:r>
        <w:rPr>
          <w:rFonts w:hint="eastAsia" w:ascii="宋体" w:hAnsi="宋体"/>
          <w:b/>
          <w:bCs/>
          <w:color w:val="auto"/>
          <w:sz w:val="24"/>
          <w:szCs w:val="24"/>
          <w:highlight w:val="none"/>
        </w:rPr>
        <w:t xml:space="preserve">服务类</w:t>
      </w:r>
      <w:r>
        <w:rPr>
          <w:rFonts w:hint="eastAsia" w:ascii="宋体" w:hAnsi="宋体"/>
          <w:color w:val="auto"/>
          <w:sz w:val="24"/>
          <w:szCs w:val="24"/>
          <w:highlight w:val="none"/>
        </w:rPr>
        <w:t xml:space="preserve">项目。本项目采购标的对应的中小企业划分标准所属行业</w:t>
      </w:r>
      <w:r>
        <w:rPr>
          <w:rFonts w:hint="eastAsia" w:ascii="宋体" w:hAnsi="宋体"/>
          <w:color w:val="auto"/>
          <w:sz w:val="24"/>
          <w:szCs w:val="24"/>
          <w:highlight w:val="none"/>
          <w:lang w:val="en-US" w:eastAsia="zh-CN"/>
        </w:rPr>
        <w:t xml:space="preserve">为</w:t>
      </w:r>
      <w:r>
        <w:rPr>
          <w:rFonts w:hint="eastAsia" w:ascii="宋体" w:hAnsi="宋体"/>
          <w:b/>
          <w:bCs/>
          <w:color w:val="auto"/>
          <w:sz w:val="24"/>
          <w:szCs w:val="24"/>
          <w:highlight w:val="none"/>
          <w:lang w:val="en-US" w:eastAsia="zh-CN"/>
        </w:rPr>
        <w:t xml:space="preserve">租赁与商务服务业</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1、根据《政府采购需求管理办法》等有关规定，采购人确定采购需求。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2、本项目需求中标注★号的款项为实质性要求和条件，由采购人根据实际情况设置，</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必须逐条明确作出满足实质性要求和条件的响应，否则投标无效。</w:t>
      </w:r>
      <w:r/>
    </w:p>
    <w:tbl>
      <w:tblPr>
        <w:tblStyle w:val="98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采购需求中须满足的实质性要求和条件</w:t>
            </w:r>
            <w:r/>
          </w:p>
        </w:tc>
      </w:tr>
      <w:tr>
        <w:trPr>
          <w:jc w:val="center"/>
        </w:trPr>
        <w:tc>
          <w:tcPr>
            <w:tcW w:w="816"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7689"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实质性要求和条件</w:t>
            </w:r>
            <w:r/>
          </w:p>
        </w:tc>
      </w:tr>
      <w:tr>
        <w:trPr>
          <w:jc w:val="center"/>
        </w:trPr>
        <w:tc>
          <w:tcPr>
            <w:tcW w:w="8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7689" w:type="dxa"/>
            <w:vAlign w:val="top"/>
            <w:textDirection w:val="lrTb"/>
            <w:noWrap w:val="false"/>
          </w:tcPr>
          <w:p>
            <w:pPr>
              <w:keepLines w:val="0"/>
              <w:keepNext w:val="0"/>
              <w:pageBreakBefore w:val="0"/>
              <w:spacing w:line="3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★合同履行期限（服务期限）：2025年-2026年学年（具体以采购人指定要求为准）</w:t>
            </w:r>
            <w:r/>
          </w:p>
        </w:tc>
      </w:tr>
      <w:tr>
        <w:trPr>
          <w:jc w:val="center"/>
        </w:trPr>
        <w:tc>
          <w:tcPr>
            <w:tcW w:w="8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7689" w:type="dxa"/>
            <w:vAlign w:val="top"/>
            <w:textDirection w:val="lrTb"/>
            <w:noWrap w:val="false"/>
          </w:tcPr>
          <w:p>
            <w:pPr>
              <w:keepLines w:val="0"/>
              <w:keepNext w:val="0"/>
              <w:pageBreakBefore w:val="0"/>
              <w:spacing w:line="3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★如因采购人需求调整、政策变化、不可抗力等原因，导致本项目中部分内容无需实施的，供应商统一按照实际发生量进行结算。</w:t>
            </w:r>
            <w:r/>
          </w:p>
        </w:tc>
      </w:tr>
      <w:tr>
        <w:trPr>
          <w:jc w:val="center"/>
        </w:trPr>
        <w:tc>
          <w:tcPr>
            <w:tcW w:w="8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7689" w:type="dxa"/>
            <w:vAlign w:val="top"/>
            <w:textDirection w:val="lrTb"/>
            <w:noWrap w:val="false"/>
          </w:tcPr>
          <w:p>
            <w:pPr>
              <w:keepLines w:val="0"/>
              <w:keepNext w:val="0"/>
              <w:pageBreakBefore w:val="0"/>
              <w:spacing w:line="3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付款方式：本项目车辆租赁服务费按各路线成交单价*实际使用辆次/天数进行结算付款。师生承担约42.25万元，采取月结的方式。财政承担57万，付款前1月成交供应商需提供等额的增值税专用发票及相关路线用车明细汇总，待双方审核一致后，每学年结算一次。否则延迟付款责任由乙方自行承担。</w:t>
            </w:r>
            <w:r/>
          </w:p>
        </w:tc>
      </w:tr>
    </w:tbl>
    <w:p>
      <w:pPr>
        <w:pStyle w:val="988"/>
        <w:spacing w:line="360" w:lineRule="auto"/>
        <w:rPr>
          <w:rFonts w:hint="eastAsia" w:ascii="宋体" w:hAnsi="宋体" w:eastAsia="宋体" w:cs="宋体"/>
          <w:color w:val="auto"/>
          <w:sz w:val="24"/>
          <w:szCs w:val="24"/>
          <w:highlight w:val="none"/>
          <w:lang w:val="zh-TW" w:eastAsia="zh-CN" w:bidi="ar-SA"/>
        </w:rPr>
      </w:pPr>
      <w:r>
        <w:rPr>
          <w:rFonts w:hint="eastAsia" w:ascii="宋体" w:hAnsi="宋体" w:cs="宋体"/>
          <w:b/>
          <w:bCs/>
          <w:color w:val="auto"/>
          <w:sz w:val="28"/>
          <w:szCs w:val="28"/>
          <w:highlight w:val="none"/>
        </w:rPr>
        <w:t xml:space="preserve">一、</w:t>
      </w:r>
      <w:r>
        <w:rPr>
          <w:rFonts w:hint="eastAsia" w:ascii="宋体" w:hAnsi="宋体" w:cs="宋体"/>
          <w:b/>
          <w:bCs/>
          <w:color w:val="auto"/>
          <w:sz w:val="28"/>
          <w:szCs w:val="28"/>
          <w:highlight w:val="none"/>
          <w:lang w:val="zh-TW"/>
        </w:rPr>
        <w:t xml:space="preserve">项目背景</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生物中专于2020年8月整体搬迁至徐圩核心区，学生来源主要分布在市内各个县区，且大部分为未成年人。为保障学生出行安全，生物中专每年需租用车辆接送学生和老师往返学校。</w:t>
      </w:r>
      <w:r/>
    </w:p>
    <w:p>
      <w:pPr>
        <w:pStyle w:val="988"/>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b/>
          <w:bCs/>
          <w:color w:val="auto"/>
          <w:sz w:val="28"/>
          <w:szCs w:val="28"/>
          <w:highlight w:val="none"/>
        </w:rPr>
        <w:t xml:space="preserve">二、服务要求</w:t>
      </w:r>
      <w:r/>
    </w:p>
    <w:p>
      <w:pPr>
        <w:numPr>
          <w:ilvl w:val="0"/>
          <w:numId w:val="0"/>
        </w:numPr>
        <w:ind w:left="567"/>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1、租赁车辆明细</w:t>
      </w:r>
      <w:r>
        <w:rPr>
          <w:rFonts w:hint="eastAsia" w:ascii="宋体" w:hAnsi="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（单位：元）</w:t>
      </w:r>
      <w:r/>
    </w:p>
    <w:tbl>
      <w:tblPr>
        <w:tblStyle w:val="759"/>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2378"/>
        <w:gridCol w:w="1828"/>
        <w:gridCol w:w="845"/>
        <w:gridCol w:w="1623"/>
        <w:gridCol w:w="1452"/>
        <w:gridCol w:w="1020"/>
      </w:tblGrid>
      <w:tr>
        <w:trPr/>
        <w:tc>
          <w:tcPr>
            <w:tcW w:w="61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序号</w:t>
            </w:r>
            <w:r/>
          </w:p>
        </w:tc>
        <w:tc>
          <w:tcPr>
            <w:tcW w:w="237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项目（路线）</w:t>
            </w:r>
            <w:r/>
          </w:p>
        </w:tc>
        <w:tc>
          <w:tcPr>
            <w:tcW w:w="182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车辆要求</w:t>
            </w:r>
            <w:r/>
          </w:p>
        </w:tc>
        <w:tc>
          <w:tcPr>
            <w:shd w:val="clear" w:color="auto" w:fill="auto"/>
            <w:tcW w:w="845" w:type="dxa"/>
            <w:vAlign w:val="center"/>
            <w:textDirection w:val="lrTb"/>
            <w:noWrap w:val="false"/>
          </w:tcPr>
          <w:p>
            <w:pPr>
              <w:numPr>
                <w:ilvl w:val="0"/>
                <w:numId w:val="0"/>
              </w:numPr>
              <w:jc w:val="center"/>
              <w:keepLines w:val="0"/>
              <w:keepNext w:val="0"/>
              <w:pageBreakBefore w:val="0"/>
              <w:spacing w:after="0" w:line="320" w:lineRule="exact"/>
              <w:widowControl w:val="off"/>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 xml:space="preserve">数量</w:t>
            </w:r>
            <w:r/>
          </w:p>
          <w:p>
            <w:pPr>
              <w:numPr>
                <w:ilvl w:val="0"/>
                <w:numId w:val="0"/>
              </w:numPr>
              <w:ind w:left="0" w:firstLine="0"/>
              <w:jc w:val="center"/>
              <w:keepLines w:val="0"/>
              <w:keepNext w:val="0"/>
              <w:pageBreakBefore w:val="0"/>
              <w:spacing w:after="0" w:line="320" w:lineRule="exact"/>
              <w:widowControl w:val="off"/>
              <w:rPr>
                <w:rFonts w:hint="eastAsia" w:ascii="Times New Roman" w:hAnsi="Times New Roman" w:eastAsia="宋体" w:cs="Times New Roman"/>
                <w:b w:val="0"/>
                <w:bCs/>
                <w:color w:val="auto"/>
                <w:sz w:val="21"/>
                <w:szCs w:val="21"/>
                <w:highlight w:val="none"/>
                <w:vertAlign w:val="baseline"/>
                <w:lang w:val="en-US" w:eastAsia="zh-CN" w:bidi="ar-SA"/>
              </w:rPr>
            </w:pPr>
            <w:r>
              <w:rPr>
                <w:rFonts w:hint="eastAsia"/>
                <w:b w:val="0"/>
                <w:bCs/>
                <w:color w:val="auto"/>
                <w:highlight w:val="none"/>
                <w:vertAlign w:val="baseline"/>
                <w:lang w:val="en-US" w:eastAsia="zh-CN"/>
              </w:rPr>
              <w:t xml:space="preserve">(辆)</w:t>
            </w:r>
            <w:r/>
          </w:p>
        </w:tc>
        <w:tc>
          <w:tcPr>
            <w:tcW w:w="162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次数</w:t>
            </w:r>
            <w:r/>
          </w:p>
        </w:tc>
        <w:tc>
          <w:tcPr>
            <w:tcW w:w="1452"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★最高限价单价</w:t>
            </w:r>
            <w:r/>
          </w:p>
        </w:tc>
        <w:tc>
          <w:tcPr>
            <w:tcW w:w="1020"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小计</w:t>
            </w:r>
            <w:r/>
          </w:p>
        </w:tc>
      </w:tr>
      <w:tr>
        <w:trPr/>
        <w:tc>
          <w:tcPr>
            <w:tcW w:w="61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1</w:t>
            </w:r>
            <w:r/>
          </w:p>
        </w:tc>
        <w:tc>
          <w:tcPr>
            <w:tcW w:w="237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学校至东辛校区</w:t>
            </w:r>
            <w:r/>
          </w:p>
        </w:tc>
        <w:tc>
          <w:tcPr>
            <w:tcW w:w="1828" w:type="dxa"/>
            <w:vAlign w:val="center"/>
            <w:textDirection w:val="lrTb"/>
            <w:noWrap w:val="false"/>
          </w:tcPr>
          <w:p>
            <w:pPr>
              <w:numPr>
                <w:ilvl w:val="0"/>
                <w:numId w:val="0"/>
              </w:numPr>
              <w:jc w:val="center"/>
              <w:keepLines w:val="0"/>
              <w:keepNext w:val="0"/>
              <w:pageBreakBefore w:val="0"/>
              <w:spacing w:after="0" w:line="320" w:lineRule="exact"/>
              <w:widowControl w:val="off"/>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 xml:space="preserve">大客车（45座以上），带GPS</w:t>
            </w:r>
            <w:r/>
          </w:p>
        </w:tc>
        <w:tc>
          <w:tcPr>
            <w:shd w:val="clear" w:color="auto" w:fill="auto"/>
            <w:tcW w:w="845" w:type="dxa"/>
            <w:vAlign w:val="center"/>
            <w:textDirection w:val="lrTb"/>
            <w:noWrap w:val="false"/>
          </w:tcPr>
          <w:p>
            <w:pPr>
              <w:numPr>
                <w:ilvl w:val="0"/>
                <w:numId w:val="0"/>
              </w:numPr>
              <w:jc w:val="center"/>
              <w:keepLines w:val="0"/>
              <w:keepNext w:val="0"/>
              <w:pageBreakBefore w:val="0"/>
              <w:spacing w:after="0" w:line="320" w:lineRule="exact"/>
              <w:widowControl w:val="off"/>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 xml:space="preserve">4</w:t>
            </w:r>
            <w:r/>
          </w:p>
        </w:tc>
        <w:tc>
          <w:tcPr>
            <w:tcW w:w="162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70趟</w:t>
            </w:r>
            <w:r/>
          </w:p>
        </w:tc>
        <w:tc>
          <w:tcPr>
            <w:tcW w:w="1452"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300</w:t>
            </w:r>
            <w:r/>
          </w:p>
        </w:tc>
        <w:tc>
          <w:tcPr>
            <w:tcW w:w="1020"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8400</w:t>
            </w:r>
            <w:r/>
          </w:p>
        </w:tc>
      </w:tr>
      <w:tr>
        <w:trPr/>
        <w:tc>
          <w:tcPr>
            <w:tcW w:w="61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2</w:t>
            </w:r>
            <w:r/>
          </w:p>
        </w:tc>
        <w:tc>
          <w:tcPr>
            <w:tcW w:w="237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学校至市区</w:t>
            </w:r>
            <w:r/>
          </w:p>
        </w:tc>
        <w:tc>
          <w:tcPr>
            <w:tcW w:w="182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大客车（45座以上），带GPS</w:t>
            </w:r>
            <w:r/>
          </w:p>
        </w:tc>
        <w:tc>
          <w:tcPr>
            <w:shd w:val="clear" w:color="auto" w:fill="auto"/>
            <w:tcW w:w="845" w:type="dxa"/>
            <w:vAlign w:val="center"/>
            <w:textDirection w:val="lrTb"/>
            <w:noWrap w:val="false"/>
          </w:tcPr>
          <w:p>
            <w:pPr>
              <w:numPr>
                <w:ilvl w:val="0"/>
                <w:numId w:val="0"/>
              </w:numPr>
              <w:jc w:val="center"/>
              <w:keepLines w:val="0"/>
              <w:keepNext w:val="0"/>
              <w:pageBreakBefore w:val="0"/>
              <w:spacing w:after="0" w:line="320" w:lineRule="exact"/>
              <w:widowControl w:val="off"/>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 xml:space="preserve">15</w:t>
            </w:r>
            <w:r/>
          </w:p>
        </w:tc>
        <w:tc>
          <w:tcPr>
            <w:tcW w:w="162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70趟</w:t>
            </w:r>
            <w:r/>
          </w:p>
        </w:tc>
        <w:tc>
          <w:tcPr>
            <w:tcW w:w="1452"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450</w:t>
            </w:r>
            <w:r/>
          </w:p>
        </w:tc>
        <w:tc>
          <w:tcPr>
            <w:tcW w:w="1020"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472500</w:t>
            </w:r>
            <w:r/>
          </w:p>
        </w:tc>
      </w:tr>
      <w:tr>
        <w:trPr/>
        <w:tc>
          <w:tcPr>
            <w:tcW w:w="61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3</w:t>
            </w:r>
            <w:r/>
          </w:p>
        </w:tc>
        <w:tc>
          <w:tcPr>
            <w:tcW w:w="237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学校至灌云、东海、赣榆、灌南</w:t>
            </w:r>
            <w:r/>
          </w:p>
        </w:tc>
        <w:tc>
          <w:tcPr>
            <w:tcW w:w="182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大客车（45座以上），带GPS</w:t>
            </w:r>
            <w:r/>
          </w:p>
        </w:tc>
        <w:tc>
          <w:tcPr>
            <w:shd w:val="clear" w:color="auto" w:fill="auto"/>
            <w:tcW w:w="845" w:type="dxa"/>
            <w:vAlign w:val="center"/>
            <w:textDirection w:val="lrTb"/>
            <w:noWrap w:val="false"/>
          </w:tcPr>
          <w:p>
            <w:pPr>
              <w:numPr>
                <w:ilvl w:val="0"/>
                <w:numId w:val="0"/>
              </w:numPr>
              <w:jc w:val="center"/>
              <w:keepLines w:val="0"/>
              <w:keepNext w:val="0"/>
              <w:pageBreakBefore w:val="0"/>
              <w:spacing w:after="0" w:line="320" w:lineRule="exact"/>
              <w:widowControl w:val="off"/>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 xml:space="preserve">8</w:t>
            </w:r>
            <w:r/>
          </w:p>
        </w:tc>
        <w:tc>
          <w:tcPr>
            <w:tcW w:w="162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70趟</w:t>
            </w:r>
            <w:r/>
          </w:p>
        </w:tc>
        <w:tc>
          <w:tcPr>
            <w:tcW w:w="1452"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600</w:t>
            </w:r>
            <w:r/>
          </w:p>
        </w:tc>
        <w:tc>
          <w:tcPr>
            <w:tcW w:w="1020"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336000</w:t>
            </w:r>
            <w:r/>
          </w:p>
        </w:tc>
      </w:tr>
      <w:tr>
        <w:trPr/>
        <w:tc>
          <w:tcPr>
            <w:tcW w:w="61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4</w:t>
            </w:r>
            <w:r/>
          </w:p>
        </w:tc>
        <w:tc>
          <w:tcPr>
            <w:tcW w:w="237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教师接送用车，学校至东辛农场</w:t>
            </w:r>
            <w:r/>
          </w:p>
        </w:tc>
        <w:tc>
          <w:tcPr>
            <w:tcW w:w="1828"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大客车（45座以上），带GPS</w:t>
            </w:r>
            <w:r/>
          </w:p>
        </w:tc>
        <w:tc>
          <w:tcPr>
            <w:shd w:val="clear" w:color="auto" w:fill="auto"/>
            <w:tcW w:w="845" w:type="dxa"/>
            <w:vAlign w:val="center"/>
            <w:textDirection w:val="lrTb"/>
            <w:noWrap w:val="false"/>
          </w:tcPr>
          <w:p>
            <w:pPr>
              <w:numPr>
                <w:ilvl w:val="0"/>
                <w:numId w:val="0"/>
              </w:numPr>
              <w:jc w:val="center"/>
              <w:keepLines w:val="0"/>
              <w:keepNext w:val="0"/>
              <w:pageBreakBefore w:val="0"/>
              <w:spacing w:after="0" w:line="320" w:lineRule="exact"/>
              <w:widowControl w:val="off"/>
              <w:rPr>
                <w:rFonts w:hint="eastAsia"/>
                <w:b w:val="0"/>
                <w:bCs/>
                <w:color w:val="auto"/>
                <w:highlight w:val="none"/>
                <w:vertAlign w:val="baseline"/>
                <w:lang w:val="en-US" w:eastAsia="zh-CN"/>
              </w:rPr>
            </w:pPr>
            <w:r>
              <w:rPr>
                <w:rFonts w:hint="eastAsia"/>
                <w:b w:val="0"/>
                <w:bCs/>
                <w:color w:val="auto"/>
                <w:highlight w:val="none"/>
                <w:vertAlign w:val="baseline"/>
                <w:lang w:val="en-US" w:eastAsia="zh-CN"/>
              </w:rPr>
              <w:t xml:space="preserve">1</w:t>
            </w:r>
            <w:r/>
          </w:p>
        </w:tc>
        <w:tc>
          <w:tcPr>
            <w:tcW w:w="162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200天</w:t>
            </w:r>
            <w:r/>
          </w:p>
        </w:tc>
        <w:tc>
          <w:tcPr>
            <w:tcW w:w="1452"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500</w:t>
            </w:r>
            <w:r/>
          </w:p>
        </w:tc>
        <w:tc>
          <w:tcPr>
            <w:tcW w:w="1020"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100000</w:t>
            </w:r>
            <w:r/>
          </w:p>
        </w:tc>
      </w:tr>
      <w:tr>
        <w:trPr/>
        <w:tc>
          <w:tcPr>
            <w:tcW w:w="613"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5</w:t>
            </w:r>
            <w:r/>
          </w:p>
        </w:tc>
        <w:tc>
          <w:tcPr>
            <w:gridSpan w:val="4"/>
            <w:tcW w:w="6674"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合计</w:t>
            </w:r>
            <w:r/>
          </w:p>
        </w:tc>
        <w:tc>
          <w:tcPr>
            <w:tcW w:w="1452"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default"/>
                <w:b w:val="0"/>
                <w:bCs/>
                <w:color w:val="auto"/>
                <w:highlight w:val="none"/>
                <w:vertAlign w:val="baseline"/>
                <w:lang w:val="en-US" w:eastAsia="zh-CN"/>
              </w:rPr>
            </w:r>
            <w:r/>
          </w:p>
        </w:tc>
        <w:tc>
          <w:tcPr>
            <w:tcW w:w="1020" w:type="dxa"/>
            <w:vAlign w:val="center"/>
            <w:textDirection w:val="lrTb"/>
            <w:noWrap w:val="false"/>
          </w:tcPr>
          <w:p>
            <w:pPr>
              <w:numPr>
                <w:ilvl w:val="0"/>
                <w:numId w:val="0"/>
              </w:numPr>
              <w:jc w:val="center"/>
              <w:keepLines w:val="0"/>
              <w:keepNext w:val="0"/>
              <w:pageBreakBefore w:val="0"/>
              <w:spacing w:after="0" w:line="320" w:lineRule="exact"/>
              <w:widowControl w:val="off"/>
              <w:rPr>
                <w:rFonts w:hint="default"/>
                <w:b w:val="0"/>
                <w:bCs/>
                <w:color w:val="auto"/>
                <w:highlight w:val="none"/>
                <w:vertAlign w:val="baseline"/>
                <w:lang w:val="en-US" w:eastAsia="zh-CN"/>
              </w:rPr>
            </w:pPr>
            <w:r>
              <w:rPr>
                <w:rFonts w:hint="eastAsia"/>
                <w:b w:val="0"/>
                <w:bCs/>
                <w:color w:val="auto"/>
                <w:highlight w:val="none"/>
                <w:vertAlign w:val="baseline"/>
                <w:lang w:val="en-US" w:eastAsia="zh-CN"/>
              </w:rPr>
              <w:t xml:space="preserve">992500</w:t>
            </w:r>
            <w:r/>
          </w:p>
        </w:tc>
      </w:tr>
    </w:tbl>
    <w:p>
      <w:pPr>
        <w:ind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b w:val="0"/>
          <w:color w:val="auto"/>
          <w:sz w:val="24"/>
          <w:szCs w:val="24"/>
          <w:highlight w:val="none"/>
          <w:lang w:val="en-US" w:eastAsia="zh-CN"/>
        </w:rPr>
        <w:t xml:space="preserve">2、</w:t>
      </w:r>
      <w:r>
        <w:rPr>
          <w:rFonts w:hint="eastAsia" w:ascii="宋体" w:hAnsi="宋体" w:cs="宋体"/>
          <w:color w:val="auto"/>
          <w:sz w:val="24"/>
          <w:szCs w:val="24"/>
          <w:highlight w:val="none"/>
        </w:rPr>
        <w:t xml:space="preserve">供应商制定详细周密、切</w:t>
      </w:r>
      <w:r>
        <w:rPr>
          <w:rFonts w:hint="eastAsia" w:ascii="宋体" w:hAnsi="宋体" w:eastAsia="宋体" w:cs="宋体"/>
          <w:color w:val="auto"/>
          <w:sz w:val="24"/>
          <w:szCs w:val="24"/>
          <w:highlight w:val="none"/>
        </w:rPr>
        <w:t xml:space="preserve">实可行的服务保障方案及计划，派遣经明确授权的管理人员或团队对接采购人，日常调度、管理为采购人提供服务的车辆及人员，全天候24小时响应且在半小时到达采购人指定地点，采购人有重大活动保障及应急突发用车要求时，能及时启动相关预案并满足需求。提供标准化、高质量的租车服务，包括但不限于：车辆外观整洁，车内清洁卫生，无烟味、异味；驾驶员着装整齐，</w:t>
      </w:r>
      <w:r>
        <w:rPr>
          <w:rFonts w:hint="eastAsia" w:ascii="宋体" w:hAnsi="宋体" w:cs="宋体"/>
          <w:color w:val="auto"/>
          <w:sz w:val="24"/>
          <w:szCs w:val="24"/>
          <w:highlight w:val="none"/>
        </w:rPr>
        <w:t xml:space="preserve">态度端正，文明、规范、安全行车；充分吸纳采购人要求改进服务质量、创新服务方式的合理建议、意见，认真调查、处理各类服务投诉并</w:t>
      </w:r>
      <w:r>
        <w:rPr>
          <w:rFonts w:hint="eastAsia" w:ascii="宋体" w:hAnsi="宋体" w:cs="宋体"/>
          <w:color w:val="auto"/>
          <w:sz w:val="24"/>
          <w:szCs w:val="24"/>
          <w:highlight w:val="none"/>
          <w:lang w:eastAsia="zh-CN"/>
        </w:rPr>
        <w:t xml:space="preserve">及时</w:t>
      </w:r>
      <w:r>
        <w:rPr>
          <w:rFonts w:hint="eastAsia" w:ascii="宋体" w:hAnsi="宋体" w:cs="宋体"/>
          <w:color w:val="auto"/>
          <w:sz w:val="24"/>
          <w:szCs w:val="24"/>
          <w:highlight w:val="none"/>
        </w:rPr>
        <w:t xml:space="preserve">向采购人反馈等。</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供应商安全管理制度、措施健全完善，方案及计划行之有效并付诸实施，自觉接受采购人的监督管理。</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（1）包括但不限于：传达、学习政府及采购人涉及安全方面的文件、会议、通知精神，观看警示教育片，剖析典型案例，结合自身情况加强、改进安全工作，消除事故隐患；经常性对车辆</w:t>
      </w:r>
      <w:r>
        <w:rPr>
          <w:rFonts w:hint="eastAsia" w:ascii="宋体" w:hAnsi="宋体" w:cs="宋体"/>
          <w:color w:val="auto"/>
          <w:sz w:val="24"/>
          <w:szCs w:val="24"/>
          <w:highlight w:val="none"/>
        </w:rPr>
        <w:t xml:space="preserve">进行安全检查、养护维修，确保车辆状况良好、安全性能可靠，严禁带病出车，严禁车内（包括驾驶员）携带违禁物品，严禁超载，不得人货混装；开展驾驶员日常安全教育及培训，对每一次安全、文明行车提出具体要求，严禁疲劳驾驶，严禁酒后驾车，不得在驾车时开展无关事宜；建立监控系统，对车辆去向动态、行车轨迹、车内状况等进行实时监控，出现违规情况，即时提醒，保障车辆运行规范、安全，同时，要求监控资料可溯源，且只能提供给采购人查阅。此外，供应商应根据政府及采购人要求，严格遵守道路运输、交通安全相关法律法规、规章制度，落实相关工作。</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轨迹、车内状况等进行实时监控，出现违规情况，即时提醒，保障车辆运行规范、安全，同时，要求监控资料可溯源，且只能提供给采购人查阅。此外，供应商应根据政府及采购人要求，严格遵守道路运输、交通安全相关法律法规、规章制度，落实相关工作。</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（2）供应商车辆在校园内行驶和停放时，除遵守各项法律法规外，还应当遵守采购人有关校园交通秩序和安全管理的各项规章制度，采购人可以对校园一般违规车辆给予警告并责令整改；情节严重的，</w:t>
      </w:r>
      <w:r>
        <w:rPr>
          <w:rFonts w:hint="eastAsia" w:ascii="宋体" w:hAnsi="宋体" w:cs="宋体"/>
          <w:color w:val="auto"/>
          <w:sz w:val="24"/>
          <w:szCs w:val="24"/>
          <w:highlight w:val="none"/>
          <w:lang w:val="en-US" w:eastAsia="zh-CN"/>
        </w:rPr>
        <w:t xml:space="preserve">乙方须向甲方支付合同总金额30%的违约金</w:t>
      </w:r>
      <w:r>
        <w:rPr>
          <w:rFonts w:hint="eastAsia" w:ascii="宋体" w:hAnsi="宋体" w:cs="宋体"/>
          <w:color w:val="auto"/>
          <w:sz w:val="24"/>
          <w:szCs w:val="24"/>
          <w:highlight w:val="none"/>
        </w:rPr>
        <w:t xml:space="preserve">；情节严重并造成严重后果的，无条件解除合同并追究相关责任。</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提供服务的车辆发生交通事故、对采购人内部的乘车人员及其他人员造成伤害时，不论政府对事故责任界定如何，均由供应商承担对乘车人员及其他人员造成伤害的全部法律责任且不仅限于保险金额范围内。采购人如派出人员、设备投入参加救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所产生的费用均由供应商负担。</w:t>
      </w:r>
      <w:r/>
    </w:p>
    <w:p>
      <w:pPr>
        <w:ind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hAnsi="宋体" w:cs="宋体"/>
          <w:b w:val="0"/>
          <w:color w:val="auto"/>
          <w:sz w:val="24"/>
          <w:szCs w:val="24"/>
          <w:highlight w:val="none"/>
        </w:rPr>
        <w:t xml:space="preserve">合同服务期内，</w:t>
      </w:r>
      <w:r>
        <w:rPr>
          <w:rFonts w:hint="eastAsia" w:hAnsi="宋体" w:cs="宋体"/>
          <w:b w:val="0"/>
          <w:color w:val="auto"/>
          <w:sz w:val="24"/>
          <w:szCs w:val="24"/>
          <w:highlight w:val="none"/>
          <w:lang w:eastAsia="zh-CN"/>
        </w:rPr>
        <w:t xml:space="preserve">供应商</w:t>
      </w:r>
      <w:r>
        <w:rPr>
          <w:rFonts w:hint="eastAsia" w:hAnsi="宋体" w:cs="宋体"/>
          <w:b w:val="0"/>
          <w:color w:val="auto"/>
          <w:sz w:val="24"/>
          <w:szCs w:val="24"/>
          <w:highlight w:val="none"/>
        </w:rPr>
        <w:t xml:space="preserve">的车辆发生交通事故时，由</w:t>
      </w:r>
      <w:r>
        <w:rPr>
          <w:rFonts w:hint="eastAsia" w:hAnsi="宋体" w:cs="宋体"/>
          <w:b w:val="0"/>
          <w:color w:val="auto"/>
          <w:sz w:val="24"/>
          <w:szCs w:val="24"/>
          <w:highlight w:val="none"/>
          <w:lang w:eastAsia="zh-CN"/>
        </w:rPr>
        <w:t xml:space="preserve">供应商</w:t>
      </w:r>
      <w:r>
        <w:rPr>
          <w:rFonts w:hint="eastAsia" w:hAnsi="宋体" w:cs="宋体"/>
          <w:b w:val="0"/>
          <w:color w:val="auto"/>
          <w:sz w:val="24"/>
          <w:szCs w:val="24"/>
          <w:highlight w:val="none"/>
        </w:rPr>
        <w:t xml:space="preserve">自行处理，</w:t>
      </w:r>
      <w:r>
        <w:rPr>
          <w:rFonts w:hint="eastAsia" w:hAnsi="宋体" w:cs="宋体"/>
          <w:b w:val="0"/>
          <w:color w:val="auto"/>
          <w:sz w:val="24"/>
          <w:szCs w:val="24"/>
          <w:highlight w:val="none"/>
          <w:lang w:eastAsia="zh-CN"/>
        </w:rPr>
        <w:t xml:space="preserve">采购人</w:t>
      </w:r>
      <w:r>
        <w:rPr>
          <w:rFonts w:hint="eastAsia" w:hAnsi="宋体" w:cs="宋体"/>
          <w:b w:val="0"/>
          <w:color w:val="auto"/>
          <w:sz w:val="24"/>
          <w:szCs w:val="24"/>
          <w:highlight w:val="none"/>
        </w:rPr>
        <w:t xml:space="preserve">可以协助</w:t>
      </w:r>
      <w:r>
        <w:rPr>
          <w:rFonts w:hint="eastAsia" w:hAnsi="宋体" w:cs="宋体"/>
          <w:b w:val="0"/>
          <w:color w:val="auto"/>
          <w:sz w:val="24"/>
          <w:szCs w:val="24"/>
          <w:highlight w:val="none"/>
          <w:lang w:eastAsia="zh-CN"/>
        </w:rPr>
        <w:t xml:space="preserve">供应商</w:t>
      </w:r>
      <w:r>
        <w:rPr>
          <w:rFonts w:hint="eastAsia" w:hAnsi="宋体" w:cs="宋体"/>
          <w:b w:val="0"/>
          <w:color w:val="auto"/>
          <w:sz w:val="24"/>
          <w:szCs w:val="24"/>
          <w:highlight w:val="none"/>
        </w:rPr>
        <w:t xml:space="preserve">做好善后工作，但不承担任何责任和费用。</w:t>
      </w:r>
      <w:r>
        <w:rPr>
          <w:rFonts w:hint="eastAsia" w:ascii="宋体" w:hAnsi="宋体" w:cs="宋体"/>
          <w:color w:val="auto"/>
          <w:sz w:val="24"/>
          <w:szCs w:val="24"/>
          <w:highlight w:val="none"/>
        </w:rPr>
        <w:t xml:space="preserve">发生交通事故时，供应商应立即向公安、交警部门、车辆保险部门报告立案，及时派人到达现场处理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并向采购人报告事故情况并登记：一般事故自发生事故起48小时内向采购人报告登记；对采购人的乘车人员造成伤害的事故，自发生事故起1小时内向采购人报告登记。</w:t>
      </w:r>
      <w:r/>
    </w:p>
    <w:p>
      <w:pPr>
        <w:ind w:firstLine="420"/>
        <w:keepLines w:val="0"/>
        <w:keepNext w:val="0"/>
        <w:pageBreakBefore w:val="0"/>
        <w:spacing w:line="520" w:lineRule="exact"/>
        <w:widowControl w:val="off"/>
        <w:rPr>
          <w:rFonts w:hint="eastAsia" w:hAnsi="宋体" w:cs="宋体"/>
          <w:b w:val="0"/>
          <w:color w:val="auto"/>
          <w:sz w:val="24"/>
          <w:szCs w:val="24"/>
          <w:highlight w:val="none"/>
        </w:rPr>
      </w:pPr>
      <w:r>
        <w:rPr>
          <w:rFonts w:hint="eastAsia" w:hAnsi="宋体" w:cs="宋体"/>
          <w:b w:val="0"/>
          <w:color w:val="auto"/>
          <w:sz w:val="24"/>
          <w:szCs w:val="24"/>
          <w:highlight w:val="none"/>
          <w:lang w:eastAsia="zh-CN"/>
        </w:rPr>
        <w:t xml:space="preserve">（</w:t>
      </w:r>
      <w:r>
        <w:rPr>
          <w:rFonts w:hint="eastAsia" w:hAnsi="宋体" w:cs="宋体"/>
          <w:b w:val="0"/>
          <w:color w:val="auto"/>
          <w:sz w:val="24"/>
          <w:szCs w:val="24"/>
          <w:highlight w:val="none"/>
          <w:lang w:val="en-US" w:eastAsia="zh-CN"/>
        </w:rPr>
        <w:t xml:space="preserve">5）</w:t>
      </w:r>
      <w:r>
        <w:rPr>
          <w:rFonts w:hint="eastAsia" w:hAnsi="宋体" w:cs="宋体"/>
          <w:b w:val="0"/>
          <w:color w:val="auto"/>
          <w:sz w:val="24"/>
          <w:szCs w:val="24"/>
          <w:highlight w:val="none"/>
        </w:rPr>
        <w:t xml:space="preserve">合同</w:t>
      </w:r>
      <w:r>
        <w:rPr>
          <w:rFonts w:hint="eastAsia" w:hAnsi="宋体" w:cs="宋体"/>
          <w:b w:val="0"/>
          <w:color w:val="auto"/>
          <w:sz w:val="24"/>
          <w:szCs w:val="24"/>
          <w:highlight w:val="none"/>
          <w:lang w:val="en-US" w:eastAsia="zh-CN"/>
        </w:rPr>
        <w:t xml:space="preserve">服务</w:t>
      </w:r>
      <w:r>
        <w:rPr>
          <w:rFonts w:hint="eastAsia" w:hAnsi="宋体" w:cs="宋体"/>
          <w:b w:val="0"/>
          <w:color w:val="auto"/>
          <w:sz w:val="24"/>
          <w:szCs w:val="24"/>
          <w:highlight w:val="none"/>
        </w:rPr>
        <w:t xml:space="preserve">期内，</w:t>
      </w:r>
      <w:r>
        <w:rPr>
          <w:rFonts w:hint="eastAsia" w:hAnsi="宋体" w:cs="宋体"/>
          <w:b w:val="0"/>
          <w:color w:val="auto"/>
          <w:sz w:val="24"/>
          <w:szCs w:val="24"/>
          <w:highlight w:val="none"/>
          <w:lang w:eastAsia="zh-CN"/>
        </w:rPr>
        <w:t xml:space="preserve">供应商</w:t>
      </w:r>
      <w:r>
        <w:rPr>
          <w:rFonts w:hint="eastAsia" w:hAnsi="宋体" w:cs="宋体"/>
          <w:b w:val="0"/>
          <w:color w:val="auto"/>
          <w:sz w:val="24"/>
          <w:szCs w:val="24"/>
          <w:highlight w:val="none"/>
        </w:rPr>
        <w:t xml:space="preserve">的车辆进行常规维修保养时，</w:t>
      </w:r>
      <w:r>
        <w:rPr>
          <w:rFonts w:hint="eastAsia" w:hAnsi="宋体" w:cs="宋体"/>
          <w:b w:val="0"/>
          <w:color w:val="auto"/>
          <w:sz w:val="24"/>
          <w:szCs w:val="24"/>
          <w:highlight w:val="none"/>
          <w:lang w:eastAsia="zh-CN"/>
        </w:rPr>
        <w:t xml:space="preserve">供应商</w:t>
      </w:r>
      <w:r>
        <w:rPr>
          <w:rFonts w:hint="eastAsia" w:hAnsi="宋体" w:cs="宋体"/>
          <w:b w:val="0"/>
          <w:color w:val="auto"/>
          <w:sz w:val="24"/>
          <w:szCs w:val="24"/>
          <w:highlight w:val="none"/>
        </w:rPr>
        <w:t xml:space="preserve">应及时为</w:t>
      </w:r>
      <w:r>
        <w:rPr>
          <w:rFonts w:hint="eastAsia" w:hAnsi="宋体" w:cs="宋体"/>
          <w:b w:val="0"/>
          <w:color w:val="auto"/>
          <w:sz w:val="24"/>
          <w:szCs w:val="24"/>
          <w:highlight w:val="none"/>
          <w:lang w:eastAsia="zh-CN"/>
        </w:rPr>
        <w:t xml:space="preserve">采购人</w:t>
      </w:r>
      <w:r>
        <w:rPr>
          <w:rFonts w:hint="eastAsia" w:hAnsi="宋体" w:cs="宋体"/>
          <w:b w:val="0"/>
          <w:color w:val="auto"/>
          <w:sz w:val="24"/>
          <w:szCs w:val="24"/>
          <w:highlight w:val="none"/>
        </w:rPr>
        <w:t xml:space="preserve">提供同种、同质车辆供</w:t>
      </w:r>
      <w:r>
        <w:rPr>
          <w:rFonts w:hint="eastAsia" w:hAnsi="宋体" w:cs="宋体"/>
          <w:b w:val="0"/>
          <w:color w:val="auto"/>
          <w:sz w:val="24"/>
          <w:szCs w:val="24"/>
          <w:highlight w:val="none"/>
          <w:lang w:eastAsia="zh-CN"/>
        </w:rPr>
        <w:t xml:space="preserve">采购人</w:t>
      </w:r>
      <w:r>
        <w:rPr>
          <w:rFonts w:hint="eastAsia" w:hAnsi="宋体" w:cs="宋体"/>
          <w:b w:val="0"/>
          <w:color w:val="auto"/>
          <w:sz w:val="24"/>
          <w:szCs w:val="24"/>
          <w:highlight w:val="none"/>
        </w:rPr>
        <w:t xml:space="preserve">正常使用。否则，承租方有权扣除此期间租金。</w:t>
      </w:r>
      <w:r/>
    </w:p>
    <w:p>
      <w:pPr>
        <w:ind w:firstLine="420"/>
        <w:keepLines w:val="0"/>
        <w:keepNext w:val="0"/>
        <w:pageBreakBefore w:val="0"/>
        <w:spacing w:line="520" w:lineRule="exact"/>
        <w:widowControl w:val="off"/>
        <w:rPr>
          <w:rFonts w:hint="default" w:hAnsi="宋体" w:eastAsia="宋体" w:cs="宋体"/>
          <w:b w:val="0"/>
          <w:color w:val="auto"/>
          <w:sz w:val="24"/>
          <w:szCs w:val="24"/>
          <w:highlight w:val="none"/>
          <w:lang w:val="en-US" w:eastAsia="zh-CN"/>
        </w:rPr>
      </w:pPr>
      <w:r>
        <w:rPr>
          <w:rFonts w:hint="eastAsia" w:hAnsi="宋体" w:cs="宋体"/>
          <w:b w:val="0"/>
          <w:color w:val="auto"/>
          <w:sz w:val="24"/>
          <w:szCs w:val="24"/>
          <w:highlight w:val="none"/>
          <w:lang w:eastAsia="zh-CN"/>
        </w:rPr>
        <w:t xml:space="preserve">（</w:t>
      </w:r>
      <w:r>
        <w:rPr>
          <w:rFonts w:hint="eastAsia" w:hAnsi="宋体" w:cs="宋体"/>
          <w:b w:val="0"/>
          <w:color w:val="auto"/>
          <w:sz w:val="24"/>
          <w:szCs w:val="24"/>
          <w:highlight w:val="none"/>
          <w:lang w:val="en-US" w:eastAsia="zh-CN"/>
        </w:rPr>
        <w:t xml:space="preserve">6</w:t>
      </w:r>
      <w:r>
        <w:rPr>
          <w:rFonts w:hint="eastAsia" w:hAnsi="宋体" w:cs="宋体"/>
          <w:b w:val="0"/>
          <w:color w:val="auto"/>
          <w:sz w:val="24"/>
          <w:szCs w:val="24"/>
          <w:highlight w:val="none"/>
          <w:lang w:eastAsia="zh-CN"/>
        </w:rPr>
        <w:t xml:space="preserve">）</w:t>
      </w:r>
      <w:r>
        <w:rPr>
          <w:rFonts w:hint="eastAsia" w:hAnsi="宋体" w:cs="宋体"/>
          <w:b w:val="0"/>
          <w:color w:val="auto"/>
          <w:sz w:val="24"/>
          <w:szCs w:val="24"/>
          <w:highlight w:val="none"/>
          <w:lang w:val="en-US" w:eastAsia="zh-CN"/>
        </w:rPr>
        <w:t xml:space="preserve">合同签订后车辆相关信息必须录入徐圩新区公车平台。</w:t>
      </w:r>
      <w:r/>
    </w:p>
    <w:p>
      <w:pPr>
        <w:ind w:firstLine="420"/>
        <w:keepLines w:val="0"/>
        <w:keepNext w:val="0"/>
        <w:pageBreakBefore w:val="0"/>
        <w:spacing w:line="520" w:lineRule="exact"/>
        <w:widowControl w:val="off"/>
        <w:rPr>
          <w:rFonts w:hint="eastAsia" w:hAnsi="宋体" w:cs="宋体"/>
          <w:b w:val="0"/>
          <w:color w:val="auto"/>
          <w:sz w:val="24"/>
          <w:szCs w:val="24"/>
          <w:highlight w:val="none"/>
        </w:rPr>
      </w:pPr>
      <w:r>
        <w:rPr>
          <w:rFonts w:hint="eastAsia" w:hAnsi="宋体" w:cs="宋体"/>
          <w:b w:val="0"/>
          <w:color w:val="auto"/>
          <w:sz w:val="24"/>
          <w:szCs w:val="24"/>
          <w:highlight w:val="none"/>
          <w:lang w:val="en-US" w:eastAsia="zh-CN"/>
        </w:rPr>
        <w:t xml:space="preserve">6、</w:t>
      </w:r>
      <w:r>
        <w:rPr>
          <w:rFonts w:hint="eastAsia" w:hAnsi="宋体" w:cs="宋体"/>
          <w:b w:val="0"/>
          <w:color w:val="auto"/>
          <w:sz w:val="24"/>
          <w:szCs w:val="24"/>
          <w:highlight w:val="none"/>
        </w:rPr>
        <w:t xml:space="preserve">接送站车辆至少应提前半小时到达</w:t>
      </w:r>
      <w:r>
        <w:rPr>
          <w:rFonts w:hint="eastAsia" w:hAnsi="宋体" w:cs="宋体"/>
          <w:b w:val="0"/>
          <w:color w:val="auto"/>
          <w:sz w:val="24"/>
          <w:szCs w:val="24"/>
          <w:highlight w:val="none"/>
          <w:lang w:eastAsia="zh-CN"/>
        </w:rPr>
        <w:t xml:space="preserve">采购人</w:t>
      </w:r>
      <w:r>
        <w:rPr>
          <w:rFonts w:hint="eastAsia" w:hAnsi="宋体" w:cs="宋体"/>
          <w:b w:val="0"/>
          <w:color w:val="auto"/>
          <w:sz w:val="24"/>
          <w:szCs w:val="24"/>
          <w:highlight w:val="none"/>
        </w:rPr>
        <w:t xml:space="preserve">指定地点等候，如发生车辆故障或无法提供服务时，中标人应及时提供应急保障车辆并确保30分钟内到达</w:t>
      </w:r>
      <w:r>
        <w:rPr>
          <w:rFonts w:hint="eastAsia" w:hAnsi="宋体" w:cs="宋体"/>
          <w:b w:val="0"/>
          <w:color w:val="auto"/>
          <w:sz w:val="24"/>
          <w:szCs w:val="24"/>
          <w:highlight w:val="none"/>
          <w:lang w:eastAsia="zh-CN"/>
        </w:rPr>
        <w:t xml:space="preserve">采购人</w:t>
      </w:r>
      <w:r>
        <w:rPr>
          <w:rFonts w:hint="eastAsia" w:hAnsi="宋体" w:cs="宋体"/>
          <w:b w:val="0"/>
          <w:color w:val="auto"/>
          <w:sz w:val="24"/>
          <w:szCs w:val="24"/>
          <w:highlight w:val="none"/>
        </w:rPr>
        <w:t xml:space="preserve">指定地点。</w:t>
      </w:r>
      <w:r/>
    </w:p>
    <w:p>
      <w:pPr>
        <w:ind w:firstLine="420"/>
        <w:keepLines w:val="0"/>
        <w:keepNext w:val="0"/>
        <w:pageBreakBefore w:val="0"/>
        <w:spacing w:line="520" w:lineRule="exact"/>
        <w:widowControl w:val="off"/>
        <w:rPr>
          <w:rFonts w:hint="eastAsia" w:hAnsi="宋体" w:cs="宋体"/>
          <w:bCs/>
          <w:i w:val="0"/>
          <w:iCs w:val="0"/>
          <w:color w:val="auto"/>
          <w:sz w:val="24"/>
          <w:szCs w:val="24"/>
          <w:highlight w:val="none"/>
          <w:u w:val="none"/>
        </w:rPr>
      </w:pPr>
      <w:r>
        <w:rPr>
          <w:rFonts w:hint="eastAsia" w:hAnsi="宋体" w:cs="宋体"/>
          <w:b w:val="0"/>
          <w:i w:val="0"/>
          <w:iCs w:val="0"/>
          <w:color w:val="auto"/>
          <w:sz w:val="24"/>
          <w:szCs w:val="24"/>
          <w:highlight w:val="none"/>
          <w:u w:val="none"/>
          <w:lang w:val="en-US" w:eastAsia="zh-CN"/>
        </w:rPr>
        <w:t xml:space="preserve">7、</w:t>
      </w:r>
      <w:r>
        <w:rPr>
          <w:rFonts w:hint="eastAsia" w:hAnsi="宋体" w:cs="宋体"/>
          <w:b w:val="0"/>
          <w:i w:val="0"/>
          <w:iCs w:val="0"/>
          <w:color w:val="auto"/>
          <w:sz w:val="24"/>
          <w:szCs w:val="24"/>
          <w:highlight w:val="none"/>
          <w:u w:val="none"/>
        </w:rPr>
        <w:t xml:space="preserve">车辆要求：</w:t>
      </w:r>
      <w:r>
        <w:rPr>
          <w:rFonts w:hint="eastAsia" w:hAnsi="宋体" w:cs="宋体"/>
          <w:i w:val="0"/>
          <w:iCs w:val="0"/>
          <w:color w:val="auto"/>
          <w:sz w:val="24"/>
          <w:szCs w:val="24"/>
          <w:highlight w:val="none"/>
          <w:u w:val="none"/>
        </w:rPr>
        <w:t xml:space="preserve">所有车型提供的车辆需</w:t>
      </w:r>
      <w:r>
        <w:rPr>
          <w:rFonts w:hint="eastAsia" w:hAnsi="宋体" w:cs="宋体"/>
          <w:bCs/>
          <w:i w:val="0"/>
          <w:iCs w:val="0"/>
          <w:color w:val="auto"/>
          <w:sz w:val="24"/>
          <w:szCs w:val="24"/>
          <w:highlight w:val="none"/>
          <w:u w:val="none"/>
        </w:rPr>
        <w:t xml:space="preserve">符合《中华人民共和国道路交通安全法》规定的安全行驶相关要求。</w:t>
      </w:r>
      <w:r/>
    </w:p>
    <w:p>
      <w:pPr>
        <w:ind w:firstLine="420"/>
        <w:keepLines w:val="0"/>
        <w:keepNext w:val="0"/>
        <w:pageBreakBefore w:val="0"/>
        <w:spacing w:line="520" w:lineRule="exact"/>
        <w:widowControl w:val="off"/>
        <w:rPr>
          <w:rFonts w:hint="eastAsia" w:hAnsi="宋体" w:cs="宋体"/>
          <w:bCs/>
          <w:i w:val="0"/>
          <w:iCs w:val="0"/>
          <w:color w:val="auto"/>
          <w:sz w:val="24"/>
          <w:szCs w:val="24"/>
          <w:highlight w:val="none"/>
          <w:u w:val="none"/>
        </w:rPr>
      </w:pPr>
      <w:r>
        <w:rPr>
          <w:rFonts w:hint="eastAsia" w:hAnsi="宋体" w:cs="宋体"/>
          <w:bCs/>
          <w:i w:val="0"/>
          <w:iCs w:val="0"/>
          <w:color w:val="auto"/>
          <w:sz w:val="24"/>
          <w:szCs w:val="24"/>
          <w:highlight w:val="none"/>
          <w:u w:val="none"/>
          <w:lang w:val="en-US" w:eastAsia="zh-CN"/>
        </w:rPr>
        <w:t xml:space="preserve">8、</w:t>
      </w:r>
      <w:r>
        <w:rPr>
          <w:rFonts w:hint="eastAsia" w:hAnsi="宋体" w:cs="宋体"/>
          <w:bCs/>
          <w:i w:val="0"/>
          <w:iCs w:val="0"/>
          <w:color w:val="auto"/>
          <w:sz w:val="24"/>
          <w:szCs w:val="24"/>
          <w:highlight w:val="none"/>
          <w:u w:val="none"/>
        </w:rPr>
        <w:t xml:space="preserve">驾驶员要求：所有驾驶人员应合法持有驾照（驾照等级满足准驾车型要求），身体健康，具备安全驾驶条件。</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hAnsi="宋体" w:cs="宋体"/>
          <w:b w:val="0"/>
          <w:color w:val="auto"/>
          <w:sz w:val="24"/>
          <w:szCs w:val="24"/>
          <w:highlight w:val="none"/>
          <w:u w:val="none"/>
          <w:lang w:val="en-US" w:eastAsia="zh-CN"/>
        </w:rPr>
        <w:t xml:space="preserve">9、</w:t>
      </w:r>
      <w:r>
        <w:rPr>
          <w:rFonts w:hint="eastAsia" w:ascii="宋体" w:hAnsi="宋体" w:cs="宋体"/>
          <w:color w:val="auto"/>
          <w:sz w:val="24"/>
          <w:szCs w:val="24"/>
          <w:highlight w:val="none"/>
          <w:u w:val="none"/>
        </w:rPr>
        <w:t xml:space="preserve">中标的供应商在提供服务过程</w:t>
      </w:r>
      <w:r>
        <w:rPr>
          <w:rFonts w:hint="eastAsia" w:ascii="宋体" w:hAnsi="宋体" w:cs="宋体"/>
          <w:color w:val="auto"/>
          <w:sz w:val="24"/>
          <w:szCs w:val="24"/>
          <w:highlight w:val="none"/>
        </w:rPr>
        <w:t xml:space="preserve">中，如发生以下情形之一的，采购人有权无条件解除合同并保留进一步追究法律责任的权利：</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（1）提供虚假材料或通过不正当手段中标，但在评标过程中未被发现的； </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不遵守政府及采购人关于道路运输、交通安全、校园交通秩序和安全管理方面的法律法规、规章制度、文件通知，不支持配合采购人的监督管理工作，安全责任落实及工作开展不到位，对采购人提出的问题拒不整改或整改未达要求的； </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（3）提供服务时，触及法律法规及其它强制性文件的禁止事项、行为，对行车过程造成安全隐患的； </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（4）发生交通事故、对采购人的乘车人员及其他人员造成伤害，且在事故责任鉴定中承担一定或全部过错的；</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（5）服务意识及质量较差，被采购人的内部单位或乘车人员累计投诉3次及以上的； </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（6）结算费用时不按采购人要求规范、据实结算的；</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（7）造成采购人校园安全风险的；</w:t>
      </w:r>
      <w:r/>
    </w:p>
    <w:p>
      <w:pPr>
        <w:ind w:firstLine="42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（8）未经甲方书面允许，擅自将本合同项下义务转包或分包给第三方的；</w:t>
      </w:r>
      <w:r/>
    </w:p>
    <w:p>
      <w:pPr>
        <w:ind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）法律法规及本招标文件规定的属可解除合同的其它事项。</w:t>
      </w:r>
      <w:r/>
    </w:p>
    <w:p>
      <w:pPr>
        <w:keepLines w:val="0"/>
        <w:keepNext w:val="0"/>
        <w:pageBreakBefore w:val="0"/>
        <w:spacing w:line="520" w:lineRule="exact"/>
        <w:widowControl w:val="off"/>
        <w:tabs>
          <w:tab w:val="left" w:pos="3272" w:leader="none"/>
        </w:tabs>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线路安排：</w:t>
      </w:r>
      <w:r/>
    </w:p>
    <w:p>
      <w:pPr>
        <w:ind w:firstLine="420"/>
        <w:jc w:val="center"/>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接送师生车辆线路安排表</w:t>
      </w:r>
      <w:r/>
    </w:p>
    <w:tbl>
      <w:tblPr>
        <w:tblStyle w:val="738"/>
        <w:tblpPr w:horzAnchor="page" w:tblpX="1409" w:vertAnchor="text" w:tblpY="11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093"/>
        <w:gridCol w:w="6060"/>
        <w:gridCol w:w="788"/>
      </w:tblGrid>
      <w:tr>
        <w:trPr>
          <w:trHeight w:val="624"/>
        </w:trPr>
        <w:tc>
          <w:tcPr>
            <w:tcW w:w="828" w:type="dxa"/>
            <w:vAlign w:val="center"/>
            <w:textDirection w:val="lrTb"/>
            <w:noWrap w:val="false"/>
          </w:tcPr>
          <w:p>
            <w:pPr>
              <w:pStyle w:val="1031"/>
              <w:ind w:left="90" w:right="127"/>
              <w:jc w:val="center"/>
              <w:spacing w:before="123"/>
              <w:rPr>
                <w:color w:val="auto"/>
                <w:sz w:val="24"/>
                <w:szCs w:val="24"/>
                <w:highlight w:val="none"/>
              </w:rPr>
            </w:pPr>
            <w:r>
              <w:rPr>
                <w:color w:val="auto"/>
                <w:sz w:val="24"/>
                <w:szCs w:val="24"/>
                <w:highlight w:val="none"/>
              </w:rPr>
              <w:t xml:space="preserve">序号</w:t>
            </w:r>
            <w:r/>
          </w:p>
        </w:tc>
        <w:tc>
          <w:tcPr>
            <w:tcW w:w="1093" w:type="dxa"/>
            <w:vAlign w:val="center"/>
            <w:textDirection w:val="lrTb"/>
            <w:noWrap w:val="false"/>
          </w:tcPr>
          <w:p>
            <w:pPr>
              <w:pStyle w:val="1031"/>
              <w:ind w:left="223" w:right="215"/>
              <w:jc w:val="center"/>
              <w:spacing w:before="122"/>
              <w:rPr>
                <w:color w:val="auto"/>
                <w:position w:val="1"/>
                <w:sz w:val="24"/>
                <w:szCs w:val="24"/>
                <w:highlight w:val="none"/>
              </w:rPr>
            </w:pPr>
            <w:r>
              <w:rPr>
                <w:color w:val="auto"/>
                <w:position w:val="1"/>
                <w:sz w:val="24"/>
                <w:szCs w:val="24"/>
                <w:highlight w:val="none"/>
              </w:rPr>
              <w:t xml:space="preserve">方向</w:t>
            </w:r>
            <w:r/>
          </w:p>
        </w:tc>
        <w:tc>
          <w:tcPr>
            <w:tcW w:w="6060" w:type="dxa"/>
            <w:vAlign w:val="center"/>
            <w:textDirection w:val="lrTb"/>
            <w:noWrap w:val="false"/>
          </w:tcPr>
          <w:p>
            <w:pPr>
              <w:pStyle w:val="1031"/>
              <w:ind w:left="223" w:right="215"/>
              <w:jc w:val="center"/>
              <w:spacing w:before="122"/>
              <w:rPr>
                <w:color w:val="auto"/>
                <w:position w:val="1"/>
                <w:sz w:val="24"/>
                <w:szCs w:val="24"/>
                <w:highlight w:val="none"/>
              </w:rPr>
            </w:pPr>
            <w:r>
              <w:rPr>
                <w:color w:val="auto"/>
                <w:position w:val="1"/>
                <w:sz w:val="24"/>
                <w:szCs w:val="24"/>
                <w:highlight w:val="none"/>
              </w:rPr>
              <w:t xml:space="preserve">运行线路</w:t>
            </w:r>
            <w:r/>
          </w:p>
        </w:tc>
        <w:tc>
          <w:tcPr>
            <w:tcW w:w="788" w:type="dxa"/>
            <w:vAlign w:val="center"/>
            <w:textDirection w:val="lrTb"/>
            <w:noWrap w:val="false"/>
          </w:tcPr>
          <w:p>
            <w:pPr>
              <w:pStyle w:val="1031"/>
              <w:ind w:left="114"/>
              <w:jc w:val="center"/>
              <w:spacing w:before="123"/>
              <w:rPr>
                <w:color w:val="auto"/>
                <w:sz w:val="24"/>
                <w:szCs w:val="24"/>
                <w:highlight w:val="none"/>
              </w:rPr>
            </w:pPr>
            <w:r>
              <w:rPr>
                <w:color w:val="auto"/>
                <w:sz w:val="24"/>
                <w:szCs w:val="24"/>
                <w:highlight w:val="none"/>
              </w:rPr>
              <w:t xml:space="preserve">备注</w:t>
            </w:r>
            <w:r/>
          </w:p>
        </w:tc>
      </w:tr>
      <w:tr>
        <w:trPr>
          <w:trHeight w:val="623"/>
        </w:trPr>
        <w:tc>
          <w:tcPr>
            <w:tcW w:w="828" w:type="dxa"/>
            <w:vAlign w:val="center"/>
            <w:textDirection w:val="lrTb"/>
            <w:noWrap w:val="false"/>
          </w:tcPr>
          <w:p>
            <w:pPr>
              <w:pStyle w:val="1031"/>
              <w:ind w:left="43"/>
              <w:jc w:val="center"/>
              <w:spacing w:before="59"/>
              <w:rPr>
                <w:rFonts w:ascii="Times New Roman"/>
                <w:color w:val="auto"/>
                <w:sz w:val="24"/>
                <w:szCs w:val="24"/>
                <w:highlight w:val="none"/>
              </w:rPr>
            </w:pPr>
            <w:r>
              <w:rPr>
                <w:rFonts w:ascii="Times New Roman"/>
                <w:color w:val="auto"/>
                <w:sz w:val="24"/>
                <w:szCs w:val="24"/>
                <w:highlight w:val="none"/>
              </w:rPr>
              <w:t xml:space="preserve">1</w:t>
            </w:r>
            <w:r/>
          </w:p>
        </w:tc>
        <w:tc>
          <w:tcPr>
            <w:tcW w:w="1093" w:type="dxa"/>
            <w:vAlign w:val="center"/>
            <w:vMerge w:val="restart"/>
            <w:textDirection w:val="lrTb"/>
            <w:noWrap w:val="false"/>
          </w:tcPr>
          <w:p>
            <w:pPr>
              <w:pStyle w:val="1031"/>
              <w:ind w:left="223" w:right="215"/>
              <w:jc w:val="center"/>
              <w:spacing w:before="122"/>
              <w:rPr>
                <w:rFonts w:hint="eastAsia"/>
                <w:color w:val="auto"/>
                <w:position w:val="1"/>
                <w:sz w:val="24"/>
                <w:szCs w:val="24"/>
                <w:highlight w:val="none"/>
              </w:rPr>
            </w:pPr>
            <w:r>
              <w:rPr>
                <w:rFonts w:hint="eastAsia"/>
                <w:color w:val="auto"/>
                <w:position w:val="1"/>
                <w:sz w:val="24"/>
                <w:szCs w:val="24"/>
                <w:highlight w:val="none"/>
              </w:rPr>
              <w:t xml:space="preserve">学校至东辛校区</w:t>
            </w:r>
            <w:r/>
          </w:p>
        </w:tc>
        <w:tc>
          <w:tcPr>
            <w:tcW w:w="6060" w:type="dxa"/>
            <w:vAlign w:val="center"/>
            <w:textDirection w:val="lrTb"/>
            <w:noWrap w:val="false"/>
          </w:tcPr>
          <w:p>
            <w:pPr>
              <w:pStyle w:val="1031"/>
              <w:ind w:left="223" w:right="215"/>
              <w:jc w:val="center"/>
              <w:spacing w:before="122"/>
              <w:rPr>
                <w:color w:val="auto"/>
                <w:position w:val="1"/>
                <w:sz w:val="24"/>
                <w:szCs w:val="24"/>
                <w:highlight w:val="none"/>
              </w:rPr>
            </w:pPr>
            <w:r>
              <w:rPr>
                <w:color w:val="auto"/>
                <w:position w:val="1"/>
                <w:sz w:val="24"/>
                <w:szCs w:val="24"/>
                <w:highlight w:val="none"/>
              </w:rPr>
              <w:t xml:space="preserve">生物中专-东辛农场职中校内 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43"/>
              <w:jc w:val="center"/>
              <w:spacing w:before="59"/>
              <w:rPr>
                <w:rFonts w:ascii="Times New Roman"/>
                <w:color w:val="auto"/>
                <w:sz w:val="24"/>
                <w:szCs w:val="24"/>
                <w:highlight w:val="none"/>
              </w:rPr>
            </w:pPr>
            <w:r>
              <w:rPr>
                <w:rFonts w:ascii="Times New Roman"/>
                <w:color w:val="auto"/>
                <w:sz w:val="24"/>
                <w:szCs w:val="24"/>
                <w:highlight w:val="none"/>
              </w:rPr>
              <w:t xml:space="preserve">2</w:t>
            </w:r>
            <w:r/>
          </w:p>
        </w:tc>
        <w:tc>
          <w:tcPr>
            <w:tcBorders>
              <w:top w:val="none" w:color="000000" w:sz="4" w:space="0"/>
            </w:tcBorders>
            <w:tcW w:w="1093" w:type="dxa"/>
            <w:vAlign w:val="center"/>
            <w:vMerge w:val="continue"/>
            <w:textDirection w:val="lrTb"/>
            <w:noWrap w:val="false"/>
          </w:tcPr>
          <w:p>
            <w:pPr>
              <w:jc w:val="center"/>
              <w:rPr>
                <w:rFonts w:hint="default" w:ascii="宋体" w:hAnsi="宋体" w:eastAsia="宋体" w:cs="宋体"/>
                <w:color w:val="auto"/>
                <w:position w:val="1"/>
                <w:sz w:val="24"/>
                <w:szCs w:val="24"/>
                <w:highlight w:val="none"/>
                <w:lang w:val="zh-CN" w:eastAsia="zh-CN" w:bidi="zh-CN"/>
              </w:rPr>
            </w:pPr>
            <w:r>
              <w:rPr>
                <w:rFonts w:hint="default" w:ascii="宋体" w:hAnsi="宋体" w:eastAsia="宋体" w:cs="宋体"/>
                <w:color w:val="auto"/>
                <w:position w:val="1"/>
                <w:sz w:val="24"/>
                <w:szCs w:val="24"/>
                <w:highlight w:val="none"/>
                <w:lang w:val="zh-CN" w:eastAsia="zh-CN" w:bidi="zh-CN"/>
              </w:rPr>
            </w:r>
            <w:r/>
          </w:p>
        </w:tc>
        <w:tc>
          <w:tcPr>
            <w:tcW w:w="6060" w:type="dxa"/>
            <w:vAlign w:val="center"/>
            <w:textDirection w:val="lrTb"/>
            <w:noWrap w:val="false"/>
          </w:tcPr>
          <w:p>
            <w:pPr>
              <w:pStyle w:val="1031"/>
              <w:ind w:left="223" w:right="215"/>
              <w:jc w:val="center"/>
              <w:spacing w:before="124"/>
              <w:rPr>
                <w:rFonts w:hint="default" w:ascii="宋体" w:hAnsi="宋体" w:eastAsia="宋体" w:cs="宋体"/>
                <w:color w:val="auto"/>
                <w:position w:val="1"/>
                <w:sz w:val="24"/>
                <w:szCs w:val="24"/>
                <w:highlight w:val="none"/>
                <w:lang w:val="zh-CN" w:eastAsia="zh-CN" w:bidi="zh-CN"/>
              </w:rPr>
            </w:pPr>
            <w:r>
              <w:rPr>
                <w:rFonts w:hint="default" w:ascii="宋体" w:hAnsi="宋体" w:eastAsia="宋体" w:cs="宋体"/>
                <w:color w:val="auto"/>
                <w:position w:val="1"/>
                <w:sz w:val="24"/>
                <w:szCs w:val="24"/>
                <w:highlight w:val="none"/>
                <w:lang w:val="zh-CN" w:eastAsia="zh-CN" w:bidi="zh-CN"/>
              </w:rPr>
              <w:t xml:space="preserve">生物中专-东辛农场职中校内 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43"/>
              <w:jc w:val="center"/>
              <w:spacing w:before="58"/>
              <w:rPr>
                <w:rFonts w:ascii="Times New Roman"/>
                <w:color w:val="auto"/>
                <w:sz w:val="24"/>
                <w:szCs w:val="24"/>
                <w:highlight w:val="none"/>
              </w:rPr>
            </w:pPr>
            <w:r>
              <w:rPr>
                <w:rFonts w:ascii="Times New Roman"/>
                <w:color w:val="auto"/>
                <w:sz w:val="24"/>
                <w:szCs w:val="24"/>
                <w:highlight w:val="none"/>
              </w:rPr>
              <w:t xml:space="preserve">3</w:t>
            </w:r>
            <w:r/>
          </w:p>
        </w:tc>
        <w:tc>
          <w:tcPr>
            <w:tcBorders>
              <w:top w:val="none" w:color="000000" w:sz="4" w:space="0"/>
            </w:tcBorders>
            <w:tcW w:w="1093" w:type="dxa"/>
            <w:vAlign w:val="center"/>
            <w:vMerge w:val="continue"/>
            <w:textDirection w:val="lrTb"/>
            <w:noWrap w:val="false"/>
          </w:tcPr>
          <w:p>
            <w:pPr>
              <w:jc w:val="center"/>
              <w:rPr>
                <w:rFonts w:hint="default" w:ascii="宋体" w:hAnsi="宋体" w:eastAsia="宋体" w:cs="宋体"/>
                <w:color w:val="auto"/>
                <w:position w:val="1"/>
                <w:sz w:val="24"/>
                <w:szCs w:val="24"/>
                <w:highlight w:val="none"/>
                <w:lang w:val="zh-CN" w:eastAsia="zh-CN" w:bidi="zh-CN"/>
              </w:rPr>
            </w:pPr>
            <w:r>
              <w:rPr>
                <w:rFonts w:hint="default" w:ascii="宋体" w:hAnsi="宋体" w:eastAsia="宋体" w:cs="宋体"/>
                <w:color w:val="auto"/>
                <w:position w:val="1"/>
                <w:sz w:val="24"/>
                <w:szCs w:val="24"/>
                <w:highlight w:val="none"/>
                <w:lang w:val="zh-CN" w:eastAsia="zh-CN" w:bidi="zh-CN"/>
              </w:rPr>
            </w:r>
            <w:r/>
          </w:p>
        </w:tc>
        <w:tc>
          <w:tcPr>
            <w:tcW w:w="6060" w:type="dxa"/>
            <w:vAlign w:val="center"/>
            <w:textDirection w:val="lrTb"/>
            <w:noWrap w:val="false"/>
          </w:tcPr>
          <w:p>
            <w:pPr>
              <w:pStyle w:val="1031"/>
              <w:ind w:left="223" w:right="215"/>
              <w:jc w:val="center"/>
              <w:spacing w:before="123"/>
              <w:rPr>
                <w:rFonts w:hint="default" w:ascii="宋体" w:hAnsi="宋体" w:eastAsia="宋体" w:cs="宋体"/>
                <w:color w:val="auto"/>
                <w:position w:val="1"/>
                <w:sz w:val="24"/>
                <w:szCs w:val="24"/>
                <w:highlight w:val="none"/>
                <w:lang w:val="zh-CN" w:eastAsia="zh-CN" w:bidi="zh-CN"/>
              </w:rPr>
            </w:pPr>
            <w:r>
              <w:rPr>
                <w:rFonts w:hint="default" w:ascii="宋体" w:hAnsi="宋体" w:eastAsia="宋体" w:cs="宋体"/>
                <w:color w:val="auto"/>
                <w:position w:val="1"/>
                <w:sz w:val="24"/>
                <w:szCs w:val="24"/>
                <w:highlight w:val="none"/>
                <w:lang w:val="zh-CN" w:eastAsia="zh-CN" w:bidi="zh-CN"/>
              </w:rPr>
              <w:t xml:space="preserve">生物中专-东辛农场职中校内 3</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43"/>
              <w:jc w:val="center"/>
              <w:spacing w:before="58"/>
              <w:rPr>
                <w:rFonts w:ascii="Times New Roman"/>
                <w:color w:val="auto"/>
                <w:sz w:val="24"/>
                <w:szCs w:val="24"/>
                <w:highlight w:val="none"/>
              </w:rPr>
            </w:pPr>
            <w:r>
              <w:rPr>
                <w:rFonts w:ascii="Times New Roman"/>
                <w:color w:val="auto"/>
                <w:sz w:val="24"/>
                <w:szCs w:val="24"/>
                <w:highlight w:val="none"/>
              </w:rPr>
              <w:t xml:space="preserve">4</w:t>
            </w:r>
            <w:r/>
          </w:p>
        </w:tc>
        <w:tc>
          <w:tcPr>
            <w:tcBorders>
              <w:top w:val="none" w:color="000000" w:sz="4" w:space="0"/>
            </w:tcBorders>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5"/>
              <w:jc w:val="center"/>
              <w:spacing w:before="123"/>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东辛农场职中校内 </w:t>
            </w:r>
            <w:r>
              <w:rPr>
                <w:rFonts w:ascii="Times New Roman" w:eastAsia="Times New Roman"/>
                <w:color w:val="auto"/>
                <w:sz w:val="24"/>
                <w:szCs w:val="24"/>
                <w:highlight w:val="none"/>
              </w:rPr>
              <w:t xml:space="preserve">4</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223" w:right="213"/>
              <w:jc w:val="center"/>
              <w:spacing w:before="122"/>
              <w:rPr>
                <w:color w:val="auto"/>
                <w:position w:val="1"/>
                <w:sz w:val="24"/>
                <w:szCs w:val="24"/>
                <w:highlight w:val="none"/>
              </w:rPr>
            </w:pPr>
            <w:r>
              <w:rPr>
                <w:color w:val="auto"/>
                <w:position w:val="1"/>
                <w:sz w:val="24"/>
                <w:szCs w:val="24"/>
                <w:highlight w:val="none"/>
              </w:rPr>
              <w:t xml:space="preserve">5</w:t>
            </w:r>
            <w:r/>
          </w:p>
        </w:tc>
        <w:tc>
          <w:tcPr>
            <w:tcW w:w="1093" w:type="dxa"/>
            <w:vAlign w:val="center"/>
            <w:vMerge w:val="restart"/>
            <w:textDirection w:val="lrTb"/>
            <w:noWrap w:val="false"/>
          </w:tcPr>
          <w:p>
            <w:pPr>
              <w:pStyle w:val="1031"/>
              <w:ind w:left="223" w:right="213"/>
              <w:jc w:val="center"/>
              <w:spacing w:before="122"/>
              <w:rPr>
                <w:color w:val="auto"/>
                <w:position w:val="1"/>
                <w:sz w:val="24"/>
                <w:szCs w:val="24"/>
                <w:highlight w:val="none"/>
              </w:rPr>
            </w:pPr>
            <w:r>
              <w:rPr>
                <w:color w:val="auto"/>
                <w:position w:val="1"/>
                <w:sz w:val="24"/>
                <w:szCs w:val="24"/>
                <w:highlight w:val="none"/>
              </w:rPr>
            </w:r>
            <w:r/>
          </w:p>
          <w:p>
            <w:pPr>
              <w:pStyle w:val="1031"/>
              <w:ind w:left="223" w:right="213"/>
              <w:jc w:val="center"/>
              <w:spacing w:before="122"/>
              <w:rPr>
                <w:color w:val="auto"/>
                <w:position w:val="1"/>
                <w:sz w:val="24"/>
                <w:szCs w:val="24"/>
                <w:highlight w:val="none"/>
              </w:rPr>
            </w:pPr>
            <w:r>
              <w:rPr>
                <w:color w:val="auto"/>
                <w:position w:val="1"/>
                <w:sz w:val="24"/>
                <w:szCs w:val="24"/>
                <w:highlight w:val="none"/>
              </w:rPr>
            </w:r>
            <w:r/>
          </w:p>
          <w:p>
            <w:pPr>
              <w:pStyle w:val="1031"/>
              <w:ind w:left="223" w:right="213"/>
              <w:jc w:val="center"/>
              <w:spacing w:before="122"/>
              <w:rPr>
                <w:color w:val="auto"/>
                <w:position w:val="1"/>
                <w:sz w:val="24"/>
                <w:szCs w:val="24"/>
                <w:highlight w:val="none"/>
              </w:rPr>
            </w:pPr>
            <w:r>
              <w:rPr>
                <w:color w:val="auto"/>
                <w:position w:val="1"/>
                <w:sz w:val="24"/>
                <w:szCs w:val="24"/>
                <w:highlight w:val="none"/>
              </w:rPr>
            </w:r>
            <w:r/>
          </w:p>
          <w:p>
            <w:pPr>
              <w:pStyle w:val="1031"/>
              <w:ind w:left="223" w:right="213"/>
              <w:jc w:val="center"/>
              <w:spacing w:before="122"/>
              <w:rPr>
                <w:color w:val="auto"/>
                <w:position w:val="1"/>
                <w:sz w:val="24"/>
                <w:szCs w:val="24"/>
                <w:highlight w:val="none"/>
              </w:rPr>
            </w:pPr>
            <w:r>
              <w:rPr>
                <w:color w:val="auto"/>
                <w:position w:val="1"/>
                <w:sz w:val="24"/>
                <w:szCs w:val="24"/>
                <w:highlight w:val="none"/>
              </w:rPr>
            </w:r>
            <w:r/>
          </w:p>
          <w:p>
            <w:pPr>
              <w:pStyle w:val="1031"/>
              <w:ind w:left="223" w:right="213"/>
              <w:jc w:val="center"/>
              <w:spacing w:before="122"/>
              <w:rPr>
                <w:color w:val="auto"/>
                <w:position w:val="1"/>
                <w:sz w:val="24"/>
                <w:szCs w:val="24"/>
                <w:highlight w:val="none"/>
              </w:rPr>
            </w:pPr>
            <w:r>
              <w:rPr>
                <w:color w:val="auto"/>
                <w:position w:val="1"/>
                <w:sz w:val="24"/>
                <w:szCs w:val="24"/>
                <w:highlight w:val="none"/>
              </w:rPr>
            </w:r>
            <w:r/>
          </w:p>
          <w:p>
            <w:pPr>
              <w:pStyle w:val="1031"/>
              <w:ind w:left="223" w:right="213"/>
              <w:jc w:val="center"/>
              <w:spacing w:before="122"/>
              <w:rPr>
                <w:color w:val="auto"/>
                <w:position w:val="1"/>
                <w:sz w:val="24"/>
                <w:szCs w:val="24"/>
                <w:highlight w:val="none"/>
              </w:rPr>
            </w:pPr>
            <w:r>
              <w:rPr>
                <w:color w:val="auto"/>
                <w:position w:val="1"/>
                <w:sz w:val="24"/>
                <w:szCs w:val="24"/>
                <w:highlight w:val="none"/>
              </w:rPr>
            </w:r>
            <w:r/>
          </w:p>
          <w:p>
            <w:pPr>
              <w:pStyle w:val="1031"/>
              <w:ind w:left="223" w:right="213"/>
              <w:jc w:val="center"/>
              <w:spacing w:before="122"/>
              <w:rPr>
                <w:rFonts w:hint="eastAsia"/>
                <w:color w:val="auto"/>
                <w:position w:val="1"/>
                <w:sz w:val="24"/>
                <w:szCs w:val="24"/>
                <w:highlight w:val="none"/>
              </w:rPr>
            </w:pPr>
            <w:r>
              <w:rPr>
                <w:rFonts w:hint="eastAsia"/>
                <w:color w:val="auto"/>
                <w:position w:val="1"/>
                <w:sz w:val="24"/>
                <w:szCs w:val="24"/>
                <w:highlight w:val="none"/>
              </w:rPr>
              <w:t xml:space="preserve">学校至市区</w:t>
            </w:r>
            <w:r/>
          </w:p>
        </w:tc>
        <w:tc>
          <w:tcPr>
            <w:tcW w:w="6060" w:type="dxa"/>
            <w:vAlign w:val="center"/>
            <w:textDirection w:val="lrTb"/>
            <w:noWrap w:val="false"/>
          </w:tcPr>
          <w:p>
            <w:pPr>
              <w:pStyle w:val="1031"/>
              <w:ind w:left="223" w:right="215"/>
              <w:jc w:val="center"/>
              <w:spacing w:before="123"/>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新浦邮电大楼（汽车总站）</w:t>
            </w:r>
            <w:r>
              <w:rPr>
                <w:rFonts w:ascii="Times New Roman" w:eastAsia="Times New Roman"/>
                <w:color w:val="auto"/>
                <w:sz w:val="24"/>
                <w:szCs w:val="24"/>
                <w:highlight w:val="none"/>
              </w:rPr>
              <w:t xml:space="preserve">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223" w:right="213"/>
              <w:jc w:val="center"/>
              <w:spacing w:before="122"/>
              <w:rPr>
                <w:color w:val="auto"/>
                <w:position w:val="1"/>
                <w:sz w:val="24"/>
                <w:szCs w:val="24"/>
                <w:highlight w:val="none"/>
              </w:rPr>
            </w:pPr>
            <w:r>
              <w:rPr>
                <w:color w:val="auto"/>
                <w:position w:val="1"/>
                <w:sz w:val="24"/>
                <w:szCs w:val="24"/>
                <w:highlight w:val="none"/>
              </w:rPr>
              <w:t xml:space="preserve">6</w:t>
            </w:r>
            <w:r/>
          </w:p>
        </w:tc>
        <w:tc>
          <w:tcPr>
            <w:tcW w:w="1093" w:type="dxa"/>
            <w:vAlign w:val="center"/>
            <w:vMerge w:val="continue"/>
            <w:textDirection w:val="lrTb"/>
            <w:noWrap w:val="false"/>
          </w:tcPr>
          <w:p>
            <w:pPr>
              <w:pStyle w:val="1031"/>
              <w:ind w:left="223" w:right="213"/>
              <w:jc w:val="center"/>
              <w:spacing w:before="122"/>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2"/>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新浦邮电大楼（汽车总站）</w:t>
            </w:r>
            <w:r>
              <w:rPr>
                <w:rFonts w:ascii="Times New Roman" w:eastAsia="Times New Roman"/>
                <w:color w:val="auto"/>
                <w:sz w:val="24"/>
                <w:szCs w:val="24"/>
                <w:highlight w:val="none"/>
              </w:rPr>
              <w:t xml:space="preserve">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43"/>
              <w:jc w:val="center"/>
              <w:spacing w:before="59"/>
              <w:rPr>
                <w:rFonts w:ascii="Times New Roman"/>
                <w:color w:val="auto"/>
                <w:sz w:val="24"/>
                <w:szCs w:val="24"/>
                <w:highlight w:val="none"/>
              </w:rPr>
            </w:pPr>
            <w:r>
              <w:rPr>
                <w:rFonts w:ascii="Times New Roman"/>
                <w:color w:val="auto"/>
                <w:sz w:val="24"/>
                <w:szCs w:val="24"/>
                <w:highlight w:val="none"/>
              </w:rPr>
              <w:t xml:space="preserve">7</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3"/>
              <w:jc w:val="center"/>
              <w:spacing w:before="122"/>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新浦陇河客运站 </w:t>
            </w:r>
            <w:r>
              <w:rPr>
                <w:rFonts w:ascii="Times New Roman" w:eastAsia="Times New Roman"/>
                <w:color w:val="auto"/>
                <w:sz w:val="24"/>
                <w:szCs w:val="24"/>
                <w:highlight w:val="none"/>
              </w:rPr>
              <w:t xml:space="preserve">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43"/>
              <w:jc w:val="center"/>
              <w:spacing w:before="59"/>
              <w:rPr>
                <w:rFonts w:ascii="Times New Roman"/>
                <w:color w:val="auto"/>
                <w:sz w:val="24"/>
                <w:szCs w:val="24"/>
                <w:highlight w:val="none"/>
              </w:rPr>
            </w:pPr>
            <w:r>
              <w:rPr>
                <w:rFonts w:ascii="Times New Roman"/>
                <w:color w:val="auto"/>
                <w:sz w:val="24"/>
                <w:szCs w:val="24"/>
                <w:highlight w:val="none"/>
              </w:rPr>
              <w:t xml:space="preserve">8</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3"/>
              <w:jc w:val="center"/>
              <w:spacing w:before="124"/>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新浦陇河客运站 </w:t>
            </w:r>
            <w:r>
              <w:rPr>
                <w:rFonts w:ascii="Times New Roman" w:eastAsia="Times New Roman"/>
                <w:color w:val="auto"/>
                <w:sz w:val="24"/>
                <w:szCs w:val="24"/>
                <w:highlight w:val="none"/>
              </w:rPr>
              <w:t xml:space="preserve">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43"/>
              <w:jc w:val="center"/>
              <w:spacing w:before="58"/>
              <w:rPr>
                <w:rFonts w:ascii="Times New Roman"/>
                <w:color w:val="auto"/>
                <w:sz w:val="24"/>
                <w:szCs w:val="24"/>
                <w:highlight w:val="none"/>
              </w:rPr>
            </w:pPr>
            <w:r>
              <w:rPr>
                <w:rFonts w:ascii="Times New Roman"/>
                <w:color w:val="auto"/>
                <w:sz w:val="24"/>
                <w:szCs w:val="24"/>
                <w:highlight w:val="none"/>
              </w:rPr>
              <w:t xml:space="preserve">9</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3"/>
              <w:jc w:val="center"/>
              <w:spacing w:before="123"/>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新浦陇河客运站 </w:t>
            </w:r>
            <w:r>
              <w:rPr>
                <w:rFonts w:ascii="Times New Roman" w:eastAsia="Times New Roman"/>
                <w:color w:val="auto"/>
                <w:sz w:val="24"/>
                <w:szCs w:val="24"/>
                <w:highlight w:val="none"/>
              </w:rPr>
              <w:t xml:space="preserve">3</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90" w:right="47"/>
              <w:jc w:val="center"/>
              <w:spacing w:before="58"/>
              <w:rPr>
                <w:rFonts w:ascii="Times New Roman"/>
                <w:color w:val="auto"/>
                <w:sz w:val="24"/>
                <w:szCs w:val="24"/>
                <w:highlight w:val="none"/>
              </w:rPr>
            </w:pPr>
            <w:r>
              <w:rPr>
                <w:rFonts w:ascii="Times New Roman"/>
                <w:color w:val="auto"/>
                <w:sz w:val="24"/>
                <w:szCs w:val="24"/>
                <w:highlight w:val="none"/>
              </w:rPr>
              <w:t xml:space="preserve">10</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3"/>
              <w:jc w:val="center"/>
              <w:spacing w:before="123"/>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新浦陇河客运站 </w:t>
            </w:r>
            <w:r>
              <w:rPr>
                <w:rFonts w:ascii="Times New Roman" w:eastAsia="Times New Roman"/>
                <w:color w:val="auto"/>
                <w:sz w:val="24"/>
                <w:szCs w:val="24"/>
                <w:highlight w:val="none"/>
              </w:rPr>
              <w:t xml:space="preserve">4</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90" w:right="47"/>
              <w:jc w:val="center"/>
              <w:spacing w:before="57"/>
              <w:rPr>
                <w:rFonts w:ascii="Times New Roman"/>
                <w:color w:val="auto"/>
                <w:sz w:val="24"/>
                <w:szCs w:val="24"/>
                <w:highlight w:val="none"/>
              </w:rPr>
            </w:pPr>
            <w:r>
              <w:rPr>
                <w:rFonts w:ascii="Times New Roman"/>
                <w:color w:val="auto"/>
                <w:sz w:val="24"/>
                <w:szCs w:val="24"/>
                <w:highlight w:val="none"/>
              </w:rPr>
              <w:t xml:space="preserve">11</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5"/>
              <w:jc w:val="center"/>
              <w:spacing w:before="122"/>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云台中学</w:t>
            </w:r>
            <w:r>
              <w:rPr>
                <w:rFonts w:ascii="Times New Roman" w:eastAsia="Times New Roman"/>
                <w:color w:val="auto"/>
                <w:sz w:val="24"/>
                <w:szCs w:val="24"/>
                <w:highlight w:val="none"/>
              </w:rPr>
              <w:t xml:space="preserve">-</w:t>
            </w:r>
            <w:r>
              <w:rPr>
                <w:color w:val="auto"/>
                <w:position w:val="1"/>
                <w:sz w:val="24"/>
                <w:szCs w:val="24"/>
                <w:highlight w:val="none"/>
              </w:rPr>
              <w:t xml:space="preserve">云台农场</w:t>
            </w:r>
            <w:r>
              <w:rPr>
                <w:rFonts w:ascii="Times New Roman" w:eastAsia="Times New Roman"/>
                <w:color w:val="auto"/>
                <w:sz w:val="24"/>
                <w:szCs w:val="24"/>
                <w:highlight w:val="none"/>
              </w:rPr>
              <w:t xml:space="preserve">+</w:t>
            </w:r>
            <w:r>
              <w:rPr>
                <w:color w:val="auto"/>
                <w:position w:val="1"/>
                <w:sz w:val="24"/>
                <w:szCs w:val="24"/>
                <w:highlight w:val="none"/>
              </w:rPr>
              <w:t xml:space="preserve">丹霞 </w:t>
            </w:r>
            <w:r>
              <w:rPr>
                <w:rFonts w:ascii="Times New Roman" w:eastAsia="Times New Roman"/>
                <w:color w:val="auto"/>
                <w:sz w:val="24"/>
                <w:szCs w:val="24"/>
                <w:highlight w:val="none"/>
              </w:rPr>
              <w:t xml:space="preserve">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90" w:right="47"/>
              <w:jc w:val="center"/>
              <w:spacing w:before="59"/>
              <w:rPr>
                <w:rFonts w:ascii="Times New Roman"/>
                <w:color w:val="auto"/>
                <w:sz w:val="24"/>
                <w:szCs w:val="24"/>
                <w:highlight w:val="none"/>
              </w:rPr>
            </w:pPr>
            <w:r>
              <w:rPr>
                <w:rFonts w:ascii="Times New Roman"/>
                <w:color w:val="auto"/>
                <w:sz w:val="24"/>
                <w:szCs w:val="24"/>
                <w:highlight w:val="none"/>
              </w:rPr>
              <w:t xml:space="preserve">12</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5"/>
              <w:jc w:val="center"/>
              <w:spacing w:before="122"/>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云台中学</w:t>
            </w:r>
            <w:r>
              <w:rPr>
                <w:rFonts w:ascii="Times New Roman" w:eastAsia="Times New Roman"/>
                <w:color w:val="auto"/>
                <w:sz w:val="24"/>
                <w:szCs w:val="24"/>
                <w:highlight w:val="none"/>
              </w:rPr>
              <w:t xml:space="preserve">-</w:t>
            </w:r>
            <w:r>
              <w:rPr>
                <w:color w:val="auto"/>
                <w:position w:val="1"/>
                <w:sz w:val="24"/>
                <w:szCs w:val="24"/>
                <w:highlight w:val="none"/>
              </w:rPr>
              <w:t xml:space="preserve">云台农场</w:t>
            </w:r>
            <w:r>
              <w:rPr>
                <w:rFonts w:ascii="Times New Roman" w:eastAsia="Times New Roman"/>
                <w:color w:val="auto"/>
                <w:sz w:val="24"/>
                <w:szCs w:val="24"/>
                <w:highlight w:val="none"/>
              </w:rPr>
              <w:t xml:space="preserve">+</w:t>
            </w:r>
            <w:r>
              <w:rPr>
                <w:color w:val="auto"/>
                <w:position w:val="1"/>
                <w:sz w:val="24"/>
                <w:szCs w:val="24"/>
                <w:highlight w:val="none"/>
              </w:rPr>
              <w:t xml:space="preserve">丹霞 </w:t>
            </w:r>
            <w:r>
              <w:rPr>
                <w:rFonts w:ascii="Times New Roman" w:eastAsia="Times New Roman"/>
                <w:color w:val="auto"/>
                <w:sz w:val="24"/>
                <w:szCs w:val="24"/>
                <w:highlight w:val="none"/>
              </w:rPr>
              <w:t xml:space="preserve">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90" w:right="47"/>
              <w:jc w:val="center"/>
              <w:spacing w:before="59"/>
              <w:rPr>
                <w:rFonts w:ascii="Times New Roman"/>
                <w:color w:val="auto"/>
                <w:sz w:val="24"/>
                <w:szCs w:val="24"/>
                <w:highlight w:val="none"/>
              </w:rPr>
            </w:pPr>
            <w:r>
              <w:rPr>
                <w:rFonts w:ascii="Times New Roman"/>
                <w:color w:val="auto"/>
                <w:sz w:val="24"/>
                <w:szCs w:val="24"/>
                <w:highlight w:val="none"/>
              </w:rPr>
              <w:t xml:space="preserve">13</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5"/>
              <w:jc w:val="center"/>
              <w:spacing w:before="122"/>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海州客运站 </w:t>
            </w:r>
            <w:r>
              <w:rPr>
                <w:rFonts w:ascii="Times New Roman" w:eastAsia="Times New Roman"/>
                <w:color w:val="auto"/>
                <w:sz w:val="24"/>
                <w:szCs w:val="24"/>
                <w:highlight w:val="none"/>
              </w:rPr>
              <w:t xml:space="preserve">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90" w:right="47"/>
              <w:jc w:val="center"/>
              <w:spacing w:before="59"/>
              <w:rPr>
                <w:rFonts w:ascii="Times New Roman"/>
                <w:color w:val="auto"/>
                <w:sz w:val="24"/>
                <w:szCs w:val="24"/>
                <w:highlight w:val="none"/>
              </w:rPr>
            </w:pPr>
            <w:r>
              <w:rPr>
                <w:rFonts w:ascii="Times New Roman"/>
                <w:color w:val="auto"/>
                <w:sz w:val="24"/>
                <w:szCs w:val="24"/>
                <w:highlight w:val="none"/>
              </w:rPr>
              <w:t xml:space="preserve">14</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5"/>
              <w:jc w:val="center"/>
              <w:spacing w:before="124"/>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板浦</w:t>
            </w:r>
            <w:r>
              <w:rPr>
                <w:rFonts w:ascii="Times New Roman" w:eastAsia="Times New Roman"/>
                <w:color w:val="auto"/>
                <w:sz w:val="24"/>
                <w:szCs w:val="24"/>
                <w:highlight w:val="none"/>
              </w:rPr>
              <w:t xml:space="preserve">(</w:t>
            </w:r>
            <w:r>
              <w:rPr>
                <w:color w:val="auto"/>
                <w:position w:val="1"/>
                <w:sz w:val="24"/>
                <w:szCs w:val="24"/>
                <w:highlight w:val="none"/>
              </w:rPr>
              <w:t xml:space="preserve">板浦镇政府</w:t>
            </w:r>
            <w:r>
              <w:rPr>
                <w:rFonts w:ascii="Times New Roman" w:eastAsia="Times New Roman"/>
                <w:color w:val="auto"/>
                <w:sz w:val="24"/>
                <w:szCs w:val="24"/>
                <w:highlight w:val="none"/>
              </w:rPr>
              <w:t xml:space="preserve">)-</w:t>
            </w:r>
            <w:r>
              <w:rPr>
                <w:color w:val="auto"/>
                <w:position w:val="1"/>
                <w:sz w:val="24"/>
                <w:szCs w:val="24"/>
                <w:highlight w:val="none"/>
              </w:rPr>
              <w:t xml:space="preserve">宁海 </w:t>
            </w:r>
            <w:r>
              <w:rPr>
                <w:rFonts w:ascii="Times New Roman" w:eastAsia="Times New Roman"/>
                <w:color w:val="auto"/>
                <w:sz w:val="24"/>
                <w:szCs w:val="24"/>
                <w:highlight w:val="none"/>
              </w:rPr>
              <w:t xml:space="preserve">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90" w:right="47"/>
              <w:jc w:val="center"/>
              <w:spacing w:before="58"/>
              <w:rPr>
                <w:rFonts w:ascii="Times New Roman"/>
                <w:color w:val="auto"/>
                <w:sz w:val="24"/>
                <w:szCs w:val="24"/>
                <w:highlight w:val="none"/>
              </w:rPr>
            </w:pPr>
            <w:r>
              <w:rPr>
                <w:rFonts w:ascii="Times New Roman"/>
                <w:color w:val="auto"/>
                <w:sz w:val="24"/>
                <w:szCs w:val="24"/>
                <w:highlight w:val="none"/>
              </w:rPr>
              <w:t xml:space="preserve">15</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5"/>
              <w:jc w:val="center"/>
              <w:spacing w:before="123"/>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板浦</w:t>
            </w:r>
            <w:r>
              <w:rPr>
                <w:rFonts w:ascii="Times New Roman" w:eastAsia="Times New Roman"/>
                <w:color w:val="auto"/>
                <w:sz w:val="24"/>
                <w:szCs w:val="24"/>
                <w:highlight w:val="none"/>
              </w:rPr>
              <w:t xml:space="preserve">(</w:t>
            </w:r>
            <w:r>
              <w:rPr>
                <w:color w:val="auto"/>
                <w:position w:val="1"/>
                <w:sz w:val="24"/>
                <w:szCs w:val="24"/>
                <w:highlight w:val="none"/>
              </w:rPr>
              <w:t xml:space="preserve">板浦镇政府</w:t>
            </w:r>
            <w:r>
              <w:rPr>
                <w:rFonts w:ascii="Times New Roman" w:eastAsia="Times New Roman"/>
                <w:color w:val="auto"/>
                <w:sz w:val="24"/>
                <w:szCs w:val="24"/>
                <w:highlight w:val="none"/>
              </w:rPr>
              <w:t xml:space="preserve">)-</w:t>
            </w:r>
            <w:r>
              <w:rPr>
                <w:color w:val="auto"/>
                <w:position w:val="1"/>
                <w:sz w:val="24"/>
                <w:szCs w:val="24"/>
                <w:highlight w:val="none"/>
              </w:rPr>
              <w:t xml:space="preserve">宁海 </w:t>
            </w:r>
            <w:r>
              <w:rPr>
                <w:rFonts w:ascii="Times New Roman" w:eastAsia="Times New Roman"/>
                <w:color w:val="auto"/>
                <w:sz w:val="24"/>
                <w:szCs w:val="24"/>
                <w:highlight w:val="none"/>
              </w:rPr>
              <w:t xml:space="preserve">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2"/>
        </w:trPr>
        <w:tc>
          <w:tcPr>
            <w:tcW w:w="828" w:type="dxa"/>
            <w:vAlign w:val="center"/>
            <w:textDirection w:val="lrTb"/>
            <w:noWrap w:val="false"/>
          </w:tcPr>
          <w:p>
            <w:pPr>
              <w:pStyle w:val="1031"/>
              <w:ind w:left="90" w:right="78"/>
              <w:jc w:val="center"/>
              <w:spacing w:before="151"/>
              <w:rPr>
                <w:rFonts w:ascii="Times New Roman"/>
                <w:color w:val="auto"/>
                <w:sz w:val="24"/>
                <w:szCs w:val="24"/>
                <w:highlight w:val="none"/>
              </w:rPr>
            </w:pPr>
            <w:r>
              <w:rPr>
                <w:rFonts w:ascii="Times New Roman"/>
                <w:color w:val="auto"/>
                <w:sz w:val="24"/>
                <w:szCs w:val="24"/>
                <w:highlight w:val="none"/>
              </w:rPr>
              <w:t xml:space="preserve">16</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3"/>
              <w:jc w:val="center"/>
              <w:spacing w:before="123"/>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平山公交站</w:t>
            </w:r>
            <w:r>
              <w:rPr>
                <w:rFonts w:ascii="Times New Roman" w:eastAsia="Times New Roman"/>
                <w:color w:val="auto"/>
                <w:sz w:val="24"/>
                <w:szCs w:val="24"/>
                <w:highlight w:val="none"/>
              </w:rPr>
              <w:t xml:space="preserve">-</w:t>
            </w:r>
            <w:r>
              <w:rPr>
                <w:color w:val="auto"/>
                <w:position w:val="1"/>
                <w:sz w:val="24"/>
                <w:szCs w:val="24"/>
                <w:highlight w:val="none"/>
              </w:rPr>
              <w:t xml:space="preserve">在海一方 </w:t>
            </w:r>
            <w:r>
              <w:rPr>
                <w:rFonts w:ascii="Times New Roman" w:eastAsia="Times New Roman"/>
                <w:color w:val="auto"/>
                <w:sz w:val="24"/>
                <w:szCs w:val="24"/>
                <w:highlight w:val="none"/>
              </w:rPr>
              <w:t xml:space="preserve">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274"/>
              <w:jc w:val="both"/>
              <w:spacing w:before="151"/>
              <w:rPr>
                <w:rFonts w:ascii="Times New Roman"/>
                <w:color w:val="auto"/>
                <w:sz w:val="24"/>
                <w:szCs w:val="24"/>
                <w:highlight w:val="none"/>
              </w:rPr>
            </w:pPr>
            <w:r>
              <w:rPr>
                <w:rFonts w:ascii="Times New Roman"/>
                <w:color w:val="auto"/>
                <w:sz w:val="24"/>
                <w:szCs w:val="24"/>
                <w:highlight w:val="none"/>
              </w:rPr>
              <w:t xml:space="preserve">17</w:t>
            </w:r>
            <w:r/>
          </w:p>
        </w:tc>
        <w:tc>
          <w:tcPr>
            <w:tcW w:w="1093" w:type="dxa"/>
            <w:vAlign w:val="center"/>
            <w:vMerge w:val="continue"/>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c>
          <w:tcPr>
            <w:tcW w:w="6060" w:type="dxa"/>
            <w:vAlign w:val="center"/>
            <w:textDirection w:val="lrTb"/>
            <w:noWrap w:val="false"/>
          </w:tcPr>
          <w:p>
            <w:pPr>
              <w:pStyle w:val="1031"/>
              <w:ind w:left="223" w:right="213"/>
              <w:jc w:val="center"/>
              <w:spacing w:before="123"/>
              <w:rPr>
                <w:rFonts w:ascii="Times New Roman" w:eastAsia="Times New Roman"/>
                <w:color w:val="auto"/>
                <w:sz w:val="24"/>
                <w:szCs w:val="24"/>
                <w:highlight w:val="none"/>
              </w:rPr>
            </w:pPr>
            <w:r>
              <w:rPr>
                <w:color w:val="auto"/>
                <w:position w:val="1"/>
                <w:sz w:val="24"/>
                <w:szCs w:val="24"/>
                <w:highlight w:val="none"/>
              </w:rPr>
              <w:t xml:space="preserve">生物中专</w:t>
            </w:r>
            <w:r>
              <w:rPr>
                <w:rFonts w:ascii="Times New Roman" w:eastAsia="Times New Roman"/>
                <w:color w:val="auto"/>
                <w:sz w:val="24"/>
                <w:szCs w:val="24"/>
                <w:highlight w:val="none"/>
              </w:rPr>
              <w:t xml:space="preserve">-</w:t>
            </w:r>
            <w:r>
              <w:rPr>
                <w:color w:val="auto"/>
                <w:position w:val="1"/>
                <w:sz w:val="24"/>
                <w:szCs w:val="24"/>
                <w:highlight w:val="none"/>
              </w:rPr>
              <w:t xml:space="preserve">平山公交站</w:t>
            </w:r>
            <w:r>
              <w:rPr>
                <w:rFonts w:ascii="Times New Roman" w:eastAsia="Times New Roman"/>
                <w:color w:val="auto"/>
                <w:sz w:val="24"/>
                <w:szCs w:val="24"/>
                <w:highlight w:val="none"/>
              </w:rPr>
              <w:t xml:space="preserve">-</w:t>
            </w:r>
            <w:r>
              <w:rPr>
                <w:color w:val="auto"/>
                <w:position w:val="1"/>
                <w:sz w:val="24"/>
                <w:szCs w:val="24"/>
                <w:highlight w:val="none"/>
              </w:rPr>
              <w:t xml:space="preserve">在海一方 </w:t>
            </w:r>
            <w:r>
              <w:rPr>
                <w:rFonts w:ascii="Times New Roman" w:eastAsia="Times New Roman"/>
                <w:color w:val="auto"/>
                <w:sz w:val="24"/>
                <w:szCs w:val="24"/>
                <w:highlight w:val="none"/>
              </w:rPr>
              <w:t xml:space="preserve">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274"/>
              <w:jc w:val="both"/>
              <w:spacing w:before="151"/>
              <w:rPr>
                <w:rFonts w:ascii="Times New Roman"/>
                <w:color w:val="auto"/>
                <w:sz w:val="24"/>
                <w:szCs w:val="24"/>
                <w:highlight w:val="none"/>
              </w:rPr>
            </w:pPr>
            <w:r>
              <w:rPr>
                <w:rFonts w:ascii="Times New Roman"/>
                <w:color w:val="auto"/>
                <w:sz w:val="24"/>
                <w:szCs w:val="24"/>
                <w:highlight w:val="none"/>
              </w:rPr>
              <w:t xml:space="preserve">18</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4"/>
              <w:jc w:val="center"/>
              <w:spacing w:before="123"/>
              <w:rPr>
                <w:color w:val="auto"/>
                <w:sz w:val="24"/>
                <w:szCs w:val="24"/>
                <w:highlight w:val="none"/>
              </w:rPr>
            </w:pPr>
            <w:r>
              <w:rPr>
                <w:color w:val="auto"/>
                <w:position w:val="1"/>
                <w:sz w:val="24"/>
                <w:szCs w:val="24"/>
                <w:highlight w:val="none"/>
              </w:rPr>
              <w:t xml:space="preserve">中云</w:t>
            </w:r>
            <w:r>
              <w:rPr>
                <w:rFonts w:ascii="Times New Roman" w:eastAsia="Times New Roman"/>
                <w:color w:val="auto"/>
                <w:sz w:val="24"/>
                <w:szCs w:val="24"/>
                <w:highlight w:val="none"/>
              </w:rPr>
              <w:t xml:space="preserve">--</w:t>
            </w:r>
            <w:r>
              <w:rPr>
                <w:color w:val="auto"/>
                <w:position w:val="1"/>
                <w:sz w:val="24"/>
                <w:szCs w:val="24"/>
                <w:highlight w:val="none"/>
              </w:rPr>
              <w:t xml:space="preserve">板桥公交站</w:t>
            </w:r>
            <w:r>
              <w:rPr>
                <w:rFonts w:ascii="Times New Roman" w:eastAsia="Times New Roman"/>
                <w:color w:val="auto"/>
                <w:sz w:val="24"/>
                <w:szCs w:val="24"/>
                <w:highlight w:val="none"/>
              </w:rPr>
              <w:t xml:space="preserve">-</w:t>
            </w:r>
            <w:r>
              <w:rPr>
                <w:color w:val="auto"/>
                <w:position w:val="1"/>
                <w:sz w:val="24"/>
                <w:szCs w:val="24"/>
                <w:highlight w:val="none"/>
              </w:rPr>
              <w:t xml:space="preserve">生物中专（中云</w:t>
            </w:r>
            <w:r>
              <w:rPr>
                <w:rFonts w:ascii="Times New Roman" w:eastAsia="Times New Roman"/>
                <w:color w:val="auto"/>
                <w:sz w:val="24"/>
                <w:szCs w:val="24"/>
                <w:highlight w:val="none"/>
              </w:rPr>
              <w:t xml:space="preserve">+</w:t>
            </w:r>
            <w:r>
              <w:rPr>
                <w:color w:val="auto"/>
                <w:position w:val="1"/>
                <w:sz w:val="24"/>
                <w:szCs w:val="24"/>
                <w:highlight w:val="none"/>
              </w:rPr>
              <w:t xml:space="preserve">板桥）</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274"/>
              <w:jc w:val="both"/>
              <w:spacing w:before="151"/>
              <w:rPr>
                <w:rFonts w:ascii="Times New Roman"/>
                <w:color w:val="auto"/>
                <w:sz w:val="24"/>
                <w:szCs w:val="24"/>
                <w:highlight w:val="none"/>
              </w:rPr>
            </w:pPr>
            <w:r>
              <w:rPr>
                <w:rFonts w:ascii="Times New Roman"/>
                <w:color w:val="auto"/>
                <w:sz w:val="24"/>
                <w:szCs w:val="24"/>
                <w:highlight w:val="none"/>
              </w:rPr>
              <w:t xml:space="preserve">19</w:t>
            </w:r>
            <w:r/>
          </w:p>
        </w:tc>
        <w:tc>
          <w:tcPr>
            <w:tcW w:w="109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6060" w:type="dxa"/>
            <w:vAlign w:val="center"/>
            <w:textDirection w:val="lrTb"/>
            <w:noWrap w:val="false"/>
          </w:tcPr>
          <w:p>
            <w:pPr>
              <w:pStyle w:val="1031"/>
              <w:ind w:left="223" w:right="214"/>
              <w:jc w:val="center"/>
              <w:spacing w:before="122"/>
              <w:rPr>
                <w:color w:val="auto"/>
                <w:sz w:val="24"/>
                <w:szCs w:val="24"/>
                <w:highlight w:val="none"/>
              </w:rPr>
            </w:pPr>
            <w:r>
              <w:rPr>
                <w:color w:val="auto"/>
                <w:position w:val="1"/>
                <w:sz w:val="24"/>
                <w:szCs w:val="24"/>
                <w:highlight w:val="none"/>
              </w:rPr>
              <w:t xml:space="preserve">中云</w:t>
            </w:r>
            <w:r>
              <w:rPr>
                <w:rFonts w:ascii="Times New Roman" w:eastAsia="Times New Roman"/>
                <w:color w:val="auto"/>
                <w:sz w:val="24"/>
                <w:szCs w:val="24"/>
                <w:highlight w:val="none"/>
              </w:rPr>
              <w:t xml:space="preserve">--</w:t>
            </w:r>
            <w:r>
              <w:rPr>
                <w:color w:val="auto"/>
                <w:position w:val="1"/>
                <w:sz w:val="24"/>
                <w:szCs w:val="24"/>
                <w:highlight w:val="none"/>
              </w:rPr>
              <w:t xml:space="preserve">板桥公交站</w:t>
            </w:r>
            <w:r>
              <w:rPr>
                <w:rFonts w:ascii="Times New Roman" w:eastAsia="Times New Roman"/>
                <w:color w:val="auto"/>
                <w:sz w:val="24"/>
                <w:szCs w:val="24"/>
                <w:highlight w:val="none"/>
              </w:rPr>
              <w:t xml:space="preserve">-</w:t>
            </w:r>
            <w:r>
              <w:rPr>
                <w:color w:val="auto"/>
                <w:position w:val="1"/>
                <w:sz w:val="24"/>
                <w:szCs w:val="24"/>
                <w:highlight w:val="none"/>
              </w:rPr>
              <w:t xml:space="preserve">生物中专（中云</w:t>
            </w:r>
            <w:r>
              <w:rPr>
                <w:rFonts w:ascii="Times New Roman" w:eastAsia="Times New Roman"/>
                <w:color w:val="auto"/>
                <w:sz w:val="24"/>
                <w:szCs w:val="24"/>
                <w:highlight w:val="none"/>
              </w:rPr>
              <w:t xml:space="preserve">+</w:t>
            </w:r>
            <w:r>
              <w:rPr>
                <w:color w:val="auto"/>
                <w:position w:val="1"/>
                <w:sz w:val="24"/>
                <w:szCs w:val="24"/>
                <w:highlight w:val="none"/>
              </w:rPr>
              <w:t xml:space="preserve">板桥）</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20</w:t>
            </w:r>
            <w:r/>
          </w:p>
        </w:tc>
        <w:tc>
          <w:tcPr>
            <w:tcW w:w="1093" w:type="dxa"/>
            <w:vAlign w:val="center"/>
            <w:vMerge w:val="restart"/>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p>
            <w:pPr>
              <w:pStyle w:val="1031"/>
              <w:ind w:left="223" w:right="215"/>
              <w:jc w:val="center"/>
              <w:spacing w:before="123"/>
              <w:rPr>
                <w:color w:val="auto"/>
                <w:position w:val="1"/>
                <w:sz w:val="24"/>
                <w:szCs w:val="24"/>
                <w:highlight w:val="none"/>
              </w:rPr>
            </w:pPr>
            <w:r>
              <w:rPr>
                <w:color w:val="auto"/>
                <w:position w:val="1"/>
                <w:sz w:val="24"/>
                <w:szCs w:val="24"/>
                <w:highlight w:val="none"/>
              </w:rPr>
            </w:r>
            <w:r/>
          </w:p>
          <w:p>
            <w:pPr>
              <w:pStyle w:val="1031"/>
              <w:ind w:left="223" w:right="215"/>
              <w:jc w:val="center"/>
              <w:spacing w:before="123"/>
              <w:rPr>
                <w:rFonts w:hint="eastAsia"/>
                <w:color w:val="auto"/>
                <w:position w:val="1"/>
                <w:sz w:val="24"/>
                <w:szCs w:val="24"/>
                <w:highlight w:val="none"/>
              </w:rPr>
            </w:pPr>
            <w:r>
              <w:rPr>
                <w:rFonts w:hint="eastAsia"/>
                <w:color w:val="auto"/>
                <w:position w:val="1"/>
                <w:sz w:val="24"/>
                <w:szCs w:val="24"/>
                <w:highlight w:val="none"/>
              </w:rPr>
              <w:t xml:space="preserve">学校至四县</w:t>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生物中专-东海北站-东海南站公交站台 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21</w:t>
            </w:r>
            <w:r/>
          </w:p>
        </w:tc>
        <w:tc>
          <w:tcPr>
            <w:tcBorders>
              <w:top w:val="none" w:color="000000" w:sz="4" w:space="0"/>
            </w:tcBorders>
            <w:tcW w:w="1093" w:type="dxa"/>
            <w:vAlign w:val="center"/>
            <w:vMerge w:val="continue"/>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生物中专-东海北站-东海南站公交站台 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22</w:t>
            </w:r>
            <w:r/>
          </w:p>
        </w:tc>
        <w:tc>
          <w:tcPr>
            <w:tcBorders>
              <w:top w:val="none" w:color="000000" w:sz="4" w:space="0"/>
            </w:tcBorders>
            <w:tcW w:w="1093" w:type="dxa"/>
            <w:vAlign w:val="center"/>
            <w:vMerge w:val="continue"/>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生物中专-小伊-灌云(体育馆)+同兴鲁河四队 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23</w:t>
            </w:r>
            <w:r/>
          </w:p>
        </w:tc>
        <w:tc>
          <w:tcPr>
            <w:tcBorders>
              <w:top w:val="none" w:color="000000" w:sz="4" w:space="0"/>
            </w:tcBorders>
            <w:tcW w:w="1093" w:type="dxa"/>
            <w:vAlign w:val="center"/>
            <w:vMerge w:val="continue"/>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生物中专-小伊-灌云(体育馆)+同兴鲁河四队 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24</w:t>
            </w:r>
            <w:r/>
          </w:p>
        </w:tc>
        <w:tc>
          <w:tcPr>
            <w:tcBorders>
              <w:top w:val="none" w:color="000000" w:sz="4" w:space="0"/>
            </w:tcBorders>
            <w:tcW w:w="1093" w:type="dxa"/>
            <w:vAlign w:val="center"/>
            <w:vMerge w:val="continue"/>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生物中专-沂北-圩丰中学-杨集-灌南车站-头庄</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25</w:t>
            </w:r>
            <w:r/>
          </w:p>
        </w:tc>
        <w:tc>
          <w:tcPr>
            <w:tcBorders>
              <w:top w:val="none" w:color="000000" w:sz="4" w:space="0"/>
            </w:tcBorders>
            <w:tcW w:w="1093" w:type="dxa"/>
            <w:vAlign w:val="center"/>
            <w:vMerge w:val="continue"/>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生物中专-赣榆(北站)1</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26</w:t>
            </w:r>
            <w:r/>
          </w:p>
        </w:tc>
        <w:tc>
          <w:tcPr>
            <w:tcBorders>
              <w:top w:val="none" w:color="000000" w:sz="4" w:space="0"/>
            </w:tcBorders>
            <w:tcW w:w="1093" w:type="dxa"/>
            <w:vAlign w:val="center"/>
            <w:vMerge w:val="continue"/>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生物中专-赣榆(北站)2</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3"/>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27</w:t>
            </w:r>
            <w:r/>
          </w:p>
        </w:tc>
        <w:tc>
          <w:tcPr>
            <w:tcBorders>
              <w:top w:val="none" w:color="000000" w:sz="4" w:space="0"/>
            </w:tcBorders>
            <w:tcW w:w="1093" w:type="dxa"/>
            <w:vAlign w:val="center"/>
            <w:vMerge w:val="continue"/>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生物中专-赣榆(北站)3</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r>
        <w:trPr>
          <w:trHeight w:val="624"/>
        </w:trPr>
        <w:tc>
          <w:tcPr>
            <w:tcW w:w="828"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28</w:t>
            </w:r>
            <w:r/>
          </w:p>
        </w:tc>
        <w:tc>
          <w:tcPr>
            <w:tcW w:w="1093" w:type="dxa"/>
            <w:vAlign w:val="center"/>
            <w:textDirection w:val="lrTb"/>
            <w:noWrap w:val="false"/>
          </w:tcPr>
          <w:p>
            <w:pPr>
              <w:pStyle w:val="1031"/>
              <w:ind w:left="223" w:right="215"/>
              <w:jc w:val="center"/>
              <w:spacing w:before="123"/>
              <w:rPr>
                <w:rFonts w:hint="default"/>
                <w:color w:val="auto"/>
                <w:position w:val="1"/>
                <w:sz w:val="24"/>
                <w:szCs w:val="24"/>
                <w:highlight w:val="none"/>
                <w:lang w:val="en-US" w:eastAsia="zh-CN"/>
              </w:rPr>
            </w:pPr>
            <w:r>
              <w:rPr>
                <w:rFonts w:hint="eastAsia"/>
                <w:color w:val="auto"/>
                <w:position w:val="1"/>
                <w:sz w:val="24"/>
                <w:szCs w:val="24"/>
                <w:highlight w:val="none"/>
                <w:lang w:val="en-US" w:eastAsia="zh-CN"/>
              </w:rPr>
              <w:t xml:space="preserve">教师用车</w:t>
            </w:r>
            <w:r/>
          </w:p>
        </w:tc>
        <w:tc>
          <w:tcPr>
            <w:tcW w:w="6060" w:type="dxa"/>
            <w:vAlign w:val="center"/>
            <w:textDirection w:val="lrTb"/>
            <w:noWrap w:val="false"/>
          </w:tcPr>
          <w:p>
            <w:pPr>
              <w:pStyle w:val="1031"/>
              <w:ind w:left="223" w:right="215"/>
              <w:jc w:val="center"/>
              <w:spacing w:before="123"/>
              <w:rPr>
                <w:color w:val="auto"/>
                <w:position w:val="1"/>
                <w:sz w:val="24"/>
                <w:szCs w:val="24"/>
                <w:highlight w:val="none"/>
              </w:rPr>
            </w:pPr>
            <w:r>
              <w:rPr>
                <w:color w:val="auto"/>
                <w:position w:val="1"/>
                <w:sz w:val="24"/>
                <w:szCs w:val="24"/>
                <w:highlight w:val="none"/>
              </w:rPr>
              <w:t xml:space="preserve">生物中专-东辛农场-海州</w:t>
            </w:r>
            <w:r/>
          </w:p>
        </w:tc>
        <w:tc>
          <w:tcPr>
            <w:tcW w:w="788" w:type="dxa"/>
            <w:vAlign w:val="center"/>
            <w:textDirection w:val="lrTb"/>
            <w:noWrap w:val="false"/>
          </w:tcPr>
          <w:p>
            <w:pPr>
              <w:pStyle w:val="1031"/>
              <w:jc w:val="center"/>
              <w:rPr>
                <w:rFonts w:ascii="Times New Roman"/>
                <w:color w:val="auto"/>
                <w:sz w:val="24"/>
                <w:szCs w:val="24"/>
                <w:highlight w:val="none"/>
              </w:rPr>
            </w:pPr>
            <w:r>
              <w:rPr>
                <w:rFonts w:ascii="Times New Roman"/>
                <w:color w:val="auto"/>
                <w:sz w:val="24"/>
                <w:szCs w:val="24"/>
                <w:highlight w:val="none"/>
              </w:rPr>
            </w:r>
            <w:r/>
          </w:p>
        </w:tc>
      </w:tr>
    </w:tbl>
    <w:p>
      <w:pPr>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en-US" w:eastAsia="zh-CN"/>
        </w:rPr>
        <w:t xml:space="preserve">、服务期限</w:t>
      </w:r>
      <w:r/>
    </w:p>
    <w:p>
      <w:pPr>
        <w:ind w:firstLine="482"/>
        <w:keepLines w:val="0"/>
        <w:keepNext w:val="0"/>
        <w:pageBreakBefore w:val="0"/>
        <w:spacing w:line="520" w:lineRule="exact"/>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color w:val="auto"/>
          <w:sz w:val="24"/>
          <w:szCs w:val="24"/>
          <w:highlight w:val="none"/>
        </w:rPr>
        <w:t xml:space="preserve">★合同履行期限（服务期限）</w:t>
      </w:r>
      <w:r>
        <w:rPr>
          <w:rFonts w:hint="eastAsia" w:ascii="宋体" w:hAnsi="宋体" w:cs="宋体"/>
          <w:b/>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2025年-2026年学年</w:t>
      </w:r>
      <w:r>
        <w:rPr>
          <w:rFonts w:hint="eastAsia" w:ascii="宋体" w:hAnsi="宋体"/>
          <w:color w:val="auto"/>
          <w:sz w:val="24"/>
          <w:szCs w:val="24"/>
          <w:highlight w:val="none"/>
          <w:lang w:eastAsia="zh-CN"/>
        </w:rPr>
        <w:t xml:space="preserve">（以采购人指定要求为准）</w:t>
      </w:r>
      <w:r>
        <w:rPr>
          <w:rFonts w:hint="eastAsia" w:ascii="宋体" w:hAnsi="宋体" w:eastAsia="宋体" w:cs="宋体"/>
          <w:b/>
          <w:color w:val="auto"/>
          <w:sz w:val="24"/>
          <w:szCs w:val="24"/>
          <w:highlight w:val="none"/>
        </w:rPr>
        <w:t xml:space="preserve">。</w:t>
      </w:r>
      <w:r/>
    </w:p>
    <w:p>
      <w:pPr>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、履约验收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合同履行期间的具体内容按实际要求为准，</w:t>
      </w:r>
      <w:r>
        <w:rPr>
          <w:rFonts w:hint="eastAsia" w:ascii="宋体" w:hAnsi="宋体" w:eastAsia="宋体" w:cs="宋体"/>
          <w:b w:val="0"/>
          <w:bCs/>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按服务需求提供相关材料及服务工作，应保证所提供的材料符合清单要求，设备及服务人员配备及时到位，服务结束后由项目需求单位验收签字，视为通过验收。</w:t>
      </w:r>
      <w:r/>
    </w:p>
    <w:p>
      <w:pPr>
        <w:keepLines w:val="0"/>
        <w:keepNext w:val="0"/>
        <w:pageBreakBefore w:val="0"/>
        <w:spacing w:line="52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2、如因采购人需求调整、政策变化、不可抗力等原因，导致本项目中部分会务内容无需实施的，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统一按照实际发生量进行结算。</w:t>
      </w:r>
      <w:r/>
    </w:p>
    <w:p>
      <w:pPr>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、履约保证金</w:t>
      </w:r>
      <w:r/>
    </w:p>
    <w:p>
      <w:pPr>
        <w:ind w:firstLine="480"/>
        <w:jc w:val="left"/>
        <w:keepLines w:val="0"/>
        <w:keepNext w:val="0"/>
        <w:pageBreakBefore w:val="0"/>
        <w:spacing w:line="520" w:lineRule="exact"/>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color w:val="auto"/>
          <w:sz w:val="24"/>
          <w:szCs w:val="24"/>
          <w:highlight w:val="none"/>
        </w:rPr>
        <w:t xml:space="preserve">本项目不收取履约保证金。</w:t>
      </w:r>
      <w:r/>
    </w:p>
    <w:p>
      <w:pPr>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、报价要求</w:t>
      </w:r>
      <w:r/>
    </w:p>
    <w:p>
      <w:pPr>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应根</w:t>
      </w:r>
      <w:r>
        <w:rPr>
          <w:rFonts w:hint="eastAsia" w:ascii="宋体" w:hAnsi="宋体" w:eastAsia="宋体" w:cs="宋体"/>
          <w:b w:val="0"/>
          <w:bCs/>
          <w:color w:val="auto"/>
          <w:sz w:val="24"/>
          <w:szCs w:val="24"/>
          <w:highlight w:val="none"/>
          <w:lang w:val="en-US" w:eastAsia="zh-CN"/>
        </w:rPr>
        <w:t xml:space="preserve">据结合市场实际进行报价，建议</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en-US" w:eastAsia="zh-CN"/>
        </w:rPr>
        <w:t xml:space="preserve">进行现场勘查，以全面了解可能存在的风险。投标报价为全费用综合单价（</w:t>
      </w:r>
      <w:r>
        <w:rPr>
          <w:rFonts w:hint="eastAsia" w:ascii="宋体" w:hAnsi="宋体" w:eastAsia="宋体" w:cs="宋体"/>
          <w:b w:val="0"/>
          <w:bCs/>
          <w:color w:val="auto"/>
          <w:sz w:val="24"/>
          <w:szCs w:val="24"/>
          <w:highlight w:val="none"/>
        </w:rPr>
        <w:t xml:space="preserve">每趟</w:t>
      </w:r>
      <w:r>
        <w:rPr>
          <w:rFonts w:hint="eastAsia" w:ascii="宋体" w:hAnsi="宋体" w:eastAsia="宋体" w:cs="宋体"/>
          <w:b w:val="0"/>
          <w:bCs/>
          <w:color w:val="auto"/>
          <w:sz w:val="24"/>
          <w:szCs w:val="24"/>
          <w:highlight w:val="none"/>
          <w:lang w:val="en-US" w:eastAsia="zh-CN"/>
        </w:rPr>
        <w:t xml:space="preserve">或每天均为</w:t>
      </w:r>
      <w:r>
        <w:rPr>
          <w:rFonts w:hint="eastAsia" w:ascii="宋体" w:hAnsi="宋体" w:eastAsia="宋体" w:cs="宋体"/>
          <w:b w:val="0"/>
          <w:bCs/>
          <w:color w:val="auto"/>
          <w:sz w:val="24"/>
          <w:szCs w:val="24"/>
          <w:highlight w:val="none"/>
        </w:rPr>
        <w:t xml:space="preserve">包干价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应包</w:t>
      </w:r>
      <w:r>
        <w:rPr>
          <w:rFonts w:hint="eastAsia" w:ascii="宋体" w:hAnsi="宋体" w:eastAsia="宋体" w:cs="宋体"/>
          <w:b w:val="0"/>
          <w:bCs/>
          <w:color w:val="auto"/>
          <w:sz w:val="24"/>
          <w:szCs w:val="24"/>
          <w:highlight w:val="none"/>
          <w:lang w:val="en-US" w:eastAsia="zh-CN"/>
        </w:rPr>
        <w:t xml:space="preserve">含油费、租车费、停车费、折旧费、保险费、过路费、过桥费、修理费、交通事故产生的费用、利润、税金、驾驶员工资、福利、餐费等费用。</w:t>
      </w:r>
      <w:r>
        <w:rPr>
          <w:rFonts w:hint="eastAsia" w:ascii="宋体" w:hAnsi="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lang w:val="en-US" w:eastAsia="zh-CN"/>
        </w:rPr>
        <w:t xml:space="preserve">不再支付</w:t>
      </w:r>
      <w:r>
        <w:rPr>
          <w:rFonts w:hint="eastAsia" w:ascii="宋体" w:hAnsi="宋体" w:eastAsia="宋体" w:cs="宋体"/>
          <w:b w:val="0"/>
          <w:bCs/>
          <w:color w:val="auto"/>
          <w:sz w:val="24"/>
          <w:szCs w:val="24"/>
          <w:highlight w:val="none"/>
        </w:rPr>
        <w:t xml:space="preserve">任何额外费用。</w:t>
      </w:r>
      <w:r>
        <w:rPr>
          <w:rFonts w:hint="eastAsia" w:ascii="宋体" w:hAnsi="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报价时</w:t>
      </w:r>
      <w:r>
        <w:rPr>
          <w:rFonts w:hint="eastAsia" w:ascii="宋体" w:hAnsi="宋体" w:eastAsia="宋体" w:cs="宋体"/>
          <w:b w:val="0"/>
          <w:bCs/>
          <w:color w:val="auto"/>
          <w:sz w:val="24"/>
          <w:szCs w:val="24"/>
          <w:highlight w:val="none"/>
          <w:lang w:val="en-US" w:eastAsia="zh-CN"/>
        </w:rPr>
        <w:t xml:space="preserve">还</w:t>
      </w:r>
      <w:r>
        <w:rPr>
          <w:rFonts w:hint="eastAsia" w:ascii="宋体" w:hAnsi="宋体" w:eastAsia="宋体" w:cs="宋体"/>
          <w:b w:val="0"/>
          <w:bCs/>
          <w:color w:val="auto"/>
          <w:sz w:val="24"/>
          <w:szCs w:val="24"/>
          <w:highlight w:val="none"/>
        </w:rPr>
        <w:t xml:space="preserve">应考虑因公共卫生事件（如非典、新冠疫情等）或自然灾害（如台风、地震、洪水等）、战争等不可抗力等因素影响，导致用车量减少或停用。采购人将按实结算。</w:t>
      </w:r>
      <w:r/>
    </w:p>
    <w:p>
      <w:pPr>
        <w:pStyle w:val="911"/>
        <w:rPr>
          <w:rFonts w:hint="eastAsia" w:ascii="黑体" w:eastAsia="黑体"/>
          <w:bCs/>
          <w:color w:val="auto"/>
          <w:sz w:val="44"/>
          <w:highlight w:val="none"/>
        </w:rPr>
      </w:pPr>
      <w:r>
        <w:rPr>
          <w:rFonts w:ascii="Arial" w:hAnsi="Arial" w:cs="Arial"/>
          <w:b/>
          <w:color w:val="auto"/>
          <w:sz w:val="24"/>
          <w:szCs w:val="24"/>
          <w:highlight w:val="none"/>
        </w:rPr>
        <w:br w:type="page" w:clear="all"/>
      </w:r>
      <w:bookmarkStart w:id="244" w:name="_Toc32632"/>
      <w:r/>
      <w:bookmarkStart w:id="245" w:name="_Toc3139"/>
      <w:r/>
      <w:bookmarkStart w:id="246" w:name="_Toc120614281"/>
      <w:r>
        <w:rPr>
          <w:rFonts w:hint="eastAsia" w:ascii="黑体" w:eastAsia="黑体"/>
          <w:color w:val="auto"/>
          <w:sz w:val="44"/>
          <w:szCs w:val="44"/>
          <w:highlight w:val="none"/>
        </w:rPr>
        <w:t xml:space="preserve">第五章  评标方法与评标标准</w:t>
      </w:r>
      <w:bookmarkEnd w:id="244"/>
      <w:r/>
      <w:bookmarkEnd w:id="245"/>
      <w:r/>
      <w:r/>
    </w:p>
    <w:p>
      <w:pPr>
        <w:rPr>
          <w:rFonts w:hint="eastAsia"/>
          <w:color w:val="auto"/>
          <w:highlight w:val="none"/>
        </w:rPr>
      </w:pPr>
      <w:r>
        <w:rPr>
          <w:rFonts w:hint="eastAsia"/>
          <w:color w:val="auto"/>
          <w:highlight w:val="none"/>
        </w:rPr>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综合评分法，是指投标文件满足招标文件全部实质性要求，且按照评审因素的量化指标评审得分最高的</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为中标候选人的评标办法。</w:t>
      </w:r>
      <w:r/>
    </w:p>
    <w:p>
      <w:pPr>
        <w:ind w:firstLine="441"/>
        <w:jc w:val="left"/>
        <w:spacing w:line="360" w:lineRule="auto"/>
        <w:rPr>
          <w:rFonts w:ascii="Arial" w:hAnsi="Arial" w:cs="Arial"/>
          <w:b/>
          <w:bCs/>
          <w:color w:val="auto"/>
          <w:sz w:val="24"/>
          <w:szCs w:val="24"/>
          <w:highlight w:val="none"/>
        </w:rPr>
      </w:pPr>
      <w:r>
        <w:rPr>
          <w:rFonts w:hint="eastAsia" w:ascii="Arial" w:hAnsi="Arial" w:cs="Arial"/>
          <w:b/>
          <w:bCs/>
          <w:color w:val="auto"/>
          <w:sz w:val="24"/>
          <w:szCs w:val="24"/>
          <w:highlight w:val="none"/>
        </w:rPr>
        <w:t xml:space="preserve">二、评标委员会构成：</w:t>
      </w:r>
      <w:r/>
    </w:p>
    <w:p>
      <w:pPr>
        <w:ind w:firstLine="480"/>
        <w:spacing w:line="360" w:lineRule="auto"/>
        <w:widowControl/>
        <w:rPr>
          <w:rFonts w:hint="eastAsia" w:ascii="宋体" w:hAnsi="宋体"/>
          <w:b/>
          <w:color w:val="auto"/>
          <w:sz w:val="24"/>
          <w:highlight w:val="none"/>
        </w:rPr>
      </w:pPr>
      <w:r>
        <w:rPr>
          <w:rFonts w:hint="eastAsia" w:ascii="Arial" w:hAnsi="Arial" w:cs="Arial"/>
          <w:color w:val="auto"/>
          <w:sz w:val="24"/>
          <w:szCs w:val="24"/>
          <w:highlight w:val="none"/>
        </w:rPr>
        <w:t xml:space="preserve">本采购项目评标委员会的评委由采购人代表和评审专家组成。</w:t>
      </w:r>
      <w:r/>
    </w:p>
    <w:p>
      <w:pPr>
        <w:ind w:firstLine="482"/>
        <w:spacing w:line="360" w:lineRule="auto"/>
        <w:widowControl/>
        <w:rPr>
          <w:rFonts w:hint="eastAsia" w:ascii="宋体" w:hAnsi="宋体"/>
          <w:color w:val="auto"/>
          <w:sz w:val="24"/>
          <w:highlight w:val="none"/>
        </w:rPr>
      </w:pPr>
      <w:r>
        <w:rPr>
          <w:rFonts w:hint="eastAsia" w:ascii="宋体" w:hAnsi="宋体"/>
          <w:b/>
          <w:color w:val="auto"/>
          <w:sz w:val="24"/>
          <w:highlight w:val="none"/>
        </w:rPr>
        <w:t xml:space="preserve">三、评标原则</w:t>
      </w:r>
      <w:r>
        <w:rPr>
          <w:rFonts w:hint="eastAsia" w:ascii="宋体" w:hAnsi="宋体"/>
          <w:color w:val="auto"/>
          <w:sz w:val="24"/>
          <w:highlight w:val="none"/>
        </w:rPr>
        <w:t xml:space="preserve">：</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四、评标标准：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1、评标时，评标委员会以招标文件为评标依据，评标委员会各成员独立对每个</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的投标文件进行评价，并汇总每个</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的得分。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3、总得分=价格分+</w:t>
      </w:r>
      <w:r>
        <w:rPr>
          <w:rFonts w:hint="eastAsia" w:ascii="宋体" w:hAnsi="宋体"/>
          <w:color w:val="auto"/>
          <w:sz w:val="24"/>
          <w:highlight w:val="none"/>
          <w:lang w:val="en-US" w:eastAsia="zh-CN"/>
        </w:rPr>
        <w:t xml:space="preserve">技术分+</w:t>
      </w:r>
      <w:r>
        <w:rPr>
          <w:rFonts w:hint="eastAsia" w:ascii="宋体" w:hAnsi="宋体"/>
          <w:color w:val="auto"/>
          <w:sz w:val="24"/>
          <w:highlight w:val="none"/>
        </w:rPr>
        <w:t xml:space="preserve">商务分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为中标候选人。本项目选取1名中标候选人。</w:t>
      </w:r>
      <w:r/>
    </w:p>
    <w:p>
      <w:pPr>
        <w:pStyle w:val="972"/>
        <w:ind w:left="734" w:hanging="343"/>
        <w:jc w:val="center"/>
        <w:spacing w:line="360" w:lineRule="auto"/>
        <w:tabs>
          <w:tab w:val="left" w:pos="720" w:leader="none"/>
        </w:tabs>
        <w:rPr>
          <w:b/>
          <w:color w:val="auto"/>
          <w:sz w:val="28"/>
          <w:szCs w:val="28"/>
          <w:highlight w:val="none"/>
        </w:rPr>
      </w:pPr>
      <w:r>
        <w:rPr>
          <w:rFonts w:hint="eastAsia"/>
          <w:b/>
          <w:color w:val="auto"/>
          <w:sz w:val="28"/>
          <w:szCs w:val="28"/>
          <w:highlight w:val="none"/>
        </w:rPr>
        <w:t xml:space="preserve">综合评分法</w:t>
      </w:r>
      <w:r/>
    </w:p>
    <w:p>
      <w:pPr>
        <w:numPr>
          <w:ilvl w:val="0"/>
          <w:numId w:val="5"/>
        </w:numPr>
        <w:ind w:firstLine="482"/>
        <w:keepLines w:val="0"/>
        <w:keepNext w:val="0"/>
        <w:pageBreakBefore w:val="0"/>
        <w:spacing w:before="146" w:after="146" w:line="360" w:lineRule="auto"/>
        <w:widowControl/>
        <w:rPr>
          <w:rFonts w:hint="eastAsia" w:ascii="宋体" w:hAnsi="宋体"/>
          <w:b/>
          <w:bCs/>
          <w:color w:val="auto"/>
          <w:sz w:val="24"/>
          <w:highlight w:val="none"/>
        </w:rPr>
      </w:pPr>
      <w:r>
        <w:rPr>
          <w:rFonts w:hint="eastAsia" w:ascii="宋体" w:hAnsi="宋体"/>
          <w:b/>
          <w:bCs/>
          <w:color w:val="auto"/>
          <w:sz w:val="24"/>
          <w:highlight w:val="none"/>
        </w:rPr>
        <w:t xml:space="preserve">价格分：</w:t>
      </w:r>
      <w:r>
        <w:rPr>
          <w:rFonts w:hint="eastAsia" w:ascii="宋体" w:hAnsi="宋体"/>
          <w:b/>
          <w:bCs/>
          <w:color w:val="auto"/>
          <w:sz w:val="24"/>
          <w:highlight w:val="none"/>
          <w:lang w:val="en-US" w:eastAsia="zh-CN"/>
        </w:rPr>
        <w:t xml:space="preserve">10</w:t>
      </w:r>
      <w:r>
        <w:rPr>
          <w:rFonts w:hint="eastAsia" w:ascii="宋体" w:hAnsi="宋体"/>
          <w:b/>
          <w:bCs/>
          <w:color w:val="auto"/>
          <w:sz w:val="24"/>
          <w:highlight w:val="none"/>
        </w:rPr>
        <w:t xml:space="preserve">分</w:t>
      </w:r>
      <w:r/>
    </w:p>
    <w:p>
      <w:pPr>
        <w:ind w:firstLine="480"/>
        <w:keepLines w:val="0"/>
        <w:keepNext w:val="0"/>
        <w:pageBreakBefore w:val="0"/>
        <w:spacing w:line="360" w:lineRule="auto"/>
        <w:widowControl/>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采用低价优先法计算，即满足招标文件要求且投标价格最低的投标报价为评标基准价，其价格分为满分。其他</w:t>
      </w:r>
      <w:r>
        <w:rPr>
          <w:rFonts w:hint="eastAsia" w:ascii="宋体" w:hAnsi="宋体" w:cs="Times New Roman"/>
          <w:b w:val="0"/>
          <w:bCs w:val="0"/>
          <w:color w:val="auto"/>
          <w:sz w:val="24"/>
          <w:highlight w:val="none"/>
          <w:lang w:val="en-US" w:eastAsia="zh-CN"/>
        </w:rPr>
        <w:t xml:space="preserve">供应商</w:t>
      </w:r>
      <w:r>
        <w:rPr>
          <w:rFonts w:hint="eastAsia" w:ascii="宋体" w:hAnsi="宋体" w:eastAsia="宋体" w:cs="Times New Roman"/>
          <w:b w:val="0"/>
          <w:bCs w:val="0"/>
          <w:color w:val="auto"/>
          <w:sz w:val="24"/>
          <w:highlight w:val="none"/>
          <w:lang w:val="en-US" w:eastAsia="zh-CN"/>
        </w:rPr>
        <w:t xml:space="preserve">的价格分统一按照下列公式计算：</w:t>
      </w:r>
      <w:r/>
    </w:p>
    <w:p>
      <w:pPr>
        <w:ind w:firstLine="480"/>
        <w:keepLines w:val="0"/>
        <w:keepNext w:val="0"/>
        <w:pageBreakBefore w:val="0"/>
        <w:spacing w:line="360" w:lineRule="auto"/>
        <w:widowControl/>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投标报价得分=（评标基准价/投标报价）×1</w:t>
      </w:r>
      <w:r>
        <w:rPr>
          <w:rFonts w:hint="eastAsia" w:ascii="宋体" w:hAnsi="宋体" w:cs="Times New Roman"/>
          <w:b w:val="0"/>
          <w:bCs w:val="0"/>
          <w:color w:val="auto"/>
          <w:sz w:val="24"/>
          <w:highlight w:val="none"/>
          <w:lang w:val="en-US" w:eastAsia="zh-CN"/>
        </w:rPr>
        <w:t xml:space="preserve">0</w:t>
      </w:r>
      <w:r>
        <w:rPr>
          <w:rFonts w:hint="eastAsia" w:ascii="宋体" w:hAnsi="宋体" w:eastAsia="宋体" w:cs="Times New Roman"/>
          <w:b w:val="0"/>
          <w:bCs w:val="0"/>
          <w:color w:val="auto"/>
          <w:sz w:val="24"/>
          <w:highlight w:val="none"/>
          <w:lang w:val="en-US" w:eastAsia="zh-CN"/>
        </w:rPr>
        <w:t xml:space="preserve">分。</w:t>
      </w:r>
      <w:r/>
    </w:p>
    <w:p>
      <w:pPr>
        <w:ind w:firstLine="480"/>
        <w:keepLines w:val="0"/>
        <w:keepNext w:val="0"/>
        <w:pageBreakBefore w:val="0"/>
        <w:spacing w:line="360" w:lineRule="auto"/>
        <w:widowControl/>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评标过程中，不得去掉报价中的最高报价和最低报价</w:t>
      </w:r>
      <w:r/>
    </w:p>
    <w:p>
      <w:pPr>
        <w:ind w:firstLine="480"/>
        <w:keepLines w:val="0"/>
        <w:keepNext w:val="0"/>
        <w:pageBreakBefore w:val="0"/>
        <w:spacing w:line="360" w:lineRule="auto"/>
        <w:widowControl/>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依据财法函[2020]46号文“关于印发《政府采购促进中小企业发展管理办法》的通知”。投标人符合《工业和信息化部、国家统计局、国家发展和改革委员会、财政部关于印发中小企业划型标准规定的通知》（工信部联企业[2011]300号）规定的划分标准：即本项目所采购的服务全部由小型、微型企业承接，全部属于小型、微型企业的，提供小微企业声明函，在投标报价的价格评审时给予10%的扣除，用扣除后的价格参加评审。</w:t>
      </w:r>
      <w:r/>
    </w:p>
    <w:p>
      <w:pPr>
        <w:ind w:firstLine="482"/>
        <w:keepLines w:val="0"/>
        <w:keepNext w:val="0"/>
        <w:pageBreakBefore w:val="0"/>
        <w:spacing w:before="146" w:after="146" w:line="360" w:lineRule="auto"/>
        <w:widowControl/>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rPr>
        <w:t xml:space="preserve">技术分</w:t>
      </w:r>
      <w:r>
        <w:rPr>
          <w:rFonts w:hint="eastAsia" w:ascii="宋体" w:hAnsi="宋体" w:eastAsia="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55</w:t>
      </w:r>
      <w:r>
        <w:rPr>
          <w:rFonts w:hint="eastAsia" w:ascii="宋体" w:hAnsi="宋体" w:eastAsia="宋体" w:cs="Times New Roman"/>
          <w:b/>
          <w:bCs/>
          <w:color w:val="auto"/>
          <w:sz w:val="24"/>
          <w:highlight w:val="none"/>
        </w:rPr>
        <w:t xml:space="preserve">分</w:t>
      </w:r>
      <w:r/>
    </w:p>
    <w:tbl>
      <w:tblPr>
        <w:tblStyle w:val="738"/>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505"/>
      </w:tblGrid>
      <w:tr>
        <w:trPr>
          <w:jc w:val="center"/>
          <w:trHeight w:val="621"/>
        </w:trPr>
        <w:tc>
          <w:tcPr>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5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2461"/>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管理方案</w:t>
            </w:r>
            <w:r/>
          </w:p>
          <w:p>
            <w:pPr>
              <w:jc w:val="center"/>
              <w:keepLines w:val="0"/>
              <w:keepNext w:val="0"/>
              <w:pageBreakBefore w:val="0"/>
              <w:spacing w:line="32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505"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根据供应商针对本项目制定的管理方案，包括但不限于配合项目履约监督及现场检查、车辆档案管理、</w:t>
            </w:r>
            <w:r>
              <w:rPr>
                <w:rFonts w:hint="eastAsia" w:ascii="宋体" w:hAnsi="宋体" w:cs="宋体"/>
                <w:color w:val="auto"/>
                <w:sz w:val="24"/>
                <w:szCs w:val="24"/>
                <w:highlight w:val="none"/>
                <w:lang w:val="en-US" w:eastAsia="zh-CN" w:bidi="ar-SA"/>
              </w:rPr>
              <w:t xml:space="preserve">日常管理、</w:t>
            </w:r>
            <w:r>
              <w:rPr>
                <w:rFonts w:hint="eastAsia" w:ascii="宋体" w:hAnsi="宋体" w:eastAsia="宋体" w:cs="宋体"/>
                <w:color w:val="auto"/>
                <w:sz w:val="24"/>
                <w:szCs w:val="24"/>
                <w:highlight w:val="none"/>
                <w:lang w:val="en-US" w:eastAsia="zh-CN" w:bidi="ar-SA"/>
              </w:rPr>
              <w:t xml:space="preserve">卫生保洁、用户信息反馈与处置机制等进行评标：</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针对性强，合理且可操作性强的得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 </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针对性较强，较为合理且可操作性强的得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 </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针对性一般，合理性一般且可操作性一般的得2分； </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未提供不得分。</w:t>
            </w:r>
            <w:r/>
          </w:p>
        </w:tc>
      </w:tr>
      <w:tr>
        <w:trPr>
          <w:jc w:val="center"/>
          <w:trHeight w:val="2019"/>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车辆租赁</w:t>
            </w:r>
            <w:r>
              <w:rPr>
                <w:rFonts w:hint="eastAsia" w:ascii="宋体" w:hAnsi="宋体" w:eastAsia="宋体" w:cs="宋体"/>
                <w:color w:val="auto"/>
                <w:sz w:val="24"/>
                <w:szCs w:val="24"/>
                <w:highlight w:val="none"/>
                <w:lang w:val="en-US" w:eastAsia="zh-CN" w:bidi="ar-SA"/>
              </w:rPr>
              <w:t xml:space="preserve">方案</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505" w:type="dxa"/>
            <w:vAlign w:val="center"/>
            <w:textDirection w:val="lrTb"/>
            <w:noWrap w:val="false"/>
          </w:tcPr>
          <w:p>
            <w:pPr>
              <w:pStyle w:val="103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根据拟投入服务车辆介绍，设置专线电话，提供24小时叫车服务，服务车辆租赁服务团队，岗位分工。要求整体方案全面合理、可操作性强。</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优于项目需求的得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满足项目需求得3分；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其他不得分。</w:t>
            </w:r>
            <w:r/>
          </w:p>
        </w:tc>
      </w:tr>
      <w:tr>
        <w:trPr>
          <w:jc w:val="center"/>
          <w:trHeight w:val="1736"/>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应急方案</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505" w:type="dxa"/>
            <w:vAlign w:val="top"/>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根据供应商针对本项目制定的应急方案</w:t>
            </w:r>
            <w:r>
              <w:rPr>
                <w:rFonts w:hint="eastAsia" w:ascii="宋体" w:hAnsi="宋体" w:cs="宋体"/>
                <w:color w:val="auto"/>
                <w:sz w:val="24"/>
                <w:szCs w:val="24"/>
                <w:highlight w:val="none"/>
                <w:lang w:val="en-US" w:eastAsia="zh-CN" w:bidi="ar-SA"/>
              </w:rPr>
              <w:t xml:space="preserve">及服务保障承诺</w:t>
            </w:r>
            <w:r>
              <w:rPr>
                <w:rFonts w:hint="eastAsia" w:ascii="宋体" w:hAnsi="宋体" w:eastAsia="宋体" w:cs="宋体"/>
                <w:color w:val="auto"/>
                <w:sz w:val="24"/>
                <w:szCs w:val="24"/>
                <w:highlight w:val="none"/>
                <w:lang w:val="en-US" w:eastAsia="zh-CN" w:bidi="ar-SA"/>
              </w:rPr>
              <w:t xml:space="preserve">等进行评标：</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针对性强，合理且可操作性强的得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 </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针对性较强，较为合理且可操作性强的得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 </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针对性一般，合理性一般且可操作性一般的得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 </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未提供不得分。</w:t>
            </w:r>
            <w:r/>
          </w:p>
        </w:tc>
      </w:tr>
      <w:tr>
        <w:trPr>
          <w:jc w:val="center"/>
          <w:trHeight w:val="2142"/>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服务方案</w:t>
            </w:r>
            <w:r/>
          </w:p>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505"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针对本项目制定的服务方案，包括但不限于服务质量标准化、车辆车身内外整洁，以顾客为中心的服务保障，驾驶员按时接送站和安全文明驾驶的控制机制，服务监督、应急、重大活动服务保障的人员、车辆、工作机制提供相应方案</w:t>
            </w:r>
            <w:r>
              <w:rPr>
                <w:rFonts w:hint="eastAsia" w:ascii="宋体" w:hAnsi="宋体" w:cs="宋体"/>
                <w:color w:val="auto"/>
                <w:sz w:val="24"/>
                <w:szCs w:val="24"/>
                <w:highlight w:val="none"/>
                <w:lang w:val="en-US" w:eastAsia="zh-CN" w:bidi="ar-SA"/>
              </w:rPr>
              <w:t xml:space="preserve">或</w:t>
            </w:r>
            <w:r>
              <w:rPr>
                <w:rFonts w:hint="eastAsia" w:ascii="宋体" w:hAnsi="宋体" w:eastAsia="宋体" w:cs="宋体"/>
                <w:color w:val="auto"/>
                <w:sz w:val="24"/>
                <w:szCs w:val="24"/>
                <w:highlight w:val="none"/>
                <w:lang w:val="en-US" w:eastAsia="zh-CN" w:bidi="ar-SA"/>
              </w:rPr>
              <w:t xml:space="preserve">承诺等进行评标：</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针对性强，合理且可操作性强的得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针对性较强，较为合理且可操作性强的得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针对性一般，合理性一般且可操作性一般的得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未提供不得分。</w:t>
            </w:r>
            <w:r/>
          </w:p>
        </w:tc>
      </w:tr>
      <w:tr>
        <w:trPr>
          <w:jc w:val="center"/>
          <w:trHeight w:val="1978"/>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保障配套方案</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505" w:type="dxa"/>
            <w:vAlign w:val="center"/>
            <w:textDirection w:val="lrTb"/>
            <w:noWrap w:val="false"/>
          </w:tcPr>
          <w:p>
            <w:pPr>
              <w:pStyle w:val="1034"/>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能提供保障配套方案，包括车辆租赁、车辆保养、车辆维修等方面保障配套、服务时效。</w:t>
            </w:r>
            <w:r/>
          </w:p>
          <w:p>
            <w:pPr>
              <w:pStyle w:val="1034"/>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要求整体方案全面合理、可操作性强。</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优于项目需求的得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满足项目需求得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其他不得分。</w:t>
            </w:r>
            <w:r/>
          </w:p>
        </w:tc>
      </w:tr>
      <w:tr>
        <w:trPr>
          <w:jc w:val="center"/>
          <w:trHeight w:val="2094"/>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安全管理方案及措施</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505" w:type="dxa"/>
            <w:vAlign w:val="center"/>
            <w:textDirection w:val="lrTb"/>
            <w:noWrap w:val="false"/>
          </w:tcPr>
          <w:p>
            <w:pPr>
              <w:pStyle w:val="1034"/>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根据驾驶员管理，车辆管理，动态监控，运输组织，安全生产操作规程、安全生产管理制度评分。</w:t>
            </w:r>
            <w:r/>
          </w:p>
          <w:p>
            <w:pPr>
              <w:pStyle w:val="1034"/>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要求整体方案全面合理、可操作性强。</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优于项目需求的得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满足项目需求得3分；</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其他不得分</w:t>
            </w:r>
            <w:r>
              <w:rPr>
                <w:rFonts w:hint="eastAsia" w:ascii="宋体" w:hAnsi="宋体" w:cs="宋体"/>
                <w:color w:val="auto"/>
                <w:sz w:val="24"/>
                <w:szCs w:val="24"/>
                <w:highlight w:val="none"/>
                <w:lang w:val="en-US" w:eastAsia="zh-CN" w:bidi="ar-SA"/>
              </w:rPr>
              <w:t xml:space="preserve">。</w:t>
            </w:r>
            <w:r/>
          </w:p>
        </w:tc>
      </w:tr>
      <w:tr>
        <w:trPr>
          <w:jc w:val="center"/>
          <w:trHeight w:val="1599"/>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培训方案</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505" w:type="dxa"/>
            <w:vAlign w:val="center"/>
            <w:textDirection w:val="lrTb"/>
            <w:noWrap w:val="false"/>
          </w:tcPr>
          <w:p>
            <w:pPr>
              <w:pStyle w:val="1034"/>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驾驶员队伍建设、岗位培训、管理方案全面合理。</w:t>
            </w:r>
            <w:r/>
          </w:p>
          <w:p>
            <w:pPr>
              <w:pStyle w:val="1034"/>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要求整体方案全面合理、可操作性强。</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优于项目需求的得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满足项目需求得3分；</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其他不得分。</w:t>
            </w:r>
            <w:r/>
          </w:p>
        </w:tc>
      </w:tr>
      <w:tr>
        <w:trPr>
          <w:jc w:val="center"/>
          <w:trHeight w:val="1599"/>
        </w:trPr>
        <w:tc>
          <w:tcPr>
            <w:shd w:val="clear" w:color="auto" w:fill="auto"/>
            <w:tcW w:w="16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承运车辆情况（10分）</w:t>
            </w:r>
            <w:r/>
          </w:p>
        </w:tc>
        <w:tc>
          <w:tcPr>
            <w:shd w:val="clear" w:color="auto" w:fill="auto"/>
            <w:tcW w:w="7505" w:type="dxa"/>
            <w:vAlign w:val="center"/>
            <w:textDirection w:val="lrTb"/>
            <w:noWrap w:val="false"/>
          </w:tcPr>
          <w:p>
            <w:pPr>
              <w:ind w:left="0" w:right="0" w:firstLine="0"/>
              <w:jc w:val="both"/>
              <w:spacing w:before="0" w:after="0"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投标文件中提供的拟投入的承运车辆数量情况、车辆安全检测报告、车牌号、车辆行驶证（非自有车辆提供车辆租赁合同或其他证明材料，同时提供承诺书加盖投标人及车辆所有人公章，承诺书包含以下内容：如果发生交通事故，车辆所有单位与投标人承担连带责任。）、保险、驾驶员姓名、符合车型的驾驶员证件、劳动（务）合同等资料横向评审。</w:t>
            </w:r>
            <w:r/>
          </w:p>
          <w:p>
            <w:pPr>
              <w:ind w:left="0" w:right="0" w:firstLine="0"/>
              <w:jc w:val="both"/>
              <w:spacing w:before="0" w:after="0"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满足项目需求，配置合理，材料齐全的得10分；</w:t>
            </w:r>
            <w:r/>
          </w:p>
          <w:p>
            <w:pPr>
              <w:ind w:left="0" w:right="0" w:firstLine="0"/>
              <w:jc w:val="both"/>
              <w:spacing w:before="0" w:after="0"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满足项目需求，配置较为合理，材料较齐全的得6分；</w:t>
            </w:r>
            <w:r/>
          </w:p>
          <w:p>
            <w:pPr>
              <w:ind w:left="0" w:right="0" w:firstLine="0"/>
              <w:jc w:val="both"/>
              <w:spacing w:before="0" w:after="0"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不满足项目需求，配置不合理，材料不齐全的得2分。</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其他不得分。</w:t>
            </w:r>
            <w:r/>
          </w:p>
          <w:p>
            <w:pPr>
              <w:rPr>
                <w:highlight w:val="none"/>
              </w:rPr>
            </w:pPr>
            <w:r>
              <w:rPr>
                <w:highlight w:val="none"/>
              </w:rPr>
            </w:r>
            <w:r/>
          </w:p>
        </w:tc>
      </w:tr>
    </w:tbl>
    <w:p>
      <w:pPr>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20" w:lineRule="exact"/>
        <w:widowControl w:val="off"/>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3.商务分</w:t>
      </w:r>
      <w:r>
        <w:rPr>
          <w:rFonts w:hint="eastAsia" w:ascii="宋体" w:hAnsi="宋体" w:eastAsia="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35</w:t>
      </w:r>
      <w:r>
        <w:rPr>
          <w:rFonts w:hint="eastAsia" w:ascii="宋体" w:hAnsi="宋体" w:eastAsia="宋体" w:cs="Times New Roman"/>
          <w:b/>
          <w:bCs/>
          <w:color w:val="auto"/>
          <w:sz w:val="24"/>
          <w:highlight w:val="none"/>
        </w:rPr>
        <w:t xml:space="preserve">分</w:t>
      </w:r>
      <w:r/>
    </w:p>
    <w:tbl>
      <w:tblPr>
        <w:tblStyle w:val="738"/>
        <w:tblW w:w="91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7708"/>
      </w:tblGrid>
      <w:tr>
        <w:trPr>
          <w:jc w:val="center"/>
          <w:trHeight w:val="621"/>
        </w:trPr>
        <w:tc>
          <w:tcPr>
            <w:tcW w:w="1405" w:type="dxa"/>
            <w:vAlign w:val="center"/>
            <w:textDirection w:val="lrTb"/>
            <w:noWrap w:val="false"/>
          </w:tcPr>
          <w:p>
            <w:pPr>
              <w:jc w:val="center"/>
              <w:keepLines w:val="0"/>
              <w:keepNext w:val="0"/>
              <w:pageBreakBefore w:val="0"/>
              <w:spacing w:line="32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708" w:type="dxa"/>
            <w:vAlign w:val="center"/>
            <w:textDirection w:val="lrTb"/>
            <w:noWrap w:val="false"/>
          </w:tcPr>
          <w:p>
            <w:pPr>
              <w:jc w:val="center"/>
              <w:keepLines w:val="0"/>
              <w:keepNext w:val="0"/>
              <w:pageBreakBefore w:val="0"/>
              <w:spacing w:line="32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1127"/>
        </w:trPr>
        <w:tc>
          <w:tcPr>
            <w:tcW w:w="14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7708"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年1月1日以来（以合同签订时间为准）</w:t>
            </w:r>
            <w:r>
              <w:rPr>
                <w:rFonts w:hint="eastAsia" w:ascii="宋体" w:hAnsi="宋体" w:eastAsia="宋体" w:cs="宋体"/>
                <w:color w:val="auto"/>
                <w:sz w:val="24"/>
                <w:szCs w:val="24"/>
                <w:highlight w:val="none"/>
                <w:lang w:val="en-US" w:eastAsia="zh-CN"/>
              </w:rPr>
              <w:t xml:space="preserve">类似</w:t>
            </w:r>
            <w:r>
              <w:rPr>
                <w:rFonts w:hint="eastAsia" w:ascii="宋体" w:hAnsi="宋体" w:cs="宋体"/>
                <w:color w:val="auto"/>
                <w:sz w:val="24"/>
                <w:szCs w:val="24"/>
                <w:highlight w:val="none"/>
                <w:lang w:val="en-US" w:eastAsia="zh-CN"/>
              </w:rPr>
              <w:t xml:space="preserve">车辆服务业绩的</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一个</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注：需提供合同</w:t>
            </w:r>
            <w:r>
              <w:rPr>
                <w:rFonts w:hint="eastAsia" w:ascii="宋体" w:hAnsi="宋体" w:cs="宋体"/>
                <w:color w:val="auto"/>
                <w:sz w:val="24"/>
                <w:szCs w:val="24"/>
                <w:highlight w:val="none"/>
                <w:lang w:val="en-US" w:eastAsia="zh-CN"/>
              </w:rPr>
              <w:t xml:space="preserve">彩色</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作为证明材料，未提供本项不得分</w:t>
            </w:r>
            <w:r>
              <w:rPr>
                <w:rFonts w:hint="eastAsia" w:ascii="宋体" w:hAnsi="宋体" w:cs="宋体"/>
                <w:color w:val="auto"/>
                <w:sz w:val="24"/>
                <w:szCs w:val="24"/>
                <w:highlight w:val="none"/>
                <w:lang w:eastAsia="zh-CN"/>
              </w:rPr>
              <w:t xml:space="preserve">。</w:t>
            </w:r>
            <w:r/>
          </w:p>
        </w:tc>
      </w:tr>
      <w:tr>
        <w:trPr>
          <w:jc w:val="center"/>
          <w:trHeight w:val="1446"/>
        </w:trPr>
        <w:tc>
          <w:tcPr>
            <w:tcW w:w="1405"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用户评价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7708"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年1月1日以来获得不同用户对供应商评价为优的意见表（意见表须包含用户明确的评价意见、联系人及联系方式，上述信息不全或者不提供，不得分），每提供1份得1分，最多得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r>
      <w:tr>
        <w:trPr>
          <w:jc w:val="center"/>
          <w:trHeight w:val="2404"/>
        </w:trPr>
        <w:tc>
          <w:tcPr>
            <w:shd w:val="clear" w:color="auto" w:fill="auto"/>
            <w:tcW w:w="14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风险防控措施</w:t>
            </w:r>
            <w:r/>
          </w:p>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shd w:val="clear" w:color="auto" w:fill="auto"/>
            <w:tcW w:w="7708"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除国家规定的必保险种，供应商承诺中标后额外为本次政府采购提供服务的车辆投保（提供加盖公章的承诺函，明确险种及投保金额，否则不得分）: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①机动车损失险                   1分；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②三者险保额：</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万，</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rPr>
              <w:t xml:space="preserve">万，3分；3</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万及以上5分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③盗抢险                         1分；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④车上人员（驾驶人）责任险       1分；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⑤车上人员（乘客）责任险         1分；</w:t>
            </w:r>
            <w:r/>
          </w:p>
          <w:p>
            <w:pPr>
              <w:jc w:val="left"/>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⑥不计免赔险                     1分</w:t>
            </w:r>
            <w:r>
              <w:rPr>
                <w:rFonts w:hint="eastAsia" w:ascii="宋体" w:hAnsi="宋体" w:cs="宋体"/>
                <w:color w:val="auto"/>
                <w:sz w:val="24"/>
                <w:szCs w:val="24"/>
                <w:highlight w:val="none"/>
                <w:lang w:eastAsia="zh-CN"/>
              </w:rPr>
              <w:t xml:space="preserve">。</w:t>
            </w:r>
            <w:r/>
          </w:p>
        </w:tc>
      </w:tr>
      <w:tr>
        <w:trPr>
          <w:jc w:val="center"/>
          <w:trHeight w:val="1641"/>
        </w:trPr>
        <w:tc>
          <w:tcPr>
            <w:shd w:val="clear" w:color="auto" w:fill="auto"/>
            <w:tcW w:w="14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服务质量</w:t>
            </w:r>
            <w:r/>
          </w:p>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shd w:val="clear" w:color="auto" w:fill="auto"/>
            <w:tcW w:w="7708" w:type="dxa"/>
            <w:vAlign w:val="center"/>
            <w:textDirection w:val="lrTb"/>
            <w:noWrap w:val="false"/>
          </w:tcPr>
          <w:p>
            <w:pPr>
              <w:pStyle w:val="1034"/>
              <w:jc w:val="both"/>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近5年未发生过重大及以上等级安全事故（一次造成死亡1至2人，或者重伤3人以上10人以下，或者财产损失3万元以上不足6万元的事故）得5分，连续5年发生上述相关事故不超过两次得2分，连续5年发生相关事故3次及以上不得分。（提供承诺书）</w:t>
            </w:r>
            <w:r/>
          </w:p>
        </w:tc>
      </w:tr>
    </w:tbl>
    <w:p>
      <w:pPr>
        <w:ind w:firstLine="482"/>
        <w:rPr>
          <w:rFonts w:hint="eastAsia"/>
          <w:b/>
          <w:bCs/>
          <w:color w:val="auto"/>
          <w:sz w:val="24"/>
          <w:szCs w:val="24"/>
          <w:highlight w:val="none"/>
        </w:rPr>
      </w:pPr>
      <w:r>
        <w:rPr>
          <w:rFonts w:hint="eastAsia"/>
          <w:b/>
          <w:bCs/>
          <w:color w:val="auto"/>
          <w:sz w:val="24"/>
          <w:szCs w:val="24"/>
          <w:highlight w:val="none"/>
        </w:rPr>
      </w:r>
      <w:r/>
    </w:p>
    <w:p>
      <w:pPr>
        <w:ind w:firstLine="482"/>
        <w:rPr>
          <w:rFonts w:hint="eastAsia"/>
          <w:b/>
          <w:bCs/>
          <w:color w:val="auto"/>
          <w:sz w:val="24"/>
          <w:szCs w:val="24"/>
          <w:highlight w:val="none"/>
        </w:rPr>
      </w:pPr>
      <w:r>
        <w:rPr>
          <w:rFonts w:hint="eastAsia"/>
          <w:b/>
          <w:bCs/>
          <w:color w:val="auto"/>
          <w:sz w:val="24"/>
          <w:szCs w:val="24"/>
          <w:highlight w:val="none"/>
        </w:rPr>
        <w:t xml:space="preserve">注：投标文件中所提供的全部证明材料，评审结束后采购人有权进行核实，如有不实，将按照相关法律法规规定进行处理。</w:t>
      </w:r>
      <w:r/>
    </w:p>
    <w:p>
      <w:pPr>
        <w:pStyle w:val="988"/>
        <w:ind w:firstLine="42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11"/>
        <w:rPr>
          <w:rFonts w:hint="eastAsia" w:ascii="黑体" w:eastAsia="黑体"/>
          <w:bCs/>
          <w:color w:val="auto"/>
          <w:sz w:val="44"/>
          <w:highlight w:val="none"/>
        </w:rPr>
      </w:pPr>
      <w:r>
        <w:rPr>
          <w:rFonts w:hint="eastAsia"/>
          <w:color w:val="auto"/>
          <w:highlight w:val="none"/>
        </w:rPr>
        <w:br w:type="page" w:clear="all"/>
      </w:r>
      <w:bookmarkStart w:id="247" w:name="_Toc29928"/>
      <w:r/>
      <w:bookmarkStart w:id="248" w:name="_Toc25769"/>
      <w:r>
        <w:rPr>
          <w:rFonts w:hint="eastAsia" w:ascii="黑体" w:eastAsia="黑体"/>
          <w:color w:val="auto"/>
          <w:sz w:val="44"/>
          <w:szCs w:val="44"/>
          <w:highlight w:val="none"/>
        </w:rPr>
        <w:t xml:space="preserve">第六章  投标</w:t>
      </w:r>
      <w:bookmarkEnd w:id="242"/>
      <w:r/>
      <w:bookmarkEnd w:id="243"/>
      <w:r/>
      <w:bookmarkEnd w:id="246"/>
      <w:r>
        <w:rPr>
          <w:rFonts w:hint="eastAsia" w:ascii="黑体" w:eastAsia="黑体"/>
          <w:color w:val="auto"/>
          <w:sz w:val="44"/>
          <w:szCs w:val="44"/>
          <w:highlight w:val="none"/>
        </w:rPr>
        <w:t xml:space="preserve">文件格式</w:t>
      </w:r>
      <w:bookmarkEnd w:id="247"/>
      <w:r/>
      <w:bookmarkEnd w:id="248"/>
      <w:r>
        <w:rPr>
          <w:rFonts w:hint="eastAsia" w:ascii="黑体" w:eastAsia="黑体"/>
          <w:color w:val="auto"/>
          <w:sz w:val="44"/>
          <w:szCs w:val="44"/>
          <w:highlight w:val="none"/>
        </w:rPr>
        <w:t xml:space="preserve"> </w:t>
      </w:r>
      <w:r/>
    </w:p>
    <w:p>
      <w:pPr>
        <w:jc w:val="center"/>
        <w:rPr>
          <w:rFonts w:hint="eastAsia" w:ascii="宋体" w:hAnsi="宋体"/>
          <w:b/>
          <w:color w:val="auto"/>
          <w:sz w:val="72"/>
          <w:highlight w:val="none"/>
        </w:rPr>
      </w:pPr>
      <w:r/>
      <w:bookmarkStart w:id="249" w:name="_Hlt26671244"/>
      <w:r/>
      <w:bookmarkEnd w:id="249"/>
      <w:r/>
      <w:bookmarkStart w:id="250" w:name="_Hlt26955039"/>
      <w:r/>
      <w:bookmarkEnd w:id="250"/>
      <w:r/>
      <w:bookmarkStart w:id="251" w:name="_Toc26554094"/>
      <w:r/>
      <w:bookmarkStart w:id="252" w:name="_Toc120614282"/>
      <w:r/>
      <w:bookmarkStart w:id="253" w:name="_Toc49090576"/>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（加盖CA电子公章）</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ind w:firstLine="1084"/>
        <w:rPr>
          <w:rFonts w:ascii="宋体" w:hAnsi="宋体"/>
          <w:b/>
          <w:bCs/>
          <w:color w:val="auto"/>
          <w:sz w:val="32"/>
          <w:szCs w:val="32"/>
          <w:highlight w:val="none"/>
        </w:rPr>
      </w:pPr>
      <w:r>
        <w:rPr>
          <w:rFonts w:ascii="宋体" w:hAnsi="宋体"/>
          <w:b/>
          <w:color w:val="auto"/>
          <w:sz w:val="36"/>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一、法人或者其他组织的营业执照等证明文件，自然人的身份证明</w:t>
      </w:r>
      <w:r/>
    </w:p>
    <w:p>
      <w:pPr>
        <w:ind w:left="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二、具有良好的商业信誉和健全的财务会计制度</w:t>
      </w:r>
      <w:r/>
    </w:p>
    <w:p>
      <w:pPr>
        <w:ind w:left="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三、依法缴纳税收和社会保障资金的相关材料</w:t>
      </w:r>
      <w:r/>
    </w:p>
    <w:p>
      <w:pPr>
        <w:ind w:left="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四、</w:t>
      </w:r>
      <w:r>
        <w:rPr>
          <w:rFonts w:hint="eastAsia" w:ascii="宋体" w:hAnsi="宋体" w:cs="宋体"/>
          <w:color w:val="auto"/>
          <w:sz w:val="24"/>
          <w:szCs w:val="24"/>
          <w:highlight w:val="none"/>
        </w:rPr>
        <w:t xml:space="preserve">具备履行合同所必需的设备和专业技术能力的书面声明及证明材料</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五、参加政府采购活动前 3 年内在经营活动中没有重大违法记录的书面声明</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六、特定资格要求的证明文件</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七、法人授权书</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八、投标函</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九、小微企业声明函</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十、残疾人福利性单位声明函</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十一、投标分项报价表</w:t>
      </w:r>
      <w:r/>
    </w:p>
    <w:p>
      <w:pPr>
        <w:ind w:firstLine="480"/>
        <w:spacing w:line="360" w:lineRule="auto"/>
        <w:rPr>
          <w:rFonts w:hint="eastAsia"/>
          <w:color w:val="auto"/>
          <w:highlight w:val="none"/>
        </w:rPr>
      </w:pPr>
      <w:r>
        <w:rPr>
          <w:rFonts w:hint="eastAsia" w:ascii="宋体" w:hAnsi="宋体"/>
          <w:iCs/>
          <w:color w:val="auto"/>
          <w:sz w:val="24"/>
          <w:highlight w:val="none"/>
        </w:rPr>
        <w:t xml:space="preserve">十二、技术要求响应及偏离表</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十三、</w:t>
      </w:r>
      <w:r>
        <w:rPr>
          <w:rFonts w:hint="eastAsia" w:ascii="宋体" w:hAnsi="宋体" w:cs="宋体"/>
          <w:iCs/>
          <w:color w:val="auto"/>
          <w:sz w:val="24"/>
          <w:szCs w:val="21"/>
          <w:highlight w:val="none"/>
        </w:rPr>
        <w:t xml:space="preserve">商务要求响应及偏离表</w:t>
      </w:r>
      <w:r/>
    </w:p>
    <w:p>
      <w:pPr>
        <w:ind w:firstLine="480"/>
        <w:spacing w:line="360" w:lineRule="auto"/>
        <w:rPr>
          <w:rFonts w:hint="eastAsia" w:ascii="宋体" w:hAnsi="宋体"/>
          <w:iCs/>
          <w:color w:val="auto"/>
          <w:sz w:val="24"/>
          <w:highlight w:val="none"/>
        </w:rPr>
      </w:pPr>
      <w:r>
        <w:rPr>
          <w:rFonts w:hint="eastAsia" w:ascii="宋体" w:hAnsi="宋体" w:cs="宋体"/>
          <w:iCs/>
          <w:color w:val="auto"/>
          <w:sz w:val="24"/>
          <w:szCs w:val="21"/>
          <w:highlight w:val="none"/>
        </w:rPr>
        <w:t xml:space="preserve">十四、</w:t>
      </w:r>
      <w:r>
        <w:rPr>
          <w:rFonts w:hint="eastAsia" w:ascii="宋体" w:hAnsi="宋体"/>
          <w:iCs/>
          <w:color w:val="auto"/>
          <w:sz w:val="24"/>
          <w:highlight w:val="none"/>
        </w:rPr>
        <w:t xml:space="preserve">开标一览表</w:t>
      </w:r>
      <w:r/>
    </w:p>
    <w:p>
      <w:pPr>
        <w:ind w:firstLine="480"/>
        <w:spacing w:line="360" w:lineRule="auto"/>
        <w:rPr>
          <w:rFonts w:ascii="宋体" w:hAnsi="宋体"/>
          <w:iCs/>
          <w:color w:val="auto"/>
          <w:sz w:val="24"/>
          <w:highlight w:val="none"/>
        </w:rPr>
      </w:pPr>
      <w:r>
        <w:rPr>
          <w:rFonts w:hint="eastAsia" w:ascii="宋体" w:hAnsi="宋体" w:cs="宋体"/>
          <w:iCs/>
          <w:color w:val="auto"/>
          <w:sz w:val="24"/>
          <w:szCs w:val="21"/>
          <w:highlight w:val="none"/>
        </w:rPr>
        <w:t xml:space="preserve">十五</w:t>
      </w:r>
      <w:r>
        <w:rPr>
          <w:rFonts w:hint="eastAsia" w:ascii="宋体" w:hAnsi="宋体"/>
          <w:iCs/>
          <w:color w:val="auto"/>
          <w:sz w:val="24"/>
          <w:highlight w:val="none"/>
        </w:rPr>
        <w:t xml:space="preserve">、类似项目业绩一览表</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十六、项目团队人员一览表</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spacing w:line="360" w:lineRule="auto"/>
        <w:rPr>
          <w:rFonts w:hint="eastAsia" w:ascii="宋体" w:hAnsi="宋体"/>
          <w:iCs/>
          <w:color w:val="auto"/>
          <w:sz w:val="24"/>
          <w:highlight w:val="none"/>
        </w:rPr>
      </w:pPr>
      <w:r>
        <w:rPr>
          <w:rFonts w:hint="eastAsia" w:ascii="黑体" w:hAnsi="黑体" w:eastAsia="黑体"/>
          <w:i/>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一、法人或者其他组织的营业执照等证明文件，自然人的身份证明</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二、具有良好的商业信誉和健全的财务会计制度</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根据连财购〔2023〕4号、连财购</w:t>
      </w:r>
      <w:r>
        <w:rPr>
          <w:rFonts w:hint="eastAsia" w:ascii="宋体" w:hAnsi="宋体"/>
          <w:bCs/>
          <w:color w:val="auto"/>
          <w:sz w:val="24"/>
          <w:highlight w:val="none"/>
          <w:lang w:eastAsia="zh-CN"/>
        </w:rPr>
        <w:t xml:space="preserve">〔2023〕9号</w:t>
      </w:r>
      <w:r>
        <w:rPr>
          <w:rFonts w:hint="eastAsia" w:ascii="宋体" w:hAnsi="宋体"/>
          <w:bCs/>
          <w:color w:val="auto"/>
          <w:sz w:val="24"/>
          <w:highlight w:val="none"/>
        </w:rPr>
        <w:t xml:space="preserve">文件精神，可以提供《财务状况报告及税收、社会保障资金缴纳情况承诺函》。</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三、依法缴纳税收和社会保障资金的相关材料</w:t>
      </w:r>
      <w:bookmarkEnd w:id="251"/>
      <w:r/>
      <w:bookmarkEnd w:id="252"/>
      <w:r/>
      <w:bookmarkEnd w:id="253"/>
      <w:r/>
      <w:r/>
    </w:p>
    <w:p>
      <w:pPr>
        <w:ind w:firstLine="480"/>
        <w:rPr>
          <w:rFonts w:hint="eastAsia" w:ascii="宋体" w:hAnsi="宋体"/>
          <w:bCs/>
          <w:color w:val="auto"/>
          <w:sz w:val="24"/>
          <w:highlight w:val="none"/>
        </w:rPr>
      </w:pPr>
      <w:r/>
      <w:bookmarkStart w:id="254" w:name="_Toc120614284"/>
      <w:r>
        <w:rPr>
          <w:rFonts w:hint="eastAsia" w:ascii="宋体" w:hAnsi="宋体"/>
          <w:bCs/>
          <w:color w:val="auto"/>
          <w:sz w:val="24"/>
          <w:highlight w:val="none"/>
        </w:rPr>
        <w:t xml:space="preserve">根据连财购〔2023〕4号、连财购</w:t>
      </w:r>
      <w:r>
        <w:rPr>
          <w:rFonts w:hint="eastAsia" w:ascii="宋体" w:hAnsi="宋体"/>
          <w:bCs/>
          <w:color w:val="auto"/>
          <w:sz w:val="24"/>
          <w:highlight w:val="none"/>
          <w:lang w:eastAsia="zh-CN"/>
        </w:rPr>
        <w:t xml:space="preserve">〔2023〕9号</w:t>
      </w:r>
      <w:r>
        <w:rPr>
          <w:rFonts w:hint="eastAsia" w:ascii="宋体" w:hAnsi="宋体"/>
          <w:bCs/>
          <w:color w:val="auto"/>
          <w:sz w:val="24"/>
          <w:highlight w:val="none"/>
        </w:rPr>
        <w:t xml:space="preserve">文件精神，可以提供《财务状况报告及税收、社会保障资金缴纳情况承诺函》。</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四、具备履行合同所必需的设备和专业技术能力的书面声明及证明材料</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cs="宋体"/>
          <w:bCs/>
          <w:color w:val="auto"/>
          <w:sz w:val="24"/>
          <w:szCs w:val="21"/>
          <w:highlight w:val="none"/>
        </w:rPr>
        <w:t xml:space="preserve">（须附证明材料）</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cs="宋体"/>
          <w:bCs/>
          <w:color w:val="auto"/>
          <w:sz w:val="24"/>
          <w:szCs w:val="21"/>
          <w:highlight w:val="none"/>
        </w:rPr>
        <w:t xml:space="preserve">（须附证明材料）</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（盖章）：</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pStyle w:val="914"/>
        <w:ind w:firstLine="480"/>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pStyle w:val="914"/>
        <w:ind w:firstLine="482"/>
        <w:rPr>
          <w:rFonts w:hint="eastAsia" w:ascii="宋体" w:hAnsi="宋体"/>
          <w:b/>
          <w:color w:val="auto"/>
          <w:sz w:val="24"/>
          <w:highlight w:val="none"/>
        </w:rPr>
      </w:pPr>
      <w:r>
        <w:rPr>
          <w:rFonts w:hint="eastAsia" w:ascii="宋体" w:hAnsi="宋体"/>
          <w:b/>
          <w:color w:val="auto"/>
          <w:sz w:val="24"/>
          <w:highlight w:val="none"/>
        </w:rPr>
      </w:r>
      <w:r/>
    </w:p>
    <w:p>
      <w:pPr>
        <w:pStyle w:val="914"/>
        <w:ind w:firstLine="482"/>
        <w:rPr>
          <w:rFonts w:hint="eastAsia" w:ascii="宋体" w:hAnsi="宋体"/>
          <w:b/>
          <w:color w:val="auto"/>
          <w:sz w:val="24"/>
          <w:highlight w:val="none"/>
        </w:rPr>
      </w:pPr>
      <w:r>
        <w:rPr>
          <w:rFonts w:hint="eastAsia" w:ascii="宋体" w:hAnsi="宋体"/>
          <w:b/>
          <w:color w:val="auto"/>
          <w:sz w:val="24"/>
          <w:highlight w:val="none"/>
        </w:rPr>
        <w:t xml:space="preserve">附主要设备和主要专业技术能力的证明材料如下：</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r>
      <w:r/>
    </w:p>
    <w:p>
      <w:pPr>
        <w:pStyle w:val="914"/>
        <w:ind w:firstLine="482"/>
        <w:rPr>
          <w:rFonts w:hint="eastAsia" w:ascii="宋体" w:hAnsi="宋体"/>
          <w:b/>
          <w:color w:val="auto"/>
          <w:sz w:val="24"/>
          <w:highlight w:val="none"/>
        </w:rPr>
      </w:pPr>
      <w:r>
        <w:rPr>
          <w:rFonts w:hint="eastAsia" w:ascii="宋体" w:hAnsi="宋体"/>
          <w:b/>
          <w:color w:val="auto"/>
          <w:sz w:val="24"/>
          <w:highlight w:val="none"/>
        </w:rPr>
      </w:r>
      <w:r/>
    </w:p>
    <w:p>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（盖章）：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六、特定资格要求的证明文件</w:t>
      </w:r>
      <w:r/>
    </w:p>
    <w:p>
      <w:pPr>
        <w:spacing w:line="460" w:lineRule="exact"/>
        <w:rPr>
          <w:rFonts w:hint="eastAsia" w:ascii="宋体" w:hAnsi="宋体"/>
          <w:bCs/>
          <w:color w:val="auto"/>
          <w:sz w:val="24"/>
          <w:highlight w:val="none"/>
        </w:rPr>
      </w:pPr>
      <w:r>
        <w:rPr>
          <w:rFonts w:hint="eastAsia" w:ascii="宋体" w:hAnsi="宋体"/>
          <w:color w:val="auto"/>
          <w:sz w:val="24"/>
          <w:highlight w:val="none"/>
        </w:rPr>
        <w:t xml:space="preserve">   </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r>
      <w:r/>
    </w:p>
    <w:p>
      <w:pPr>
        <w:jc w:val="center"/>
        <w:rPr>
          <w:rFonts w:hint="eastAsia" w:ascii="黑体" w:hAnsi="黑体" w:eastAsia="黑体"/>
          <w:i/>
          <w:color w:val="auto"/>
          <w:sz w:val="32"/>
          <w:szCs w:val="32"/>
          <w:highlight w:val="none"/>
          <w:u w:val="singl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七、法人授权书</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致：</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本人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（姓名）系</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名称）的法定代表人（单位负责人），现委托</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（姓名）为我方代理人。代理人根据授权，以我方名义签署、澄清确认、递交、撤回、修改</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项目（分包号：</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）投标文件和处理有关事宜，其法律后果由我方承担。</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委托期限：自本授权委托书签署之日起至投标有效期届满之日止。</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代理人无转委托权。</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名称（加盖公章）</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法定代表人（单位负责人）（签字</w:t>
      </w:r>
      <w:r>
        <w:rPr>
          <w:rFonts w:hint="eastAsia" w:ascii="宋体" w:hAnsi="宋体"/>
          <w:bCs/>
          <w:color w:val="auto"/>
          <w:sz w:val="24"/>
          <w:highlight w:val="none"/>
          <w:lang w:val="en-US" w:eastAsia="zh-CN"/>
        </w:rPr>
        <w:t xml:space="preserve">或</w:t>
      </w:r>
      <w:r>
        <w:rPr>
          <w:rFonts w:hint="eastAsia" w:ascii="宋体" w:hAnsi="宋体"/>
          <w:bCs/>
          <w:color w:val="auto"/>
          <w:sz w:val="24"/>
          <w:highlight w:val="none"/>
        </w:rPr>
        <w:t xml:space="preserve">签章或印鉴）：</w:t>
      </w:r>
      <w:r>
        <w:rPr>
          <w:rFonts w:hint="eastAsia" w:ascii="宋体" w:hAnsi="宋体"/>
          <w:bCs/>
          <w:color w:val="auto"/>
          <w:sz w:val="24"/>
          <w:highlight w:val="none"/>
          <w:u w:val="single"/>
        </w:rPr>
        <w:t xml:space="preserve">             </w:t>
      </w:r>
      <w:r/>
    </w:p>
    <w:p>
      <w:pPr>
        <w:ind w:firstLine="481"/>
        <w:spacing w:line="460" w:lineRule="exact"/>
        <w:rPr>
          <w:rFonts w:hint="eastAsia" w:ascii="宋体" w:hAnsi="宋体"/>
          <w:bCs/>
          <w:color w:val="auto"/>
          <w:sz w:val="24"/>
          <w:highlight w:val="none"/>
          <w:lang w:val="zh-CN"/>
        </w:rPr>
      </w:pPr>
      <w:r>
        <w:rPr>
          <w:rFonts w:hint="eastAsia" w:ascii="宋体" w:hAnsi="宋体"/>
          <w:bCs/>
          <w:color w:val="auto"/>
          <w:sz w:val="24"/>
          <w:highlight w:val="none"/>
        </w:rPr>
        <w:t xml:space="preserve">委托代理人（签字/签章）：</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w:t>
      </w:r>
      <w:r/>
    </w:p>
    <w:p>
      <w:pPr>
        <w:ind w:firstLine="481"/>
        <w:spacing w:line="460" w:lineRule="exact"/>
        <w:rPr>
          <w:rFonts w:hint="eastAsia" w:ascii="宋体" w:hAnsi="宋体"/>
          <w:bCs/>
          <w:color w:val="auto"/>
          <w:sz w:val="24"/>
          <w:highlight w:val="none"/>
          <w:lang w:val="zh-CN"/>
        </w:rPr>
      </w:pPr>
      <w:r>
        <w:rPr>
          <w:rFonts w:hint="eastAsia" w:ascii="宋体" w:hAnsi="宋体"/>
          <w:bCs/>
          <w:color w:val="auto"/>
          <w:sz w:val="24"/>
          <w:highlight w:val="none"/>
        </w:rPr>
        <w:t xml:space="preserve">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法定代表人（单位负责人）有效期内的身份证正反面电子件：</w:t>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tc>
        <w:tc>
          <w:tcPr>
            <w:tcW w:w="4536" w:type="dxa"/>
            <w:vAlign w:val="top"/>
            <w:textDirection w:val="lrTb"/>
            <w:noWrap w:val="false"/>
          </w:tcPr>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tc>
      </w:tr>
    </w:tbl>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委托代理人有效期内的身份证正反面电子件：</w:t>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tc>
        <w:tc>
          <w:tcPr>
            <w:tcW w:w="4536" w:type="dxa"/>
            <w:vAlign w:val="top"/>
            <w:textDirection w:val="lrTb"/>
            <w:noWrap w:val="false"/>
          </w:tcPr>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tc>
      </w:tr>
    </w:tbl>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填报说明：</w:t>
      </w:r>
      <w:r/>
    </w:p>
    <w:p>
      <w:pPr>
        <w:ind w:firstLine="481"/>
        <w:spacing w:line="46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1、若</w:t>
      </w:r>
      <w:r>
        <w:rPr>
          <w:rFonts w:hint="eastAsia" w:ascii="宋体" w:hAnsi="宋体" w:cs="Times New Roman"/>
          <w:bCs/>
          <w:color w:val="auto"/>
          <w:sz w:val="24"/>
          <w:highlight w:val="none"/>
          <w:lang w:eastAsia="zh-CN"/>
        </w:rPr>
        <w:t xml:space="preserve">供应商</w:t>
      </w:r>
      <w:r>
        <w:rPr>
          <w:rFonts w:hint="eastAsia" w:ascii="宋体" w:hAnsi="宋体" w:eastAsia="宋体" w:cs="Times New Roman"/>
          <w:bCs/>
          <w:color w:val="auto"/>
          <w:sz w:val="24"/>
          <w:highlight w:val="none"/>
        </w:rPr>
        <w:t xml:space="preserve">为事业单位或其他组织或分支机构（仅当招标文件注明允许分支机构投标的），则法定代表人（单位负责人）处的签署人可为单位负责人。</w:t>
      </w:r>
      <w:r/>
    </w:p>
    <w:p>
      <w:pPr>
        <w:ind w:firstLine="481"/>
        <w:spacing w:line="46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2、若投标文件中全部签字之处均为法定代表人（单位负责人）本人签署，则可不提供本《授权委托书》，但须提供《法定代表人（单位负责人）身份证明》。</w:t>
      </w:r>
      <w:r/>
    </w:p>
    <w:p>
      <w:pPr>
        <w:ind w:firstLine="481"/>
        <w:spacing w:line="46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rPr>
          <w:rFonts w:hint="eastAsia" w:ascii="宋体" w:hAnsi="宋体" w:cs="Times New Roman"/>
          <w:bCs/>
          <w:color w:val="auto"/>
          <w:sz w:val="24"/>
          <w:highlight w:val="none"/>
          <w:lang w:eastAsia="zh-CN"/>
        </w:rPr>
        <w:t xml:space="preserve">供应商</w:t>
      </w:r>
      <w:r>
        <w:rPr>
          <w:rFonts w:hint="eastAsia" w:ascii="宋体" w:hAnsi="宋体" w:eastAsia="宋体" w:cs="Times New Roman"/>
          <w:bCs/>
          <w:color w:val="auto"/>
          <w:sz w:val="24"/>
          <w:highlight w:val="none"/>
        </w:rPr>
        <w:t xml:space="preserve">为自然人的情形，可不提供本《授权委托书》。</w:t>
      </w:r>
      <w:r/>
    </w:p>
    <w:p>
      <w:pPr>
        <w:ind w:firstLine="481"/>
        <w:spacing w:line="460" w:lineRule="exact"/>
        <w:rPr>
          <w:rFonts w:hint="eastAsia"/>
          <w:color w:val="auto"/>
          <w:highlight w:val="none"/>
        </w:rPr>
      </w:pPr>
      <w:r>
        <w:rPr>
          <w:rFonts w:hint="eastAsia" w:ascii="宋体" w:hAnsi="宋体"/>
          <w:bCs/>
          <w:color w:val="auto"/>
          <w:sz w:val="24"/>
          <w:highlight w:val="none"/>
        </w:rPr>
        <w:br w:type="page" w:clear="all"/>
      </w:r>
      <w:r/>
    </w:p>
    <w:p>
      <w:pPr>
        <w:jc w:val="cente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致：</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兹证明，</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姓名：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性别：</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年龄：</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职务：</w:t>
      </w:r>
      <w:r>
        <w:rPr>
          <w:rFonts w:hint="eastAsia" w:ascii="宋体" w:hAnsi="宋体"/>
          <w:bCs/>
          <w:color w:val="auto"/>
          <w:sz w:val="24"/>
          <w:highlight w:val="none"/>
          <w:u w:val="single"/>
        </w:rPr>
        <w:t xml:space="preserve">          </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系</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名称）的法定代表人（单位负责人）。</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附：法定代表人（单位负责人）有效期内的身份证正反面电子件。</w:t>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tc>
        <w:tc>
          <w:tcPr>
            <w:tcW w:w="4536" w:type="dxa"/>
            <w:vAlign w:val="top"/>
            <w:textDirection w:val="lrTb"/>
            <w:noWrap w:val="false"/>
          </w:tcPr>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tc>
      </w:tr>
    </w:tbl>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名称（加盖公章）</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法定代表人（单位负责人）（签字</w:t>
      </w:r>
      <w:r>
        <w:rPr>
          <w:rFonts w:hint="eastAsia" w:ascii="宋体" w:hAnsi="宋体"/>
          <w:bCs/>
          <w:color w:val="auto"/>
          <w:sz w:val="24"/>
          <w:highlight w:val="none"/>
          <w:lang w:val="en-US" w:eastAsia="zh-CN"/>
        </w:rPr>
        <w:t xml:space="preserve">或</w:t>
      </w:r>
      <w:r>
        <w:rPr>
          <w:rFonts w:hint="eastAsia" w:ascii="宋体" w:hAnsi="宋体"/>
          <w:bCs/>
          <w:color w:val="auto"/>
          <w:sz w:val="24"/>
          <w:highlight w:val="none"/>
        </w:rPr>
        <w:t xml:space="preserve">签章或印鉴）：</w:t>
      </w:r>
      <w:r>
        <w:rPr>
          <w:rFonts w:hint="eastAsia" w:ascii="宋体" w:hAnsi="宋体"/>
          <w:bCs/>
          <w:color w:val="auto"/>
          <w:sz w:val="24"/>
          <w:highlight w:val="none"/>
          <w:u w:val="single"/>
        </w:rPr>
        <w:t xml:space="preserve">           </w:t>
      </w:r>
      <w:r/>
    </w:p>
    <w:p>
      <w:pPr>
        <w:ind w:firstLine="481"/>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460" w:lineRule="exact"/>
        <w:rPr>
          <w:rFonts w:hint="eastAsia" w:ascii="楷体" w:hAnsi="楷体" w:eastAsia="楷体"/>
          <w:color w:val="auto"/>
          <w:sz w:val="24"/>
          <w:szCs w:val="24"/>
          <w:highlight w:val="none"/>
        </w:rPr>
      </w:pPr>
      <w:r>
        <w:rPr>
          <w:rFonts w:hint="eastAsia" w:ascii="宋体" w:hAnsi="宋体"/>
          <w:bCs/>
          <w:color w:val="auto"/>
          <w:sz w:val="24"/>
          <w:highlight w:val="none"/>
        </w:rPr>
        <w:t xml:space="preserve">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12"/>
        <w:ind w:firstLine="3390"/>
        <w:jc w:val="both"/>
        <w:rPr>
          <w:rFonts w:ascii="黑体" w:hAnsi="黑体" w:eastAsia="黑体"/>
          <w:bCs w:val="0"/>
          <w:i/>
          <w:color w:val="auto"/>
          <w:sz w:val="32"/>
          <w:szCs w:val="32"/>
          <w:highlight w:val="none"/>
        </w:rPr>
      </w:pPr>
      <w:r>
        <w:rPr>
          <w:rFonts w:ascii="宋体" w:hAnsi="宋体"/>
          <w:bCs w:val="0"/>
          <w:color w:val="auto"/>
          <w:sz w:val="24"/>
          <w:highlight w:val="none"/>
        </w:rPr>
        <w:br w:type="page" w:clear="all"/>
      </w:r>
      <w:bookmarkStart w:id="255" w:name="_Toc10385"/>
      <w:r/>
      <w:bookmarkStart w:id="256" w:name="_Toc27332"/>
      <w:r>
        <w:rPr>
          <w:rFonts w:hint="eastAsia" w:ascii="黑体" w:hAnsi="黑体" w:eastAsia="黑体"/>
          <w:b w:val="0"/>
          <w:bCs w:val="0"/>
          <w:iCs/>
          <w:color w:val="auto"/>
          <w:sz w:val="32"/>
          <w:szCs w:val="32"/>
          <w:highlight w:val="none"/>
          <w:u w:val="single"/>
        </w:rPr>
        <w:t xml:space="preserve">八、投标函</w:t>
      </w:r>
      <w:bookmarkEnd w:id="255"/>
      <w:r/>
      <w:bookmarkEnd w:id="256"/>
      <w:r/>
      <w:r/>
    </w:p>
    <w:p>
      <w:pPr>
        <w:pStyle w:val="999"/>
        <w:ind w:firstLine="0"/>
        <w:spacing w:before="0" w:after="0" w:line="42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eastAsia="zh-CN"/>
        </w:rPr>
        <w:t xml:space="preserve">连云港生物工程中等专业学校</w:t>
      </w:r>
      <w:r/>
    </w:p>
    <w:p>
      <w:pPr>
        <w:pStyle w:val="99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u w:val="single"/>
        </w:rPr>
        <w:t xml:space="preserve">（项目编号）</w:t>
      </w:r>
      <w:r>
        <w:rPr>
          <w:rFonts w:hint="eastAsia" w:ascii="宋体" w:hAnsi="宋体"/>
          <w:color w:val="auto"/>
          <w:szCs w:val="21"/>
          <w:highlight w:val="none"/>
        </w:rPr>
        <w:t xml:space="preserve">招标文件，正式授权下述签字人______(姓名)代表我方______________（</w:t>
      </w: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的名称），全权处理本次项目投标的有关事宜。</w:t>
      </w:r>
      <w:r/>
    </w:p>
    <w:p>
      <w:pPr>
        <w:pStyle w:val="99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99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99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w:t>
      </w: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w:t>
      </w:r>
      <w:r/>
    </w:p>
    <w:p>
      <w:pPr>
        <w:pStyle w:val="99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9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99"/>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99"/>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pStyle w:val="999"/>
        <w:spacing w:before="0" w:after="0" w:line="42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7.</w:t>
      </w:r>
      <w:r>
        <w:rPr>
          <w:rFonts w:hint="eastAsia" w:ascii="宋体" w:hAnsi="宋体"/>
          <w:color w:val="auto"/>
          <w:sz w:val="24"/>
          <w:szCs w:val="24"/>
          <w:highlight w:val="none"/>
          <w:lang w:val="en-US" w:eastAsia="zh-CN"/>
        </w:rPr>
        <w:t xml:space="preserve">如因采购人需求调整、政策变化、不可抗力等原因，导致本项目中部分内容无需实施的，供应商统一按照实际发生量进行结算。</w:t>
      </w:r>
      <w:r/>
    </w:p>
    <w:p>
      <w:pPr>
        <w:pStyle w:val="999"/>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.与本投标有关的正式通讯地址为：</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传          真：</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开户行：</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账          号： </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（盖章）：</w:t>
      </w:r>
      <w:r/>
    </w:p>
    <w:p>
      <w:pPr>
        <w:pStyle w:val="99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期：________年____月____日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九、小微企业声明函（服务）</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宋体" w:hAnsi="宋体"/>
          <w:color w:val="auto"/>
          <w:sz w:val="24"/>
          <w:szCs w:val="24"/>
          <w:highlight w:val="none"/>
          <w:lang w:eastAsia="zh-CN"/>
        </w:rPr>
        <w:t xml:space="preserve">〔2020〕46号</w:t>
      </w:r>
      <w:r>
        <w:rPr>
          <w:rFonts w:hint="eastAsia" w:ascii="宋体" w:hAnsi="宋体"/>
          <w:color w:val="auto"/>
          <w:sz w:val="24"/>
          <w:szCs w:val="24"/>
          <w:highlight w:val="none"/>
        </w:rPr>
        <w:t xml:space="preserve">)的规定，本公司参加采购人组织的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（项目名称）（分包号：**）</w:t>
      </w:r>
      <w:r>
        <w:rPr>
          <w:rFonts w:hint="eastAsia" w:ascii="宋体" w:hAnsi="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w:t>
      </w:r>
      <w:r>
        <w:rPr>
          <w:rFonts w:hint="eastAsia" w:ascii="宋体" w:hAnsi="宋体"/>
          <w:color w:val="auto"/>
          <w:sz w:val="24"/>
          <w:szCs w:val="24"/>
          <w:highlight w:val="none"/>
          <w:lang w:eastAsia="zh-CN"/>
        </w:rPr>
        <w:t xml:space="preserve">〔2011〕300号</w:t>
      </w:r>
      <w:r>
        <w:rPr>
          <w:rFonts w:hint="eastAsia" w:ascii="宋体" w:hAnsi="宋体"/>
          <w:color w:val="auto"/>
          <w:sz w:val="24"/>
          <w:szCs w:val="24"/>
          <w:highlight w:val="none"/>
        </w:rPr>
        <w:t xml:space="preserve">)的规定，相关企业的具体情况如下：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w:t>
      </w:r>
      <w:r>
        <w:rPr>
          <w:rFonts w:hint="eastAsia" w:ascii="宋体" w:hAnsi="宋体" w:cs="宋体"/>
          <w:color w:val="auto"/>
          <w:sz w:val="24"/>
          <w:szCs w:val="24"/>
          <w:highlight w:val="none"/>
          <w:u w:val="single"/>
        </w:rPr>
        <w:t xml:space="preserve">小型企业、微型企业</w:t>
      </w:r>
      <w:r>
        <w:rPr>
          <w:rFonts w:hint="eastAsia" w:ascii="宋体" w:hAnsi="宋体"/>
          <w:color w:val="auto"/>
          <w:sz w:val="24"/>
          <w:szCs w:val="24"/>
          <w:highlight w:val="none"/>
          <w:u w:val="singl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备注2：中标</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的《小</w:t>
      </w:r>
      <w:r>
        <w:rPr>
          <w:rFonts w:hint="eastAsia" w:ascii="宋体" w:hAnsi="宋体"/>
          <w:color w:val="auto"/>
          <w:sz w:val="24"/>
          <w:szCs w:val="24"/>
          <w:highlight w:val="none"/>
          <w:lang w:val="en-US" w:eastAsia="zh-CN"/>
        </w:rPr>
        <w:t xml:space="preserve">微</w:t>
      </w:r>
      <w:r>
        <w:rPr>
          <w:rFonts w:hint="eastAsia" w:ascii="宋体" w:hAnsi="宋体"/>
          <w:color w:val="auto"/>
          <w:sz w:val="24"/>
          <w:szCs w:val="24"/>
          <w:highlight w:val="none"/>
        </w:rPr>
        <w:t xml:space="preserve">企业声明函》随中标结果公开。</w:t>
      </w:r>
      <w:r/>
    </w:p>
    <w:p>
      <w:pPr>
        <w:jc w:val="center"/>
        <w:spacing w:line="460" w:lineRule="exact"/>
        <w:rPr>
          <w:rFonts w:hint="eastAsia"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u w:val="single"/>
        </w:rPr>
        <w:t xml:space="preserve">十、残疾人福利性单位声明函（分包号：**）</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lang w:eastAsia="zh-CN"/>
        </w:rPr>
        <w:t xml:space="preserve">〔2017〕141号</w:t>
      </w:r>
      <w:r>
        <w:rPr>
          <w:rFonts w:hint="eastAsia" w:ascii="宋体" w:hAnsi="宋体"/>
          <w:color w:val="auto"/>
          <w:sz w:val="24"/>
          <w:highlight w:val="none"/>
        </w:rPr>
        <w:t xml:space="preserve">）的规定，本单位为符合条件的残疾人福利性单位，且本单位参加______单位的采购文件编号为______的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szCs w:val="24"/>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center"/>
        <w:spacing w:line="560" w:lineRule="exact"/>
        <w:rPr>
          <w:rFonts w:hint="eastAsia" w:ascii="黑体" w:hAnsi="黑体" w:eastAsia="黑体"/>
          <w:iCs/>
          <w:color w:val="auto"/>
          <w:sz w:val="32"/>
          <w:szCs w:val="32"/>
          <w:highlight w:val="none"/>
          <w:u w:val="single"/>
        </w:rPr>
      </w:pPr>
      <w:r>
        <w:rPr>
          <w:rFonts w:hint="eastAsia" w:ascii="黑体" w:hAnsi="黑体" w:eastAsia="黑体"/>
          <w:b/>
          <w:color w:val="auto"/>
          <w:sz w:val="32"/>
          <w:szCs w:val="32"/>
          <w:highlight w:val="none"/>
        </w:rPr>
        <w:br w:type="page" w:clear="all"/>
      </w:r>
      <w:r>
        <w:rPr>
          <w:rFonts w:hint="eastAsia" w:ascii="黑体" w:hAnsi="黑体" w:eastAsia="黑体"/>
          <w:b/>
          <w:color w:val="auto"/>
          <w:sz w:val="32"/>
          <w:szCs w:val="32"/>
          <w:highlight w:val="none"/>
          <w:lang w:val="en-US" w:eastAsia="zh-CN"/>
        </w:rPr>
        <w:t xml:space="preserve">十一、</w:t>
      </w:r>
      <w:r>
        <w:rPr>
          <w:rFonts w:hint="eastAsia" w:ascii="黑体" w:hAnsi="黑体" w:eastAsia="黑体"/>
          <w:iCs/>
          <w:color w:val="auto"/>
          <w:sz w:val="32"/>
          <w:szCs w:val="32"/>
          <w:highlight w:val="none"/>
          <w:u w:val="single"/>
        </w:rPr>
        <w:t xml:space="preserve">投标分项报价表</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w:t>
      </w:r>
      <w:r>
        <w:rPr>
          <w:rFonts w:hint="eastAsia" w:ascii="宋体" w:hAnsi="宋体" w:cs="方正仿宋_GBK"/>
          <w:color w:val="auto"/>
          <w:sz w:val="24"/>
          <w:szCs w:val="24"/>
          <w:highlight w:val="none"/>
          <w:lang w:val="en-US" w:eastAsia="zh-CN"/>
        </w:rPr>
        <w:t xml:space="preserve">           </w:t>
      </w:r>
      <w:r>
        <w:rPr>
          <w:rFonts w:hint="eastAsia" w:ascii="宋体" w:hAnsi="宋体" w:eastAsia="宋体" w:cs="方正仿宋_GBK"/>
          <w:color w:val="auto"/>
          <w:sz w:val="24"/>
          <w:szCs w:val="24"/>
          <w:highlight w:val="none"/>
        </w:rPr>
        <w:t xml:space="preserve">  项目编号：   </w:t>
      </w:r>
      <w:r>
        <w:rPr>
          <w:rFonts w:hint="eastAsia" w:ascii="宋体" w:hAnsi="宋体" w:cs="方正仿宋_GBK"/>
          <w:color w:val="auto"/>
          <w:sz w:val="24"/>
          <w:szCs w:val="24"/>
          <w:highlight w:val="none"/>
          <w:lang w:val="en-US" w:eastAsia="zh-CN"/>
        </w:rPr>
        <w:t xml:space="preserve">     </w:t>
      </w:r>
      <w:r>
        <w:rPr>
          <w:rFonts w:hint="eastAsia" w:ascii="宋体" w:hAnsi="宋体" w:eastAsia="宋体" w:cs="方正仿宋_GBK"/>
          <w:color w:val="auto"/>
          <w:sz w:val="24"/>
          <w:szCs w:val="24"/>
          <w:highlight w:val="none"/>
        </w:rPr>
        <w:t xml:space="preserve">   分包号：</w:t>
      </w:r>
      <w:r>
        <w:rPr>
          <w:rFonts w:ascii="宋体" w:hAnsi="宋体" w:eastAsia="宋体" w:cs="Times New Roman"/>
          <w:bCs/>
          <w:color w:val="auto"/>
          <w:sz w:val="24"/>
          <w:szCs w:val="24"/>
          <w:highlight w:val="none"/>
        </w:rPr>
        <w:t xml:space="preserve"> </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73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756"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产品、服务（标的）名称</w:t>
            </w:r>
            <w:r/>
          </w:p>
        </w:tc>
        <w:tc>
          <w:tcPr>
            <w:tcW w:w="1417"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分项单位</w:t>
            </w:r>
            <w:r/>
          </w:p>
        </w:tc>
        <w:tc>
          <w:tcPr>
            <w:tcW w:w="993"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数量</w:t>
            </w:r>
            <w:r/>
          </w:p>
        </w:tc>
        <w:tc>
          <w:tcPr>
            <w:tcW w:w="1093"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单价</w:t>
            </w:r>
            <w:r/>
          </w:p>
        </w:tc>
        <w:tc>
          <w:tcPr>
            <w:tcW w:w="2350"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单项</w:t>
            </w:r>
            <w:r/>
          </w:p>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75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9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0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350"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75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9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0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350"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756"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9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1093"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c>
          <w:tcPr>
            <w:tcW w:w="2350"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auto"/>
                <w:sz w:val="24"/>
                <w:highlight w:val="none"/>
              </w:rPr>
            </w:pPr>
            <w:r>
              <w:rPr>
                <w:rFonts w:hint="eastAsia" w:ascii="宋体" w:hAnsi="宋体"/>
                <w:color w:val="auto"/>
                <w:sz w:val="24"/>
                <w:highlight w:val="none"/>
              </w:rPr>
              <w:t xml:space="preserve">总计（元）</w:t>
            </w:r>
            <w:r/>
          </w:p>
        </w:tc>
        <w:tc>
          <w:tcPr>
            <w:tcW w:w="2350" w:type="dxa"/>
            <w:vAlign w:val="center"/>
            <w:textDirection w:val="lrTb"/>
            <w:noWrap w:val="false"/>
          </w:tcPr>
          <w:p>
            <w:pPr>
              <w:jc w:val="center"/>
              <w:spacing w:line="560" w:lineRule="exact"/>
              <w:rPr>
                <w:rFonts w:ascii="宋体" w:hAnsi="宋体"/>
                <w:color w:val="auto"/>
                <w:sz w:val="24"/>
                <w:highlight w:val="none"/>
              </w:rPr>
            </w:pPr>
            <w:r>
              <w:rPr>
                <w:rFonts w:ascii="宋体" w:hAnsi="宋体"/>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jc w:val="left"/>
        <w:spacing w:line="420" w:lineRule="exact"/>
        <w:rPr>
          <w:rFonts w:hint="eastAsia" w:ascii="宋体" w:hAnsi="宋体"/>
          <w:bCs/>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80"/>
        <w:jc w:val="left"/>
        <w:spacing w:line="420" w:lineRule="exact"/>
        <w:rPr>
          <w:rFonts w:hint="eastAsia" w:ascii="宋体" w:hAnsi="宋体"/>
          <w:bCs/>
          <w:color w:val="auto"/>
          <w:sz w:val="24"/>
          <w:highlight w:val="none"/>
        </w:rPr>
      </w:pPr>
      <w:r>
        <w:rPr>
          <w:rFonts w:hint="eastAsia" w:ascii="宋体" w:hAnsi="宋体"/>
          <w:bCs/>
          <w:color w:val="auto"/>
          <w:sz w:val="24"/>
          <w:highlight w:val="none"/>
        </w:rPr>
      </w:r>
      <w:r/>
    </w:p>
    <w:p>
      <w:pPr>
        <w:ind w:firstLine="643"/>
        <w:spacing w:line="42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r>
      <w:r/>
    </w:p>
    <w:p>
      <w:pPr>
        <w:jc w:val="center"/>
        <w:rPr>
          <w:rFonts w:hint="eastAsia" w:ascii="黑体" w:hAnsi="黑体" w:eastAsia="黑体"/>
          <w:iCs/>
          <w:color w:val="auto"/>
          <w:sz w:val="32"/>
          <w:szCs w:val="32"/>
          <w:highlight w:val="none"/>
          <w:u w:val="single"/>
        </w:rPr>
      </w:pPr>
      <w:r>
        <w:rPr>
          <w:rFonts w:hint="eastAsia" w:ascii="黑体" w:hAnsi="黑体" w:eastAsia="黑体"/>
          <w:b/>
          <w:color w:val="auto"/>
          <w:sz w:val="32"/>
          <w:szCs w:val="32"/>
          <w:highlight w:val="none"/>
        </w:rPr>
        <w:br w:type="page" w:clear="all"/>
      </w:r>
      <w:bookmarkEnd w:id="254"/>
      <w:r/>
      <w:bookmarkStart w:id="257" w:name="_Hlt26955054"/>
      <w:r/>
      <w:bookmarkEnd w:id="257"/>
      <w:r>
        <w:rPr>
          <w:rFonts w:hint="eastAsia" w:ascii="黑体" w:hAnsi="黑体" w:eastAsia="黑体"/>
          <w:iCs/>
          <w:color w:val="auto"/>
          <w:sz w:val="32"/>
          <w:szCs w:val="32"/>
          <w:highlight w:val="none"/>
          <w:u w:val="single"/>
        </w:rPr>
        <w:t xml:space="preserve">十二、技术要求响应及偏离表（分包号：**）</w:t>
      </w:r>
      <w:r/>
    </w:p>
    <w:p>
      <w:pPr>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请对应采购文件“项目需求”等内容要求的商务、技术条件，填写该表</w:t>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auto"/>
                <w:sz w:val="24"/>
                <w:szCs w:val="24"/>
                <w:highlight w:val="none"/>
              </w:rPr>
            </w:pPr>
            <w:r/>
            <w:bookmarkStart w:id="258" w:name="_Hlt26955056"/>
            <w:r/>
            <w:bookmarkEnd w:id="258"/>
            <w:r/>
            <w:bookmarkStart w:id="259" w:name="_Hlt24879081"/>
            <w:r/>
            <w:bookmarkEnd w:id="259"/>
            <w:r/>
            <w:bookmarkStart w:id="260" w:name="_Hlt26671372"/>
            <w:r/>
            <w:bookmarkEnd w:id="260"/>
            <w:r/>
            <w:bookmarkStart w:id="261" w:name="_Hlt26955064"/>
            <w:r/>
            <w:bookmarkEnd w:id="261"/>
            <w:r/>
            <w:bookmarkStart w:id="262" w:name="_Hlt26671343"/>
            <w:r/>
            <w:bookmarkEnd w:id="262"/>
            <w:r/>
            <w:bookmarkStart w:id="263" w:name="_Hlt26580838"/>
            <w:r/>
            <w:bookmarkEnd w:id="263"/>
            <w:r/>
            <w:bookmarkStart w:id="264" w:name="_Hlt26782999"/>
            <w:r/>
            <w:bookmarkEnd w:id="264"/>
            <w:r/>
            <w:bookmarkStart w:id="265" w:name="_Hlt26609391"/>
            <w:r/>
            <w:bookmarkEnd w:id="265"/>
            <w:r>
              <w:rPr>
                <w:rFonts w:hint="eastAsia" w:ascii="宋体" w:hAnsi="宋体"/>
                <w:color w:val="auto"/>
                <w:sz w:val="24"/>
                <w:szCs w:val="24"/>
                <w:highlight w:val="none"/>
              </w:rPr>
              <w:t xml:space="preserve">序号</w:t>
            </w:r>
            <w:r/>
          </w:p>
        </w:tc>
        <w:tc>
          <w:tcPr>
            <w:tcW w:w="268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（盖章）：</w:t>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spacing w:line="480" w:lineRule="auto"/>
        <w:rPr>
          <w:rFonts w:hint="eastAsia" w:ascii="仿宋_GB2312" w:hAnsi="Arial"/>
          <w:color w:val="auto"/>
          <w:sz w:val="30"/>
          <w:highlight w:val="none"/>
        </w:rPr>
      </w:pPr>
      <w:r>
        <w:rPr>
          <w:rFonts w:hint="eastAsia" w:ascii="宋体" w:hAnsi="宋体"/>
          <w:color w:val="auto"/>
          <w:sz w:val="24"/>
          <w:highlight w:val="none"/>
        </w:rPr>
        <w:t xml:space="preserve">日期：    年     月     日</w:t>
      </w:r>
      <w:bookmarkEnd w:id="235"/>
      <w:bookmarkEnd w:id="236"/>
      <w:r/>
    </w:p>
    <w:p>
      <w:pPr>
        <w:pStyle w:val="914"/>
        <w:ind w:firstLine="0"/>
        <w:rPr>
          <w:rFonts w:hint="eastAsia" w:ascii="宋体" w:hAnsi="宋体"/>
          <w:color w:val="auto"/>
          <w:sz w:val="24"/>
          <w:highlight w:val="none"/>
        </w:rPr>
      </w:pPr>
      <w:r/>
      <w:bookmarkStart w:id="266" w:name="_Hlt26955066"/>
      <w:r/>
      <w:bookmarkEnd w:id="266"/>
      <w:r/>
      <w:bookmarkStart w:id="267" w:name="_Toc462564146"/>
      <w:r/>
      <w:bookmarkEnd w:id="267"/>
      <w:r/>
      <w:bookmarkStart w:id="268" w:name="_Hlt26609389"/>
      <w:r/>
      <w:bookmarkEnd w:id="268"/>
      <w:r/>
      <w:bookmarkStart w:id="269" w:name="_Hlt26671374"/>
      <w:r/>
      <w:bookmarkEnd w:id="269"/>
      <w:r/>
      <w:r/>
    </w:p>
    <w:p>
      <w:pPr>
        <w:jc w:val="center"/>
        <w:rPr>
          <w:rFonts w:hint="eastAsia" w:ascii="黑体" w:hAnsi="黑体" w:eastAsia="黑体"/>
          <w:b/>
          <w:color w:val="auto"/>
          <w:sz w:val="32"/>
          <w:szCs w:val="32"/>
          <w:highlight w:val="none"/>
        </w:rPr>
      </w:pPr>
      <w:r/>
      <w:bookmarkStart w:id="270" w:name="_格式2__法定代表人授权书"/>
      <w:r/>
      <w:bookmarkEnd w:id="270"/>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cs="Times New Roman"/>
          <w:iCs/>
          <w:color w:val="auto"/>
          <w:sz w:val="32"/>
          <w:szCs w:val="32"/>
          <w:highlight w:val="none"/>
          <w:u w:val="single"/>
        </w:rPr>
      </w:pPr>
      <w:r>
        <w:rPr>
          <w:rFonts w:hint="eastAsia" w:ascii="黑体" w:hAnsi="黑体" w:eastAsia="黑体" w:cs="Times New Roman"/>
          <w:iCs/>
          <w:color w:val="auto"/>
          <w:sz w:val="32"/>
          <w:szCs w:val="32"/>
          <w:highlight w:val="none"/>
          <w:u w:val="single"/>
        </w:rPr>
        <w:br w:type="page" w:clear="all"/>
      </w:r>
      <w:r>
        <w:rPr>
          <w:rFonts w:hint="eastAsia" w:ascii="黑体" w:hAnsi="黑体" w:eastAsia="黑体" w:cs="Times New Roman"/>
          <w:iCs/>
          <w:color w:val="auto"/>
          <w:sz w:val="32"/>
          <w:szCs w:val="32"/>
          <w:highlight w:val="none"/>
          <w:u w:val="single"/>
        </w:rPr>
        <w:t xml:space="preserve">十</w:t>
      </w:r>
      <w:r>
        <w:rPr>
          <w:rFonts w:hint="eastAsia" w:ascii="黑体" w:hAnsi="黑体" w:eastAsia="黑体" w:cs="Times New Roman"/>
          <w:iCs/>
          <w:color w:val="auto"/>
          <w:sz w:val="32"/>
          <w:szCs w:val="32"/>
          <w:highlight w:val="none"/>
          <w:u w:val="single"/>
          <w:lang w:val="en-US" w:eastAsia="zh-CN"/>
        </w:rPr>
        <w:t xml:space="preserve">三</w:t>
      </w:r>
      <w:r>
        <w:rPr>
          <w:rFonts w:hint="eastAsia" w:ascii="黑体" w:hAnsi="黑体" w:eastAsia="黑体" w:cs="Times New Roman"/>
          <w:iCs/>
          <w:color w:val="auto"/>
          <w:sz w:val="32"/>
          <w:szCs w:val="32"/>
          <w:highlight w:val="none"/>
          <w:u w:val="single"/>
        </w:rPr>
        <w:t xml:space="preserve">、商务要求响应及偏离表</w:t>
      </w:r>
      <w:r/>
    </w:p>
    <w:tbl>
      <w:tblPr>
        <w:tblStyle w:val="73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3069"/>
        <w:gridCol w:w="2502"/>
        <w:gridCol w:w="1302"/>
        <w:gridCol w:w="1614"/>
      </w:tblGrid>
      <w:tr>
        <w:trPr>
          <w:cantSplit/>
        </w:trPr>
        <w:tc>
          <w:tcPr>
            <w:tcW w:w="682"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069"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502"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682" w:type="dxa"/>
            <w:vAlign w:val="top"/>
            <w:textDirection w:val="lrTb"/>
            <w:noWrap/>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p>
        </w:tc>
        <w:tc>
          <w:tcPr>
            <w:tcW w:w="3069" w:type="dxa"/>
            <w:vAlign w:val="top"/>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合同履行期限（服务期限）：2025年-2026年学年（具体以采购人指定要求为准）</w:t>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vAlign w:val="top"/>
            <w:textDirection w:val="lrTb"/>
            <w:noWrap/>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W w:w="3069" w:type="dxa"/>
            <w:vAlign w:val="top"/>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如因采购人需求调整、政策变化、不可抗力等原因，导致本项目中部分内容无需实施的，供应商统一按照实际发生量进行结算。</w:t>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vAlign w:val="top"/>
            <w:textDirection w:val="lrTb"/>
            <w:noWrap/>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3069" w:type="dxa"/>
            <w:vAlign w:val="top"/>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付款方式：本项目车辆租赁服务费按各路线成交单价*实际使用辆次/天数进行结算付款。师生承担约42.25万元，采取月结的方式。财政承担57万，付款前1月成交供应商需提供等额的增值税专用发票及相关路线用车明细汇总，待双方审核一致后，每学年结算一次。否则延迟付款责任由乙方自行承担。</w:t>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vAlign w:val="top"/>
            <w:textDirection w:val="lrTb"/>
            <w:noWrap/>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3069" w:type="dxa"/>
            <w:vAlign w:val="top"/>
            <w:textDirection w:val="lrTb"/>
            <w:noWrap/>
          </w:tcPr>
          <w:p>
            <w:pPr>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投标文件中必须提供以上拟投入的承运车辆数量（不少于28辆）、车牌号、车辆行驶证、保险、驾驶员姓名、符合车型的驾驶员证件、劳动（务）合同等，供应商在投标响应时据实列出清单并提供相关佐证。</w:t>
            </w:r>
            <w:r/>
          </w:p>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注：如车辆为非自有车辆，须额外提供车辆租赁合同或其他证明材料，同时提供承诺书加盖投标人及车辆所有人公章，承诺书至少包含以下内容：1、所投入车辆机动车检验均合格，2、如果发生交通事故，车辆所有单位与投标人承担连带责任。</w:t>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vAlign w:val="top"/>
            <w:textDirection w:val="lrTb"/>
            <w:noWrap/>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3069" w:type="dxa"/>
            <w:vAlign w:val="top"/>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中标人不得将合同标的进行转包</w:t>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069"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069"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069"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5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vAlign w:val="top"/>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bl>
    <w:p>
      <w:pPr>
        <w:rPr>
          <w:rFonts w:hint="eastAsia" w:ascii="黑体" w:hAnsi="黑体" w:eastAsia="黑体"/>
          <w:b/>
          <w:color w:val="auto"/>
          <w:sz w:val="32"/>
          <w:szCs w:val="32"/>
          <w:highlight w:val="none"/>
        </w:rPr>
      </w:pPr>
      <w:r>
        <w:rPr>
          <w:rFonts w:hint="eastAsia" w:ascii="宋体" w:hAnsi="宋体"/>
          <w:color w:val="auto"/>
          <w:sz w:val="24"/>
          <w:szCs w:val="24"/>
          <w:highlight w:val="none"/>
        </w:rPr>
        <w:t xml:space="preserve">注： 行数不够，可自行添加。</w:t>
      </w:r>
      <w:r/>
    </w:p>
    <w:p>
      <w:pPr>
        <w:jc w:val="center"/>
        <w:rPr>
          <w:rFonts w:hint="eastAsia" w:eastAsia="仿宋_GB2312"/>
          <w:color w:val="auto"/>
          <w:sz w:val="24"/>
          <w:szCs w:val="20"/>
          <w:highlight w:val="non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十</w:t>
      </w:r>
      <w:r>
        <w:rPr>
          <w:rFonts w:hint="eastAsia" w:ascii="黑体" w:hAnsi="黑体" w:eastAsia="黑体"/>
          <w:iCs/>
          <w:color w:val="auto"/>
          <w:sz w:val="32"/>
          <w:szCs w:val="32"/>
          <w:highlight w:val="none"/>
          <w:u w:val="single"/>
          <w:lang w:val="en-US" w:eastAsia="zh-CN"/>
        </w:rPr>
        <w:t xml:space="preserve">四</w:t>
      </w:r>
      <w:r>
        <w:rPr>
          <w:rFonts w:hint="eastAsia" w:ascii="黑体" w:hAnsi="黑体" w:eastAsia="黑体"/>
          <w:iCs/>
          <w:color w:val="auto"/>
          <w:sz w:val="32"/>
          <w:szCs w:val="32"/>
          <w:highlight w:val="none"/>
          <w:u w:val="single"/>
        </w:rPr>
        <w:t xml:space="preserve">、开标一览表</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项目编号：</w:t>
      </w:r>
      <w:r/>
    </w:p>
    <w:p>
      <w:pPr>
        <w:ind w:firstLine="480"/>
        <w:rPr>
          <w:rFonts w:hint="eastAsia" w:ascii="宋体" w:hAnsi="宋体"/>
          <w:color w:val="auto"/>
          <w:sz w:val="24"/>
          <w:szCs w:val="24"/>
          <w:highlight w:val="none"/>
        </w:rPr>
      </w:pPr>
      <w:r>
        <w:rPr>
          <w:rFonts w:ascii="宋体" w:hAnsi="宋体" w:eastAsia="宋体" w:cs="宋体"/>
          <w:color w:val="auto"/>
          <w:sz w:val="24"/>
          <w:szCs w:val="24"/>
          <w:highlight w:val="none"/>
        </w:rPr>
        <w:t xml:space="preserve">货币单位：人民币元</w:t>
      </w:r>
      <w:r/>
    </w:p>
    <w:tbl>
      <w:tblPr>
        <w:tblStyle w:val="9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56"/>
        <w:gridCol w:w="3056"/>
        <w:gridCol w:w="3057"/>
      </w:tblGrid>
      <w:tr>
        <w:trPr>
          <w:trHeight w:val="567"/>
        </w:trPr>
        <w:tc>
          <w:tcPr>
            <w:tcW w:w="3056" w:type="dxa"/>
            <w:vAlign w:val="center"/>
            <w:textDirection w:val="lrTb"/>
            <w:noWrap w:val="false"/>
          </w:tcPr>
          <w:p>
            <w:pPr>
              <w:ind w:left="0" w:firstLine="0"/>
              <w:jc w:val="left"/>
              <w:rPr>
                <w:rFonts w:ascii="宋体" w:hAnsi="宋体" w:eastAsia="宋体" w:cs="Times New Roman"/>
                <w:color w:val="auto"/>
                <w:szCs w:val="24"/>
                <w:highlight w:val="none"/>
                <w:vertAlign w:val="baseline"/>
              </w:rPr>
            </w:pPr>
            <w:r>
              <w:rPr>
                <w:rFonts w:ascii="宋体" w:hAnsi="宋体" w:eastAsia="宋体" w:cs="Times New Roman"/>
                <w:color w:val="auto"/>
                <w:szCs w:val="24"/>
                <w:highlight w:val="none"/>
                <w:vertAlign w:val="baseline"/>
              </w:rPr>
              <w:t xml:space="preserve">项目名称</w:t>
            </w:r>
            <w:r/>
          </w:p>
        </w:tc>
        <w:tc>
          <w:tcPr>
            <w:tcW w:w="3056" w:type="dxa"/>
            <w:vAlign w:val="center"/>
            <w:textDirection w:val="lrTb"/>
            <w:noWrap w:val="false"/>
          </w:tcPr>
          <w:p>
            <w:pPr>
              <w:ind w:left="0" w:firstLine="0"/>
              <w:jc w:val="left"/>
              <w:rPr>
                <w:rFonts w:ascii="宋体" w:hAnsi="宋体" w:eastAsia="宋体" w:cs="Times New Roman"/>
                <w:color w:val="auto"/>
                <w:szCs w:val="24"/>
                <w:highlight w:val="none"/>
                <w:vertAlign w:val="baseline"/>
                <w:lang w:val="en-US" w:eastAsia="zh-CN"/>
              </w:rPr>
            </w:pPr>
            <w:r>
              <w:rPr>
                <w:rFonts w:hint="eastAsia" w:ascii="宋体" w:hAnsi="宋体" w:eastAsia="宋体" w:cs="Times New Roman"/>
                <w:color w:val="auto"/>
                <w:szCs w:val="24"/>
                <w:highlight w:val="none"/>
                <w:vertAlign w:val="baseline"/>
                <w:lang w:val="en-US" w:eastAsia="zh-CN"/>
              </w:rPr>
              <w:t xml:space="preserve">项目内容</w:t>
            </w:r>
            <w:r/>
          </w:p>
        </w:tc>
        <w:tc>
          <w:tcPr>
            <w:tcW w:w="3057" w:type="dxa"/>
            <w:vAlign w:val="center"/>
            <w:textDirection w:val="lrTb"/>
            <w:noWrap w:val="false"/>
          </w:tcPr>
          <w:p>
            <w:pPr>
              <w:ind w:left="0" w:firstLine="0"/>
              <w:jc w:val="both"/>
              <w:rPr>
                <w:rFonts w:hint="eastAsia" w:ascii="宋体" w:hAnsi="宋体" w:eastAsia="宋体" w:cs="Times New Roman"/>
                <w:color w:val="auto"/>
                <w:szCs w:val="24"/>
                <w:highlight w:val="none"/>
                <w:vertAlign w:val="baseline"/>
                <w:lang w:val="en-US" w:eastAsia="zh-CN"/>
              </w:rPr>
            </w:pPr>
            <w:r>
              <w:rPr>
                <w:rFonts w:hint="eastAsia" w:ascii="宋体" w:hAnsi="宋体" w:eastAsia="宋体" w:cs="Times New Roman"/>
                <w:color w:val="auto"/>
                <w:szCs w:val="24"/>
                <w:highlight w:val="none"/>
                <w:vertAlign w:val="baseline"/>
                <w:lang w:val="en-US" w:eastAsia="zh-CN"/>
              </w:rPr>
              <w:t xml:space="preserve">总价（小写）</w:t>
            </w:r>
            <w:r/>
          </w:p>
        </w:tc>
      </w:tr>
      <w:tr>
        <w:trPr>
          <w:trHeight w:val="567"/>
        </w:trPr>
        <w:tc>
          <w:tcPr>
            <w:tcW w:w="3056" w:type="dxa"/>
            <w:vAlign w:val="center"/>
            <w:textDirection w:val="lrTb"/>
            <w:noWrap w:val="false"/>
          </w:tcPr>
          <w:p>
            <w:pPr>
              <w:jc w:val="left"/>
              <w:rPr>
                <w:rFonts w:ascii="宋体" w:hAnsi="宋体" w:eastAsia="宋体" w:cs="Times New Roman"/>
                <w:color w:val="auto"/>
                <w:szCs w:val="24"/>
                <w:highlight w:val="none"/>
                <w:vertAlign w:val="baseline"/>
              </w:rPr>
            </w:pPr>
            <w:r>
              <w:rPr>
                <w:rFonts w:ascii="宋体" w:hAnsi="宋体" w:eastAsia="宋体" w:cs="Times New Roman"/>
                <w:color w:val="auto"/>
                <w:szCs w:val="24"/>
                <w:highlight w:val="none"/>
                <w:vertAlign w:val="baseline"/>
              </w:rPr>
            </w:r>
            <w:r/>
          </w:p>
        </w:tc>
        <w:tc>
          <w:tcPr>
            <w:tcW w:w="3056" w:type="dxa"/>
            <w:vAlign w:val="center"/>
            <w:textDirection w:val="lrTb"/>
            <w:noWrap w:val="false"/>
          </w:tcPr>
          <w:p>
            <w:pPr>
              <w:ind w:left="0" w:firstLine="0"/>
              <w:jc w:val="left"/>
              <w:rPr>
                <w:rFonts w:ascii="宋体" w:hAnsi="宋体" w:eastAsia="宋体" w:cs="Times New Roman"/>
                <w:color w:val="auto"/>
                <w:szCs w:val="24"/>
                <w:highlight w:val="none"/>
                <w:vertAlign w:val="baseline"/>
              </w:rPr>
            </w:pPr>
            <w:r>
              <w:rPr>
                <w:rFonts w:ascii="宋体" w:hAnsi="宋体" w:eastAsia="宋体" w:cs="Times New Roman"/>
                <w:color w:val="auto"/>
                <w:szCs w:val="24"/>
                <w:highlight w:val="none"/>
                <w:vertAlign w:val="baseline"/>
              </w:rPr>
              <w:t xml:space="preserve">详见投标文件</w:t>
            </w:r>
            <w:r/>
          </w:p>
        </w:tc>
        <w:tc>
          <w:tcPr>
            <w:tcW w:w="3057" w:type="dxa"/>
            <w:vAlign w:val="center"/>
            <w:textDirection w:val="lrTb"/>
            <w:noWrap w:val="false"/>
          </w:tcPr>
          <w:p>
            <w:pPr>
              <w:jc w:val="center"/>
              <w:rPr>
                <w:rFonts w:hint="eastAsia" w:ascii="宋体" w:hAnsi="宋体" w:eastAsia="宋体" w:cs="Times New Roman"/>
                <w:color w:val="auto"/>
                <w:szCs w:val="24"/>
                <w:highlight w:val="none"/>
                <w:vertAlign w:val="baseline"/>
                <w:lang w:val="en-US" w:eastAsia="zh-CN"/>
              </w:rPr>
            </w:pPr>
            <w:r>
              <w:rPr>
                <w:rFonts w:hint="eastAsia" w:ascii="宋体" w:hAnsi="宋体" w:eastAsia="宋体" w:cs="Times New Roman"/>
                <w:color w:val="auto"/>
                <w:szCs w:val="24"/>
                <w:highlight w:val="none"/>
                <w:vertAlign w:val="baseline"/>
                <w:lang w:val="en-US" w:eastAsia="zh-CN"/>
              </w:rPr>
              <w:t xml:space="preserve">元</w:t>
            </w:r>
            <w:r/>
          </w:p>
        </w:tc>
      </w:tr>
      <w:tr>
        <w:trPr>
          <w:trHeight w:val="567"/>
        </w:trPr>
        <w:tc>
          <w:tcPr>
            <w:tcW w:w="3056" w:type="dxa"/>
            <w:vAlign w:val="center"/>
            <w:textDirection w:val="lrTb"/>
            <w:noWrap w:val="false"/>
          </w:tcPr>
          <w:p>
            <w:pPr>
              <w:ind w:left="0" w:firstLine="0"/>
              <w:jc w:val="left"/>
              <w:rPr>
                <w:rFonts w:hint="eastAsia" w:ascii="宋体" w:hAnsi="宋体" w:eastAsia="宋体" w:cs="Times New Roman"/>
                <w:color w:val="auto"/>
                <w:szCs w:val="24"/>
                <w:highlight w:val="none"/>
                <w:vertAlign w:val="baseline"/>
                <w:lang w:val="en-US" w:eastAsia="zh-CN"/>
              </w:rPr>
            </w:pPr>
            <w:r>
              <w:rPr>
                <w:rFonts w:hint="eastAsia" w:ascii="宋体" w:hAnsi="宋体" w:eastAsia="宋体" w:cs="Times New Roman"/>
                <w:color w:val="auto"/>
                <w:szCs w:val="24"/>
                <w:highlight w:val="none"/>
                <w:vertAlign w:val="baseline"/>
                <w:lang w:val="en-US" w:eastAsia="zh-CN"/>
              </w:rPr>
              <w:t xml:space="preserve">总价（大写）：</w:t>
            </w:r>
            <w:r/>
          </w:p>
        </w:tc>
        <w:tc>
          <w:tcPr>
            <w:gridSpan w:val="2"/>
            <w:tcW w:w="6113" w:type="dxa"/>
            <w:vAlign w:val="center"/>
            <w:textDirection w:val="lrTb"/>
            <w:noWrap w:val="false"/>
          </w:tcPr>
          <w:p>
            <w:pPr>
              <w:ind w:left="0" w:firstLine="0"/>
              <w:jc w:val="both"/>
              <w:rPr>
                <w:rFonts w:ascii="宋体" w:hAnsi="宋体" w:eastAsia="宋体" w:cs="Times New Roman"/>
                <w:color w:val="auto"/>
                <w:szCs w:val="24"/>
                <w:highlight w:val="none"/>
                <w:vertAlign w:val="baseline"/>
              </w:rPr>
            </w:pPr>
            <w:r>
              <w:rPr>
                <w:rFonts w:hint="eastAsia" w:ascii="宋体" w:hAnsi="宋体" w:eastAsia="宋体" w:cs="Times New Roman"/>
                <w:color w:val="auto"/>
                <w:szCs w:val="24"/>
                <w:highlight w:val="none"/>
                <w:vertAlign w:val="baseline"/>
                <w:lang w:val="en-US" w:eastAsia="zh-CN"/>
              </w:rPr>
              <w:t xml:space="preserve">金额大写</w:t>
            </w:r>
            <w:r/>
          </w:p>
        </w:tc>
      </w:tr>
    </w:tbl>
    <w:p>
      <w:pPr>
        <w:ind w:firstLine="480"/>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供应商</w:t>
      </w:r>
      <w:r>
        <w:rPr>
          <w:rFonts w:ascii="宋体" w:hAnsi="宋体" w:eastAsia="宋体" w:cs="宋体"/>
          <w:color w:val="auto"/>
          <w:sz w:val="24"/>
          <w:szCs w:val="24"/>
          <w:highlight w:val="none"/>
        </w:rPr>
        <w:t xml:space="preserve">公章：（电子签章）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12"/>
        <w:spacing w:before="0" w:after="0" w:line="240" w:lineRule="auto"/>
        <w:tabs>
          <w:tab w:val="left" w:pos="1021" w:leader="none"/>
        </w:tabs>
        <w:rPr>
          <w:rFonts w:hint="eastAsia" w:ascii="黑体" w:hAnsi="黑体" w:eastAsia="黑体" w:cs="宋体"/>
          <w:b w:val="0"/>
          <w:color w:val="auto"/>
          <w:sz w:val="24"/>
          <w:szCs w:val="28"/>
          <w:highlight w:val="none"/>
        </w:rPr>
      </w:pPr>
      <w:r>
        <w:rPr>
          <w:rFonts w:hint="eastAsia" w:ascii="宋体" w:hAnsi="宋体" w:cs="仿宋"/>
          <w:b w:val="0"/>
          <w:bCs w:val="0"/>
          <w:color w:val="auto"/>
          <w:sz w:val="32"/>
          <w:szCs w:val="32"/>
          <w:highlight w:val="none"/>
        </w:rPr>
        <w:br w:type="page" w:clear="all"/>
      </w:r>
      <w:r>
        <w:rPr>
          <w:rFonts w:hint="eastAsia" w:ascii="黑体" w:hAnsi="黑体" w:eastAsia="黑体"/>
          <w:b w:val="0"/>
          <w:bCs w:val="0"/>
          <w:iCs/>
          <w:color w:val="auto"/>
          <w:sz w:val="32"/>
          <w:szCs w:val="32"/>
          <w:highlight w:val="none"/>
          <w:u w:val="single"/>
        </w:rPr>
        <w:t xml:space="preserve">十</w:t>
      </w:r>
      <w:r>
        <w:rPr>
          <w:rFonts w:hint="eastAsia" w:ascii="黑体" w:hAnsi="黑体" w:eastAsia="黑体"/>
          <w:b w:val="0"/>
          <w:bCs w:val="0"/>
          <w:iCs/>
          <w:color w:val="auto"/>
          <w:sz w:val="32"/>
          <w:szCs w:val="32"/>
          <w:highlight w:val="none"/>
          <w:u w:val="single"/>
          <w:lang w:val="en-US" w:eastAsia="zh-CN"/>
        </w:rPr>
        <w:t xml:space="preserve">五</w:t>
      </w:r>
      <w:r>
        <w:rPr>
          <w:rFonts w:hint="eastAsia" w:ascii="黑体" w:hAnsi="黑体" w:eastAsia="黑体"/>
          <w:b w:val="0"/>
          <w:bCs w:val="0"/>
          <w:iCs/>
          <w:color w:val="auto"/>
          <w:sz w:val="32"/>
          <w:szCs w:val="32"/>
          <w:highlight w:val="none"/>
          <w:u w:val="single"/>
        </w:rPr>
        <w:t xml:space="preserve">、类似项目业绩一览表</w:t>
      </w:r>
      <w:r/>
    </w:p>
    <w:p>
      <w:pPr>
        <w:jc w:val="center"/>
        <w:spacing w:line="520" w:lineRule="exact"/>
        <w:rPr>
          <w:rFonts w:ascii="宋体" w:hAnsi="宋体"/>
          <w:b/>
          <w:bCs/>
          <w:color w:val="auto"/>
          <w:sz w:val="28"/>
          <w:highlight w:val="none"/>
        </w:rPr>
      </w:pPr>
      <w:r>
        <w:rPr>
          <w:rFonts w:ascii="宋体" w:hAnsi="宋体"/>
          <w:b/>
          <w:bCs/>
          <w:color w:val="auto"/>
          <w:sz w:val="28"/>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采购单位</w:t>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spacing w:line="520" w:lineRule="exact"/>
              <w:rPr>
                <w:rFonts w:ascii="宋体" w:hAnsi="宋体"/>
                <w:color w:val="auto"/>
                <w:sz w:val="28"/>
                <w:highlight w:val="none"/>
              </w:rPr>
            </w:pPr>
            <w:r>
              <w:rPr>
                <w:rFonts w:ascii="宋体" w:hAnsi="宋体"/>
                <w:color w:val="auto"/>
                <w:sz w:val="28"/>
                <w:highlight w:val="none"/>
              </w:rPr>
            </w:r>
            <w:r/>
          </w:p>
        </w:tc>
      </w:tr>
    </w:tbl>
    <w:p>
      <w:pPr>
        <w:jc w:val="center"/>
        <w:spacing w:line="400" w:lineRule="exact"/>
        <w:rPr>
          <w:rFonts w:ascii="宋体" w:hAnsi="宋体"/>
          <w:b/>
          <w:color w:val="auto"/>
          <w:sz w:val="28"/>
          <w:szCs w:val="30"/>
          <w:highlight w:val="none"/>
        </w:rPr>
      </w:pPr>
      <w:r>
        <w:rPr>
          <w:rFonts w:ascii="宋体" w:hAnsi="宋体"/>
          <w:b/>
          <w:color w:val="auto"/>
          <w:sz w:val="28"/>
          <w:szCs w:val="30"/>
          <w:highlight w:val="none"/>
        </w:rPr>
      </w:r>
      <w:r/>
    </w:p>
    <w:p>
      <w:pPr>
        <w:spacing w:line="400" w:lineRule="exact"/>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（盖章）：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jc w:val="left"/>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pStyle w:val="912"/>
        <w:spacing w:line="240" w:lineRule="auto"/>
        <w:rPr>
          <w:rFonts w:hAnsi="宋体"/>
          <w:color w:val="auto"/>
          <w:szCs w:val="21"/>
          <w:highlight w:val="none"/>
        </w:rPr>
      </w:pPr>
      <w:r/>
      <w:bookmarkStart w:id="271" w:name="_Toc9559"/>
      <w:r/>
      <w:bookmarkStart w:id="272" w:name="_Toc16041"/>
      <w:r>
        <w:rPr>
          <w:rFonts w:hint="eastAsia" w:ascii="黑体" w:hAnsi="黑体" w:eastAsia="黑体"/>
          <w:b w:val="0"/>
          <w:bCs w:val="0"/>
          <w:iCs/>
          <w:color w:val="auto"/>
          <w:sz w:val="32"/>
          <w:szCs w:val="32"/>
          <w:highlight w:val="none"/>
          <w:u w:val="single"/>
        </w:rPr>
        <w:br w:type="page" w:clear="all"/>
      </w:r>
      <w:r>
        <w:rPr>
          <w:rFonts w:hint="eastAsia" w:ascii="黑体" w:hAnsi="黑体" w:eastAsia="黑体"/>
          <w:b w:val="0"/>
          <w:bCs w:val="0"/>
          <w:iCs/>
          <w:color w:val="auto"/>
          <w:sz w:val="32"/>
          <w:szCs w:val="32"/>
          <w:highlight w:val="none"/>
          <w:u w:val="single"/>
        </w:rPr>
        <w:t xml:space="preserve">十</w:t>
      </w:r>
      <w:r>
        <w:rPr>
          <w:rFonts w:hint="eastAsia" w:ascii="黑体" w:hAnsi="黑体" w:eastAsia="黑体"/>
          <w:b w:val="0"/>
          <w:bCs w:val="0"/>
          <w:iCs/>
          <w:color w:val="auto"/>
          <w:sz w:val="32"/>
          <w:szCs w:val="32"/>
          <w:highlight w:val="none"/>
          <w:u w:val="single"/>
          <w:lang w:val="en-US" w:eastAsia="zh-CN"/>
        </w:rPr>
        <w:t xml:space="preserve">六</w:t>
      </w:r>
      <w:r>
        <w:rPr>
          <w:rFonts w:hint="eastAsia" w:ascii="黑体" w:hAnsi="黑体" w:eastAsia="黑体"/>
          <w:b w:val="0"/>
          <w:bCs w:val="0"/>
          <w:iCs/>
          <w:color w:val="auto"/>
          <w:sz w:val="32"/>
          <w:szCs w:val="32"/>
          <w:highlight w:val="none"/>
          <w:u w:val="single"/>
        </w:rPr>
        <w:t xml:space="preserve">、项目团队人员一览表</w:t>
      </w:r>
      <w:bookmarkEnd w:id="271"/>
      <w:r/>
      <w:bookmarkEnd w:id="272"/>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tbl>
      <w:tblPr>
        <w:tblStyle w:val="738"/>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姓  名</w:t>
            </w:r>
            <w:r/>
          </w:p>
        </w:tc>
        <w:tc>
          <w:tcPr>
            <w:tcW w:w="1905"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本项目拟任</w:t>
            </w:r>
            <w:r/>
          </w:p>
          <w:p>
            <w:pPr>
              <w:jc w:val="center"/>
              <w:spacing w:line="520" w:lineRule="exact"/>
              <w:rPr>
                <w:rFonts w:hint="eastAsia" w:ascii="宋体" w:hAnsi="宋体"/>
                <w:color w:val="auto"/>
                <w:highlight w:val="none"/>
              </w:rPr>
            </w:pPr>
            <w:r>
              <w:rPr>
                <w:rFonts w:hint="eastAsia" w:ascii="宋体" w:hAnsi="宋体"/>
                <w:color w:val="auto"/>
                <w:highlight w:val="none"/>
              </w:rPr>
              <w:t xml:space="preserve">职  务</w:t>
            </w:r>
            <w:r/>
          </w:p>
        </w:tc>
        <w:tc>
          <w:tcPr>
            <w:tcW w:w="1127"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技术</w:t>
            </w:r>
            <w:r/>
          </w:p>
          <w:p>
            <w:pPr>
              <w:jc w:val="center"/>
              <w:spacing w:line="520" w:lineRule="exact"/>
              <w:rPr>
                <w:rFonts w:hint="eastAsia" w:ascii="宋体" w:hAnsi="宋体"/>
                <w:color w:val="auto"/>
                <w:highlight w:val="none"/>
              </w:rPr>
            </w:pPr>
            <w:r>
              <w:rPr>
                <w:rFonts w:hint="eastAsia" w:ascii="宋体" w:hAnsi="宋体"/>
                <w:color w:val="auto"/>
                <w:highlight w:val="none"/>
              </w:rPr>
              <w:t xml:space="preserve">职称</w:t>
            </w:r>
            <w:r/>
          </w:p>
        </w:tc>
        <w:tc>
          <w:tcPr>
            <w:tcW w:w="896"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年龄</w:t>
            </w:r>
            <w:r/>
          </w:p>
        </w:tc>
        <w:tc>
          <w:tcPr>
            <w:tcW w:w="896"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学历</w:t>
            </w:r>
            <w:r/>
          </w:p>
        </w:tc>
        <w:tc>
          <w:tcPr>
            <w:tcW w:w="2814"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bl>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numPr>
          <w:ilvl w:val="0"/>
          <w:numId w:val="0"/>
        </w:numPr>
        <w:jc w:val="center"/>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lang w:val="en-US" w:eastAsia="zh-CN"/>
        </w:rPr>
        <w:t xml:space="preserve">十七、</w:t>
      </w:r>
      <w:r>
        <w:rPr>
          <w:rFonts w:hint="eastAsia" w:ascii="黑体" w:hAnsi="黑体" w:eastAsia="黑体"/>
          <w:iCs/>
          <w:color w:val="auto"/>
          <w:sz w:val="32"/>
          <w:szCs w:val="32"/>
          <w:highlight w:val="none"/>
          <w:u w:val="single"/>
        </w:rPr>
        <w:t xml:space="preserve">财务状况报告及税收、社会保障资金缴纳情况承诺函</w:t>
      </w:r>
      <w:r/>
    </w:p>
    <w:p>
      <w:pPr>
        <w:numPr>
          <w:ilvl w:val="0"/>
          <w:numId w:val="0"/>
        </w:numPr>
        <w:jc w:val="both"/>
        <w:rPr>
          <w:rFonts w:hint="eastAsia"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ind w:firstLine="65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供应商</w:t>
      </w:r>
      <w:r>
        <w:rPr>
          <w:rFonts w:hint="eastAsia" w:ascii="宋体" w:hAnsi="宋体"/>
          <w:color w:val="auto"/>
          <w:sz w:val="24"/>
          <w:szCs w:val="24"/>
          <w:highlight w:val="none"/>
          <w:u w:val="single"/>
        </w:rPr>
        <w:t xml:space="preserve">名称 </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（1）具有良好的商业信誉和健全的财务会计制度（财务状况报告）；</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（2）有依法缴纳税收和社会保障资金的良好记录。</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特此承诺</w:t>
      </w:r>
      <w:r>
        <w:rPr>
          <w:rFonts w:hint="eastAsia" w:ascii="宋体" w:hAnsi="宋体"/>
          <w:color w:val="auto"/>
          <w:sz w:val="24"/>
          <w:szCs w:val="24"/>
          <w:highlight w:val="none"/>
          <w:lang w:eastAsia="zh-CN"/>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numPr>
          <w:ilvl w:val="0"/>
          <w:numId w:val="0"/>
        </w:numPr>
        <w:jc w:val="both"/>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r>
      <w:r/>
    </w:p>
    <w:p>
      <w:pPr>
        <w:pStyle w:val="740"/>
        <w:numPr>
          <w:ilvl w:val="0"/>
          <w:numId w:val="6"/>
        </w:numPr>
        <w:ind w:firstLine="0"/>
        <w:jc w:val="cente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t xml:space="preserve">★服务车辆汇总表</w:t>
      </w:r>
      <w:r/>
    </w:p>
    <w:p>
      <w:pPr>
        <w:pStyle w:val="740"/>
        <w:numPr>
          <w:ilvl w:val="0"/>
          <w:numId w:val="0"/>
        </w:numPr>
        <w:jc w:val="center"/>
        <w:rPr>
          <w:rFonts w:hint="eastAsia" w:ascii="仿宋" w:hAnsi="仿宋" w:eastAsia="仿宋" w:cs="仿宋"/>
          <w:iCs/>
          <w:color w:val="auto"/>
          <w:sz w:val="24"/>
          <w:szCs w:val="24"/>
          <w:highlight w:val="none"/>
          <w:u w:val="none"/>
          <w:lang w:val="en-US" w:eastAsia="zh-CN"/>
        </w:rPr>
      </w:pPr>
      <w:r>
        <w:rPr>
          <w:rFonts w:hint="eastAsia" w:ascii="仿宋" w:hAnsi="仿宋" w:eastAsia="仿宋" w:cs="仿宋"/>
          <w:iCs/>
          <w:color w:val="auto"/>
          <w:sz w:val="24"/>
          <w:szCs w:val="24"/>
          <w:highlight w:val="none"/>
          <w:u w:val="none"/>
          <w:lang w:val="en-US" w:eastAsia="zh-CN"/>
        </w:rPr>
      </w:r>
      <w:r/>
    </w:p>
    <w:p>
      <w:pPr>
        <w:pStyle w:val="740"/>
        <w:numPr>
          <w:ilvl w:val="0"/>
          <w:numId w:val="0"/>
        </w:numPr>
        <w:jc w:val="center"/>
        <w:rPr>
          <w:rFonts w:hint="eastAsia" w:ascii="仿宋" w:hAnsi="仿宋" w:eastAsia="仿宋" w:cs="仿宋"/>
          <w:iCs/>
          <w:color w:val="auto"/>
          <w:sz w:val="24"/>
          <w:szCs w:val="24"/>
          <w:highlight w:val="none"/>
          <w:u w:val="none"/>
          <w:lang w:val="en-US" w:eastAsia="zh-CN"/>
        </w:rPr>
      </w:pPr>
      <w:r>
        <w:rPr>
          <w:rFonts w:hint="eastAsia" w:ascii="仿宋" w:hAnsi="仿宋" w:eastAsia="仿宋" w:cs="仿宋"/>
          <w:iCs/>
          <w:color w:val="auto"/>
          <w:sz w:val="24"/>
          <w:szCs w:val="24"/>
          <w:highlight w:val="none"/>
          <w:u w:val="none"/>
          <w:lang w:val="en-US" w:eastAsia="zh-CN"/>
        </w:rPr>
        <w:t xml:space="preserve">（格式可自拟）</w:t>
      </w:r>
      <w:r/>
    </w:p>
    <w:p>
      <w:pPr>
        <w:pStyle w:val="740"/>
        <w:numPr>
          <w:ilvl w:val="0"/>
          <w:numId w:val="0"/>
        </w:numPr>
        <w:jc w:val="center"/>
        <w:rPr>
          <w:rFonts w:hint="eastAsia" w:ascii="仿宋" w:hAnsi="仿宋" w:eastAsia="仿宋" w:cs="仿宋"/>
          <w:iCs/>
          <w:color w:val="auto"/>
          <w:sz w:val="24"/>
          <w:szCs w:val="24"/>
          <w:highlight w:val="none"/>
          <w:u w:val="none"/>
          <w:lang w:val="en-US" w:eastAsia="zh-CN"/>
        </w:rPr>
      </w:pPr>
      <w:r>
        <w:rPr>
          <w:rFonts w:hint="eastAsia" w:ascii="仿宋" w:hAnsi="仿宋" w:eastAsia="仿宋" w:cs="仿宋"/>
          <w:iCs/>
          <w:color w:val="auto"/>
          <w:sz w:val="24"/>
          <w:szCs w:val="24"/>
          <w:highlight w:val="none"/>
          <w:u w:val="none"/>
          <w:lang w:val="en-US" w:eastAsia="zh-CN"/>
        </w:rPr>
      </w:r>
      <w:r/>
    </w:p>
    <w:tbl>
      <w:tblPr>
        <w:tblStyle w:val="738"/>
        <w:tblW w:w="895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139"/>
        <w:gridCol w:w="1446"/>
        <w:gridCol w:w="859"/>
        <w:gridCol w:w="859"/>
        <w:gridCol w:w="1132"/>
        <w:gridCol w:w="873"/>
        <w:gridCol w:w="1742"/>
      </w:tblGrid>
      <w:tr>
        <w:trPr>
          <w:trHeight w:val="70"/>
          <w:tblHeader/>
        </w:trPr>
        <w:tc>
          <w:tcPr>
            <w:shd w:val="clear" w:color="auto" w:fill="d9d9d9"/>
            <w:tcW w:w="900" w:type="dxa"/>
            <w:vAlign w:val="center"/>
            <w:textDirection w:val="lrTb"/>
            <w:noWrap w:val="false"/>
          </w:tcPr>
          <w:p>
            <w:pPr>
              <w:jc w:val="center"/>
              <w:rPr>
                <w:rFonts w:hint="eastAsia" w:hAnsi="宋体"/>
                <w:color w:val="auto"/>
                <w:highlight w:val="none"/>
                <w:lang w:val="en-US" w:eastAsia="zh-CN"/>
              </w:rPr>
            </w:pPr>
            <w:r>
              <w:rPr>
                <w:rFonts w:hint="eastAsia" w:hAnsi="宋体"/>
                <w:color w:val="auto"/>
                <w:highlight w:val="none"/>
                <w:lang w:val="en-US" w:eastAsia="zh-CN"/>
              </w:rPr>
              <w:t xml:space="preserve">车辆</w:t>
            </w:r>
            <w:r/>
          </w:p>
          <w:p>
            <w:pPr>
              <w:jc w:val="center"/>
              <w:rPr>
                <w:rFonts w:hint="eastAsia" w:hAnsi="宋体"/>
                <w:color w:val="auto"/>
                <w:highlight w:val="none"/>
              </w:rPr>
            </w:pPr>
            <w:r>
              <w:rPr>
                <w:rFonts w:hint="eastAsia" w:hAnsi="宋体"/>
                <w:color w:val="auto"/>
                <w:highlight w:val="none"/>
              </w:rPr>
              <w:t xml:space="preserve">序号</w:t>
            </w:r>
            <w:r/>
          </w:p>
        </w:tc>
        <w:tc>
          <w:tcPr>
            <w:shd w:val="clear" w:color="auto" w:fill="d9d9d9"/>
            <w:tcW w:w="1139"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车辆牌号</w:t>
            </w:r>
            <w:r/>
          </w:p>
        </w:tc>
        <w:tc>
          <w:tcPr>
            <w:shd w:val="clear" w:color="auto" w:fill="d9d9d9"/>
            <w:tcW w:w="1446" w:type="dxa"/>
            <w:vAlign w:val="center"/>
            <w:textDirection w:val="lrTb"/>
            <w:noWrap w:val="false"/>
          </w:tcPr>
          <w:p>
            <w:pPr>
              <w:jc w:val="center"/>
              <w:rPr>
                <w:rFonts w:hint="eastAsia" w:hAnsi="宋体"/>
                <w:color w:val="auto"/>
                <w:highlight w:val="none"/>
                <w:lang w:val="en-US" w:eastAsia="zh-CN"/>
              </w:rPr>
            </w:pPr>
            <w:r>
              <w:rPr>
                <w:rFonts w:hint="eastAsia" w:hAnsi="宋体"/>
                <w:color w:val="auto"/>
                <w:highlight w:val="none"/>
                <w:lang w:val="en-US" w:eastAsia="zh-CN"/>
              </w:rPr>
              <w:t xml:space="preserve">驾驶员</w:t>
            </w:r>
            <w:r/>
          </w:p>
          <w:p>
            <w:pPr>
              <w:jc w:val="center"/>
              <w:rPr>
                <w:rFonts w:hint="default" w:hAnsi="宋体" w:eastAsia="宋体"/>
                <w:color w:val="auto"/>
                <w:highlight w:val="none"/>
                <w:lang w:val="en-US" w:eastAsia="zh-CN"/>
              </w:rPr>
            </w:pPr>
            <w:r>
              <w:rPr>
                <w:rFonts w:hint="eastAsia" w:hAnsi="宋体"/>
                <w:color w:val="auto"/>
                <w:highlight w:val="none"/>
                <w:lang w:val="en-US" w:eastAsia="zh-CN"/>
              </w:rPr>
              <w:t xml:space="preserve">姓名</w:t>
            </w:r>
            <w:r/>
          </w:p>
        </w:tc>
        <w:tc>
          <w:tcPr>
            <w:shd w:val="clear" w:color="auto" w:fill="d9d9d9"/>
            <w:tcW w:w="859"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品牌</w:t>
            </w:r>
            <w:r/>
          </w:p>
        </w:tc>
        <w:tc>
          <w:tcPr>
            <w:shd w:val="clear" w:color="auto" w:fill="d9d9d9"/>
            <w:tcW w:w="859"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型号</w:t>
            </w:r>
            <w:r/>
          </w:p>
        </w:tc>
        <w:tc>
          <w:tcPr>
            <w:shd w:val="clear" w:color="auto" w:fill="d9d9d9"/>
            <w:tcW w:w="1132"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购置时间</w:t>
            </w:r>
            <w:r/>
          </w:p>
        </w:tc>
        <w:tc>
          <w:tcPr>
            <w:shd w:val="clear" w:color="auto" w:fill="d9d9d9"/>
            <w:tcW w:w="873"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座数</w:t>
            </w:r>
            <w:r/>
          </w:p>
        </w:tc>
        <w:tc>
          <w:tcPr>
            <w:shd w:val="clear" w:color="auto" w:fill="d9d9d9"/>
            <w:tcW w:w="1742"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备注</w:t>
            </w:r>
            <w:r/>
          </w:p>
        </w:tc>
      </w:tr>
      <w:tr>
        <w:trPr>
          <w:trHeight w:val="543"/>
        </w:trPr>
        <w:tc>
          <w:tcPr>
            <w:tcW w:w="900"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1</w:t>
            </w:r>
            <w:r/>
          </w:p>
        </w:tc>
        <w:tc>
          <w:tcPr>
            <w:tcW w:w="1139" w:type="dxa"/>
            <w:vAlign w:val="center"/>
            <w:textDirection w:val="lrTb"/>
            <w:noWrap w:val="false"/>
          </w:tcPr>
          <w:p>
            <w:pPr>
              <w:jc w:val="center"/>
              <w:spacing w:line="0" w:lineRule="atLeast"/>
              <w:rPr>
                <w:rFonts w:hint="eastAsia" w:hAnsi="宋体"/>
                <w:color w:val="auto"/>
                <w:sz w:val="32"/>
                <w:szCs w:val="21"/>
                <w:highlight w:val="none"/>
              </w:rPr>
            </w:pPr>
            <w:r>
              <w:rPr>
                <w:rFonts w:hint="eastAsia" w:hAnsi="宋体"/>
                <w:color w:val="auto"/>
                <w:sz w:val="32"/>
                <w:szCs w:val="21"/>
                <w:highlight w:val="none"/>
              </w:rPr>
            </w:r>
            <w:r/>
          </w:p>
        </w:tc>
        <w:tc>
          <w:tcPr>
            <w:tcW w:w="1446" w:type="dxa"/>
            <w:vAlign w:val="center"/>
            <w:textDirection w:val="lrTb"/>
            <w:noWrap w:val="false"/>
          </w:tcPr>
          <w:p>
            <w:pPr>
              <w:jc w:val="center"/>
              <w:spacing w:line="0" w:lineRule="atLeast"/>
              <w:rPr>
                <w:rFonts w:hint="eastAsia" w:hAnsi="宋体"/>
                <w:color w:val="auto"/>
                <w:sz w:val="32"/>
                <w:szCs w:val="21"/>
                <w:highlight w:val="none"/>
              </w:rPr>
            </w:pPr>
            <w:r>
              <w:rPr>
                <w:rFonts w:hint="eastAsia" w:hAnsi="宋体"/>
                <w:color w:val="auto"/>
                <w:sz w:val="32"/>
                <w:szCs w:val="21"/>
                <w:highlight w:val="none"/>
              </w:rPr>
            </w:r>
            <w:r/>
          </w:p>
        </w:tc>
        <w:tc>
          <w:tcPr>
            <w:tcW w:w="859" w:type="dxa"/>
            <w:vAlign w:val="center"/>
            <w:textDirection w:val="lrTb"/>
            <w:noWrap w:val="false"/>
          </w:tcPr>
          <w:p>
            <w:pPr>
              <w:jc w:val="center"/>
              <w:spacing w:line="0" w:lineRule="atLeast"/>
              <w:rPr>
                <w:rFonts w:hint="eastAsia" w:hAnsi="宋体"/>
                <w:color w:val="auto"/>
                <w:sz w:val="32"/>
                <w:szCs w:val="21"/>
                <w:highlight w:val="none"/>
              </w:rPr>
            </w:pPr>
            <w:r>
              <w:rPr>
                <w:rFonts w:hint="eastAsia" w:hAnsi="宋体"/>
                <w:color w:val="auto"/>
                <w:sz w:val="32"/>
                <w:szCs w:val="21"/>
                <w:highlight w:val="none"/>
              </w:rPr>
            </w:r>
            <w:r/>
          </w:p>
        </w:tc>
        <w:tc>
          <w:tcPr>
            <w:tcW w:w="859" w:type="dxa"/>
            <w:vAlign w:val="center"/>
            <w:textDirection w:val="lrTb"/>
            <w:noWrap w:val="false"/>
          </w:tcPr>
          <w:p>
            <w:pPr>
              <w:jc w:val="center"/>
              <w:spacing w:line="0" w:lineRule="atLeast"/>
              <w:rPr>
                <w:rFonts w:hint="eastAsia" w:hAnsi="宋体"/>
                <w:color w:val="auto"/>
                <w:sz w:val="32"/>
                <w:szCs w:val="21"/>
                <w:highlight w:val="none"/>
              </w:rPr>
            </w:pPr>
            <w:r>
              <w:rPr>
                <w:rFonts w:hint="eastAsia" w:hAnsi="宋体"/>
                <w:color w:val="auto"/>
                <w:sz w:val="32"/>
                <w:szCs w:val="21"/>
                <w:highlight w:val="none"/>
              </w:rPr>
            </w:r>
            <w:r/>
          </w:p>
        </w:tc>
        <w:tc>
          <w:tcPr>
            <w:tcW w:w="1132" w:type="dxa"/>
            <w:vAlign w:val="center"/>
            <w:textDirection w:val="lrTb"/>
            <w:noWrap w:val="false"/>
          </w:tcPr>
          <w:p>
            <w:pPr>
              <w:jc w:val="center"/>
              <w:spacing w:line="0" w:lineRule="atLeast"/>
              <w:rPr>
                <w:rFonts w:hint="eastAsia" w:hAnsi="宋体"/>
                <w:color w:val="auto"/>
                <w:sz w:val="32"/>
                <w:szCs w:val="21"/>
                <w:highlight w:val="none"/>
              </w:rPr>
            </w:pPr>
            <w:r>
              <w:rPr>
                <w:rFonts w:hint="eastAsia" w:hAnsi="宋体"/>
                <w:color w:val="auto"/>
                <w:sz w:val="32"/>
                <w:szCs w:val="21"/>
                <w:highlight w:val="none"/>
              </w:rPr>
            </w:r>
            <w:r/>
          </w:p>
        </w:tc>
        <w:tc>
          <w:tcPr>
            <w:tcW w:w="873" w:type="dxa"/>
            <w:vAlign w:val="center"/>
            <w:textDirection w:val="lrTb"/>
            <w:noWrap w:val="false"/>
          </w:tcPr>
          <w:p>
            <w:pPr>
              <w:jc w:val="center"/>
              <w:spacing w:line="0" w:lineRule="atLeast"/>
              <w:rPr>
                <w:rFonts w:hint="eastAsia" w:hAnsi="宋体"/>
                <w:color w:val="auto"/>
                <w:sz w:val="32"/>
                <w:szCs w:val="21"/>
                <w:highlight w:val="none"/>
              </w:rPr>
            </w:pPr>
            <w:r>
              <w:rPr>
                <w:rFonts w:hint="eastAsia" w:hAnsi="宋体"/>
                <w:color w:val="auto"/>
                <w:sz w:val="32"/>
                <w:szCs w:val="21"/>
                <w:highlight w:val="none"/>
              </w:rPr>
            </w:r>
            <w:r/>
          </w:p>
        </w:tc>
        <w:tc>
          <w:tcPr>
            <w:tcW w:w="1742" w:type="dxa"/>
            <w:vAlign w:val="center"/>
            <w:textDirection w:val="lrTb"/>
            <w:noWrap w:val="false"/>
          </w:tcPr>
          <w:p>
            <w:pPr>
              <w:jc w:val="center"/>
              <w:spacing w:line="0" w:lineRule="atLeast"/>
              <w:rPr>
                <w:rFonts w:hint="eastAsia" w:hAnsi="宋体"/>
                <w:color w:val="auto"/>
                <w:sz w:val="32"/>
                <w:szCs w:val="21"/>
                <w:highlight w:val="none"/>
              </w:rPr>
            </w:pPr>
            <w:r>
              <w:rPr>
                <w:rFonts w:hint="eastAsia" w:hAnsi="宋体"/>
                <w:color w:val="auto"/>
                <w:sz w:val="32"/>
                <w:szCs w:val="21"/>
                <w:highlight w:val="none"/>
              </w:rPr>
            </w:r>
            <w:r/>
          </w:p>
        </w:tc>
      </w:tr>
      <w:tr>
        <w:trPr/>
        <w:tc>
          <w:tcPr>
            <w:tcW w:w="900"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2</w:t>
            </w:r>
            <w:r/>
          </w:p>
        </w:tc>
        <w:tc>
          <w:tcPr>
            <w:tcW w:w="1139"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1446"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859"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859"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1132"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873"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1742"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r>
      <w:tr>
        <w:trPr/>
        <w:tc>
          <w:tcPr>
            <w:tcW w:w="900" w:type="dxa"/>
            <w:vAlign w:val="center"/>
            <w:textDirection w:val="lrTb"/>
            <w:noWrap w:val="false"/>
          </w:tcPr>
          <w:p>
            <w:pPr>
              <w:jc w:val="center"/>
              <w:rPr>
                <w:rFonts w:hint="eastAsia" w:hAnsi="宋体"/>
                <w:color w:val="auto"/>
                <w:highlight w:val="none"/>
              </w:rPr>
            </w:pPr>
            <w:r>
              <w:rPr>
                <w:rFonts w:hint="eastAsia" w:hAnsi="宋体"/>
                <w:color w:val="auto"/>
                <w:highlight w:val="none"/>
              </w:rPr>
              <w:t xml:space="preserve">3</w:t>
            </w:r>
            <w:r/>
          </w:p>
        </w:tc>
        <w:tc>
          <w:tcPr>
            <w:tcW w:w="1139"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1446"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859"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859"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1132"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873"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c>
          <w:tcPr>
            <w:tcW w:w="1742" w:type="dxa"/>
            <w:vAlign w:val="center"/>
            <w:textDirection w:val="lrTb"/>
            <w:noWrap w:val="false"/>
          </w:tcPr>
          <w:p>
            <w:pPr>
              <w:jc w:val="center"/>
              <w:rPr>
                <w:rFonts w:hint="eastAsia" w:hAnsi="宋体"/>
                <w:color w:val="auto"/>
                <w:sz w:val="32"/>
                <w:szCs w:val="21"/>
                <w:highlight w:val="none"/>
              </w:rPr>
            </w:pPr>
            <w:r>
              <w:rPr>
                <w:rFonts w:hint="eastAsia" w:hAnsi="宋体"/>
                <w:color w:val="auto"/>
                <w:sz w:val="32"/>
                <w:szCs w:val="21"/>
                <w:highlight w:val="none"/>
              </w:rPr>
            </w:r>
            <w:r/>
          </w:p>
        </w:tc>
      </w:tr>
    </w:tbl>
    <w:p>
      <w:pPr>
        <w:numPr>
          <w:ilvl w:val="0"/>
          <w:numId w:val="0"/>
        </w:numPr>
        <w:ind w:firstLine="420"/>
        <w:keepLines w:val="0"/>
        <w:keepNext w:val="0"/>
        <w:pageBreakBefore w:val="0"/>
        <w:spacing w:line="520" w:lineRule="exac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说明：</w:t>
      </w:r>
      <w:r>
        <w:rPr>
          <w:rFonts w:hint="eastAsia" w:ascii="宋体" w:hAnsi="宋体" w:cs="宋体"/>
          <w:color w:val="auto"/>
          <w:szCs w:val="21"/>
          <w:highlight w:val="none"/>
          <w:lang w:val="en-US" w:eastAsia="zh-CN"/>
        </w:rPr>
        <w:t xml:space="preserve">必须提供</w:t>
      </w:r>
      <w:r>
        <w:rPr>
          <w:rFonts w:hint="eastAsia" w:ascii="宋体" w:hAnsi="宋体" w:cs="宋体"/>
          <w:color w:val="auto"/>
          <w:szCs w:val="21"/>
          <w:highlight w:val="none"/>
        </w:rPr>
        <w:t xml:space="preserve">以上拟投入的</w:t>
      </w:r>
      <w:r>
        <w:rPr>
          <w:rFonts w:hint="eastAsia" w:ascii="宋体" w:hAnsi="宋体" w:cs="宋体"/>
          <w:b/>
          <w:bCs/>
          <w:color w:val="auto"/>
          <w:szCs w:val="21"/>
          <w:highlight w:val="none"/>
        </w:rPr>
        <w:t xml:space="preserve">承运车辆数量、</w:t>
      </w:r>
      <w:r>
        <w:rPr>
          <w:rFonts w:hint="eastAsia" w:ascii="宋体" w:hAnsi="宋体" w:cs="宋体"/>
          <w:b/>
          <w:bCs/>
          <w:color w:val="auto"/>
          <w:szCs w:val="21"/>
          <w:highlight w:val="none"/>
          <w:lang w:val="en-US" w:eastAsia="zh-CN"/>
        </w:rPr>
        <w:t xml:space="preserve">车辆安全检测报告</w:t>
      </w:r>
      <w:r>
        <w:rPr>
          <w:rFonts w:hint="eastAsia" w:ascii="宋体" w:hAnsi="宋体" w:cs="宋体"/>
          <w:color w:val="auto"/>
          <w:szCs w:val="21"/>
          <w:highlight w:val="none"/>
          <w:lang w:val="en-US" w:eastAsia="zh-CN"/>
        </w:rPr>
        <w:t xml:space="preserve">、</w:t>
      </w:r>
      <w:r>
        <w:rPr>
          <w:rFonts w:hint="eastAsia" w:ascii="宋体" w:hAnsi="宋体" w:cs="宋体"/>
          <w:b/>
          <w:bCs/>
          <w:color w:val="auto"/>
          <w:szCs w:val="21"/>
          <w:highlight w:val="none"/>
        </w:rPr>
        <w:t xml:space="preserve">车牌号、</w:t>
      </w:r>
      <w:r>
        <w:rPr>
          <w:rFonts w:hint="eastAsia" w:ascii="宋体" w:hAnsi="宋体" w:cs="宋体"/>
          <w:b/>
          <w:bCs/>
          <w:color w:val="auto"/>
          <w:szCs w:val="21"/>
          <w:highlight w:val="none"/>
          <w:lang w:val="en-US" w:eastAsia="zh-CN"/>
        </w:rPr>
        <w:t xml:space="preserve">车辆行驶</w:t>
      </w:r>
      <w:r>
        <w:rPr>
          <w:rFonts w:hint="eastAsia" w:ascii="宋体" w:hAnsi="宋体" w:cs="宋体"/>
          <w:b/>
          <w:bCs/>
          <w:color w:val="auto"/>
          <w:szCs w:val="21"/>
          <w:highlight w:val="none"/>
        </w:rPr>
        <w:t xml:space="preserve">证、保险、驾驶员姓名、</w:t>
      </w:r>
      <w:r>
        <w:rPr>
          <w:rFonts w:hint="eastAsia" w:ascii="宋体" w:hAnsi="宋体" w:cs="宋体"/>
          <w:b/>
          <w:bCs/>
          <w:color w:val="auto"/>
          <w:szCs w:val="21"/>
          <w:highlight w:val="none"/>
          <w:lang w:val="en-US" w:eastAsia="zh-CN"/>
        </w:rPr>
        <w:t xml:space="preserve">符合车型的</w:t>
      </w:r>
      <w:r>
        <w:rPr>
          <w:rFonts w:hint="eastAsia" w:ascii="宋体" w:hAnsi="宋体" w:cs="宋体"/>
          <w:b/>
          <w:bCs/>
          <w:color w:val="auto"/>
          <w:szCs w:val="21"/>
          <w:highlight w:val="none"/>
        </w:rPr>
        <w:t xml:space="preserve">驾驶员证件、劳</w:t>
      </w:r>
      <w:r>
        <w:rPr>
          <w:rFonts w:hint="eastAsia" w:ascii="宋体" w:hAnsi="宋体" w:cs="宋体"/>
          <w:b/>
          <w:bCs/>
          <w:color w:val="auto"/>
          <w:szCs w:val="21"/>
          <w:highlight w:val="none"/>
          <w:lang w:val="en-US" w:eastAsia="zh-CN"/>
        </w:rPr>
        <w:t xml:space="preserve">动（</w:t>
      </w:r>
      <w:r>
        <w:rPr>
          <w:rFonts w:hint="eastAsia" w:ascii="宋体" w:hAnsi="宋体" w:cs="宋体"/>
          <w:b/>
          <w:bCs/>
          <w:color w:val="auto"/>
          <w:szCs w:val="21"/>
          <w:highlight w:val="none"/>
        </w:rPr>
        <w:t xml:space="preserve">务</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合同、社保缴费证明</w:t>
      </w:r>
      <w:r>
        <w:rPr>
          <w:rFonts w:hint="eastAsia" w:ascii="宋体" w:hAnsi="宋体" w:cs="宋体"/>
          <w:color w:val="auto"/>
          <w:szCs w:val="21"/>
          <w:highlight w:val="none"/>
        </w:rPr>
        <w:t xml:space="preserve">等，供应商在投标响应时据实列出清单</w:t>
      </w:r>
      <w:r>
        <w:rPr>
          <w:rFonts w:hint="eastAsia" w:ascii="宋体" w:hAnsi="宋体" w:cs="宋体"/>
          <w:b/>
          <w:bCs/>
          <w:color w:val="auto"/>
          <w:szCs w:val="21"/>
          <w:highlight w:val="none"/>
        </w:rPr>
        <w:t xml:space="preserve">并提供相关佐证</w:t>
      </w:r>
      <w:r>
        <w:rPr>
          <w:rFonts w:hint="eastAsia" w:ascii="宋体" w:hAnsi="宋体" w:cs="宋体"/>
          <w:color w:val="auto"/>
          <w:szCs w:val="21"/>
          <w:highlight w:val="none"/>
          <w:lang w:eastAsia="zh-CN"/>
        </w:rPr>
        <w:t xml:space="preserve">。</w:t>
      </w:r>
      <w:r/>
    </w:p>
    <w:p>
      <w:pP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r>
      <w:r/>
    </w:p>
    <w:p>
      <w:pPr>
        <w:numPr>
          <w:ilvl w:val="0"/>
          <w:numId w:val="0"/>
        </w:numPr>
        <w:jc w:val="cente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r>
      <w:r/>
    </w:p>
    <w:p>
      <w:pPr>
        <w:numPr>
          <w:ilvl w:val="0"/>
          <w:numId w:val="0"/>
        </w:numPr>
        <w:jc w:val="cente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r>
      <w:r/>
    </w:p>
    <w:p>
      <w:pP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br w:type="page" w:clear="all"/>
      </w:r>
      <w:r/>
    </w:p>
    <w:p>
      <w:pPr>
        <w:numPr>
          <w:ilvl w:val="0"/>
          <w:numId w:val="0"/>
        </w:numPr>
        <w:jc w:val="center"/>
        <w:rPr>
          <w:rFonts w:hint="eastAsia" w:ascii="黑体" w:hAnsi="黑体" w:eastAsia="黑体" w:cs="Times New Roman"/>
          <w:iCs/>
          <w:color w:val="auto"/>
          <w:sz w:val="32"/>
          <w:szCs w:val="32"/>
          <w:highlight w:val="none"/>
          <w:u w:val="single"/>
          <w:lang w:val="en-US" w:eastAsia="zh-CN"/>
        </w:rPr>
      </w:pPr>
      <w:r>
        <w:rPr>
          <w:rFonts w:hint="eastAsia" w:ascii="黑体" w:hAnsi="黑体" w:eastAsia="黑体" w:cs="Times New Roman"/>
          <w:iCs/>
          <w:color w:val="auto"/>
          <w:sz w:val="32"/>
          <w:szCs w:val="32"/>
          <w:highlight w:val="none"/>
          <w:u w:val="single"/>
          <w:lang w:val="en-US" w:eastAsia="zh-CN"/>
        </w:rPr>
        <w:t xml:space="preserve">十九、投标所需其他材料</w:t>
      </w:r>
      <w:r/>
    </w:p>
    <w:p>
      <w:pPr>
        <w:numPr>
          <w:ilvl w:val="0"/>
          <w:numId w:val="0"/>
        </w:numPr>
        <w:jc w:val="center"/>
        <w:rPr>
          <w:rFonts w:hint="default" w:ascii="黑体" w:hAnsi="黑体" w:eastAsia="黑体" w:cs="Times New Roman"/>
          <w:iCs/>
          <w:color w:val="auto"/>
          <w:sz w:val="32"/>
          <w:szCs w:val="32"/>
          <w:highlight w:val="none"/>
          <w:u w:val="single"/>
          <w:lang w:val="en-US" w:eastAsia="zh-CN"/>
        </w:rPr>
      </w:pPr>
      <w:r>
        <w:rPr>
          <w:rFonts w:hint="default" w:ascii="黑体" w:hAnsi="黑体" w:eastAsia="黑体" w:cs="Times New Roman"/>
          <w:iCs/>
          <w:color w:val="auto"/>
          <w:sz w:val="32"/>
          <w:szCs w:val="32"/>
          <w:highlight w:val="none"/>
          <w:u w:val="single"/>
          <w:lang w:val="en-US" w:eastAsia="zh-CN"/>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643"/>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pStyle w:val="914"/>
        <w:rPr>
          <w:rFonts w:hint="eastAsia"/>
          <w:color w:val="auto"/>
          <w:sz w:val="24"/>
          <w:szCs w:val="24"/>
          <w:highlight w:val="none"/>
        </w:rPr>
      </w:pPr>
      <w:r>
        <w:rPr>
          <w:rFonts w:hint="eastAsia"/>
          <w:color w:val="auto"/>
          <w:sz w:val="24"/>
          <w:szCs w:val="24"/>
          <w:highlight w:val="none"/>
        </w:rPr>
      </w:r>
      <w:r/>
    </w:p>
    <w:p>
      <w:pPr>
        <w:pStyle w:val="914"/>
        <w:rPr>
          <w:color w:val="auto"/>
          <w:sz w:val="24"/>
          <w:szCs w:val="24"/>
          <w:highlight w:val="none"/>
        </w:rPr>
      </w:pPr>
      <w:r>
        <w:rPr>
          <w:color w:val="auto"/>
          <w:sz w:val="24"/>
          <w:szCs w:val="24"/>
          <w:highlight w:val="none"/>
        </w:rPr>
      </w:r>
      <w:r/>
    </w:p>
    <w:sectPr>
      <w:footerReference w:type="default" r:id="rId16"/>
      <w:footerReference w:type="first" r:id="rId17"/>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PMingLiU">
    <w:panose1 w:val="02020500000000000000"/>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3"/>
        <w:rFonts w:hint="eastAsia" w:ascii="宋体" w:hAnsi="宋体" w:cs="宋体"/>
      </w:rPr>
      <w:framePr w:wrap="around" w:vAnchor="text" w:hAnchor="margin" w:xAlign="center" w:y="1"/>
    </w:pPr>
    <w:r>
      <w:rPr>
        <w:rFonts w:hint="eastAsia" w:ascii="宋体" w:hAnsi="宋体" w:cs="宋体"/>
      </w:rPr>
      <w:fldChar w:fldCharType="begin"/>
    </w:r>
    <w:r>
      <w:rPr>
        <w:rStyle w:val="983"/>
        <w:rFonts w:hint="eastAsia" w:ascii="宋体" w:hAnsi="宋体" w:cs="宋体"/>
      </w:rPr>
      <w:instrText xml:space="preserve">PAGE  </w:instrText>
    </w:r>
    <w:r>
      <w:rPr>
        <w:rFonts w:hint="eastAsia" w:ascii="宋体" w:hAnsi="宋体" w:cs="宋体"/>
      </w:rPr>
      <w:fldChar w:fldCharType="separate"/>
    </w:r>
    <w:r>
      <w:rPr>
        <w:rStyle w:val="983"/>
        <w:rFonts w:hint="eastAsia" w:ascii="宋体" w:hAnsi="宋体" w:cs="宋体"/>
      </w:rPr>
      <w:t xml:space="preserve">３５</w:t>
    </w:r>
    <w:r>
      <w:rPr>
        <w:rFonts w:hint="eastAsia" w:ascii="宋体" w:hAnsi="宋体" w:cs="宋体"/>
      </w:rPr>
      <w:fldChar w:fldCharType="end"/>
    </w:r>
    <w:r/>
  </w:p>
  <w:p>
    <w:pPr>
      <w:pStyle w:val="957"/>
      <w:jc w:val="center"/>
      <w:rPr>
        <w:rFonts w:hint="eastAsia"/>
        <w:b/>
        <w:i/>
      </w:rPr>
    </w:pPr>
    <w:r>
      <w:rPr>
        <w:b/>
        <w:i/>
        <w:sz w:val="20"/>
      </w:rPr>
      <w:t xml:space="preserve"> </w:t>
    </w:r>
    <w:r>
      <w:rPr>
        <w:rFonts w:hint="eastAsia"/>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hint="eastAsia"/>
        <w:b/>
        <w:i/>
      </w:rPr>
    </w:pPr>
    <w:r>
      <w:rPr>
        <w:b/>
        <w:i/>
        <w:sz w:val="20"/>
      </w:rPr>
      <w:t xml:space="preserve"> </w:t>
    </w:r>
    <w:r>
      <w:rPr>
        <w:rFonts w:hint="eastAsia"/>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3"/>
        <w:rFonts w:hint="eastAsia" w:ascii="宋体" w:hAnsi="宋体" w:cs="宋体"/>
      </w:rPr>
      <w:framePr w:wrap="around" w:vAnchor="text" w:hAnchor="margin" w:xAlign="center" w:y="1"/>
    </w:pPr>
    <w:r>
      <w:rPr>
        <w:rFonts w:hint="eastAsia" w:ascii="宋体" w:hAnsi="宋体" w:cs="宋体"/>
      </w:rPr>
      <w:fldChar w:fldCharType="begin"/>
    </w:r>
    <w:r>
      <w:rPr>
        <w:rStyle w:val="983"/>
        <w:rFonts w:hint="eastAsia" w:ascii="宋体" w:hAnsi="宋体" w:cs="宋体"/>
      </w:rPr>
      <w:instrText xml:space="preserve">PAGE  </w:instrText>
    </w:r>
    <w:r>
      <w:rPr>
        <w:rFonts w:hint="eastAsia" w:ascii="宋体" w:hAnsi="宋体" w:cs="宋体"/>
      </w:rPr>
      <w:fldChar w:fldCharType="separate"/>
    </w:r>
    <w:r>
      <w:rPr>
        <w:rStyle w:val="983"/>
        <w:rFonts w:hint="eastAsia" w:ascii="宋体" w:hAnsi="宋体" w:cs="宋体"/>
      </w:rPr>
      <w:t xml:space="preserve">３３</w:t>
    </w:r>
    <w:r>
      <w:rPr>
        <w:rFonts w:hint="eastAsia" w:ascii="宋体" w:hAnsi="宋体" w:cs="宋体"/>
      </w:rPr>
      <w:fldChar w:fldCharType="end"/>
    </w:r>
    <w:r/>
  </w:p>
  <w:p>
    <w:pPr>
      <w:pStyle w:val="957"/>
      <w:jc w:val="center"/>
      <w:rPr>
        <w:rFonts w:hint="eastAsia"/>
        <w:b/>
        <w:i/>
      </w:rPr>
    </w:pPr>
    <w:r>
      <w:rPr>
        <w:b/>
        <w:i/>
        <w:sz w:val="20"/>
      </w:rPr>
      <w:t xml:space="preserve"> </w:t>
    </w:r>
    <w:r>
      <w:rPr>
        <w:rFonts w:hint="eastAsia"/>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90"/>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7"/>
      <w:isLgl w:val="false"/>
      <w:suff w:val="nothing"/>
      <w:lvlText w:val=""/>
      <w:lvlJc w:val="left"/>
      <w:pPr>
        <w:ind w:left="0" w:firstLine="0"/>
      </w:pPr>
      <w:rPr>
        <w:rFonts w:hint="eastAsia"/>
      </w:rPr>
    </w:lvl>
    <w:lvl w:ilvl="6">
      <w:start w:val="1"/>
      <w:numFmt w:val="decimal"/>
      <w:pStyle w:val="918"/>
      <w:isLgl w:val="false"/>
      <w:suff w:val="nothing"/>
      <w:lvlText w:val=""/>
      <w:lvlJc w:val="left"/>
      <w:pPr>
        <w:ind w:left="0" w:firstLine="0"/>
      </w:pPr>
      <w:rPr>
        <w:rFonts w:hint="eastAsia"/>
      </w:rPr>
    </w:lvl>
    <w:lvl w:ilvl="7">
      <w:start w:val="1"/>
      <w:numFmt w:val="decimal"/>
      <w:pStyle w:val="919"/>
      <w:isLgl w:val="false"/>
      <w:suff w:val="nothing"/>
      <w:lvlText w:val=""/>
      <w:lvlJc w:val="left"/>
      <w:pPr>
        <w:ind w:left="0" w:firstLine="0"/>
      </w:pPr>
      <w:rPr>
        <w:rFonts w:hint="eastAsia"/>
      </w:rPr>
    </w:lvl>
    <w:lvl w:ilvl="8">
      <w:start w:val="1"/>
      <w:numFmt w:val="decimal"/>
      <w:pStyle w:val="920"/>
      <w:isLgl w:val="false"/>
      <w:suff w:val="nothing"/>
      <w:lvlText w:val=""/>
      <w:lvlJc w:val="left"/>
      <w:pPr>
        <w:ind w:left="0" w:firstLine="0"/>
      </w:pPr>
      <w:rPr>
        <w:rFonts w:hint="eastAsia"/>
      </w:rPr>
    </w:lvl>
  </w:abstractNum>
  <w:abstractNum w:abstractNumId="4">
    <w:multiLevelType w:val="hybridMultilevel"/>
    <w:lvl w:ilvl="0">
      <w:start w:val="1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03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8">
    <w:name w:val="Heading 1"/>
    <w:basedOn w:val="727"/>
    <w:next w:val="727"/>
    <w:link w:val="763"/>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4"/>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5"/>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66"/>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7"/>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68"/>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0"/>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1"/>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Normal Indent"/>
    <w:basedOn w:val="727"/>
    <w:uiPriority w:val="0"/>
    <w:qFormat/>
    <w:pPr>
      <w:ind w:firstLine="420"/>
    </w:pPr>
    <w:rPr>
      <w:rFonts w:ascii="Times New Roman" w:hAnsi="Times New Roman" w:eastAsia="宋体" w:cs="Times New Roman"/>
    </w:rPr>
  </w:style>
  <w:style w:type="paragraph" w:styleId="741">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Body Text"/>
    <w:basedOn w:val="727"/>
    <w:next w:val="743"/>
    <w:uiPriority w:val="0"/>
    <w:qFormat/>
    <w:pPr>
      <w:ind w:left="72" w:right="30"/>
      <w:jc w:val="center"/>
      <w:spacing w:after="60" w:line="360" w:lineRule="atLeast"/>
    </w:pPr>
  </w:style>
  <w:style w:type="paragraph" w:styleId="743">
    <w:name w:val="Body Text First Indent"/>
    <w:basedOn w:val="742"/>
    <w:uiPriority w:val="0"/>
    <w:qFormat/>
    <w:pPr>
      <w:ind w:firstLine="420"/>
    </w:pPr>
    <w:rPr>
      <w:sz w:val="28"/>
      <w:szCs w:val="24"/>
    </w:rPr>
  </w:style>
  <w:style w:type="paragraph" w:styleId="744">
    <w:name w:val="toc 5"/>
    <w:basedOn w:val="727"/>
    <w:next w:val="727"/>
    <w:uiPriority w:val="39"/>
    <w:unhideWhenUsed/>
    <w:qFormat/>
    <w:pPr>
      <w:ind w:left="1134" w:right="0" w:firstLine="0"/>
      <w:spacing w:after="57"/>
    </w:pPr>
  </w:style>
  <w:style w:type="paragraph" w:styleId="745">
    <w:name w:val="toc 3"/>
    <w:basedOn w:val="727"/>
    <w:next w:val="727"/>
    <w:uiPriority w:val="39"/>
    <w:unhideWhenUsed/>
    <w:qFormat/>
    <w:pPr>
      <w:ind w:left="567" w:right="0" w:firstLine="0"/>
      <w:spacing w:after="57"/>
    </w:pPr>
  </w:style>
  <w:style w:type="paragraph" w:styleId="746">
    <w:name w:val="toc 8"/>
    <w:basedOn w:val="727"/>
    <w:next w:val="727"/>
    <w:uiPriority w:val="39"/>
    <w:unhideWhenUsed/>
    <w:qFormat/>
    <w:pPr>
      <w:ind w:left="1984" w:right="0" w:firstLine="0"/>
      <w:spacing w:after="57"/>
    </w:pPr>
  </w:style>
  <w:style w:type="paragraph" w:styleId="747">
    <w:name w:val="endnote text"/>
    <w:basedOn w:val="727"/>
    <w:link w:val="909"/>
    <w:uiPriority w:val="99"/>
    <w:semiHidden/>
    <w:unhideWhenUsed/>
    <w:qFormat/>
    <w:pPr>
      <w:spacing w:after="0" w:line="240" w:lineRule="auto"/>
    </w:pPr>
    <w:rPr>
      <w:sz w:val="20"/>
    </w:rPr>
  </w:style>
  <w:style w:type="paragraph" w:styleId="748">
    <w:name w:val="Footer"/>
    <w:basedOn w:val="727"/>
    <w:link w:val="782"/>
    <w:uiPriority w:val="99"/>
    <w:unhideWhenUsed/>
    <w:qFormat/>
    <w:pPr>
      <w:spacing w:after="0" w:line="240" w:lineRule="auto"/>
      <w:tabs>
        <w:tab w:val="center" w:pos="7143" w:leader="none"/>
        <w:tab w:val="right" w:pos="14287" w:leader="none"/>
      </w:tabs>
    </w:pPr>
  </w:style>
  <w:style w:type="paragraph" w:styleId="749">
    <w:name w:val="Header"/>
    <w:basedOn w:val="727"/>
    <w:link w:val="780"/>
    <w:uiPriority w:val="99"/>
    <w:unhideWhenUsed/>
    <w:qFormat/>
    <w:pPr>
      <w:spacing w:after="0" w:line="240" w:lineRule="auto"/>
      <w:tabs>
        <w:tab w:val="center" w:pos="7143" w:leader="none"/>
        <w:tab w:val="right" w:pos="14287" w:leader="none"/>
      </w:tabs>
    </w:pPr>
  </w:style>
  <w:style w:type="paragraph" w:styleId="750">
    <w:name w:val="toc 1"/>
    <w:basedOn w:val="727"/>
    <w:next w:val="727"/>
    <w:uiPriority w:val="39"/>
    <w:unhideWhenUsed/>
    <w:qFormat/>
    <w:pPr>
      <w:ind w:left="0" w:right="0" w:firstLine="0"/>
      <w:spacing w:after="57"/>
    </w:pPr>
  </w:style>
  <w:style w:type="paragraph" w:styleId="751">
    <w:name w:val="toc 4"/>
    <w:basedOn w:val="727"/>
    <w:next w:val="727"/>
    <w:uiPriority w:val="39"/>
    <w:unhideWhenUsed/>
    <w:qFormat/>
    <w:pPr>
      <w:ind w:left="850" w:right="0" w:firstLine="0"/>
      <w:spacing w:after="57"/>
    </w:pPr>
  </w:style>
  <w:style w:type="paragraph" w:styleId="752">
    <w:name w:val="Subtitle"/>
    <w:basedOn w:val="727"/>
    <w:next w:val="727"/>
    <w:link w:val="775"/>
    <w:uiPriority w:val="11"/>
    <w:qFormat/>
    <w:pPr>
      <w:spacing w:before="200" w:after="200"/>
    </w:pPr>
    <w:rPr>
      <w:sz w:val="24"/>
      <w:szCs w:val="24"/>
    </w:rPr>
  </w:style>
  <w:style w:type="paragraph" w:styleId="753">
    <w:name w:val="footnote text"/>
    <w:basedOn w:val="727"/>
    <w:link w:val="908"/>
    <w:uiPriority w:val="99"/>
    <w:semiHidden/>
    <w:unhideWhenUsed/>
    <w:qFormat/>
    <w:pPr>
      <w:spacing w:after="40" w:line="240" w:lineRule="auto"/>
    </w:pPr>
    <w:rPr>
      <w:sz w:val="18"/>
    </w:rPr>
  </w:style>
  <w:style w:type="paragraph" w:styleId="754">
    <w:name w:val="toc 6"/>
    <w:basedOn w:val="727"/>
    <w:next w:val="727"/>
    <w:uiPriority w:val="39"/>
    <w:unhideWhenUsed/>
    <w:qFormat/>
    <w:pPr>
      <w:ind w:left="1417" w:right="0" w:firstLine="0"/>
      <w:spacing w:after="57"/>
    </w:pPr>
  </w:style>
  <w:style w:type="paragraph" w:styleId="755">
    <w:name w:val="table of figures"/>
    <w:basedOn w:val="727"/>
    <w:next w:val="727"/>
    <w:uiPriority w:val="99"/>
    <w:unhideWhenUsed/>
    <w:qFormat/>
    <w:pPr>
      <w:spacing w:after="0" w:afterAutospacing="0"/>
    </w:pPr>
  </w:style>
  <w:style w:type="paragraph" w:styleId="756">
    <w:name w:val="toc 2"/>
    <w:basedOn w:val="727"/>
    <w:next w:val="727"/>
    <w:uiPriority w:val="39"/>
    <w:unhideWhenUsed/>
    <w:qFormat/>
    <w:pPr>
      <w:ind w:left="283" w:right="0" w:firstLine="0"/>
      <w:spacing w:after="57"/>
    </w:pPr>
  </w:style>
  <w:style w:type="paragraph" w:styleId="757">
    <w:name w:val="toc 9"/>
    <w:basedOn w:val="727"/>
    <w:next w:val="727"/>
    <w:uiPriority w:val="39"/>
    <w:unhideWhenUsed/>
    <w:qFormat/>
    <w:pPr>
      <w:ind w:left="2268" w:right="0" w:firstLine="0"/>
      <w:spacing w:after="57"/>
    </w:pPr>
  </w:style>
  <w:style w:type="paragraph" w:styleId="758">
    <w:name w:val="Title"/>
    <w:basedOn w:val="727"/>
    <w:next w:val="727"/>
    <w:link w:val="774"/>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character" w:styleId="763" w:customStyle="1">
    <w:name w:val="Heading 1 Char"/>
    <w:link w:val="728"/>
    <w:uiPriority w:val="9"/>
    <w:qFormat/>
    <w:rPr>
      <w:rFonts w:ascii="Arial" w:hAnsi="Arial" w:eastAsia="Arial" w:cs="Arial"/>
      <w:sz w:val="40"/>
      <w:szCs w:val="40"/>
    </w:rPr>
  </w:style>
  <w:style w:type="character" w:styleId="764" w:customStyle="1">
    <w:name w:val="Heading 2 Char"/>
    <w:link w:val="729"/>
    <w:uiPriority w:val="9"/>
    <w:qFormat/>
    <w:rPr>
      <w:rFonts w:ascii="Arial" w:hAnsi="Arial" w:eastAsia="Arial" w:cs="Arial"/>
      <w:sz w:val="34"/>
    </w:rPr>
  </w:style>
  <w:style w:type="character" w:styleId="765" w:customStyle="1">
    <w:name w:val="Heading 3 Char"/>
    <w:link w:val="730"/>
    <w:uiPriority w:val="9"/>
    <w:qFormat/>
    <w:rPr>
      <w:rFonts w:ascii="Arial" w:hAnsi="Arial" w:eastAsia="Arial" w:cs="Arial"/>
      <w:sz w:val="30"/>
      <w:szCs w:val="30"/>
    </w:rPr>
  </w:style>
  <w:style w:type="character" w:styleId="766" w:customStyle="1">
    <w:name w:val="Heading 4 Char"/>
    <w:link w:val="731"/>
    <w:uiPriority w:val="9"/>
    <w:qFormat/>
    <w:rPr>
      <w:rFonts w:ascii="Arial" w:hAnsi="Arial" w:eastAsia="Arial" w:cs="Arial"/>
      <w:b/>
      <w:bCs/>
      <w:sz w:val="26"/>
      <w:szCs w:val="26"/>
    </w:rPr>
  </w:style>
  <w:style w:type="character" w:styleId="767" w:customStyle="1">
    <w:name w:val="Heading 5 Char"/>
    <w:link w:val="732"/>
    <w:uiPriority w:val="9"/>
    <w:qFormat/>
    <w:rPr>
      <w:rFonts w:ascii="Arial" w:hAnsi="Arial" w:eastAsia="Arial" w:cs="Arial"/>
      <w:b/>
      <w:bCs/>
      <w:sz w:val="24"/>
      <w:szCs w:val="24"/>
    </w:rPr>
  </w:style>
  <w:style w:type="character" w:styleId="768" w:customStyle="1">
    <w:name w:val="Heading 6 Char"/>
    <w:link w:val="733"/>
    <w:uiPriority w:val="9"/>
    <w:qFormat/>
    <w:rPr>
      <w:rFonts w:ascii="Arial" w:hAnsi="Arial" w:eastAsia="Arial" w:cs="Arial"/>
      <w:b/>
      <w:bCs/>
      <w:sz w:val="22"/>
      <w:szCs w:val="22"/>
    </w:rPr>
  </w:style>
  <w:style w:type="character" w:styleId="769" w:customStyle="1">
    <w:name w:val="Heading 7 Char"/>
    <w:link w:val="734"/>
    <w:uiPriority w:val="9"/>
    <w:qFormat/>
    <w:rPr>
      <w:rFonts w:ascii="Arial" w:hAnsi="Arial" w:eastAsia="Arial" w:cs="Arial"/>
      <w:b/>
      <w:bCs/>
      <w:i/>
      <w:iCs/>
      <w:sz w:val="22"/>
      <w:szCs w:val="22"/>
    </w:rPr>
  </w:style>
  <w:style w:type="character" w:styleId="770" w:customStyle="1">
    <w:name w:val="Heading 8 Char"/>
    <w:link w:val="735"/>
    <w:uiPriority w:val="9"/>
    <w:qFormat/>
    <w:rPr>
      <w:rFonts w:ascii="Arial" w:hAnsi="Arial" w:eastAsia="Arial" w:cs="Arial"/>
      <w:i/>
      <w:iCs/>
      <w:sz w:val="22"/>
      <w:szCs w:val="22"/>
    </w:rPr>
  </w:style>
  <w:style w:type="character" w:styleId="771" w:customStyle="1">
    <w:name w:val="Heading 9 Char"/>
    <w:link w:val="736"/>
    <w:uiPriority w:val="9"/>
    <w:qFormat/>
    <w:rPr>
      <w:rFonts w:ascii="Arial" w:hAnsi="Arial" w:eastAsia="Arial" w:cs="Arial"/>
      <w:i/>
      <w:iCs/>
      <w:sz w:val="21"/>
      <w:szCs w:val="21"/>
    </w:rPr>
  </w:style>
  <w:style w:type="paragraph" w:styleId="772">
    <w:name w:val="List Paragraph"/>
    <w:basedOn w:val="727"/>
    <w:uiPriority w:val="34"/>
    <w:qFormat/>
    <w:pPr>
      <w:contextualSpacing/>
      <w:ind w:left="720"/>
    </w:p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link w:val="758"/>
    <w:uiPriority w:val="10"/>
    <w:qFormat/>
    <w:rPr>
      <w:sz w:val="48"/>
      <w:szCs w:val="48"/>
    </w:rPr>
  </w:style>
  <w:style w:type="character" w:styleId="775" w:customStyle="1">
    <w:name w:val="Subtitle Char"/>
    <w:link w:val="752"/>
    <w:uiPriority w:val="11"/>
    <w:qFormat/>
    <w:rPr>
      <w:sz w:val="24"/>
      <w:szCs w:val="24"/>
    </w:rPr>
  </w:style>
  <w:style w:type="paragraph" w:styleId="776">
    <w:name w:val="Quote"/>
    <w:basedOn w:val="727"/>
    <w:next w:val="727"/>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27"/>
    <w:next w:val="727"/>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link w:val="749"/>
    <w:uiPriority w:val="99"/>
    <w:qFormat/>
  </w:style>
  <w:style w:type="character" w:styleId="781" w:customStyle="1">
    <w:name w:val="Footer Char"/>
    <w:link w:val="748"/>
    <w:uiPriority w:val="99"/>
    <w:qFormat/>
  </w:style>
  <w:style w:type="character" w:styleId="782" w:customStyle="1">
    <w:name w:val="Caption Char"/>
    <w:link w:val="748"/>
    <w:uiPriority w:val="99"/>
    <w:qFormat/>
  </w:style>
  <w:style w:type="table" w:styleId="7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Footnote Text Char"/>
    <w:link w:val="753"/>
    <w:uiPriority w:val="99"/>
    <w:qFormat/>
    <w:rPr>
      <w:sz w:val="18"/>
    </w:rPr>
  </w:style>
  <w:style w:type="character" w:styleId="909" w:customStyle="1">
    <w:name w:val="Endnote Text Char"/>
    <w:link w:val="747"/>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customStyle="1">
    <w:name w:val="标题 11"/>
    <w:basedOn w:val="727"/>
    <w:next w:val="727"/>
    <w:link w:val="923"/>
    <w:uiPriority w:val="0"/>
    <w:qFormat/>
    <w:pPr>
      <w:jc w:val="center"/>
      <w:keepNext/>
      <w:outlineLvl w:val="0"/>
    </w:pPr>
    <w:rPr>
      <w:rFonts w:ascii="楷体_GB2312" w:eastAsia="楷体_GB2312"/>
      <w:sz w:val="28"/>
      <w:szCs w:val="28"/>
    </w:rPr>
  </w:style>
  <w:style w:type="paragraph" w:styleId="912" w:customStyle="1">
    <w:name w:val="标题 21"/>
    <w:basedOn w:val="727"/>
    <w:next w:val="727"/>
    <w:link w:val="924"/>
    <w:uiPriority w:val="0"/>
    <w:qFormat/>
    <w:pPr>
      <w:jc w:val="center"/>
      <w:keepLines/>
      <w:keepNext/>
      <w:spacing w:before="260" w:after="260" w:line="416" w:lineRule="auto"/>
      <w:outlineLvl w:val="1"/>
    </w:pPr>
    <w:rPr>
      <w:rFonts w:ascii="Arial" w:hAnsi="Arial" w:eastAsia="幼圆"/>
      <w:b/>
      <w:bCs/>
      <w:sz w:val="44"/>
      <w:szCs w:val="44"/>
    </w:rPr>
  </w:style>
  <w:style w:type="paragraph" w:styleId="913" w:customStyle="1">
    <w:name w:val="标题 31"/>
    <w:basedOn w:val="727"/>
    <w:next w:val="914"/>
    <w:link w:val="925"/>
    <w:uiPriority w:val="0"/>
    <w:qFormat/>
    <w:pPr>
      <w:keepLines/>
      <w:keepNext/>
      <w:spacing w:before="260" w:after="260" w:line="416" w:lineRule="auto"/>
      <w:outlineLvl w:val="2"/>
    </w:pPr>
    <w:rPr>
      <w:b/>
      <w:bCs/>
      <w:sz w:val="32"/>
      <w:szCs w:val="32"/>
    </w:rPr>
  </w:style>
  <w:style w:type="paragraph" w:styleId="914" w:customStyle="1">
    <w:name w:val="正文缩进1"/>
    <w:basedOn w:val="727"/>
    <w:link w:val="926"/>
    <w:uiPriority w:val="0"/>
    <w:qFormat/>
    <w:pPr>
      <w:ind w:firstLine="420"/>
    </w:pPr>
    <w:rPr>
      <w:sz w:val="20"/>
    </w:rPr>
  </w:style>
  <w:style w:type="paragraph" w:styleId="915" w:customStyle="1">
    <w:name w:val="标题 41"/>
    <w:basedOn w:val="727"/>
    <w:next w:val="914"/>
    <w:link w:val="927"/>
    <w:uiPriority w:val="0"/>
    <w:qFormat/>
    <w:pPr>
      <w:keepLines/>
      <w:keepNext/>
      <w:spacing w:before="280" w:after="290" w:line="376" w:lineRule="auto"/>
      <w:outlineLvl w:val="3"/>
    </w:pPr>
    <w:rPr>
      <w:rFonts w:ascii="Arial" w:hAnsi="Arial" w:eastAsia="黑体"/>
      <w:b/>
      <w:bCs/>
      <w:sz w:val="28"/>
      <w:szCs w:val="28"/>
    </w:rPr>
  </w:style>
  <w:style w:type="paragraph" w:styleId="916" w:customStyle="1">
    <w:name w:val="标题 51"/>
    <w:basedOn w:val="727"/>
    <w:next w:val="914"/>
    <w:link w:val="928"/>
    <w:uiPriority w:val="0"/>
    <w:qFormat/>
    <w:pPr>
      <w:keepNext/>
      <w:outlineLvl w:val="4"/>
    </w:pPr>
    <w:rPr>
      <w:rFonts w:ascii="宋体"/>
      <w:color w:val="000000"/>
      <w:sz w:val="28"/>
      <w:szCs w:val="28"/>
    </w:rPr>
  </w:style>
  <w:style w:type="paragraph" w:styleId="917" w:customStyle="1">
    <w:name w:val="标题 61"/>
    <w:basedOn w:val="727"/>
    <w:next w:val="727"/>
    <w:link w:val="92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customStyle="1">
    <w:name w:val="标题 71"/>
    <w:basedOn w:val="727"/>
    <w:next w:val="727"/>
    <w:link w:val="930"/>
    <w:uiPriority w:val="0"/>
    <w:qFormat/>
    <w:pPr>
      <w:numPr>
        <w:ilvl w:val="6"/>
        <w:numId w:val="1"/>
      </w:numPr>
      <w:keepLines/>
      <w:keepNext/>
      <w:spacing w:before="240" w:after="64" w:line="320" w:lineRule="auto"/>
      <w:outlineLvl w:val="6"/>
    </w:pPr>
    <w:rPr>
      <w:b/>
      <w:bCs/>
      <w:sz w:val="24"/>
      <w:szCs w:val="24"/>
    </w:rPr>
  </w:style>
  <w:style w:type="paragraph" w:styleId="919" w:customStyle="1">
    <w:name w:val="标题 81"/>
    <w:basedOn w:val="727"/>
    <w:next w:val="727"/>
    <w:link w:val="9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0" w:customStyle="1">
    <w:name w:val="标题 91"/>
    <w:basedOn w:val="727"/>
    <w:next w:val="727"/>
    <w:link w:val="932"/>
    <w:uiPriority w:val="0"/>
    <w:qFormat/>
    <w:pPr>
      <w:numPr>
        <w:ilvl w:val="8"/>
        <w:numId w:val="1"/>
      </w:numPr>
      <w:keepLines/>
      <w:keepNext/>
      <w:spacing w:before="240" w:after="64" w:line="320" w:lineRule="auto"/>
      <w:outlineLvl w:val="8"/>
    </w:pPr>
    <w:rPr>
      <w:rFonts w:ascii="Arial" w:hAnsi="Arial" w:eastAsia="黑体"/>
      <w:sz w:val="20"/>
    </w:rPr>
  </w:style>
  <w:style w:type="character" w:styleId="921" w:customStyle="1">
    <w:name w:val="默认段落字体1"/>
    <w:link w:val="727"/>
    <w:uiPriority w:val="1"/>
    <w:unhideWhenUsed/>
    <w:qFormat/>
  </w:style>
  <w:style w:type="table" w:styleId="922" w:customStyle="1">
    <w:name w:val="普通表格1"/>
    <w:uiPriority w:val="99"/>
    <w:unhideWhenUsed/>
    <w:qFormat/>
    <w:tblPr/>
  </w:style>
  <w:style w:type="character" w:styleId="923" w:customStyle="1">
    <w:name w:val="标题 1 Char"/>
    <w:link w:val="911"/>
    <w:uiPriority w:val="0"/>
    <w:qFormat/>
    <w:rPr>
      <w:rFonts w:ascii="楷体_GB2312" w:hAnsi="Times New Roman" w:eastAsia="楷体_GB2312" w:cs="Times New Roman"/>
      <w:sz w:val="28"/>
      <w:szCs w:val="28"/>
    </w:rPr>
  </w:style>
  <w:style w:type="character" w:styleId="924" w:customStyle="1">
    <w:name w:val="标题 2 Char"/>
    <w:link w:val="912"/>
    <w:uiPriority w:val="0"/>
    <w:qFormat/>
    <w:rPr>
      <w:rFonts w:ascii="Arial" w:hAnsi="Arial" w:eastAsia="幼圆" w:cs="Arial"/>
      <w:b/>
      <w:bCs/>
      <w:sz w:val="44"/>
      <w:szCs w:val="44"/>
    </w:rPr>
  </w:style>
  <w:style w:type="character" w:styleId="925" w:customStyle="1">
    <w:name w:val="标题 3 Char"/>
    <w:link w:val="913"/>
    <w:uiPriority w:val="0"/>
    <w:qFormat/>
    <w:rPr>
      <w:rFonts w:ascii="Times New Roman" w:hAnsi="Times New Roman" w:eastAsia="宋体" w:cs="Times New Roman"/>
      <w:b/>
      <w:bCs/>
      <w:sz w:val="32"/>
      <w:szCs w:val="32"/>
    </w:rPr>
  </w:style>
  <w:style w:type="character" w:styleId="926" w:customStyle="1">
    <w:name w:val="正文缩进 Char"/>
    <w:link w:val="914"/>
    <w:uiPriority w:val="0"/>
    <w:qFormat/>
    <w:rPr>
      <w:rFonts w:ascii="Times New Roman" w:hAnsi="Times New Roman" w:eastAsia="宋体" w:cs="Times New Roman"/>
      <w:szCs w:val="21"/>
    </w:rPr>
  </w:style>
  <w:style w:type="character" w:styleId="927" w:customStyle="1">
    <w:name w:val="标题 4 Char"/>
    <w:link w:val="915"/>
    <w:uiPriority w:val="0"/>
    <w:qFormat/>
    <w:rPr>
      <w:rFonts w:ascii="Arial" w:hAnsi="Arial" w:eastAsia="黑体" w:cs="Arial"/>
      <w:b/>
      <w:bCs/>
      <w:sz w:val="28"/>
      <w:szCs w:val="28"/>
    </w:rPr>
  </w:style>
  <w:style w:type="character" w:styleId="928" w:customStyle="1">
    <w:name w:val="标题 5 Char"/>
    <w:link w:val="916"/>
    <w:uiPriority w:val="0"/>
    <w:qFormat/>
    <w:rPr>
      <w:rFonts w:ascii="宋体" w:hAnsi="Times New Roman" w:eastAsia="宋体" w:cs="Times New Roman"/>
      <w:color w:val="000000"/>
      <w:sz w:val="28"/>
      <w:szCs w:val="28"/>
    </w:rPr>
  </w:style>
  <w:style w:type="character" w:styleId="929" w:customStyle="1">
    <w:name w:val="标题 6 Char"/>
    <w:link w:val="917"/>
    <w:uiPriority w:val="0"/>
    <w:qFormat/>
    <w:rPr>
      <w:rFonts w:ascii="Arial" w:hAnsi="Arial" w:eastAsia="黑体" w:cs="Times New Roman"/>
      <w:b/>
      <w:bCs/>
      <w:sz w:val="24"/>
      <w:szCs w:val="24"/>
    </w:rPr>
  </w:style>
  <w:style w:type="character" w:styleId="930" w:customStyle="1">
    <w:name w:val="标题 7 Char"/>
    <w:link w:val="918"/>
    <w:uiPriority w:val="0"/>
    <w:qFormat/>
    <w:rPr>
      <w:rFonts w:ascii="Times New Roman" w:hAnsi="Times New Roman" w:eastAsia="宋体" w:cs="Times New Roman"/>
      <w:b/>
      <w:bCs/>
      <w:sz w:val="24"/>
      <w:szCs w:val="24"/>
    </w:rPr>
  </w:style>
  <w:style w:type="character" w:styleId="931" w:customStyle="1">
    <w:name w:val="标题 8 Char"/>
    <w:link w:val="919"/>
    <w:uiPriority w:val="0"/>
    <w:qFormat/>
    <w:rPr>
      <w:rFonts w:ascii="Arial" w:hAnsi="Arial" w:eastAsia="黑体" w:cs="Times New Roman"/>
      <w:sz w:val="24"/>
      <w:szCs w:val="24"/>
    </w:rPr>
  </w:style>
  <w:style w:type="character" w:styleId="932" w:customStyle="1">
    <w:name w:val="标题 9 Char"/>
    <w:link w:val="920"/>
    <w:uiPriority w:val="0"/>
    <w:qFormat/>
    <w:rPr>
      <w:rFonts w:ascii="Arial" w:hAnsi="Arial" w:eastAsia="黑体" w:cs="Times New Roman"/>
      <w:szCs w:val="21"/>
    </w:rPr>
  </w:style>
  <w:style w:type="paragraph" w:styleId="933" w:customStyle="1">
    <w:name w:val="列表 31"/>
    <w:basedOn w:val="727"/>
    <w:uiPriority w:val="0"/>
    <w:qFormat/>
    <w:pPr>
      <w:ind w:left="100" w:hanging="200"/>
    </w:pPr>
  </w:style>
  <w:style w:type="paragraph" w:styleId="934" w:customStyle="1">
    <w:name w:val="目录 71"/>
    <w:basedOn w:val="727"/>
    <w:next w:val="727"/>
    <w:uiPriority w:val="0"/>
    <w:semiHidden/>
    <w:qFormat/>
    <w:pPr>
      <w:ind w:left="1260"/>
      <w:jc w:val="left"/>
    </w:pPr>
  </w:style>
  <w:style w:type="paragraph" w:styleId="935" w:customStyle="1">
    <w:name w:val="文档结构图1"/>
    <w:basedOn w:val="727"/>
    <w:link w:val="936"/>
    <w:uiPriority w:val="0"/>
    <w:semiHidden/>
    <w:qFormat/>
    <w:pPr>
      <w:shd w:val="clear" w:color="auto" w:fill="000080"/>
    </w:pPr>
    <w:rPr>
      <w:sz w:val="20"/>
    </w:rPr>
  </w:style>
  <w:style w:type="character" w:styleId="936" w:customStyle="1">
    <w:name w:val="文档结构图 Char"/>
    <w:link w:val="935"/>
    <w:uiPriority w:val="0"/>
    <w:semiHidden/>
    <w:qFormat/>
    <w:rPr>
      <w:rFonts w:ascii="Times New Roman" w:hAnsi="Times New Roman" w:eastAsia="宋体" w:cs="Times New Roman"/>
      <w:szCs w:val="21"/>
      <w:shd w:val="clear" w:color="auto" w:fill="000080"/>
    </w:rPr>
  </w:style>
  <w:style w:type="paragraph" w:styleId="937" w:customStyle="1">
    <w:name w:val="批注文字1"/>
    <w:basedOn w:val="727"/>
    <w:link w:val="938"/>
    <w:uiPriority w:val="0"/>
    <w:semiHidden/>
    <w:qFormat/>
    <w:pPr>
      <w:jc w:val="left"/>
    </w:pPr>
    <w:rPr>
      <w:sz w:val="20"/>
    </w:rPr>
  </w:style>
  <w:style w:type="character" w:styleId="938" w:customStyle="1">
    <w:name w:val="批注文字 Char"/>
    <w:link w:val="937"/>
    <w:uiPriority w:val="0"/>
    <w:semiHidden/>
    <w:qFormat/>
    <w:rPr>
      <w:rFonts w:ascii="Times New Roman" w:hAnsi="Times New Roman" w:eastAsia="宋体" w:cs="Times New Roman"/>
      <w:szCs w:val="21"/>
    </w:rPr>
  </w:style>
  <w:style w:type="paragraph" w:styleId="939" w:customStyle="1">
    <w:name w:val="正文文本 31"/>
    <w:basedOn w:val="727"/>
    <w:link w:val="940"/>
    <w:uiPriority w:val="0"/>
    <w:qFormat/>
    <w:rPr>
      <w:rFonts w:ascii="仿宋_GB2312" w:hAnsi="Arial" w:eastAsia="仿宋_GB2312"/>
      <w:sz w:val="32"/>
      <w:szCs w:val="32"/>
    </w:rPr>
  </w:style>
  <w:style w:type="character" w:styleId="940" w:customStyle="1">
    <w:name w:val="正文文本 3 Char"/>
    <w:link w:val="939"/>
    <w:uiPriority w:val="0"/>
    <w:qFormat/>
    <w:rPr>
      <w:rFonts w:ascii="仿宋_GB2312" w:hAnsi="Arial" w:eastAsia="仿宋_GB2312" w:cs="Times New Roman"/>
      <w:sz w:val="32"/>
      <w:szCs w:val="32"/>
    </w:rPr>
  </w:style>
  <w:style w:type="paragraph" w:styleId="941" w:customStyle="1">
    <w:name w:val="正文文本1"/>
    <w:basedOn w:val="727"/>
    <w:link w:val="942"/>
    <w:uiPriority w:val="0"/>
    <w:qFormat/>
    <w:rPr>
      <w:rFonts w:ascii="楷体_GB2312" w:hAnsi="Arial" w:eastAsia="楷体_GB2312"/>
      <w:sz w:val="28"/>
      <w:szCs w:val="28"/>
    </w:rPr>
  </w:style>
  <w:style w:type="character" w:styleId="942" w:customStyle="1">
    <w:name w:val="正文文本 Char"/>
    <w:link w:val="941"/>
    <w:uiPriority w:val="0"/>
    <w:qFormat/>
    <w:rPr>
      <w:rFonts w:ascii="楷体_GB2312" w:hAnsi="Arial" w:eastAsia="楷体_GB2312" w:cs="Times New Roman"/>
      <w:sz w:val="28"/>
      <w:szCs w:val="28"/>
    </w:rPr>
  </w:style>
  <w:style w:type="paragraph" w:styleId="943" w:customStyle="1">
    <w:name w:val="正文文本缩进1"/>
    <w:basedOn w:val="727"/>
    <w:link w:val="944"/>
    <w:uiPriority w:val="0"/>
    <w:qFormat/>
    <w:pPr>
      <w:ind w:firstLine="645"/>
    </w:pPr>
    <w:rPr>
      <w:rFonts w:ascii="楷体_GB2312" w:eastAsia="楷体_GB2312"/>
      <w:sz w:val="32"/>
      <w:szCs w:val="32"/>
    </w:rPr>
  </w:style>
  <w:style w:type="character" w:styleId="944" w:customStyle="1">
    <w:name w:val="正文文本缩进 Char"/>
    <w:link w:val="943"/>
    <w:uiPriority w:val="0"/>
    <w:qFormat/>
    <w:rPr>
      <w:rFonts w:ascii="楷体_GB2312" w:hAnsi="Times New Roman" w:eastAsia="楷体_GB2312" w:cs="Times New Roman"/>
      <w:sz w:val="32"/>
      <w:szCs w:val="32"/>
    </w:rPr>
  </w:style>
  <w:style w:type="paragraph" w:styleId="945" w:customStyle="1">
    <w:name w:val="列表 21"/>
    <w:basedOn w:val="727"/>
    <w:uiPriority w:val="0"/>
    <w:qFormat/>
    <w:pPr>
      <w:ind w:left="100" w:hanging="200"/>
    </w:pPr>
  </w:style>
  <w:style w:type="paragraph" w:styleId="946" w:customStyle="1">
    <w:name w:val="目录 51"/>
    <w:basedOn w:val="727"/>
    <w:next w:val="727"/>
    <w:uiPriority w:val="0"/>
    <w:semiHidden/>
    <w:qFormat/>
    <w:pPr>
      <w:ind w:left="840"/>
      <w:jc w:val="left"/>
    </w:pPr>
  </w:style>
  <w:style w:type="paragraph" w:styleId="947" w:customStyle="1">
    <w:name w:val="目录 31"/>
    <w:basedOn w:val="727"/>
    <w:next w:val="727"/>
    <w:uiPriority w:val="0"/>
    <w:semiHidden/>
    <w:qFormat/>
    <w:pPr>
      <w:ind w:left="420"/>
      <w:jc w:val="left"/>
    </w:pPr>
    <w:rPr>
      <w:i/>
      <w:iCs/>
      <w:szCs w:val="24"/>
    </w:rPr>
  </w:style>
  <w:style w:type="paragraph" w:styleId="948" w:customStyle="1">
    <w:name w:val="纯文本11"/>
    <w:basedOn w:val="727"/>
    <w:link w:val="949"/>
    <w:uiPriority w:val="0"/>
    <w:qFormat/>
    <w:rPr>
      <w:rFonts w:ascii="宋体" w:hAnsi="Courier New"/>
      <w:sz w:val="20"/>
    </w:rPr>
  </w:style>
  <w:style w:type="character" w:styleId="949" w:customStyle="1">
    <w:name w:val="纯文本 Char"/>
    <w:link w:val="948"/>
    <w:uiPriority w:val="0"/>
    <w:qFormat/>
    <w:rPr>
      <w:rFonts w:ascii="宋体" w:hAnsi="Courier New" w:eastAsia="宋体" w:cs="Courier New"/>
      <w:szCs w:val="21"/>
    </w:rPr>
  </w:style>
  <w:style w:type="paragraph" w:styleId="950" w:customStyle="1">
    <w:name w:val="目录 81"/>
    <w:basedOn w:val="727"/>
    <w:next w:val="727"/>
    <w:uiPriority w:val="0"/>
    <w:semiHidden/>
    <w:qFormat/>
    <w:pPr>
      <w:ind w:left="1470"/>
      <w:jc w:val="left"/>
    </w:pPr>
  </w:style>
  <w:style w:type="paragraph" w:styleId="951" w:customStyle="1">
    <w:name w:val="日期1"/>
    <w:basedOn w:val="727"/>
    <w:next w:val="727"/>
    <w:link w:val="952"/>
    <w:uiPriority w:val="0"/>
    <w:qFormat/>
    <w:rPr>
      <w:sz w:val="24"/>
      <w:szCs w:val="24"/>
    </w:rPr>
  </w:style>
  <w:style w:type="character" w:styleId="952" w:customStyle="1">
    <w:name w:val="日期 Char"/>
    <w:link w:val="951"/>
    <w:uiPriority w:val="0"/>
    <w:qFormat/>
    <w:rPr>
      <w:rFonts w:ascii="Times New Roman" w:hAnsi="Times New Roman" w:eastAsia="宋体" w:cs="Times New Roman"/>
      <w:sz w:val="24"/>
      <w:szCs w:val="24"/>
    </w:rPr>
  </w:style>
  <w:style w:type="paragraph" w:styleId="953" w:customStyle="1">
    <w:name w:val="正文文本缩进 21"/>
    <w:basedOn w:val="727"/>
    <w:link w:val="954"/>
    <w:uiPriority w:val="0"/>
    <w:qFormat/>
    <w:pPr>
      <w:ind w:left="630" w:firstLine="645"/>
    </w:pPr>
    <w:rPr>
      <w:rFonts w:ascii="Arial" w:hAnsi="Arial" w:eastAsia="仿宋_GB2312"/>
      <w:sz w:val="32"/>
      <w:szCs w:val="32"/>
    </w:rPr>
  </w:style>
  <w:style w:type="character" w:styleId="954" w:customStyle="1">
    <w:name w:val="正文文本缩进 2 Char"/>
    <w:link w:val="953"/>
    <w:uiPriority w:val="0"/>
    <w:qFormat/>
    <w:rPr>
      <w:rFonts w:ascii="Arial" w:hAnsi="Arial" w:eastAsia="仿宋_GB2312" w:cs="Arial"/>
      <w:sz w:val="32"/>
      <w:szCs w:val="32"/>
    </w:rPr>
  </w:style>
  <w:style w:type="paragraph" w:styleId="955" w:customStyle="1">
    <w:name w:val="批注框文本1"/>
    <w:basedOn w:val="727"/>
    <w:link w:val="956"/>
    <w:uiPriority w:val="0"/>
    <w:semiHidden/>
    <w:qFormat/>
    <w:rPr>
      <w:sz w:val="18"/>
      <w:szCs w:val="18"/>
    </w:rPr>
  </w:style>
  <w:style w:type="character" w:styleId="956" w:customStyle="1">
    <w:name w:val="批注框文本 Char"/>
    <w:link w:val="955"/>
    <w:uiPriority w:val="0"/>
    <w:semiHidden/>
    <w:qFormat/>
    <w:rPr>
      <w:rFonts w:ascii="Times New Roman" w:hAnsi="Times New Roman" w:eastAsia="宋体" w:cs="Times New Roman"/>
      <w:sz w:val="18"/>
      <w:szCs w:val="18"/>
    </w:rPr>
  </w:style>
  <w:style w:type="paragraph" w:styleId="957" w:customStyle="1">
    <w:name w:val="页脚1"/>
    <w:basedOn w:val="727"/>
    <w:link w:val="958"/>
    <w:uiPriority w:val="0"/>
    <w:qFormat/>
    <w:pPr>
      <w:jc w:val="left"/>
      <w:tabs>
        <w:tab w:val="center" w:pos="4153" w:leader="none"/>
        <w:tab w:val="right" w:pos="8306" w:leader="none"/>
      </w:tabs>
    </w:pPr>
    <w:rPr>
      <w:sz w:val="18"/>
      <w:szCs w:val="18"/>
    </w:rPr>
  </w:style>
  <w:style w:type="character" w:styleId="958" w:customStyle="1">
    <w:name w:val="页脚 Char"/>
    <w:link w:val="957"/>
    <w:uiPriority w:val="0"/>
    <w:qFormat/>
    <w:rPr>
      <w:rFonts w:ascii="Times New Roman" w:hAnsi="Times New Roman" w:eastAsia="宋体" w:cs="Times New Roman"/>
      <w:sz w:val="18"/>
      <w:szCs w:val="18"/>
    </w:rPr>
  </w:style>
  <w:style w:type="paragraph" w:styleId="959" w:customStyle="1">
    <w:name w:val="页眉1"/>
    <w:basedOn w:val="727"/>
    <w:link w:val="960"/>
    <w:uiPriority w:val="0"/>
    <w:qFormat/>
    <w:pPr>
      <w:jc w:val="center"/>
      <w:tabs>
        <w:tab w:val="center" w:pos="4153" w:leader="none"/>
        <w:tab w:val="right" w:pos="8306" w:leader="none"/>
      </w:tabs>
      <w:pBdr>
        <w:bottom w:val="single" w:color="000000" w:sz="6" w:space="1"/>
      </w:pBdr>
    </w:pPr>
    <w:rPr>
      <w:sz w:val="18"/>
      <w:szCs w:val="18"/>
    </w:rPr>
  </w:style>
  <w:style w:type="character" w:styleId="960" w:customStyle="1">
    <w:name w:val="页眉 Char"/>
    <w:link w:val="959"/>
    <w:uiPriority w:val="0"/>
    <w:qFormat/>
    <w:rPr>
      <w:rFonts w:ascii="Times New Roman" w:hAnsi="Times New Roman" w:eastAsia="宋体" w:cs="Times New Roman"/>
      <w:sz w:val="18"/>
      <w:szCs w:val="18"/>
    </w:rPr>
  </w:style>
  <w:style w:type="paragraph" w:styleId="961" w:customStyle="1">
    <w:name w:val="目录 11"/>
    <w:basedOn w:val="727"/>
    <w:next w:val="727"/>
    <w:uiPriority w:val="0"/>
    <w:semiHidden/>
    <w:qFormat/>
    <w:pPr>
      <w:jc w:val="left"/>
      <w:spacing w:before="120" w:after="120" w:line="400" w:lineRule="exact"/>
      <w:tabs>
        <w:tab w:val="right" w:pos="8720" w:leader="dot"/>
      </w:tabs>
    </w:pPr>
    <w:rPr>
      <w:rFonts w:ascii="宋体" w:hAnsi="宋体"/>
      <w:caps/>
      <w:sz w:val="24"/>
      <w:szCs w:val="24"/>
    </w:rPr>
  </w:style>
  <w:style w:type="paragraph" w:styleId="962" w:customStyle="1">
    <w:name w:val="目录 41"/>
    <w:basedOn w:val="727"/>
    <w:next w:val="727"/>
    <w:uiPriority w:val="0"/>
    <w:semiHidden/>
    <w:qFormat/>
    <w:pPr>
      <w:ind w:left="630"/>
      <w:jc w:val="left"/>
    </w:pPr>
  </w:style>
  <w:style w:type="paragraph" w:styleId="963" w:customStyle="1">
    <w:name w:val="列表1"/>
    <w:basedOn w:val="727"/>
    <w:uiPriority w:val="0"/>
    <w:qFormat/>
    <w:pPr>
      <w:ind w:left="200" w:hanging="200"/>
    </w:pPr>
  </w:style>
  <w:style w:type="paragraph" w:styleId="964" w:customStyle="1">
    <w:name w:val="目录 61"/>
    <w:basedOn w:val="727"/>
    <w:next w:val="727"/>
    <w:uiPriority w:val="0"/>
    <w:semiHidden/>
    <w:qFormat/>
    <w:pPr>
      <w:ind w:left="1050"/>
      <w:jc w:val="left"/>
    </w:pPr>
  </w:style>
  <w:style w:type="paragraph" w:styleId="965" w:customStyle="1">
    <w:name w:val="正文文本缩进 31"/>
    <w:basedOn w:val="727"/>
    <w:link w:val="966"/>
    <w:uiPriority w:val="0"/>
    <w:qFormat/>
    <w:pPr>
      <w:ind w:left="645" w:firstLine="645"/>
    </w:pPr>
    <w:rPr>
      <w:rFonts w:ascii="Arial" w:hAnsi="Arial" w:eastAsia="仿宋_GB2312"/>
      <w:color w:val="ffff00"/>
      <w:sz w:val="32"/>
      <w:szCs w:val="32"/>
    </w:rPr>
  </w:style>
  <w:style w:type="character" w:styleId="966" w:customStyle="1">
    <w:name w:val="正文文本缩进 3 Char"/>
    <w:link w:val="965"/>
    <w:uiPriority w:val="0"/>
    <w:qFormat/>
    <w:rPr>
      <w:rFonts w:ascii="Arial" w:hAnsi="Arial" w:eastAsia="仿宋_GB2312" w:cs="Arial"/>
      <w:color w:val="ffff00"/>
      <w:sz w:val="32"/>
      <w:szCs w:val="32"/>
    </w:rPr>
  </w:style>
  <w:style w:type="paragraph" w:styleId="967" w:customStyle="1">
    <w:name w:val="图表目录1"/>
    <w:basedOn w:val="727"/>
    <w:next w:val="727"/>
    <w:uiPriority w:val="0"/>
    <w:semiHidden/>
    <w:qFormat/>
    <w:pPr>
      <w:ind w:left="840" w:hanging="420"/>
    </w:pPr>
  </w:style>
  <w:style w:type="paragraph" w:styleId="968" w:customStyle="1">
    <w:name w:val="目录 21"/>
    <w:basedOn w:val="727"/>
    <w:next w:val="727"/>
    <w:uiPriority w:val="0"/>
    <w:semiHidden/>
    <w:qFormat/>
    <w:pPr>
      <w:ind w:left="210"/>
      <w:jc w:val="left"/>
    </w:pPr>
    <w:rPr>
      <w:smallCaps/>
      <w:szCs w:val="24"/>
    </w:rPr>
  </w:style>
  <w:style w:type="paragraph" w:styleId="969" w:customStyle="1">
    <w:name w:val="目录 91"/>
    <w:basedOn w:val="727"/>
    <w:next w:val="727"/>
    <w:uiPriority w:val="0"/>
    <w:semiHidden/>
    <w:qFormat/>
    <w:pPr>
      <w:ind w:left="1680"/>
      <w:jc w:val="left"/>
    </w:pPr>
  </w:style>
  <w:style w:type="paragraph" w:styleId="970" w:customStyle="1">
    <w:name w:val="正文文本 21"/>
    <w:basedOn w:val="727"/>
    <w:link w:val="971"/>
    <w:uiPriority w:val="0"/>
    <w:qFormat/>
    <w:pPr>
      <w:jc w:val="center"/>
      <w:widowControl/>
    </w:pPr>
    <w:rPr>
      <w:rFonts w:ascii="楷体_GB2312" w:eastAsia="楷体_GB2312"/>
      <w:sz w:val="28"/>
      <w:szCs w:val="28"/>
    </w:rPr>
  </w:style>
  <w:style w:type="character" w:styleId="971" w:customStyle="1">
    <w:name w:val="正文文本 2 Char"/>
    <w:link w:val="970"/>
    <w:uiPriority w:val="0"/>
    <w:qFormat/>
    <w:rPr>
      <w:rFonts w:ascii="楷体_GB2312" w:hAnsi="Times New Roman" w:eastAsia="楷体_GB2312" w:cs="Times New Roman"/>
      <w:sz w:val="28"/>
      <w:szCs w:val="28"/>
    </w:rPr>
  </w:style>
  <w:style w:type="paragraph" w:styleId="972" w:customStyle="1">
    <w:name w:val="HTML 预设格式1"/>
    <w:basedOn w:val="7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73" w:customStyle="1">
    <w:name w:val="普通(网站)1"/>
    <w:basedOn w:val="727"/>
    <w:uiPriority w:val="99"/>
    <w:qFormat/>
    <w:pPr>
      <w:jc w:val="left"/>
      <w:spacing w:before="100" w:beforeAutospacing="1" w:after="100" w:afterAutospacing="1"/>
      <w:widowControl/>
    </w:pPr>
    <w:rPr>
      <w:rFonts w:ascii="宋体" w:hAnsi="宋体" w:cs="宋体"/>
      <w:sz w:val="24"/>
      <w:szCs w:val="24"/>
    </w:rPr>
  </w:style>
  <w:style w:type="paragraph" w:styleId="974" w:customStyle="1">
    <w:name w:val="索引 11"/>
    <w:basedOn w:val="727"/>
    <w:next w:val="727"/>
    <w:uiPriority w:val="0"/>
    <w:semiHidden/>
    <w:qFormat/>
    <w:pPr>
      <w:spacing w:line="240" w:lineRule="atLeast"/>
    </w:pPr>
    <w:rPr>
      <w:b/>
      <w:bCs/>
    </w:rPr>
  </w:style>
  <w:style w:type="paragraph" w:styleId="975" w:customStyle="1">
    <w:name w:val="批注主题1"/>
    <w:basedOn w:val="937"/>
    <w:next w:val="937"/>
    <w:link w:val="976"/>
    <w:uiPriority w:val="0"/>
    <w:semiHidden/>
    <w:qFormat/>
    <w:rPr>
      <w:b/>
      <w:bCs/>
      <w:sz w:val="20"/>
    </w:rPr>
  </w:style>
  <w:style w:type="character" w:styleId="976" w:customStyle="1">
    <w:name w:val="批注主题 Char"/>
    <w:link w:val="975"/>
    <w:uiPriority w:val="0"/>
    <w:semiHidden/>
    <w:qFormat/>
    <w:rPr>
      <w:rFonts w:ascii="Times New Roman" w:hAnsi="Times New Roman" w:eastAsia="宋体" w:cs="Times New Roman"/>
      <w:b/>
      <w:bCs/>
      <w:szCs w:val="21"/>
    </w:rPr>
  </w:style>
  <w:style w:type="paragraph" w:styleId="977" w:customStyle="1">
    <w:name w:val="正文首行缩进1"/>
    <w:basedOn w:val="727"/>
    <w:link w:val="978"/>
    <w:uiPriority w:val="0"/>
    <w:qFormat/>
    <w:pPr>
      <w:ind w:firstLine="200"/>
      <w:spacing w:line="360" w:lineRule="auto"/>
    </w:pPr>
    <w:rPr>
      <w:rFonts w:ascii="仿宋_GB2312" w:eastAsia="仿宋_GB2312"/>
      <w:sz w:val="30"/>
      <w:szCs w:val="30"/>
    </w:rPr>
  </w:style>
  <w:style w:type="character" w:styleId="978" w:customStyle="1">
    <w:name w:val="正文首行缩进 Char"/>
    <w:link w:val="977"/>
    <w:uiPriority w:val="0"/>
    <w:qFormat/>
    <w:rPr>
      <w:rFonts w:ascii="仿宋_GB2312" w:hAnsi="Times New Roman" w:eastAsia="仿宋_GB2312" w:cs="Times New Roman"/>
      <w:sz w:val="30"/>
      <w:szCs w:val="30"/>
    </w:rPr>
  </w:style>
  <w:style w:type="paragraph" w:styleId="979" w:customStyle="1">
    <w:name w:val="正文首行缩进 21"/>
    <w:basedOn w:val="943"/>
    <w:link w:val="980"/>
    <w:uiPriority w:val="0"/>
    <w:qFormat/>
    <w:pPr>
      <w:ind w:firstLine="420"/>
      <w:spacing w:line="360" w:lineRule="auto"/>
    </w:pPr>
    <w:rPr>
      <w:rFonts w:ascii="宋体" w:hAnsi="宋体" w:eastAsia="宋体"/>
      <w:szCs w:val="20"/>
    </w:rPr>
  </w:style>
  <w:style w:type="character" w:styleId="980" w:customStyle="1">
    <w:name w:val="正文首行缩进 2 Char"/>
    <w:link w:val="979"/>
    <w:uiPriority w:val="0"/>
    <w:qFormat/>
    <w:rPr>
      <w:rFonts w:ascii="宋体" w:hAnsi="宋体" w:eastAsia="宋体" w:cs="Times New Roman"/>
      <w:sz w:val="32"/>
      <w:szCs w:val="20"/>
    </w:rPr>
  </w:style>
  <w:style w:type="table" w:styleId="981" w:customStyle="1">
    <w:name w:val="网格型1"/>
    <w:basedOn w:val="922"/>
    <w:uiPriority w:val="0"/>
    <w:qFormat/>
    <w:pPr>
      <w:jc w:val="both"/>
      <w:widowControl w:val="off"/>
    </w:pPr>
    <w:rPr>
      <w:rFonts w:ascii="Times New Roman" w:hAnsi="Times New Roman" w:eastAsia="宋体" w:cs="Times New Roman"/>
      <w:sz w:val="20"/>
      <w:szCs w:val="20"/>
    </w:rPr>
    <w:tblPr/>
  </w:style>
  <w:style w:type="character" w:styleId="982" w:customStyle="1">
    <w:name w:val="要点1"/>
    <w:link w:val="727"/>
    <w:uiPriority w:val="0"/>
    <w:qFormat/>
    <w:rPr>
      <w:b/>
      <w:bCs/>
    </w:rPr>
  </w:style>
  <w:style w:type="character" w:styleId="983" w:customStyle="1">
    <w:name w:val="页码1"/>
    <w:link w:val="727"/>
    <w:uiPriority w:val="0"/>
    <w:qFormat/>
  </w:style>
  <w:style w:type="character" w:styleId="984" w:customStyle="1">
    <w:name w:val="已访问的超链接1"/>
    <w:link w:val="727"/>
    <w:uiPriority w:val="0"/>
    <w:qFormat/>
    <w:rPr>
      <w:color w:val="800080"/>
      <w:u w:val="single"/>
    </w:rPr>
  </w:style>
  <w:style w:type="character" w:styleId="985" w:customStyle="1">
    <w:name w:val="强调1"/>
    <w:basedOn w:val="921"/>
    <w:link w:val="727"/>
    <w:uiPriority w:val="20"/>
    <w:qFormat/>
    <w:rPr>
      <w:i/>
    </w:rPr>
  </w:style>
  <w:style w:type="character" w:styleId="986" w:customStyle="1">
    <w:name w:val="超链接1"/>
    <w:link w:val="727"/>
    <w:uiPriority w:val="0"/>
    <w:qFormat/>
    <w:rPr>
      <w:color w:val="0000ff"/>
      <w:u w:val="single"/>
    </w:rPr>
  </w:style>
  <w:style w:type="character" w:styleId="987" w:customStyle="1">
    <w:name w:val="批注引用11"/>
    <w:link w:val="727"/>
    <w:uiPriority w:val="0"/>
    <w:semiHidden/>
    <w:qFormat/>
    <w:rPr>
      <w:sz w:val="21"/>
      <w:szCs w:val="21"/>
    </w:rPr>
  </w:style>
  <w:style w:type="paragraph" w:styleId="988"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989" w:customStyle="1">
    <w:name w:val="批注引用1"/>
    <w:link w:val="727"/>
    <w:uiPriority w:val="0"/>
    <w:semiHidden/>
    <w:qFormat/>
    <w:rPr>
      <w:sz w:val="21"/>
      <w:szCs w:val="21"/>
      <w:lang w:val="en-US" w:eastAsia="zh-CN" w:bidi="ar-SA"/>
    </w:rPr>
  </w:style>
  <w:style w:type="paragraph" w:styleId="990" w:customStyle="1">
    <w:name w:val="标题 5（有编号）（绿盟科技）"/>
    <w:basedOn w:val="727"/>
    <w:next w:val="991"/>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991"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992" w:customStyle="1">
    <w:name w:val="二级目录 Char"/>
    <w:link w:val="993"/>
    <w:uiPriority w:val="0"/>
    <w:qFormat/>
    <w:rPr>
      <w:b/>
      <w:sz w:val="30"/>
      <w:szCs w:val="28"/>
      <w:lang w:val="en-US" w:eastAsia="zh-CN" w:bidi="ar-SA"/>
    </w:rPr>
  </w:style>
  <w:style w:type="paragraph" w:styleId="993" w:customStyle="1">
    <w:name w:val="二级目录"/>
    <w:next w:val="727"/>
    <w:link w:val="992"/>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4" w:customStyle="1">
    <w:name w:val="font5 Char"/>
    <w:link w:val="727"/>
    <w:uiPriority w:val="0"/>
    <w:qFormat/>
    <w:rPr>
      <w:rFonts w:ascii="宋体" w:hAnsi="宋体" w:eastAsia="宋体"/>
      <w:sz w:val="28"/>
      <w:szCs w:val="28"/>
      <w:lang w:val="en-US" w:eastAsia="zh-CN" w:bidi="ar-SA"/>
    </w:rPr>
  </w:style>
  <w:style w:type="character" w:styleId="995" w:customStyle="1">
    <w:name w:val="列出段落 Char"/>
    <w:link w:val="996"/>
    <w:uiPriority w:val="0"/>
    <w:qFormat/>
    <w:rPr>
      <w:rFonts w:ascii="Calibri" w:hAnsi="Calibri"/>
      <w:sz w:val="24"/>
      <w:szCs w:val="24"/>
      <w:lang w:eastAsia="en-US" w:bidi="en-US"/>
    </w:rPr>
  </w:style>
  <w:style w:type="paragraph" w:styleId="996" w:customStyle="1">
    <w:name w:val="列出段落1"/>
    <w:basedOn w:val="727"/>
    <w:link w:val="995"/>
    <w:uiPriority w:val="0"/>
    <w:qFormat/>
    <w:pPr>
      <w:contextualSpacing/>
      <w:ind w:left="720"/>
      <w:jc w:val="left"/>
      <w:widowControl/>
    </w:pPr>
    <w:rPr>
      <w:rFonts w:ascii="Calibri" w:hAnsi="Calibri"/>
      <w:sz w:val="24"/>
      <w:szCs w:val="24"/>
      <w:lang w:eastAsia="en-US" w:bidi="en-US"/>
    </w:rPr>
  </w:style>
  <w:style w:type="character" w:styleId="997" w:customStyle="1">
    <w:name w:val="MSG_EN_FONT_STYLE_NAME_TEMPLATE_ROLE_NUMBER MSG_EN_FONT_STYLE_NAME_BY_ROLE_TEXT 2 + MSG_EN_FONT_STYLE_MODIFER_SIZE 8"/>
    <w:link w:val="727"/>
    <w:uiPriority w:val="0"/>
    <w:qFormat/>
    <w:rPr>
      <w:rFonts w:hint="eastAsia" w:ascii="PMingLiU" w:hAnsi="PMingLiU" w:eastAsia="PMingLiU" w:cs="PMingLiU"/>
      <w:spacing w:val="10"/>
      <w:sz w:val="16"/>
      <w:szCs w:val="16"/>
      <w:u w:val="none"/>
    </w:rPr>
  </w:style>
  <w:style w:type="paragraph" w:styleId="998" w:customStyle="1">
    <w:name w:val="table_lines"/>
    <w:basedOn w:val="727"/>
    <w:uiPriority w:val="0"/>
    <w:qFormat/>
    <w:pPr>
      <w:jc w:val="left"/>
      <w:widowControl/>
    </w:pPr>
    <w:rPr>
      <w:sz w:val="20"/>
      <w:szCs w:val="20"/>
      <w:lang w:val="de-DE" w:eastAsia="de-DE"/>
    </w:rPr>
  </w:style>
  <w:style w:type="paragraph" w:styleId="999" w:customStyle="1">
    <w:name w:val="普通正文"/>
    <w:basedOn w:val="727"/>
    <w:uiPriority w:val="0"/>
    <w:qFormat/>
    <w:pPr>
      <w:ind w:firstLine="480"/>
      <w:jc w:val="left"/>
      <w:spacing w:before="120" w:after="120" w:line="360" w:lineRule="auto"/>
    </w:pPr>
    <w:rPr>
      <w:rFonts w:ascii="Arial" w:hAnsi="Arial"/>
      <w:sz w:val="24"/>
      <w:szCs w:val="24"/>
    </w:rPr>
  </w:style>
  <w:style w:type="paragraph" w:styleId="1000" w:customStyle="1">
    <w:name w:val="xl27"/>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2"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03" w:customStyle="1">
    <w:name w:val="font6"/>
    <w:basedOn w:val="727"/>
    <w:uiPriority w:val="0"/>
    <w:qFormat/>
    <w:pPr>
      <w:jc w:val="left"/>
      <w:spacing w:before="100" w:beforeAutospacing="1" w:after="100" w:afterAutospacing="1"/>
      <w:widowControl/>
    </w:pPr>
    <w:rPr>
      <w:rFonts w:hint="eastAsia" w:ascii="宋体" w:hAnsi="宋体"/>
      <w:sz w:val="28"/>
      <w:szCs w:val="28"/>
      <w:u w:val="single"/>
    </w:rPr>
  </w:style>
  <w:style w:type="paragraph" w:styleId="1004" w:customStyle="1">
    <w:name w:val="标题1"/>
    <w:basedOn w:val="727"/>
    <w:next w:val="72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customStyle="1">
    <w:name w:val=" Char Char Char Char"/>
    <w:basedOn w:val="935"/>
    <w:uiPriority w:val="0"/>
    <w:qFormat/>
    <w:pPr>
      <w:spacing w:line="360" w:lineRule="auto"/>
    </w:pPr>
    <w:rPr>
      <w:rFonts w:ascii="Tahoma" w:hAnsi="Tahoma"/>
      <w:sz w:val="24"/>
      <w:szCs w:val="24"/>
    </w:rPr>
  </w:style>
  <w:style w:type="paragraph" w:styleId="100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7" w:customStyle="1">
    <w:name w:val="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008" w:customStyle="1">
    <w:name w:val="列出段落2"/>
    <w:basedOn w:val="727"/>
    <w:uiPriority w:val="0"/>
    <w:qFormat/>
    <w:pPr>
      <w:ind w:firstLine="200"/>
    </w:pPr>
    <w:rPr>
      <w:rFonts w:ascii="Times New Roman" w:hAnsi="Times New Roman" w:eastAsia="宋体" w:cs="Times New Roman"/>
      <w:szCs w:val="20"/>
    </w:rPr>
  </w:style>
  <w:style w:type="paragraph" w:styleId="1009" w:customStyle="1">
    <w:name w:val="xl24"/>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Body Text(ch)"/>
    <w:basedOn w:val="727"/>
    <w:next w:val="941"/>
    <w:uiPriority w:val="0"/>
    <w:qFormat/>
    <w:pPr>
      <w:spacing w:after="120"/>
    </w:pPr>
    <w:rPr>
      <w:rFonts w:ascii="宋体" w:hAnsi="Arial"/>
      <w:bCs/>
      <w:iCs/>
      <w:szCs w:val="24"/>
    </w:rPr>
  </w:style>
  <w:style w:type="paragraph" w:styleId="1011" w:customStyle="1">
    <w:name w:val=" 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012" w:customStyle="1">
    <w:name w:val="xl26"/>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customStyle="1">
    <w:name w:val="Char Char Char Char"/>
    <w:basedOn w:val="935"/>
    <w:uiPriority w:val="0"/>
    <w:qFormat/>
    <w:pPr>
      <w:spacing w:line="360" w:lineRule="auto"/>
    </w:pPr>
    <w:rPr>
      <w:rFonts w:ascii="Tahoma" w:hAnsi="Tahoma"/>
      <w:sz w:val="24"/>
      <w:szCs w:val="24"/>
    </w:rPr>
  </w:style>
  <w:style w:type="paragraph" w:styleId="1014" w:customStyle="1">
    <w:name w:val="Char"/>
    <w:basedOn w:val="727"/>
    <w:uiPriority w:val="0"/>
    <w:qFormat/>
    <w:pPr>
      <w:ind w:firstLine="200"/>
      <w:tabs>
        <w:tab w:val="left" w:pos="360" w:leader="none"/>
      </w:tabs>
    </w:pPr>
    <w:rPr>
      <w:sz w:val="28"/>
      <w:szCs w:val="30"/>
    </w:rPr>
  </w:style>
  <w:style w:type="paragraph" w:styleId="1015" w:customStyle="1">
    <w:name w:val="font7"/>
    <w:basedOn w:val="727"/>
    <w:uiPriority w:val="0"/>
    <w:qFormat/>
    <w:pPr>
      <w:jc w:val="left"/>
      <w:spacing w:before="100" w:beforeAutospacing="1" w:after="100" w:afterAutospacing="1"/>
      <w:widowControl/>
    </w:pPr>
    <w:rPr>
      <w:rFonts w:hint="eastAsia" w:ascii="宋体" w:hAnsi="宋体"/>
      <w:sz w:val="18"/>
      <w:szCs w:val="18"/>
    </w:rPr>
  </w:style>
  <w:style w:type="paragraph" w:styleId="1016" w:customStyle="1">
    <w:name w:val=" Char"/>
    <w:basedOn w:val="935"/>
    <w:uiPriority w:val="0"/>
    <w:qFormat/>
    <w:rPr>
      <w:rFonts w:ascii="Tahoma" w:hAnsi="Tahoma"/>
      <w:sz w:val="24"/>
      <w:szCs w:val="24"/>
    </w:rPr>
  </w:style>
  <w:style w:type="paragraph" w:styleId="1017" w:customStyle="1">
    <w:name w:val="列出段落"/>
    <w:basedOn w:val="727"/>
    <w:uiPriority w:val="0"/>
    <w:qFormat/>
    <w:pPr>
      <w:contextualSpacing/>
      <w:ind w:left="720"/>
      <w:jc w:val="left"/>
      <w:widowControl/>
    </w:pPr>
    <w:rPr>
      <w:rFonts w:ascii="Calibri" w:hAnsi="Calibri"/>
      <w:sz w:val="24"/>
      <w:szCs w:val="24"/>
      <w:lang w:eastAsia="en-US" w:bidi="en-US"/>
    </w:rPr>
  </w:style>
  <w:style w:type="paragraph" w:styleId="1018" w:customStyle="1">
    <w:name w:val="4"/>
    <w:basedOn w:val="727"/>
    <w:next w:val="965"/>
    <w:uiPriority w:val="0"/>
    <w:qFormat/>
    <w:pPr>
      <w:ind w:firstLine="420"/>
      <w:spacing w:line="360" w:lineRule="auto"/>
    </w:pPr>
    <w:rPr>
      <w:color w:val="ff0000"/>
      <w:sz w:val="24"/>
      <w:szCs w:val="24"/>
    </w:rPr>
  </w:style>
  <w:style w:type="paragraph" w:styleId="1019" w:customStyle="1">
    <w:name w:val="普通 (Web)"/>
    <w:basedOn w:val="727"/>
    <w:uiPriority w:val="0"/>
    <w:qFormat/>
    <w:pPr>
      <w:jc w:val="left"/>
      <w:spacing w:before="100" w:beforeAutospacing="1" w:after="100" w:afterAutospacing="1"/>
      <w:widowControl/>
    </w:pPr>
    <w:rPr>
      <w:rFonts w:ascii="宋体" w:hAnsi="宋体"/>
      <w:sz w:val="24"/>
      <w:szCs w:val="24"/>
    </w:rPr>
  </w:style>
  <w:style w:type="paragraph" w:styleId="1020" w:customStyle="1">
    <w:name w:val=" Char Char Char Char Char Char Char Char Char Char"/>
    <w:basedOn w:val="727"/>
    <w:uiPriority w:val="0"/>
    <w:qFormat/>
    <w:pPr>
      <w:spacing w:line="360" w:lineRule="auto"/>
    </w:pPr>
    <w:rPr>
      <w:sz w:val="24"/>
      <w:szCs w:val="20"/>
    </w:rPr>
  </w:style>
  <w:style w:type="paragraph" w:styleId="1021" w:customStyle="1">
    <w:name w:val="样式1"/>
    <w:basedOn w:val="727"/>
    <w:uiPriority w:val="0"/>
    <w:qFormat/>
    <w:pPr>
      <w:numPr>
        <w:ilvl w:val="0"/>
        <w:numId w:val="4"/>
      </w:numPr>
    </w:pPr>
    <w:rPr>
      <w:rFonts w:ascii="宋体" w:hAnsi="宋体"/>
    </w:rPr>
  </w:style>
  <w:style w:type="paragraph" w:styleId="102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3" w:customStyle="1">
    <w:name w:val="xl25"/>
    <w:basedOn w:val="72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4" w:customStyle="1">
    <w:name w:val="图标"/>
    <w:basedOn w:val="727"/>
    <w:next w:val="72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5" w:customStyle="1">
    <w:name w:val="标题3"/>
    <w:basedOn w:val="727"/>
    <w:next w:val="727"/>
    <w:uiPriority w:val="0"/>
    <w:qFormat/>
    <w:pPr>
      <w:ind w:firstLine="624"/>
      <w:spacing w:line="590" w:lineRule="atLeast"/>
    </w:pPr>
    <w:rPr>
      <w:rFonts w:ascii="方正黑体_GBK" w:eastAsia="方正黑体_GBK"/>
      <w:sz w:val="32"/>
      <w:szCs w:val="32"/>
    </w:rPr>
  </w:style>
  <w:style w:type="paragraph" w:styleId="1026" w:customStyle="1">
    <w:name w:val="xl29"/>
    <w:basedOn w:val="72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7" w:customStyle="1">
    <w:name w:val="xl30"/>
    <w:basedOn w:val="727"/>
    <w:uiPriority w:val="0"/>
    <w:qFormat/>
    <w:pPr>
      <w:jc w:val="center"/>
      <w:spacing w:before="100" w:beforeAutospacing="1" w:after="100" w:afterAutospacing="1"/>
      <w:widowControl/>
    </w:pPr>
    <w:rPr>
      <w:rFonts w:ascii="宋体" w:hAnsi="宋体"/>
      <w:b/>
      <w:bCs/>
      <w:sz w:val="36"/>
      <w:szCs w:val="36"/>
    </w:rPr>
  </w:style>
  <w:style w:type="paragraph" w:styleId="1028" w:customStyle="1">
    <w:name w:val="table_1stline"/>
    <w:basedOn w:val="727"/>
    <w:uiPriority w:val="0"/>
    <w:qFormat/>
    <w:pPr>
      <w:jc w:val="left"/>
      <w:spacing w:before="120"/>
      <w:widowControl/>
    </w:pPr>
    <w:rPr>
      <w:bCs/>
      <w:sz w:val="20"/>
      <w:szCs w:val="20"/>
      <w:lang w:val="de-DE" w:eastAsia="de-DE"/>
    </w:rPr>
  </w:style>
  <w:style w:type="paragraph" w:styleId="1029" w:customStyle="1">
    <w:name w:val="font5"/>
    <w:basedOn w:val="727"/>
    <w:uiPriority w:val="0"/>
    <w:qFormat/>
    <w:pPr>
      <w:jc w:val="left"/>
      <w:spacing w:before="100" w:beforeAutospacing="1" w:after="100" w:afterAutospacing="1"/>
      <w:widowControl/>
    </w:pPr>
    <w:rPr>
      <w:rFonts w:hint="eastAsia" w:ascii="宋体" w:hAnsi="宋体"/>
      <w:sz w:val="28"/>
      <w:szCs w:val="28"/>
    </w:rPr>
  </w:style>
  <w:style w:type="paragraph" w:styleId="1030" w:customStyle="1">
    <w:name w:val="纯文本1"/>
    <w:basedOn w:val="727"/>
    <w:uiPriority w:val="0"/>
    <w:qFormat/>
    <w:rPr>
      <w:rFonts w:ascii="宋体" w:hAnsi="Courier New" w:cs="Courier New"/>
    </w:rPr>
  </w:style>
  <w:style w:type="paragraph" w:styleId="1031" w:customStyle="1">
    <w:name w:val="Table Paragraph"/>
    <w:basedOn w:val="727"/>
    <w:uiPriority w:val="1"/>
    <w:qFormat/>
    <w:pPr>
      <w:jc w:val="right"/>
      <w:spacing w:before="178"/>
    </w:pPr>
    <w:rPr>
      <w:rFonts w:ascii="宋体" w:hAnsi="宋体" w:eastAsia="宋体" w:cs="宋体"/>
      <w:lang w:val="zh-CN" w:eastAsia="zh-CN" w:bidi="zh-CN"/>
    </w:rPr>
  </w:style>
  <w:style w:type="paragraph" w:styleId="1032" w:customStyle="1">
    <w:name w:val="标题二、"/>
    <w:basedOn w:val="727"/>
    <w:uiPriority w:val="99"/>
    <w:qFormat/>
    <w:pPr>
      <w:ind w:firstLine="200"/>
      <w:spacing w:line="360" w:lineRule="auto"/>
      <w:outlineLvl w:val="2"/>
    </w:pPr>
    <w:rPr>
      <w:rFonts w:ascii="宋体" w:hAnsi="宋体"/>
      <w:b/>
      <w:szCs w:val="21"/>
    </w:rPr>
  </w:style>
  <w:style w:type="character" w:styleId="1033" w:customStyle="1">
    <w:name w:val="NormalCharacter1"/>
    <w:link w:val="727"/>
    <w:uiPriority w:val="0"/>
    <w:semiHidden/>
    <w:qFormat/>
    <w:rPr>
      <w:rFonts w:ascii="Tahoma" w:hAnsi="Tahoma"/>
      <w:sz w:val="24"/>
      <w:szCs w:val="24"/>
      <w:lang w:val="en-US" w:eastAsia="zh-CN" w:bidi="ar-SA"/>
    </w:rPr>
  </w:style>
  <w:style w:type="paragraph" w:styleId="1034" w:customStyle="1">
    <w:name w:val="无间隔2"/>
    <w:basedOn w:val="727"/>
    <w:uiPriority w:val="0"/>
    <w:qFormat/>
    <w:pPr>
      <w:ind w:left="0" w:right="0"/>
      <w:jc w:val="left"/>
      <w:keepLines w:val="0"/>
      <w:keepNext w:val="0"/>
      <w:spacing w:before="0" w:beforeAutospacing="0" w:after="0" w:afterAutospacing="0"/>
      <w:widowControl/>
      <w:suppressLineNumbers w:val="0"/>
    </w:pPr>
    <w:rPr>
      <w:rFonts w:ascii="Tahoma" w:hAnsi="Tahoma" w:eastAsia="微软雅黑" w:cs="黑体"/>
      <w:sz w:val="22"/>
      <w:szCs w:val="22"/>
      <w:lang w:val="en-US" w:eastAsia="zh-CN" w:bidi="ar"/>
    </w:rPr>
  </w:style>
  <w:style w:type="paragraph" w:styleId="1035" w:customStyle="1">
    <w:name w:val="文本块1"/>
    <w:basedOn w:val="727"/>
    <w:uiPriority w:val="0"/>
    <w:unhideWhenUsed/>
    <w:qFormat/>
    <w:pPr>
      <w:ind w:left="1440" w:right="1440"/>
      <w:spacing w:after="120"/>
    </w:pPr>
    <w:rPr>
      <w:rFonts w:ascii="Times New Roman" w:hAnsi="Times New Roman"/>
      <w:szCs w:val="20"/>
    </w:rPr>
  </w:style>
  <w:style w:type="paragraph" w:styleId="1036" w:customStyle="1">
    <w:name w:val="正文文本首行缩进 2"/>
    <w:basedOn w:val="943"/>
    <w:uiPriority w:val="99"/>
    <w:qFormat/>
    <w:pPr>
      <w:ind w:firstLine="200"/>
      <w:spacing w:line="360" w:lineRule="auto"/>
    </w:pPr>
    <w:rPr>
      <w:rFonts w:ascii="宋体" w:eastAsia="宋体"/>
      <w:sz w:val="21"/>
      <w:szCs w:val="20"/>
    </w:rPr>
  </w:style>
  <w:style w:type="paragraph" w:styleId="1037" w:customStyle="1">
    <w:name w:val="正文首行缩进1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en-US" w:bidi="ar-SA"/>
    </w:rPr>
  </w:style>
  <w:style w:type="paragraph" w:styleId="1038" w:customStyle="1">
    <w:name w:val="正文文本11"/>
    <w:next w:val="727"/>
    <w:uiPriority w:val="0"/>
    <w:qFormat/>
    <w:pPr>
      <w:jc w:val="both"/>
      <w:widowControl w:val="off"/>
    </w:pPr>
    <w:rPr>
      <w:rFonts w:hint="default" w:ascii="楷体_GB2312" w:hAnsi="Arial" w:eastAsia="楷体_GB2312" w:cs="Times New Roman"/>
      <w:sz w:val="28"/>
      <w:szCs w:val="28"/>
      <w:lang w:val="en-US" w:eastAsia="en-US" w:bidi="ar-SA"/>
    </w:rPr>
  </w:style>
  <w:style w:type="numbering" w:styleId="11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李星</cp:lastModifiedBy>
  <cp:revision>4</cp:revision>
  <dcterms:created xsi:type="dcterms:W3CDTF">2023-03-16T02:16:00Z</dcterms:created>
  <dcterms:modified xsi:type="dcterms:W3CDTF">2025-11-17T01:46:30Z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eyJoZGlkIjoiNTA1YzFkZmYwM2U5YjkyMGY3ODllYmRmNjY0ZDQwMTMiLCJ1c2VySWQiOiIyMDc0Mjk1MDAifQ==</vt:lpwstr>
  </property>
  <property fmtid="{D5CDD505-2E9C-101B-9397-08002B2CF9AE}" pid="3" name="KSOProductBuildVer">
    <vt:lpwstr>2052-12.1.0.23542</vt:lpwstr>
  </property>
  <property fmtid="{D5CDD505-2E9C-101B-9397-08002B2CF9AE}" pid="4" name="ICV">
    <vt:lpwstr>BA12EDF8AADD4B598AC9226E6D4861D6_13</vt:lpwstr>
  </property>
</Properties>
</file>