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000000"/>
          <w:sz w:val="32"/>
          <w:u w:val="single"/>
          <w:lang w:eastAsia="zh-CN"/>
        </w:rPr>
        <w:t xml:space="preserve">扬州市城市管理局扬州市建筑垃圾全链条监管平台项目</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u w:val="single"/>
        </w:rPr>
        <w:t xml:space="preserve">JSZC-321000-JZCG-G2025-0143</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none"/>
          <w:lang w:val="en-US" w:eastAsia="zh-CN"/>
        </w:rPr>
        <w:t xml:space="preserve">2025</w:t>
      </w:r>
      <w:r>
        <w:rPr>
          <w:rFonts w:ascii="宋体" w:hAnsi="宋体" w:eastAsia="宋体" w:cs="宋体"/>
          <w:b/>
          <w:color w:val="000000"/>
          <w:sz w:val="32"/>
          <w:u w:val="none"/>
        </w:rPr>
        <w:t xml:space="preserve">年</w:t>
      </w:r>
      <w:r>
        <w:rPr>
          <w:rFonts w:hint="eastAsia" w:ascii="宋体" w:hAnsi="宋体" w:cs="宋体"/>
          <w:b/>
          <w:color w:val="000000"/>
          <w:sz w:val="32"/>
          <w:u w:val="none"/>
          <w:lang w:val="en-US" w:eastAsia="zh-CN"/>
        </w:rPr>
        <w:t xml:space="preserve">12</w:t>
      </w:r>
      <w:r>
        <w:rPr>
          <w:rFonts w:ascii="宋体" w:hAnsi="宋体" w:eastAsia="宋体" w:cs="宋体"/>
          <w:b/>
          <w:color w:val="000000"/>
          <w:sz w:val="32"/>
          <w:u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8</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54</w:t>
      </w:r>
      <w:bookmarkStart w:id="2" w:name="_GoBack"/>
      <w:r/>
      <w:bookmarkEnd w:id="2"/>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88"/>
      </w:pPr>
      <w:r>
        <w:rPr>
          <w:rStyle w:val="923"/>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扬州市城市管理局</w:t>
      </w:r>
      <w:r>
        <w:rPr>
          <w:rFonts w:ascii="宋体" w:hAnsi="宋体" w:eastAsia="宋体" w:cs="宋体"/>
          <w:color w:val="000000"/>
          <w:sz w:val="24"/>
        </w:rPr>
        <w:t xml:space="preserve">]的委托，扬州市公共资源交易中心就[</w:t>
      </w:r>
      <w:r>
        <w:rPr>
          <w:rFonts w:hint="eastAsia" w:ascii="宋体" w:hAnsi="宋体" w:cs="宋体"/>
          <w:color w:val="000000"/>
          <w:sz w:val="24"/>
          <w:lang w:eastAsia="zh-CN"/>
        </w:rPr>
        <w:t xml:space="preserve">扬州市城市管理局扬州市建筑垃圾全链条监管平台项目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JSZC-321000-JZCG-G2025-0143</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扬州市城市管理局扬州市建筑垃圾全链条监管平台项目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1</w:t>
      </w:r>
      <w:r>
        <w:rPr>
          <w:rFonts w:ascii="宋体" w:hAnsi="宋体" w:eastAsia="宋体" w:cs="宋体"/>
          <w:color w:val="ff0000"/>
          <w:sz w:val="24"/>
          <w:u w:val="single"/>
        </w:rPr>
        <w:t xml:space="preserve">月16日9点30分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JSZC-321000-JZCG-G2025-0143</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cs="宋体"/>
          <w:color w:val="000000"/>
          <w:sz w:val="24"/>
          <w:lang w:eastAsia="zh-CN"/>
        </w:rPr>
        <w:t xml:space="preserve">扬州市城市管理局扬州市建筑垃圾全链条监管平台项目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3"/>
        <w:gridCol w:w="77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4" w:type="dxa"/>
            <w:vAlign w:val="top"/>
            <w:textDirection w:val="lrTb"/>
            <w:noWrap w:val="false"/>
          </w:tcPr>
          <w:p>
            <w:pPr>
              <w:ind w:left="0" w:right="0" w:firstLine="0"/>
              <w:jc w:val="center"/>
              <w:keepLines w:val="0"/>
              <w:keepNext w:val="0"/>
              <w:spacing w:before="0" w:beforeAutospacing="0" w:after="0" w:afterAutospacing="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170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3519"/>
        <w:gridCol w:w="4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77"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7" w:type="dxa"/>
            <w:vAlign w:val="top"/>
            <w:textDirection w:val="lrTb"/>
            <w:noWrap w:val="false"/>
          </w:tcPr>
          <w:p>
            <w:pPr>
              <w:ind w:left="0" w:right="0" w:firstLine="0"/>
              <w:jc w:val="center"/>
              <w:keepLines w:val="0"/>
              <w:keepNext w:val="0"/>
              <w:spacing w:before="0" w:beforeAutospacing="0" w:after="0" w:afterAutospacing="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170</w:t>
            </w:r>
            <w:r/>
          </w:p>
        </w:tc>
      </w:tr>
    </w:tbl>
    <w:p>
      <w:pPr>
        <w:ind w:firstLine="480"/>
        <w:keepLines w:val="0"/>
        <w:keepNext w:val="0"/>
        <w:pageBreakBefore w:val="0"/>
        <w:spacing w:line="360" w:lineRule="auto"/>
        <w:widowControl w:val="off"/>
      </w:pPr>
      <w:r>
        <w:rPr>
          <w:rFonts w:ascii="宋体" w:hAnsi="宋体" w:eastAsia="宋体" w:cs="宋体"/>
          <w:color w:val="000000"/>
          <w:sz w:val="24"/>
        </w:rPr>
        <w:t xml:space="preserve">5.采购需求（简介）：</w:t>
      </w:r>
      <w:r>
        <w:rPr>
          <w:rFonts w:hint="eastAsia" w:ascii="宋体" w:hAnsi="宋体" w:eastAsia="宋体" w:cs="宋体"/>
          <w:sz w:val="24"/>
          <w:szCs w:val="24"/>
          <w:highlight w:val="none"/>
          <w:lang w:bidi="ar"/>
        </w:rPr>
        <w:t xml:space="preserve">扬州市建筑垃圾全链条监管平台旨在构建覆盖建筑垃圾“产生-运输-处置”全过程的数字化治理体系。平台通过统一数据接口规范，对接工地、消纳点等场所的地磅、车牌识别、视频监控等物联设备，并按照省市政务数据标准开展多源数据集成，建立涵盖原始库、标准库、主题库的综合性数据库，为全链条监管提供数据支撑。</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default"/>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合同签订之日起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个月内，须完成所有系统功能模块的开发工作，并成功部署至采购人指定的运行环境</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3703"/>
        <w:gridCol w:w="4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3"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6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3"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6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7880"/>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（二）本项目的特定资格要求</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7"/>
        <w:gridCol w:w="78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2026年</w:t>
      </w:r>
      <w:r>
        <w:rPr>
          <w:rFonts w:hint="eastAsia" w:ascii="宋体" w:hAnsi="宋体" w:cs="宋体"/>
          <w:color w:val="ff0000"/>
          <w:sz w:val="24"/>
          <w:u w:val="single"/>
          <w:lang w:val="en-US" w:eastAsia="zh-CN"/>
        </w:rPr>
        <w:t xml:space="preserve">1</w:t>
      </w:r>
      <w:r>
        <w:rPr>
          <w:rFonts w:ascii="宋体" w:hAnsi="宋体" w:eastAsia="宋体" w:cs="宋体"/>
          <w:color w:val="ff0000"/>
          <w:sz w:val="24"/>
          <w:u w:val="single"/>
        </w:rPr>
        <w:t xml:space="preserve">月16日</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七、本次招标联系方式</w:t>
      </w:r>
      <w:r/>
    </w:p>
    <w:p>
      <w:pPr>
        <w:ind w:left="0" w:right="0" w:firstLine="498"/>
        <w:jc w:val="both"/>
        <w:spacing w:before="145" w:after="145"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1.采购人信息</w:t>
      </w:r>
      <w:r/>
    </w:p>
    <w:p>
      <w:pPr>
        <w:ind w:left="0" w:right="0" w:firstLine="498"/>
        <w:jc w:val="both"/>
        <w:spacing w:before="145" w:after="145" w:line="40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u w:val="single"/>
        </w:rPr>
        <w:t xml:space="preserve">扬州市城市管理局</w:t>
      </w:r>
      <w:r/>
    </w:p>
    <w:p>
      <w:pPr>
        <w:ind w:left="0" w:right="0" w:firstLine="498"/>
        <w:jc w:val="both"/>
        <w:spacing w:before="145" w:after="145" w:line="40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u w:val="single"/>
        </w:rPr>
        <w:t xml:space="preserve">江苏省扬州市邗江区江阳中路240号万象汇利大厦1-3、16层</w:t>
      </w:r>
      <w:r/>
    </w:p>
    <w:p>
      <w:pPr>
        <w:ind w:left="0" w:right="0" w:firstLine="498"/>
        <w:jc w:val="both"/>
        <w:spacing w:before="145" w:after="145" w:line="40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u w:val="single"/>
        </w:rPr>
        <w:t xml:space="preserve">黄亮</w:t>
      </w:r>
      <w:r/>
    </w:p>
    <w:p>
      <w:pPr>
        <w:ind w:left="0" w:right="0" w:firstLine="498"/>
        <w:jc w:val="both"/>
        <w:spacing w:before="145" w:after="145" w:line="40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single"/>
        </w:rPr>
        <w:t xml:space="preserve">17768559947</w:t>
      </w:r>
      <w:r/>
    </w:p>
    <w:p>
      <w:pPr>
        <w:ind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2.扬州市公共资源交易中心</w:t>
      </w:r>
      <w:r/>
    </w:p>
    <w:p>
      <w:pPr>
        <w:ind w:firstLine="480"/>
        <w:keepLines w:val="0"/>
        <w:keepNext w:val="0"/>
        <w:pageBreakBefore w:val="0"/>
        <w:spacing w:line="360" w:lineRule="auto"/>
        <w:widowControl w:val="off"/>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扬州市文昌东路9号广陵新城市民中心1号楼5楼1529室</w:t>
      </w:r>
      <w:r/>
    </w:p>
    <w:p>
      <w:pPr>
        <w:ind w:firstLine="480"/>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val="en-US" w:eastAsia="zh-CN"/>
        </w:rPr>
        <w:t xml:space="preserve">张自美</w:t>
      </w:r>
      <w:r/>
    </w:p>
    <w:p>
      <w:pPr>
        <w:ind w:firstLine="480"/>
        <w:keepLines w:val="0"/>
        <w:keepNext w:val="0"/>
        <w:pageBreakBefore w:val="0"/>
        <w:spacing w:line="360" w:lineRule="auto"/>
        <w:widowControl w:val="off"/>
      </w:pPr>
      <w:r>
        <w:rPr>
          <w:rFonts w:hint="eastAsia" w:ascii="宋体" w:hAnsi="宋体"/>
          <w:sz w:val="24"/>
          <w:szCs w:val="24"/>
        </w:rPr>
        <w:t xml:space="preserve">联系方式：</w:t>
      </w:r>
      <w:bookmarkStart w:id="0" w:name="_Toc28359087"/>
      <w:r/>
      <w:bookmarkStart w:id="1" w:name="_Toc28359010"/>
      <w:r>
        <w:rPr>
          <w:rFonts w:hint="eastAsia" w:ascii="宋体" w:hAnsi="宋体"/>
          <w:sz w:val="24"/>
          <w:szCs w:val="24"/>
          <w:u w:val="single"/>
        </w:rPr>
        <w:t xml:space="preserve">0514-82087195</w:t>
      </w:r>
      <w:bookmarkEnd w:id="0"/>
      <w:r/>
      <w:bookmarkEnd w:id="1"/>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八、其他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0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一、总则</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1、招标方式</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2、合格的投标人</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3、适用法律</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4、投标费用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二、招标文件</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6、招标文件构成</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三、投标文件的编制</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投标人应按照招标文件要求提交证明文件，证明其投标标的符合招标文件规定。</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四、投标文件的递交</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19.1 投标文件的撤回</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19.1.1 电子投标文件的撤回</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19.1.2 投标人撤回电子投标文件，则认为其不再参与本项目投标活动。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19.2 投标文件的修改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五、开标与评标</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21.1开标后，交易中心将立即组织评标委员会（以下简称评委会）进行评标。</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21.2评委会由采购人代表和有关技术、经济等方面的专家组成，且人员构成符合政府采购有关规定。</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22、评标过程的保密与公正</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25.1无效投标条款</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 异常低价投标（响应）</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25.1.10.1投标（响应）报价低于采购项目预算 50% 的，即投标（响应）报价&lt;采购项目预算×50% ；</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25.1.10.2投标（响应）报价低于采购项目最高限价 45% 的，即投标（响应）报价&lt;采购项目最高限价×45% ；</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25.1.10.3评审委员会认定的供应商报价过低、有可能影响产品质量或者不能诚信履约的其他情形。</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25.2废标条款</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25.3 投标截止时间结束后参加投标的供应商不足三家的处理：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六、定标</w:t>
      </w:r>
      <w:r/>
    </w:p>
    <w:p>
      <w:pPr>
        <w:ind w:left="0" w:right="0" w:firstLine="60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26、确定中标单位</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60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27、质疑处理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28、中标通知书</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七、授予合同</w:t>
      </w:r>
      <w:r/>
    </w:p>
    <w:p>
      <w:pPr>
        <w:ind w:left="0" w:right="0" w:firstLine="60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29、签订合同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keepLines w:val="0"/>
        <w:keepNext w:val="0"/>
        <w:pageBreakBefore w:val="0"/>
        <w:spacing w:line="380" w:lineRule="atLeast"/>
        <w:widowControl w:val="off"/>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30、政府采购履约资金扶持政策</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rPr>
          <w:rFonts w:ascii="黑体" w:hAnsi="黑体" w:eastAsia="黑体" w:cs="黑体"/>
          <w:b/>
          <w:color w:val="000000"/>
          <w:sz w:val="44"/>
        </w:rPr>
      </w:pPr>
      <w:r>
        <w:rPr>
          <w:rFonts w:ascii="黑体" w:hAnsi="黑体" w:eastAsia="黑体" w:cs="黑体"/>
          <w:b/>
          <w:color w:val="000000"/>
          <w:sz w:val="44"/>
        </w:rPr>
        <w:br w:type="page" w:clear="all"/>
      </w:r>
      <w:r/>
    </w:p>
    <w:p>
      <w:pPr>
        <w:pStyle w:val="705"/>
        <w:ind w:left="0" w:right="0" w:firstLine="0"/>
        <w:jc w:val="center"/>
        <w:spacing w:before="480" w:after="200"/>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right="0" w:hanging="408"/>
        <w:jc w:val="both"/>
        <w:spacing w:before="120" w:after="120"/>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4.2</w:t>
      </w:r>
      <w:r>
        <w:rPr>
          <w:rFonts w:hint="eastAsia" w:ascii="宋体" w:hAnsi="宋体" w:cs="宋体"/>
          <w:color w:val="000000"/>
          <w:sz w:val="24"/>
          <w:highlight w:val="none"/>
          <w:lang w:val="en-US" w:eastAsia="zh-CN"/>
        </w:rPr>
        <w:t xml:space="preserve"> </w:t>
      </w:r>
      <w:r>
        <w:rPr>
          <w:rFonts w:hint="default" w:ascii="宋体" w:hAnsi="宋体" w:cs="宋体"/>
          <w:color w:val="000000"/>
          <w:sz w:val="24"/>
          <w:highlight w:val="none"/>
          <w:lang w:val="en-US" w:eastAsia="zh-CN"/>
        </w:rPr>
        <w:t xml:space="preserve">本项目开发前乙方已经拥有的知识产权归乙方拥有，与甲方无关。根据本项目需</w:t>
      </w:r>
      <w:r/>
    </w:p>
    <w:p>
      <w:pPr>
        <w:ind w:left="408" w:right="0" w:hanging="408"/>
        <w:jc w:val="both"/>
        <w:spacing w:before="120" w:after="120"/>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highlight w:val="none"/>
          <w:lang w:val="en-US" w:eastAsia="zh-CN"/>
        </w:rPr>
        <w:t xml:space="preserve">求所定制开发的软件的知识产权和著作权归甲方所有。</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五、产权担保</w:t>
      </w:r>
      <w:r/>
    </w:p>
    <w:p>
      <w:pPr>
        <w:ind w:left="408" w:right="0" w:hanging="408"/>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firstLine="482"/>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合同签订后，甲方向乙方支付合同总价30%的预付款，余款待</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项目</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验收合格后一次性付清。上述款项，甲方自收到乙方出具的发票之日起10个工作日内支付。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70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0" w:right="0" w:firstLine="482"/>
        <w:jc w:val="both"/>
        <w:keepLines w:val="0"/>
        <w:keepNext w:val="0"/>
        <w:pageBreakBefore w:val="0"/>
        <w:spacing w:before="0" w:after="0"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项目属性:服务类项目</w:t>
      </w:r>
      <w:r/>
    </w:p>
    <w:p>
      <w:pPr>
        <w:ind w:left="0" w:right="0" w:firstLine="480"/>
        <w:jc w:val="both"/>
        <w:keepLines w:val="0"/>
        <w:keepNext w:val="0"/>
        <w:pageBreakBefore w:val="0"/>
        <w:spacing w:before="0" w:after="0"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ascii="宋体" w:hAnsi="宋体" w:eastAsia="宋体" w:cs="宋体"/>
          <w:color w:val="000000"/>
          <w:sz w:val="24"/>
          <w:szCs w:val="24"/>
          <w:highlight w:val="none"/>
        </w:rPr>
        <w:t xml:space="preserve">本项目强制节能产品有：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keepLines w:val="0"/>
        <w:keepNext w:val="0"/>
        <w:pageBreakBefore w:val="0"/>
        <w:spacing w:before="0" w:after="0"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2.供应商对于投标产品的包装应按照“财办库〔2020〕123号《关于印发《商品包装政府采购需求标准（试行）》、《快递包装政府采购需求标准（试行）》的通知》”执行。</w:t>
      </w:r>
      <w:r/>
    </w:p>
    <w:p>
      <w:pPr>
        <w:ind w:left="0" w:right="0" w:firstLine="480"/>
        <w:jc w:val="both"/>
        <w:keepLines w:val="0"/>
        <w:keepNext w:val="0"/>
        <w:pageBreakBefore w:val="0"/>
        <w:spacing w:before="0" w:after="0"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3.采购标的清单</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3865"/>
        <w:gridCol w:w="39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spacing w:val="0"/>
                <w:sz w:val="24"/>
                <w:szCs w:val="24"/>
                <w:shd w:val="clear" w:color="auto" w:fill="ffffff"/>
                <w:lang w:eastAsia="zh-CN"/>
              </w:rPr>
              <w:t xml:space="preserve">扬州市城市管理局扬州市建筑垃圾全链条监管平台项目</w:t>
            </w: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软件和信息技术服务业</w:t>
            </w:r>
            <w:r/>
          </w:p>
        </w:tc>
      </w:tr>
    </w:tbl>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numPr>
          <w:ilvl w:val="0"/>
          <w:numId w:val="0"/>
        </w:numPr>
        <w:ind w:left="0" w:firstLine="482"/>
        <w:keepLines w:val="0"/>
        <w:keepNext w:val="0"/>
        <w:pageBreakBefore w:val="0"/>
        <w:spacing w:line="380" w:lineRule="exact"/>
        <w:widowControl w:val="off"/>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（一）建设背景和建设目标</w:t>
      </w:r>
      <w:r/>
    </w:p>
    <w:p>
      <w:pPr>
        <w:ind w:firstLine="480"/>
        <w:keepLines w:val="0"/>
        <w:keepNext w:val="0"/>
        <w:pageBreakBefore w:val="0"/>
        <w:spacing w:line="380" w:lineRule="exact"/>
        <w:widowControl w:val="off"/>
        <w:rPr>
          <w:rFonts w:hint="eastAsia" w:ascii="宋体" w:hAnsi="宋体" w:eastAsia="宋体" w:cs="宋体"/>
          <w:sz w:val="24"/>
          <w:szCs w:val="24"/>
          <w:highlight w:val="none"/>
          <w:lang w:bidi="ar"/>
        </w:rPr>
        <w:outlineLvl w:val="9"/>
      </w:pP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随着城市建设高速发展，建筑垃圾产生量持续增长，成为城市治理的重要挑战。据估算，2023年全国建筑垃圾产生量约35亿吨，同比增速达8%。建筑垃圾成分复杂，主要包括渣土、砂浆、混凝土块、金属、木材等，其有效处置直接关系到城市生态环境和可持续发展。</w:t>
      </w:r>
      <w:r/>
    </w:p>
    <w:p>
      <w:pPr>
        <w:ind w:firstLine="480"/>
        <w:keepLines w:val="0"/>
        <w:keepNext w:val="0"/>
        <w:pageBreakBefore w:val="0"/>
        <w:spacing w:line="380" w:lineRule="exact"/>
        <w:widowControl w:val="off"/>
        <w:rPr>
          <w:rFonts w:hint="eastAsia" w:ascii="宋体" w:hAnsi="宋体" w:eastAsia="宋体" w:cs="宋体"/>
          <w:sz w:val="24"/>
          <w:szCs w:val="24"/>
          <w:highlight w:val="none"/>
          <w:lang w:bidi="ar"/>
        </w:rPr>
        <w:outlineLvl w:val="9"/>
      </w:pPr>
      <w:r>
        <w:rPr>
          <w:rFonts w:hint="eastAsia" w:ascii="宋体" w:hAnsi="宋体" w:eastAsia="宋体" w:cs="宋体"/>
          <w:sz w:val="24"/>
          <w:szCs w:val="24"/>
          <w:highlight w:val="none"/>
          <w:lang w:bidi="ar"/>
        </w:rPr>
        <w:t xml:space="preserve">根据《扬州市市区建筑垃圾处理规划（2024—2030年）》预测，市区近期工程渣土年产生量约812万吨，工程垃圾135万吨，拆除垃圾90万吨，装修垃圾53万吨。面对这一严峻形势，加强建筑垃圾治理已成为践行生态文明思想的重要任务。国家层面先后出台《“无废城市”建设试点工作方案》、“新固废法”等政策文件，明确提出建立全流程数字化监管平台，并设定了“十四五”期间建筑垃圾资源化利用率达到60%的目标。</w:t>
      </w:r>
      <w:r/>
    </w:p>
    <w:p>
      <w:pPr>
        <w:ind w:firstLine="480"/>
        <w:keepLines w:val="0"/>
        <w:keepNext w:val="0"/>
        <w:pageBreakBefore w:val="0"/>
        <w:spacing w:line="380" w:lineRule="exact"/>
        <w:widowControl w:val="off"/>
        <w:rPr>
          <w:rFonts w:hint="eastAsia" w:ascii="宋体" w:hAnsi="宋体" w:eastAsia="宋体" w:cs="宋体"/>
          <w:sz w:val="24"/>
          <w:szCs w:val="24"/>
          <w:highlight w:val="none"/>
          <w:lang w:bidi="ar"/>
        </w:rPr>
        <w:outlineLvl w:val="9"/>
      </w:pPr>
      <w:r>
        <w:rPr>
          <w:rFonts w:hint="eastAsia" w:ascii="宋体" w:hAnsi="宋体" w:eastAsia="宋体" w:cs="宋体"/>
          <w:sz w:val="24"/>
          <w:szCs w:val="24"/>
          <w:highlight w:val="none"/>
          <w:lang w:bidi="ar"/>
        </w:rPr>
        <w:t xml:space="preserve">扬州市城管局为认真贯彻落实《省住房和城乡建设厅等部门关于印发〈江苏省建筑垃圾全链条治理实施方案〉的通知》(苏建城管〔2025〕12号)文件要求，进一步完善我市建筑垃圾全链条治理体系，切实解决当前建筑垃圾治理领域存在的痛点和难点，研究制定《扬州市建筑垃圾全链条治理工作方案》（扬城管〔2025〕17号），加快建筑垃圾源头库、运输库、处置库和数字化监管平台 “三库一平台”建设，不断提升营造长效治理水平。</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本项目确立以下建设目标：一是夯实数据底座，建立市、县区、街道三级应用体系，实现市域一体化管理；二是推行电子联单制度，根据垃圾类型和去向实行“一单管全程”；三是构建全链条闭环监管场景，实现从产生、运输到处置的智能化全程监控；四是提升政务服务水平，通过线上办理备案、核准等业务，打造便捷高效的服务窗口。</w:t>
      </w:r>
      <w:r/>
    </w:p>
    <w:p>
      <w:pPr>
        <w:ind w:left="0" w:firstLine="480"/>
        <w:keepLines w:val="0"/>
        <w:keepNext w:val="0"/>
        <w:pageBreakBefore w:val="0"/>
        <w:spacing w:line="380" w:lineRule="exact"/>
        <w:widowControl w:val="off"/>
        <w:rPr>
          <w:rFonts w:hint="default"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en-US" w:eastAsia="zh-CN" w:bidi="ar"/>
        </w:rPr>
        <w:t xml:space="preserve">服务内容</w:t>
      </w:r>
      <w:r>
        <w:rPr>
          <w:rFonts w:hint="eastAsia" w:ascii="宋体" w:hAnsi="宋体" w:cs="宋体"/>
          <w:color w:val="auto"/>
          <w:sz w:val="24"/>
          <w:szCs w:val="24"/>
          <w:highlight w:val="none"/>
          <w:lang w:val="en-US" w:eastAsia="zh-CN" w:bidi="ar"/>
        </w:rPr>
        <w:t xml:space="preserve">如下：</w:t>
      </w:r>
      <w:r/>
    </w:p>
    <w:tbl>
      <w:tblPr>
        <w:tblStyle w:val="71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5"/>
        <w:gridCol w:w="1669"/>
        <w:gridCol w:w="2939"/>
        <w:gridCol w:w="2939"/>
      </w:tblGrid>
      <w:tr>
        <w:trPr>
          <w:jc w:val="center"/>
          <w:trHeight w:val="82"/>
        </w:trPr>
        <w:tc>
          <w:tcPr>
            <w:shd w:val="clear" w:color="auto" w:fill="auto"/>
            <w:tcBorders>
              <w:top w:val="single" w:color="000000" w:sz="4" w:space="0"/>
              <w:left w:val="single" w:color="000000" w:sz="4" w:space="0"/>
              <w:right w:val="single" w:color="000000" w:sz="4" w:space="0"/>
            </w:tcBorders>
            <w:tcW w:w="975"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669"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软件开发</w:t>
            </w:r>
            <w:r/>
          </w:p>
        </w:tc>
        <w:tc>
          <w:tcPr>
            <w:shd w:val="clear" w:color="auto" w:fill="auto"/>
            <w:tcBorders>
              <w:top w:val="single" w:color="000000" w:sz="4" w:space="0"/>
              <w:left w:val="single" w:color="000000" w:sz="4" w:space="0"/>
              <w:right w:val="single" w:color="000000" w:sz="4" w:space="0"/>
            </w:tcBorders>
            <w:tcW w:w="2939"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定制化软件开发</w:t>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建筑垃圾数据治理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default" w:eastAsia="方正仿宋_GB2312"/>
                <w:color w:val="auto"/>
                <w:sz w:val="24"/>
                <w:szCs w:val="24"/>
                <w:highlight w:val="none"/>
              </w:rPr>
              <w:suppressLineNumbers w:val="0"/>
            </w:pPr>
            <w:r>
              <w:rPr>
                <w:rFonts w:hint="default" w:eastAsia="方正仿宋_GB2312"/>
                <w:color w:val="auto"/>
                <w:sz w:val="24"/>
                <w:szCs w:val="24"/>
                <w:highlight w:val="none"/>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default" w:eastAsia="方正仿宋_GB2312"/>
                <w:color w:val="auto"/>
                <w:sz w:val="24"/>
                <w:szCs w:val="24"/>
                <w:highlight w:val="none"/>
              </w:rPr>
              <w:suppressLineNumbers w:val="0"/>
            </w:pPr>
            <w:r>
              <w:rPr>
                <w:rFonts w:hint="default" w:eastAsia="方正仿宋_GB2312"/>
                <w:color w:val="auto"/>
                <w:sz w:val="24"/>
                <w:szCs w:val="24"/>
                <w:highlight w:val="none"/>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default" w:eastAsia="方正仿宋_GB2312"/>
                <w:color w:val="auto"/>
                <w:sz w:val="24"/>
                <w:szCs w:val="24"/>
                <w:highlight w:val="none"/>
              </w:rPr>
              <w:suppressLineNumbers w:val="0"/>
            </w:pPr>
            <w:r>
              <w:rPr>
                <w:rFonts w:hint="default" w:eastAsia="方正仿宋_GB2312"/>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核准管理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电子联单管理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装修垃圾订单管理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建筑垃圾陆上全链条治理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建筑垃圾码头治理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业务协同</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执法监管</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研判分析</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建筑垃圾数治驾驶舱</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移动端应用</w:t>
            </w:r>
            <w:r/>
          </w:p>
        </w:tc>
      </w:tr>
      <w:tr>
        <w:trPr>
          <w:jc w:val="center"/>
          <w:trHeight w:val="82"/>
        </w:trPr>
        <w:tc>
          <w:tcPr>
            <w:shd w:val="clear" w:color="auto" w:fill="auto"/>
            <w:tcBorders>
              <w:left w:val="single" w:color="000000" w:sz="4" w:space="0"/>
              <w:bottom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资源共享应用</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数据库</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中间件</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系统数据填报服务</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运维服务</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培训服务</w:t>
            </w:r>
            <w:r/>
          </w:p>
        </w:tc>
      </w:tr>
      <w:tr>
        <w:trPr>
          <w:jc w:val="center"/>
          <w:trHeight w:val="554"/>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机器狗使用服务</w:t>
            </w:r>
            <w:r/>
          </w:p>
        </w:tc>
      </w:tr>
    </w:tbl>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left="0" w:right="0" w:firstLine="482"/>
        <w:jc w:val="both"/>
        <w:keepLines w:val="0"/>
        <w:keepNext w:val="0"/>
        <w:pageBreakBefore w:val="0"/>
        <w:spacing w:beforeAutospacing="0" w:afterAutospacing="0" w:line="380" w:lineRule="exact"/>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项目需求</w:t>
      </w:r>
      <w:r/>
    </w:p>
    <w:p>
      <w:pPr>
        <w:numPr>
          <w:ilvl w:val="1"/>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rPr>
        <w:t xml:space="preserve">总体需求</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扬州市建筑垃圾全链条监管平台旨在构建覆盖建筑垃圾“产生-运输-处置”全过程的数字化治理体系。平台通过统一数据接口规范，对接工地、消纳点等场所的地磅、车牌识别、视频监控等物联设备，并按照省市政务数据标准开展多源数据集成，建立涵盖原始库、标准库、主题库的综合性数据库，为全链条监管提供数据支撑。</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平台将建立全市统一的建筑垃圾处置核准体系，实现企业账户管理、处理方案备案、处置场所审核等业务线上化办理。全面推行电子联单制度，覆盖工地端、运输企业端、处置场所端及中转站，形成“一单管全程”的闭环管理机制，确保垃圾流向可追溯、过程可监管。</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监管层面，平台构建源头、运输、处置三位一体的动态治理模式。源头端通过视频监控、车辆识别强化工地管理；运输环节利用电子围栏、轨迹追踪实现车辆实时监管；处置端通过地磅数据对接、视频接入加强消纳场所运营监控。同时推动城管、公安、交通、住建等部门数据共享与业务协同，建立跨部门事件归集、智能识别预警和联合执法机制，形成治理合力。</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平台还将基于“贴心城管”小程序开发公众服务与移动监管功能，提供便民查询、在线预约、移动巡查等服务，推动社会共治。通过建筑垃圾“一张图”驾驶舱，实现流向溯源、热力分析和承载力评估，为管理决策提供支持。</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该平台严格遵循市级数据对接与物联设备接入标准，并与城市运管服平台、行政审批系统、交通管理系统等实现互联互通，构建数据驱动、业务协同、全程可溯的建筑垃圾治理新体系，全面提升我市建筑垃圾治理的精细化、智能化水平。</w:t>
      </w:r>
      <w:r/>
    </w:p>
    <w:p>
      <w:pPr>
        <w:numPr>
          <w:ilvl w:val="1"/>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rPr>
        <w:t xml:space="preserve">定制化软件开发</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1.2.1</w:t>
      </w:r>
      <w:r>
        <w:rPr>
          <w:rFonts w:hint="eastAsia" w:ascii="宋体" w:hAnsi="宋体" w:eastAsia="宋体" w:cs="宋体"/>
          <w:b/>
          <w:bCs w:val="0"/>
          <w:color w:val="auto"/>
          <w:sz w:val="24"/>
          <w:szCs w:val="24"/>
          <w:highlight w:val="none"/>
        </w:rPr>
        <w:t xml:space="preserve">建筑垃圾数据治理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次需与建筑工地、消纳点等建筑垃圾相关场所的设备进行对接，过程中会涉及地磅设备、车牌识别机、固定点视频监控等诸多硬件设备。基于此，需严格依照江苏省、扬州市政务数据对接标准规范，开发统一的数据接口，数据采集根据《江苏省级城市运行管理服务平台省市数据共享交换规范(2025版)》要求进行。以此实现与上述场所相关硬件设备的对接，进而为建筑垃圾 “两点一线” 业务监管提供数据支撑。</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建筑垃圾数据治理过程中，首要工作方向体现在两方面：一是注重能力复用，即充分运用数据局的数据共享交换能力，开展建筑垃圾行业的全量数据治理工作，通过这一举措打通数据孤岛，健全并完善行业本地数据库，最终强化行业监管能力；二是推进数据共享，具体为建立横跨城管、住建、公安、交通、生态环境、海事、资规、水利等多个部门，且覆盖跨市域的数据共享交换机制，借助该机制助力形成建筑垃圾业务协同共管的新格局，同时建成扬州建筑垃圾行业数据仓库，为源头管控、运输监管、处置规范等多业务场景应用提供数据服务。</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w:t>
      </w:r>
      <w:r>
        <w:rPr>
          <w:rFonts w:hint="eastAsia" w:ascii="宋体" w:hAnsi="宋体" w:eastAsia="宋体" w:cs="宋体"/>
          <w:b/>
          <w:bCs/>
          <w:color w:val="auto"/>
          <w:sz w:val="24"/>
          <w:szCs w:val="24"/>
          <w:highlight w:val="none"/>
        </w:rPr>
        <w:t xml:space="preserve">多源数据集成</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1.2.1.1.1</w:t>
      </w:r>
      <w:r>
        <w:rPr>
          <w:rFonts w:hint="eastAsia" w:ascii="宋体" w:hAnsi="宋体" w:eastAsia="宋体" w:cs="宋体"/>
          <w:b/>
          <w:bCs/>
          <w:color w:val="auto"/>
          <w:sz w:val="24"/>
          <w:szCs w:val="24"/>
          <w:highlight w:val="none"/>
        </w:rPr>
        <w:t xml:space="preserve">固定点视频监控设备接口开发及接入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按照江苏省、扬州市政务数据对接的标准规范，开发一套统一的数据接口。通过该接口，可对本次项目所涉及的工地、消纳点等场地的固定点视频进行实时查看，从而及时掌握这些场地在安全管理、规范作业方面的实际情况，为后续监管工作提供直观的数据支撑。</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w:t>
      </w:r>
      <w:r>
        <w:rPr>
          <w:rFonts w:hint="eastAsia" w:ascii="宋体" w:hAnsi="宋体" w:eastAsia="宋体" w:cs="宋体"/>
          <w:b/>
          <w:bCs/>
          <w:color w:val="auto"/>
          <w:sz w:val="24"/>
          <w:szCs w:val="24"/>
          <w:highlight w:val="none"/>
        </w:rPr>
        <w:t xml:space="preserve"> 车牌识别设备接口开发及接入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需按照江苏省、扬州市政务数据对接的标准规范，开发一套统一的数据接口。借助该接口，对本次项目所涉及的工地、消纳点等场地的车牌识别设备进行接入，从而能够及时获取这些场地的车辆出入数据，为监管这些场地是否合规放行建筑垃圾运输车辆提供参考依据。</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1.2.1.1.3</w:t>
      </w:r>
      <w:r>
        <w:rPr>
          <w:rFonts w:hint="eastAsia" w:ascii="宋体" w:hAnsi="宋体" w:eastAsia="宋体" w:cs="宋体"/>
          <w:b/>
          <w:bCs/>
          <w:color w:val="auto"/>
          <w:sz w:val="24"/>
          <w:szCs w:val="24"/>
          <w:highlight w:val="none"/>
        </w:rPr>
        <w:t xml:space="preserve"> 地磅计量设备接口开发及接入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需按照江苏省、扬州市政务数据对接标准规范，开发统一的数据接口。借助该接口，对本次项目涉及的工地、消纳点等场地的地磅计量设备进行接入，从而能够及时获取这些场地车辆出入的计量数据，包括皮重、毛重、净重数据，既为监管建筑垃圾生产、运输、处置全流程提供溯源依据，也为源头减量等工作提供数据支撑。</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1.2.1.1.4</w:t>
      </w:r>
      <w:r>
        <w:rPr>
          <w:rFonts w:hint="eastAsia" w:ascii="宋体" w:hAnsi="宋体" w:eastAsia="宋体" w:cs="宋体"/>
          <w:b/>
          <w:bCs/>
          <w:color w:val="auto"/>
          <w:sz w:val="24"/>
          <w:szCs w:val="24"/>
          <w:highlight w:val="none"/>
        </w:rPr>
        <w:t xml:space="preserve">  产生源数据接口开发及接入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开展智慧工地数据接入工作，需与市住建局的智慧工地系统实现对接。针对已安装硬件设备的工地，通过该对接机制，获取工地现场监控探头的相关信息，以及工地出入口冲洗设施的工作状态监测数据，为工地管理提供数据支持。</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1.2.1.1.5</w:t>
      </w:r>
      <w:r>
        <w:rPr>
          <w:rFonts w:hint="eastAsia" w:ascii="宋体" w:hAnsi="宋体" w:eastAsia="宋体" w:cs="宋体"/>
          <w:b/>
          <w:bCs/>
          <w:color w:val="auto"/>
          <w:sz w:val="24"/>
          <w:szCs w:val="24"/>
          <w:highlight w:val="none"/>
        </w:rPr>
        <w:t xml:space="preserve"> 运输过程数据接口开发及接入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建立运输库：需协调市公安局、交警部门、市交通运输局，将全市建筑垃圾运输车辆的定位数据接入平台，并定期依据交警部门提供的、符合建筑垃圾（工程渣土）运输管理准入条件的企业名录相关信息，对库内数据进行更新。​</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强化全市建筑垃圾运输车辆信息化监管：协调市公安局交</w:t>
      </w:r>
      <w:r>
        <w:rPr>
          <w:rFonts w:hint="eastAsia" w:ascii="宋体" w:hAnsi="宋体" w:eastAsia="宋体" w:cs="宋体"/>
          <w:color w:val="auto"/>
          <w:sz w:val="24"/>
          <w:szCs w:val="24"/>
          <w:highlight w:val="none"/>
          <w:lang w:val="en-US" w:eastAsia="zh-CN" w:bidi="ar"/>
        </w:rPr>
        <w:t xml:space="preserve">警部门、市交通运输局配合，将全市建筑垃圾运输车辆的定位数据接入平台。要求实行 “一车一档” 管理，绑定车辆所属公司信息、通行证信息，并实现与相关工地等信息的关联；将车辆轨迹等数据实时对接共享至平台，通过比对车辆实际行驶路线与绑定的工地、处置核准、通行证信息关联的路线，判定车辆是否符合相关核准要求并发出预警；每月更新符合市场化准入条件的建筑垃圾运输企业名单，并及时上传企业名下车辆信息（包含车牌号、车辆数量等）。同时考虑实际业务情况，运输企业在办理通行证时可借用其他公司车辆，但必须将所借车辆的相关数据录入平台。</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1.2.1.1.6</w:t>
      </w:r>
      <w:r>
        <w:rPr>
          <w:rFonts w:hint="eastAsia" w:ascii="宋体" w:hAnsi="宋体" w:eastAsia="宋体" w:cs="宋体"/>
          <w:b/>
          <w:bCs/>
          <w:color w:val="auto"/>
          <w:sz w:val="24"/>
          <w:szCs w:val="24"/>
          <w:highlight w:val="none"/>
        </w:rPr>
        <w:t xml:space="preserve"> 处置过程数据接口开发及接入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建立处置库：需协调属地，将装修垃圾临时堆放中转点的视频监控数据，以及工程渣土消纳场、资源化利用企业的视频监控数据、车辆进出场称重数据接入平台。</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强化 “点场厂” 信息化监管：将建筑垃圾消纳场及资源化利用厂的基础情况数据录入平台；对接资源化利用厂的地磅数据，获取建筑垃圾收运量，并同步上报资源化利用率。同时，可根据地磅数据中记录的车牌号，通过平台系统倒查相关车辆是否符合核准的行驶路线等情况。</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1.2.1.1.7</w:t>
      </w:r>
      <w:r>
        <w:rPr>
          <w:rFonts w:hint="eastAsia" w:ascii="宋体" w:hAnsi="宋体" w:eastAsia="宋体" w:cs="宋体"/>
          <w:b/>
          <w:bCs/>
          <w:color w:val="auto"/>
          <w:sz w:val="24"/>
          <w:szCs w:val="24"/>
          <w:highlight w:val="none"/>
        </w:rPr>
        <w:t xml:space="preserve"> 机器狗巡检</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bidi="ar"/>
        </w:rPr>
        <w:t xml:space="preserve">机器狗提供为期三年的巡查服务，可协助人工进行日常巡查与监控作业，支持拍照、录像记录相关区域，并识别现场安全隐患。</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w:t>
      </w:r>
      <w:r>
        <w:rPr>
          <w:rFonts w:hint="eastAsia" w:ascii="宋体" w:hAnsi="宋体" w:eastAsia="宋体" w:cs="宋体"/>
          <w:b/>
          <w:bCs/>
          <w:color w:val="auto"/>
          <w:sz w:val="24"/>
          <w:szCs w:val="24"/>
          <w:highlight w:val="none"/>
        </w:rPr>
        <w:t xml:space="preserve">市域建筑垃圾综合性数据库</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w:t>
      </w:r>
      <w:r>
        <w:rPr>
          <w:rFonts w:hint="eastAsia" w:ascii="宋体" w:hAnsi="宋体" w:eastAsia="宋体" w:cs="宋体"/>
          <w:b/>
          <w:bCs/>
          <w:color w:val="auto"/>
          <w:sz w:val="24"/>
          <w:szCs w:val="24"/>
          <w:highlight w:val="none"/>
        </w:rPr>
        <w:t xml:space="preserve"> 数据资源规划</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通过接入现有系统的数据，实现建筑垃圾业务数据的持续完善。按照已建立的标准规范，采集辖区内建筑垃圾的基础数据与业务数据，据此形成基础数据库和业务数据库。 其中，基础数据库是业务数据库的支撑基础，同时两类数据库共同为后续的数据统计工作筑牢数据根基，进而辅助开展精准的决策分析。</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1.2.1.2.2</w:t>
      </w:r>
      <w:r>
        <w:rPr>
          <w:rFonts w:hint="eastAsia" w:ascii="宋体" w:hAnsi="宋体" w:eastAsia="宋体" w:cs="宋体"/>
          <w:b/>
          <w:bCs/>
          <w:color w:val="auto"/>
          <w:sz w:val="24"/>
          <w:szCs w:val="24"/>
          <w:highlight w:val="none"/>
        </w:rPr>
        <w:t xml:space="preserve"> 数据采集服务</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录入服务主要涵盖基础设施和设备的初始化数据录入，以及后续的日常维护更新，以此保障设施设备数据的活力。其中，基础设施设备数据是后续监管平台的基础，及时更新数据可确保监管结果准确，进而提供精准的作业建议。具体操作要求如下：​</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1、系统需定义设施数据类型、属性信息字段等内容，定制数据导入模板，并设置各级单位的操作权限；​</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2、下级管理单位按平台要求导入设施设备台账信息，或通过平台在线完成数据的新增、删除、修改与查询；​</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3、若存在特殊需求，可进行数据自定义新增操作；​</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w:t>
      </w:r>
      <w:r>
        <w:rPr>
          <w:rFonts w:hint="eastAsia" w:ascii="宋体" w:hAnsi="宋体" w:eastAsia="宋体" w:cs="宋体"/>
          <w:b/>
          <w:bCs/>
          <w:color w:val="auto"/>
          <w:sz w:val="24"/>
          <w:szCs w:val="24"/>
          <w:highlight w:val="none"/>
        </w:rPr>
        <w:t xml:space="preserve">建筑垃圾专题数据库</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1.2.1.3.1</w:t>
      </w:r>
      <w:r>
        <w:rPr>
          <w:rFonts w:hint="eastAsia" w:ascii="宋体" w:hAnsi="宋体" w:eastAsia="宋体" w:cs="宋体"/>
          <w:b/>
          <w:bCs/>
          <w:color w:val="auto"/>
          <w:sz w:val="24"/>
          <w:szCs w:val="24"/>
          <w:highlight w:val="none"/>
        </w:rPr>
        <w:t xml:space="preserve"> 原始库建设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底座原则上需接入住建、公安、交通、生态环境、海事、资规、水利等涉及建筑垃圾业务领域的全量数据，存入原始库。原始库是保留原始数据、能够反映原始业务场景的数据集合，不对原有数据开展数据治理工作。原始库表的字段名需与业务系统字段名保持一致，在原始库层不进行字段命名归一；字段类型也应尽可能与业务系统保持一致，若不存在对应的字段类型，则采用可兼容的数据类型替代。​</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原始库层表的命名采用 “前缀+业务系统表名”的方式，例如 “ODS_系统简称_业务系统表名”。该命名方式既能最大限度保持与业务系统命名的一致性，又能体现清晰的层级关系，还可区分数据来源。此外，原始库中的每个数据资源，均需按照公共数据项的要求完成登记。</w:t>
      </w:r>
      <w:r/>
    </w:p>
    <w:p>
      <w:pPr>
        <w:numPr>
          <w:ilvl w:val="5"/>
          <w:numId w:val="0"/>
        </w:numPr>
        <w:ind w:left="0" w:firstLine="482"/>
        <w:jc w:val="both"/>
        <w:pageBreakBefore w:val="0"/>
        <w:spacing w:before="0" w:after="0" w:line="380" w:lineRule="exact"/>
        <w:widowControl/>
        <w:rPr>
          <w:rFonts w:hint="eastAsia" w:ascii="宋体" w:hAnsi="宋体" w:eastAsia="宋体" w:cs="宋体"/>
          <w:b w:val="0"/>
          <w:bCs w:val="0"/>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1.2.1.3.1.1</w:t>
      </w:r>
      <w:r>
        <w:rPr>
          <w:rFonts w:hint="eastAsia" w:ascii="宋体" w:hAnsi="宋体" w:eastAsia="宋体" w:cs="宋体"/>
          <w:b/>
          <w:bCs/>
          <w:color w:val="auto"/>
          <w:sz w:val="24"/>
          <w:szCs w:val="24"/>
          <w:highlight w:val="none"/>
        </w:rPr>
        <w:t xml:space="preserve">源数据梳理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基于业务架构，需从业务管理、数据分析、数据共享、数据汇聚等需求出发，对各系统的数据资源开展梳理工作。数据梳理过程中，有两种方法可辅助梳理部门数据清单，分别为 “自上而下梳理” 与 “自下而上盘点”。​</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自上而下梳理：该方法以业务视角开展数据梳理，通过对相关制度文件、</w:t>
      </w:r>
      <w:r>
        <w:rPr>
          <w:rFonts w:hint="eastAsia" w:ascii="宋体" w:hAnsi="宋体" w:cs="宋体"/>
          <w:color w:val="auto"/>
          <w:sz w:val="24"/>
          <w:szCs w:val="24"/>
          <w:highlight w:val="none"/>
          <w:lang w:val="en-US" w:eastAsia="zh-CN" w:bidi="ar"/>
        </w:rPr>
        <w:t xml:space="preserve">职</w:t>
      </w:r>
      <w:r>
        <w:rPr>
          <w:rFonts w:hint="eastAsia" w:ascii="宋体" w:hAnsi="宋体" w:eastAsia="宋体" w:cs="宋体"/>
          <w:color w:val="auto"/>
          <w:sz w:val="24"/>
          <w:szCs w:val="24"/>
          <w:highlight w:val="none"/>
          <w:lang w:val="en-US" w:eastAsia="zh-CN" w:bidi="ar"/>
        </w:rPr>
        <w:t xml:space="preserve">能体系、业务流程、业务单据等内容进行全面分析，按层级逐步分解，梳理形成数据目录、业务属性及相关管理属性。​</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自下而上盘点：此方法从技术视角切入，以 “业务系统 — 数据库表 — 数据结构” 为梳理路径，通过自下而上的归纳方式，逐步明确与数据资源相关的系统信息项。​</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通过上述两种梳理方式，最终输出汇聚数据的系统清单，以及与各系统对应的具体数据清单。</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1.2.1.3.1.2</w:t>
      </w:r>
      <w:r>
        <w:rPr>
          <w:rFonts w:hint="eastAsia" w:ascii="宋体" w:hAnsi="宋体" w:eastAsia="宋体" w:cs="宋体"/>
          <w:b/>
          <w:bCs/>
          <w:color w:val="auto"/>
          <w:sz w:val="24"/>
          <w:szCs w:val="24"/>
          <w:highlight w:val="none"/>
        </w:rPr>
        <w:t xml:space="preserve">数据汇聚</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依据已梳理完成且信息完善的数据清单，在原始库中搭建贴源层表。​</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根据源数据的更新方式，结合数据应用需求，构建离线或实时数据同步任务及对应的调度流程；同时配置异常重试机制与预警机制，以便及时关注数据同步过程中的异常问题，并快速开展修复工作。通过上述操作，确保数据能够正常同步，保障数据的鲜活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w:t>
      </w:r>
      <w:r>
        <w:rPr>
          <w:rFonts w:hint="eastAsia" w:ascii="宋体" w:hAnsi="宋体" w:eastAsia="宋体" w:cs="宋体"/>
          <w:b/>
          <w:bCs/>
          <w:color w:val="auto"/>
          <w:sz w:val="24"/>
          <w:szCs w:val="24"/>
          <w:highlight w:val="none"/>
        </w:rPr>
        <w:t xml:space="preserve"> 标准库建设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对数据底座原始库的数据开展数据治理工作，包括数据转换、数据去重、数据过滤、数据校验等操作，进而形成标准库。标准库在原始库的基础上，补充各类来源数据经一系列处理加工后生成的标准化数据、关联要素信息及标签信息。</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准库建设的核心是将原始层的非标准数据治理为标准化数据，主要涵盖模型结构标准化与数据内容标准化，具体通过清洗、过滤、转换等手段实现。针对业务系统数据分散、格式不统一、关联性不强、建设风格各异等问题，标准库建设需对汇聚到贴源层的数据进行标准化处理，并清洗至标准层。​</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处理的关键步骤为建立标准化数据处理流程，对数据依次开展提取、标准化、清洗、对象化、提炼、关联、比对、标识等操作，生成符合要求的标准数据。通过数据治理平台完成标准化处理，提供契合业务规范与技术标准的数据资源，对各类来源数据进行统一标准化操作，实现不同来源数据格式统一、关联完整、标识明确，以此提升数据质量与关联性，达成数据增值、数据准备、数据抽象的目标，为复杂大数据处理业务开展提供便利，也为业务数据统一存储与综合应用奠定基础。</w:t>
      </w:r>
      <w:r/>
    </w:p>
    <w:p>
      <w:pPr>
        <w:numPr>
          <w:ilvl w:val="5"/>
          <w:numId w:val="0"/>
        </w:numPr>
        <w:ind w:left="0" w:firstLine="482"/>
        <w:jc w:val="both"/>
        <w:pageBreakBefore w:val="0"/>
        <w:spacing w:before="0" w:after="0" w:line="380" w:lineRule="exact"/>
        <w:widowControl/>
        <w:rPr>
          <w:rFonts w:hint="eastAsia" w:ascii="宋体" w:hAnsi="宋体" w:eastAsia="宋体" w:cs="宋体"/>
          <w:b w:val="0"/>
          <w:bCs w:val="0"/>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1.2.1.3.2.1</w:t>
      </w:r>
      <w:r>
        <w:rPr>
          <w:rFonts w:hint="eastAsia" w:ascii="宋体" w:hAnsi="宋体" w:eastAsia="宋体" w:cs="宋体"/>
          <w:b/>
          <w:bCs/>
          <w:color w:val="auto"/>
          <w:sz w:val="24"/>
          <w:szCs w:val="24"/>
          <w:highlight w:val="none"/>
        </w:rPr>
        <w:t xml:space="preserve">数据转换</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数据标准库实施过程中，需统一各源系统的数据格式，依据数据元标准将非标准数据转换为统一标准格式后输出。针对不同来源的同类数据，需按统一规则开展转换，例如数据字典、公司地址、负责人信息、手机号、IP 地址、时间、经纬度等属性的标准格式转换。​</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体转换工作包括三方面：一是数据格式转换，按数据元标准规范，明确日期格式存储、大小写统一、编码字符集等要求，完成对应格式转换；二是数据内容转换，依据数据元标准规范，处理企业注册编号、行政区划等内容的转换，同时结合数据关系，参照转换源数据与目标数据在数据项名称、类型、长度等方面的对应关系执行操作；三是数据字典转换，根据数据元标准规范，转换源数据与目标数据中字典数据项的名称、类型、长度等属性及关联关系，建立完善的映射关系。 </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1.2.1.3.2.2</w:t>
      </w:r>
      <w:r>
        <w:rPr>
          <w:rFonts w:hint="eastAsia" w:ascii="宋体" w:hAnsi="宋体" w:eastAsia="宋体" w:cs="宋体"/>
          <w:b/>
          <w:bCs/>
          <w:color w:val="auto"/>
          <w:sz w:val="24"/>
          <w:szCs w:val="24"/>
          <w:highlight w:val="none"/>
        </w:rPr>
        <w:t xml:space="preserve">数据去重</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需依据数据源系统的数据情况开展数据去重工作，常见重复场景及处理方式如下：数据平台广泛接入各类数据，因源系统建设前期协调难度较大，数据重复难以完全避免。而重复数据会对统计分析造成严重干扰，极大影响平台实用性，因此必须采用必要手段进行去重。​</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数据并非完全一致的数据，无法通过简单比对实现去重，需借助实体识别技术判断数据是否重复。实体识别技术即按照特定业务规则，对两条或多条数据进行比较，判断其是否描述同一实体，进而确定是否为重复数据的过程。该技术需采用有监督模式，工作过程中由人工进行纠正与指导，经过一段时间运行后，可达到合理的判断准确性。​</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后续需根据数据场景，设定数据重复判别规则及对应的合并、清除策略。对接入平台的数据进行重复性判别后，执行相应的合并或清除处理，其中被清除的数据需统一归入问题数据库。</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1.2.1.3.2.3</w:t>
      </w:r>
      <w:r>
        <w:rPr>
          <w:rFonts w:hint="eastAsia" w:ascii="宋体" w:hAnsi="宋体" w:eastAsia="宋体" w:cs="宋体"/>
          <w:b/>
          <w:bCs/>
          <w:color w:val="auto"/>
          <w:sz w:val="24"/>
          <w:szCs w:val="24"/>
          <w:highlight w:val="none"/>
        </w:rPr>
        <w:t xml:space="preserve">数据过滤</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过对数据进行辨别与分离，实现冗余数据及垃圾数据的滤除。对于被识别为垃圾数据的数据，可采取两种处理方式：一是直接进行滤除；二是先做标识再按正常流程处理，之后交由后端模块判断后续进一步的处理方案。而其余未被过滤掉的数据，则直接进入后续的数据处理环节。</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1.2.1.3.2.4</w:t>
      </w:r>
      <w:r>
        <w:rPr>
          <w:rFonts w:hint="eastAsia" w:ascii="宋体" w:hAnsi="宋体" w:eastAsia="宋体" w:cs="宋体"/>
          <w:b/>
          <w:bCs/>
          <w:color w:val="auto"/>
          <w:sz w:val="24"/>
          <w:szCs w:val="24"/>
          <w:highlight w:val="none"/>
        </w:rPr>
        <w:t xml:space="preserve">数据校验</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根据数据质量检核规则对数据开展检验：符合标准的数据直接入库，不符合标准的数据则进入问题数据库，以便后续进一步分析处理。具体校验规则如下：​</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空值校验：校验数据字段的空值情况，必填项需补充完善，无法补充的进入问题库；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取值范围校验：核查数据字段的取值是否在规定范围内，不符合的进入问题库；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数值校验：对数值型数据字段进行校验，不符合数值型格式的先尝试格式转换并存储，无法转换的进入问题数据库；​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长度校验：检查数据字段长度是否合规，不符合的先进行截取，再进入问题数据库；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精度校验：校验数据字段的精度是否达标，不符合精度要求的数据进入问题数据库；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多字段条件校验：对多个相关字段进行互相校验，字段间存在矛盾的数据进入问题数据库。​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同时，需基于业务逻辑进行数据校核，确保数据在业务层面的完整性、正确性与逻辑合理性。数据校核是本系统数据处理的关键环节，也是信息联审主要业务逻辑的实现载体。</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1.2.1.3.3</w:t>
      </w:r>
      <w:r>
        <w:rPr>
          <w:rFonts w:hint="eastAsia" w:ascii="宋体" w:hAnsi="宋体" w:eastAsia="宋体" w:cs="宋体"/>
          <w:b/>
          <w:bCs/>
          <w:color w:val="auto"/>
          <w:sz w:val="24"/>
          <w:szCs w:val="24"/>
          <w:highlight w:val="none"/>
        </w:rPr>
        <w:t xml:space="preserve"> 主题库建设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先依据业务属性梳理相关数据资源，再划分对应的业务主题，在此基础上开展主题库建设工作。​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题库的建设需结合业务需求情况与调研获取的数据情况，由业务人员与数据人员协同配合完成。建设过程中采用迭代方式推进，不追求一次性完成所有主题的抽象工作，可优先从定义明确的主题入手建设；后续再逐步归纳总结，形成适配自身行业的标准模型。</w:t>
      </w:r>
      <w:r/>
    </w:p>
    <w:p>
      <w:pPr>
        <w:numPr>
          <w:ilvl w:val="5"/>
          <w:numId w:val="0"/>
        </w:numPr>
        <w:ind w:left="0" w:firstLine="482"/>
        <w:jc w:val="both"/>
        <w:pageBreakBefore w:val="0"/>
        <w:spacing w:before="0" w:after="0" w:line="380" w:lineRule="exact"/>
        <w:widowControl/>
        <w:rPr>
          <w:rFonts w:hint="eastAsia" w:ascii="宋体" w:hAnsi="宋体" w:eastAsia="宋体" w:cs="宋体"/>
          <w:b w:val="0"/>
          <w:bCs w:val="0"/>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1.2.1.3.3.1</w:t>
      </w:r>
      <w:r>
        <w:rPr>
          <w:rFonts w:hint="eastAsia" w:ascii="宋体" w:hAnsi="宋体" w:eastAsia="宋体" w:cs="宋体"/>
          <w:b/>
          <w:bCs/>
          <w:color w:val="auto"/>
          <w:sz w:val="24"/>
          <w:szCs w:val="24"/>
          <w:highlight w:val="none"/>
        </w:rPr>
        <w:t xml:space="preserve">业务主题划分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需先调研相关业务类别及已建设主题库的情况，再基于当前数据现状开展主题库的建设与完善工作。​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务主题通常是关联较为紧密的数据主题的集合，可依据业务分类或业务关注点，将数据主题划分到不同主题库中。数据底座中的数据具有面向主题的特性，主题是在较高层次对企业信息系统数据进行综合、归类与分析利用的抽象概念，每个主题库基本对应一个宏观分析领域。​</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体而言，主题是为方便工作开展、精准快速反映工作对象全貌而建立的公共数据集合，融合了各类原始数据与资源数据，围绕车、企、工地、消纳点、执法等主题对象长期积累形成，涵盖多种维度数据。常见的主题库包括车主题库、企主题库、工地主题库、消纳点主题库、执法主题库等，这些主题库为数据统一分析、统一服务奠定基础，助力更高层次挖掘数据价值。</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1.2.1.3.3.2</w:t>
      </w:r>
      <w:r>
        <w:rPr>
          <w:rFonts w:hint="eastAsia" w:ascii="宋体" w:hAnsi="宋体" w:eastAsia="宋体" w:cs="宋体"/>
          <w:b/>
          <w:bCs/>
          <w:color w:val="auto"/>
          <w:sz w:val="24"/>
          <w:szCs w:val="24"/>
          <w:highlight w:val="none"/>
        </w:rPr>
        <w:t xml:space="preserve">主题库表建设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主题库中采用维度建模的方式进行建模，以此支撑业务数据需求中的数据查询、汇总、分析等操作。​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维度表设计环节，首先需明确维度表的宽度与深度：宽度指维度表所涉及维度的覆盖范围，深度则指覆盖范围内数据的存储周期。在事实表设计过程中，重点明确业务粒度，同时充分考虑模型的完整性与复用性，确保模型能适配多样业务场景。</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1.2.1.3.3.3</w:t>
      </w:r>
      <w:r>
        <w:rPr>
          <w:rFonts w:hint="eastAsia" w:ascii="宋体" w:hAnsi="宋体" w:eastAsia="宋体" w:cs="宋体"/>
          <w:b/>
          <w:bCs/>
          <w:color w:val="auto"/>
          <w:sz w:val="24"/>
          <w:szCs w:val="24"/>
          <w:highlight w:val="none"/>
        </w:rPr>
        <w:t xml:space="preserve">主题数据治理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依据主题划分结果与已建成的主题库表，将经过标准化处理的数据从标准库映射到主题库。映射过程中，需完成多表同类数据的整合，以及多表关联字段值的补充等操作。​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同时，根据数据及时性需求，搭建数据同步任务，通过该任务确保主题库中的数据在业务逻辑层面具备合理性与准确性，满足后续业务应用需求。</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1.2.1.3.4</w:t>
      </w:r>
      <w:r>
        <w:rPr>
          <w:rFonts w:hint="eastAsia" w:ascii="宋体" w:hAnsi="宋体" w:eastAsia="宋体" w:cs="宋体"/>
          <w:b/>
          <w:bCs/>
          <w:color w:val="auto"/>
          <w:sz w:val="24"/>
          <w:szCs w:val="24"/>
          <w:highlight w:val="none"/>
        </w:rPr>
        <w:t xml:space="preserve"> 专题库建设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通过特定业务应用需求建立满足应用需求的专题库表。</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1.2.1.3.4.1</w:t>
      </w:r>
      <w:r>
        <w:rPr>
          <w:rFonts w:hint="eastAsia" w:ascii="宋体" w:hAnsi="宋体" w:eastAsia="宋体" w:cs="宋体"/>
          <w:b/>
          <w:bCs/>
          <w:color w:val="auto"/>
          <w:sz w:val="24"/>
          <w:szCs w:val="24"/>
          <w:highlight w:val="none"/>
        </w:rPr>
        <w:t xml:space="preserve">业务专题划分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调研业务应用场景与分析场景，参考这些场景及已建设专题库的情况，开展专题库的建设与完善工作。​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专题数据库建设过程中，需遵循相关国家标准、国际标准、学科领域标准规范或其应用方案，完成数据表关系梳理、维度模型设计、实体关系模型设计、相关数据筛选、数据关联、指标度量</w:t>
      </w:r>
      <w:r>
        <w:rPr>
          <w:rFonts w:hint="eastAsia" w:ascii="宋体" w:hAnsi="宋体" w:cs="宋体"/>
          <w:color w:val="auto"/>
          <w:sz w:val="24"/>
          <w:szCs w:val="24"/>
          <w:highlight w:val="none"/>
          <w:lang w:val="en-US" w:eastAsia="zh-CN" w:bidi="ar"/>
        </w:rPr>
        <w:t xml:space="preserve">与</w:t>
      </w:r>
      <w:r>
        <w:rPr>
          <w:rFonts w:hint="eastAsia" w:ascii="宋体" w:hAnsi="宋体" w:eastAsia="宋体" w:cs="宋体"/>
          <w:color w:val="auto"/>
          <w:sz w:val="24"/>
          <w:szCs w:val="24"/>
          <w:highlight w:val="none"/>
          <w:lang w:val="en-US" w:eastAsia="zh-CN" w:bidi="ar"/>
        </w:rPr>
        <w:t xml:space="preserve">计算、实体数据拆分与去重、数据合并、数据标签、数据脱敏等工作，同时为其他业务系统提供关键性支持。​</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专题数据库需按照内容框架与数据规范对数据进行加工、整理并入库，同时结合需求有计划地补充和集成外部数据资源，构建必要的数据应用环境，提供统一的数据访问服务，满足数据分析、计算与可视化需求。此外，专题数据库的服务还应集成到数据中心门户系统，方便用户通过该门户系统统一发现和访问专题数据库服务系统中的所有资源。​</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1.2.1.3.4.2</w:t>
      </w:r>
      <w:r>
        <w:rPr>
          <w:rFonts w:hint="eastAsia" w:ascii="宋体" w:hAnsi="宋体" w:eastAsia="宋体" w:cs="宋体"/>
          <w:b/>
          <w:bCs/>
          <w:color w:val="auto"/>
          <w:sz w:val="24"/>
          <w:szCs w:val="24"/>
          <w:highlight w:val="none"/>
        </w:rPr>
        <w:t xml:space="preserve">专题库表建设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专题库中采用维度建模的方式进行建模，以此支撑应用场景数据需求中的数据查询、汇总、分析等操作。​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维度表设计环节，首先需明确维度表的宽度与深度：宽度指维度表所涉及维度的覆盖范围，深度则指覆盖范围内数据的存储周期。而在事实表设计过程中，要重点明确业务粒度，同时充分考虑模型的完整性与复用性，确保模型能适配专题库的各类应用场景。</w:t>
      </w:r>
      <w:r/>
    </w:p>
    <w:p>
      <w:pPr>
        <w:numPr>
          <w:ilvl w:val="5"/>
          <w:numId w:val="0"/>
        </w:numPr>
        <w:ind w:left="0" w:firstLine="482"/>
        <w:jc w:val="both"/>
        <w:pageBreakBefore w:val="0"/>
        <w:spacing w:before="0" w:after="0" w:line="380" w:lineRule="exact"/>
        <w:widowControl/>
        <w:rPr>
          <w:rFonts w:hint="default" w:ascii="宋体" w:hAnsi="宋体" w:eastAsia="宋体" w:cs="宋体"/>
          <w:b/>
          <w:bCs/>
          <w:color w:val="auto"/>
          <w:sz w:val="24"/>
          <w:szCs w:val="24"/>
          <w:highlight w:val="none"/>
          <w:lang w:val="en-US" w:eastAsia="zh-CN"/>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1.2.1.3.4.3</w:t>
      </w:r>
      <w:r>
        <w:rPr>
          <w:rFonts w:hint="eastAsia" w:ascii="宋体" w:hAnsi="宋体" w:eastAsia="宋体" w:cs="宋体"/>
          <w:b/>
          <w:bCs/>
          <w:color w:val="auto"/>
          <w:sz w:val="24"/>
          <w:szCs w:val="24"/>
          <w:highlight w:val="none"/>
        </w:rPr>
        <w:t xml:space="preserve">专题数据治理</w:t>
      </w:r>
      <w:r>
        <w:rPr>
          <w:rFonts w:hint="eastAsia" w:ascii="宋体" w:hAnsi="宋体" w:cs="宋体"/>
          <w:b/>
          <w:bCs/>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依据已建成的专题库表，结合专题业务需求，将数据从标准库或主题库映射至专题库表。同时，根据数据及时性需求搭建数据同步任务，通过该任务确保专题库中的数据在业务层面具备完整性与准确性，满足专题分析与应用的需求。</w:t>
      </w:r>
      <w:r/>
    </w:p>
    <w:p>
      <w:pPr>
        <w:ind w:left="0" w:right="0" w:firstLine="482"/>
        <w:jc w:val="both"/>
        <w:keepLines w:val="0"/>
        <w:keepNext w:val="0"/>
        <w:pageBreakBefore w:val="0"/>
        <w:spacing w:beforeAutospacing="0" w:afterAutospacing="0" w:line="3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建筑垃圾数据治理功能要求</w:t>
      </w:r>
      <w:r>
        <w:rPr>
          <w:rFonts w:hint="eastAsia" w:ascii="宋体" w:hAnsi="宋体" w:cs="宋体"/>
          <w:b/>
          <w:bCs/>
          <w:color w:val="auto"/>
          <w:sz w:val="24"/>
          <w:szCs w:val="24"/>
          <w:highlight w:val="none"/>
          <w:lang w:eastAsia="zh-CN"/>
        </w:rPr>
        <w:t xml:space="preserve">（此项为演示项）</w:t>
      </w:r>
      <w:r/>
    </w:p>
    <w:p>
      <w:pPr>
        <w:contextualSpacing/>
        <w:ind w:firstLine="480"/>
        <w:jc w:val="left"/>
        <w:keepLines w:val="0"/>
        <w:keepNext w:val="0"/>
        <w:pageBreakBefore w:val="0"/>
        <w:spacing w:line="380" w:lineRule="exact"/>
        <w:widowControl w:val="off"/>
        <w:rPr>
          <w:rFonts w:hint="eastAsia" w:cs="宋体" w:asciiTheme="minorEastAsia" w:hAnsiTheme="minorEastAsia" w:eastAsiaTheme="minorEastAsia"/>
          <w:color w:val="auto"/>
          <w:sz w:val="24"/>
          <w:szCs w:val="24"/>
          <w:highlight w:val="none"/>
          <w:lang w:val="en-US" w:eastAsia="zh-CN"/>
        </w:rPr>
        <w:outlineLvl w:val="9"/>
      </w:pPr>
      <w:r>
        <w:rPr>
          <w:rFonts w:hint="eastAsia" w:cs="宋体" w:asciiTheme="minorEastAsia" w:hAnsiTheme="minorEastAsia" w:eastAsiaTheme="minorEastAsia"/>
          <w:color w:val="auto"/>
          <w:sz w:val="24"/>
          <w:szCs w:val="24"/>
          <w:highlight w:val="none"/>
          <w:lang w:val="en-US" w:eastAsia="zh-CN"/>
        </w:rPr>
        <w:t xml:space="preserve">企业信息管理功能：</w:t>
      </w:r>
      <w:r/>
    </w:p>
    <w:p>
      <w:pPr>
        <w:contextualSpacing/>
        <w:ind w:firstLine="480"/>
        <w:jc w:val="left"/>
        <w:keepLines w:val="0"/>
        <w:keepNext w:val="0"/>
        <w:pageBreakBefore w:val="0"/>
        <w:spacing w:line="380" w:lineRule="exact"/>
        <w:widowControl w:val="off"/>
        <w:rPr>
          <w:rFonts w:hint="eastAsia" w:cs="宋体" w:asciiTheme="minorEastAsia" w:hAnsiTheme="minorEastAsia" w:eastAsiaTheme="minorEastAsia"/>
          <w:color w:val="auto"/>
          <w:sz w:val="24"/>
          <w:szCs w:val="24"/>
          <w:highlight w:val="none"/>
          <w:lang w:val="en-US" w:eastAsia="zh-CN"/>
        </w:rPr>
        <w:outlineLvl w:val="9"/>
      </w:pPr>
      <w:r>
        <w:rPr>
          <w:rFonts w:hint="eastAsia" w:cs="宋体" w:asciiTheme="minorEastAsia" w:hAnsiTheme="minorEastAsia" w:eastAsiaTheme="minorEastAsia"/>
          <w:color w:val="auto"/>
          <w:sz w:val="24"/>
          <w:szCs w:val="24"/>
          <w:highlight w:val="none"/>
          <w:lang w:val="en-US" w:eastAsia="zh-CN"/>
        </w:rPr>
        <w:t xml:space="preserve">企业信息包括源头库企业、运输库企业和消纳处置库企业；源头库企业包括施工单位、建设单位等企业；运输库企业包括运输企业；消纳处置库企业包括消纳利用场所、码头、中转贮存设施、资源化利用设施、填埋场、消纳单位等企业；所有企业都支持添加、修改、删除、查询和导出等功能；其中运输企业还支持企业资质的新增、删除和延期功能；新建企业需填写企业名称、企业地址、联系人、联系方式、行政区划、营业执照等基本信息；企业信息管理支持通过企业名称和注册所在行政区划进行企业信息的检索和展示；</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1.2.2</w:t>
      </w:r>
      <w:r>
        <w:rPr>
          <w:rFonts w:hint="eastAsia" w:ascii="宋体" w:hAnsi="宋体" w:eastAsia="宋体" w:cs="宋体"/>
          <w:b/>
          <w:bCs w:val="0"/>
          <w:color w:val="auto"/>
          <w:sz w:val="24"/>
          <w:szCs w:val="24"/>
          <w:highlight w:val="none"/>
        </w:rPr>
        <w:t xml:space="preserve">核准管理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结合扬州市建筑垃圾治理模式，配套建立工地处理方案备案标准、运输企业 &amp; 车辆核准标准、终端核准标准，构建全市统一的建筑垃圾处置核准体系。统一各县（市、区）、功能区的建筑垃圾处置核准文本格式，纳入建筑垃圾处理方案备案内容；统一开发管理系统供各地使用，并协调市数据局将该系统接入省公共服务平台。</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1.2.2.1</w:t>
      </w:r>
      <w:r>
        <w:rPr>
          <w:rFonts w:hint="eastAsia" w:ascii="宋体" w:hAnsi="宋体" w:eastAsia="宋体" w:cs="宋体"/>
          <w:b/>
          <w:bCs/>
          <w:color w:val="auto"/>
          <w:sz w:val="24"/>
          <w:szCs w:val="24"/>
          <w:highlight w:val="none"/>
        </w:rPr>
        <w:t xml:space="preserve">企业账户管理及申报信息录入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运输企业或施工企业可登录建筑垃圾监管平台网站申请账号。账号申请后，企业需按要求申报运输建筑垃圾类型、运输车辆信息、相关人员信息等内容，并根据监管部门的具体要求，完整录入其他所需相关信息。</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1.2.2.2</w:t>
      </w:r>
      <w:r>
        <w:rPr>
          <w:rFonts w:hint="eastAsia" w:ascii="宋体" w:hAnsi="宋体" w:eastAsia="宋体" w:cs="宋体"/>
          <w:b/>
          <w:bCs/>
          <w:color w:val="auto"/>
          <w:sz w:val="24"/>
          <w:szCs w:val="24"/>
          <w:highlight w:val="none"/>
        </w:rPr>
        <w:t xml:space="preserve">处理方案备案</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针对未备案工地，结合处理方案管理要求设置备案流程：开放施工单位申请通道，施工单位按要求填写相关信息并提交后，由属地化管理单位依据填报信息完成备案。</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针对已备案工地，结合现有资源数据，通过与住建部门共享数据的方式，实现工地信息的同步更新。</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1.2.2.3</w:t>
      </w:r>
      <w:r>
        <w:rPr>
          <w:rFonts w:hint="eastAsia" w:ascii="宋体" w:hAnsi="宋体" w:eastAsia="宋体" w:cs="宋体"/>
          <w:b/>
          <w:bCs/>
          <w:color w:val="auto"/>
          <w:sz w:val="24"/>
          <w:szCs w:val="24"/>
          <w:highlight w:val="none"/>
        </w:rPr>
        <w:t xml:space="preserve">建筑工地信息入库</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立建筑工地详细数据库，通过共享住建部门已有的工地数据完善数据库内容。建筑工地主要信息包含：工地编号、工地名称、所属区域、详细地址、建设单位（含联系人及联系方式）、施工单位、负责建筑垃圾运输的企业信息（含企业营业执照、公司法人等）、运输企业联系人及联系方式、工程开竣工日期、总出土量、总用地面积、出入口硬化情况、冲洗水槽配置情况、冲洗设备配置情况、保洁员落实情况，以及是否安装视频设备、身份识别阅读器、车牌号识别设备。​</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1.2.2.4</w:t>
      </w:r>
      <w:r>
        <w:rPr>
          <w:rFonts w:hint="eastAsia" w:ascii="宋体" w:hAnsi="宋体" w:eastAsia="宋体" w:cs="宋体"/>
          <w:b/>
          <w:bCs/>
          <w:color w:val="auto"/>
          <w:sz w:val="24"/>
          <w:szCs w:val="24"/>
          <w:highlight w:val="none"/>
        </w:rPr>
        <w:t xml:space="preserve">处置核准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结合处置核准管理要求，设置差异化的建筑垃圾处置核准办理流程：施工单位或运输企业办理处置核准时，可选择线下前往行政服务大厅办理，也可通过线上渠道办理；办理完成后，支持增加建筑垃圾消纳地点。​</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对于处置核准中报备的建筑垃圾消纳地点，需将报备点位信息发送给属地城管部门执法人员，由执法人员到现场核实，并将核查照片上传至系统，以此判断消纳地点是否合规；经核实合规的消纳地点，可纳入 “处置库” 管理。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1.2.2.5</w:t>
      </w:r>
      <w:r>
        <w:rPr>
          <w:rFonts w:hint="eastAsia" w:ascii="宋体" w:hAnsi="宋体" w:eastAsia="宋体" w:cs="宋体"/>
          <w:b/>
          <w:bCs/>
          <w:color w:val="auto"/>
          <w:sz w:val="24"/>
          <w:szCs w:val="24"/>
          <w:highlight w:val="none"/>
        </w:rPr>
        <w:t xml:space="preserve">公安通行证办理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建筑垃圾处置核准完成后，由公安交警部门负责办理运输车辆通行证。通过与市公安局交警部门建立的政务数据共享机制，获取运输车辆通行证审批信息。实现处置核准信息与通行证信息的实时关联比对，达成 “处置核准 + 通行证” 的两证关联目标。</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1.2.2.6</w:t>
      </w:r>
      <w:r>
        <w:rPr>
          <w:rFonts w:hint="eastAsia" w:ascii="宋体" w:hAnsi="宋体" w:eastAsia="宋体" w:cs="宋体"/>
          <w:b/>
          <w:bCs/>
          <w:color w:val="auto"/>
          <w:sz w:val="24"/>
          <w:szCs w:val="24"/>
          <w:highlight w:val="none"/>
        </w:rPr>
        <w:t xml:space="preserve">通行证信息入库</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通行证生成后，需将通行证信息纳入系统入库管理。系统需提供查询、编辑、信息变更等基础操作功能，同时支持相关附件的查询与变更编辑，满足通行证全生命周期的信息管理需求。</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1.2.2.7</w:t>
      </w:r>
      <w:r>
        <w:rPr>
          <w:rFonts w:hint="eastAsia" w:ascii="宋体" w:hAnsi="宋体" w:eastAsia="宋体" w:cs="宋体"/>
          <w:b/>
          <w:bCs/>
          <w:color w:val="auto"/>
          <w:sz w:val="24"/>
          <w:szCs w:val="24"/>
          <w:highlight w:val="none"/>
        </w:rPr>
        <w:t xml:space="preserve">运输企业审核</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结合最新管理要求，梳理运输企业信息审核对象、流程与规则，规划全市运输企业管理体系。审核区域按运输企业服务范围设置：市级负责审核市区运输单位，区级负责审核各自县市运输单位。​</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审核通过后，为企业开放系统账号，企业可凭账号申报运输车辆、人员等相关信息。</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1.2.2.8</w:t>
      </w:r>
      <w:r>
        <w:rPr>
          <w:rFonts w:hint="eastAsia" w:ascii="宋体" w:hAnsi="宋体" w:eastAsia="宋体" w:cs="宋体"/>
          <w:b/>
          <w:bCs/>
          <w:color w:val="auto"/>
          <w:sz w:val="24"/>
          <w:szCs w:val="24"/>
          <w:highlight w:val="none"/>
        </w:rPr>
        <w:t xml:space="preserve">运输企业信息入库</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审核通过的运输企业，进行信息入库，并形成运输企业和车辆信息系统，提供查询、编辑、信息变更等功能，支持相关附件查询和变更编辑功能。</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1.2.2.9</w:t>
      </w:r>
      <w:r>
        <w:rPr>
          <w:rFonts w:hint="eastAsia" w:ascii="宋体" w:hAnsi="宋体" w:eastAsia="宋体" w:cs="宋体"/>
          <w:b/>
          <w:bCs/>
          <w:color w:val="auto"/>
          <w:sz w:val="24"/>
          <w:szCs w:val="24"/>
          <w:highlight w:val="none"/>
        </w:rPr>
        <w:t xml:space="preserve">处置场所审核</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结合处置终端管理要求，为管理方提供专门的建筑垃圾消纳地点申报渠道。在处置核准环节报备的消纳地点，需将报备点位信息发送至属地城管部门执法人员，由执法人员到现场开展核实工作，并将核查照片上传至系统。依据现场核实情况判断消纳地点是否合规，经判定合规的消纳地点，可纳入 “处置库” 进行管理。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1.2.2.10</w:t>
      </w:r>
      <w:r>
        <w:rPr>
          <w:rFonts w:hint="eastAsia" w:ascii="宋体" w:hAnsi="宋体" w:eastAsia="宋体" w:cs="宋体"/>
          <w:b/>
          <w:bCs/>
          <w:color w:val="auto"/>
          <w:sz w:val="24"/>
          <w:szCs w:val="24"/>
          <w:highlight w:val="none"/>
        </w:rPr>
        <w:t xml:space="preserve"> 处置场所信息入库</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根据处置场所的审核结果，将已通过审批的处置场所纳入系统进行入库管理，构建形成处置场所信息库，实现处置场所数据的动态更新与精细化管理。​ </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1.2.3</w:t>
      </w:r>
      <w:r>
        <w:rPr>
          <w:rFonts w:hint="eastAsia" w:ascii="宋体" w:hAnsi="宋体" w:eastAsia="宋体" w:cs="宋体"/>
          <w:b/>
          <w:bCs w:val="0"/>
          <w:color w:val="auto"/>
          <w:sz w:val="24"/>
          <w:szCs w:val="24"/>
          <w:highlight w:val="none"/>
        </w:rPr>
        <w:t xml:space="preserve"> 电子联单管理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1.2.3.1</w:t>
      </w:r>
      <w:r>
        <w:rPr>
          <w:rFonts w:hint="eastAsia" w:ascii="宋体" w:hAnsi="宋体" w:eastAsia="宋体" w:cs="宋体"/>
          <w:b/>
          <w:bCs/>
          <w:color w:val="auto"/>
          <w:sz w:val="24"/>
          <w:szCs w:val="24"/>
          <w:highlight w:val="none"/>
        </w:rPr>
        <w:t xml:space="preserve">电子联单工地端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1.2.3.1.1</w:t>
      </w:r>
      <w:r>
        <w:rPr>
          <w:rFonts w:hint="eastAsia" w:ascii="宋体" w:hAnsi="宋体" w:eastAsia="宋体" w:cs="宋体"/>
          <w:b/>
          <w:bCs/>
          <w:color w:val="auto"/>
          <w:sz w:val="24"/>
          <w:szCs w:val="24"/>
          <w:highlight w:val="none"/>
        </w:rPr>
        <w:t xml:space="preserve"> 操作员管理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根据工地实际需求，增加操作人员，录入人员姓名、电话、所属工地等信息，实现操作人员与工地的一键绑定，支持对操作人员的删除和修改。</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1.2.3.1.</w:t>
      </w:r>
      <w:r>
        <w:rPr>
          <w:rFonts w:hint="eastAsia" w:eastAsia="方正仿宋_GB2312" w:cs="Times New Roman"/>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 电子联单管理</w:t>
      </w:r>
      <w:r/>
    </w:p>
    <w:p>
      <w:pPr>
        <w:numPr>
          <w:ilvl w:val="3"/>
          <w:numId w:val="0"/>
        </w:numPr>
        <w:ind w:left="0" w:firstLine="480"/>
        <w:jc w:val="both"/>
        <w:pageBreakBefore w:val="0"/>
        <w:spacing w:before="0" w:after="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操作员的电子联单管理界面对电子联单进行记录，支持电子联单添加、修改、删除、查询和导出等功能，新建电子联单需要填写移出方信息（移出经办人信息、移出时间、垃圾种类、移出量、现场照片）、运输方信息（运输经办人信息、运输起止时间、运输路线）、接受方信息（消纳经办人信息、消纳时间、消纳量、消纳方式、现场照片）；支持对所有流转中及已完成的电子联单进行统计；支持根据联单编号、联单状态、建筑垃圾类别、交付时间、车牌号等多条件组合查询；提供基于起点行政区划的统计分析；支持点击区划获取查询详细数据。</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w:t>
      </w:r>
      <w:r>
        <w:rPr>
          <w:rFonts w:hint="eastAsia" w:ascii="宋体" w:hAnsi="宋体" w:eastAsia="宋体" w:cs="宋体"/>
          <w:b/>
          <w:bCs/>
          <w:color w:val="auto"/>
          <w:sz w:val="24"/>
          <w:szCs w:val="24"/>
          <w:highlight w:val="none"/>
        </w:rPr>
        <w:t xml:space="preserve">电子联单运输企业端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1.2.3.2.1</w:t>
      </w:r>
      <w:r>
        <w:rPr>
          <w:rFonts w:hint="eastAsia" w:ascii="宋体" w:hAnsi="宋体" w:eastAsia="宋体" w:cs="宋体"/>
          <w:b/>
          <w:bCs/>
          <w:color w:val="auto"/>
          <w:sz w:val="24"/>
          <w:szCs w:val="24"/>
          <w:highlight w:val="none"/>
        </w:rPr>
        <w:t xml:space="preserve"> 驾驶员管理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对建筑垃圾运输车辆实行 “一车一档” 管理，档案需绑定驾驶员基本信息（含姓名、联系方式、所属公司等）、车辆通行证信息，并实现与相关工地信息的关联对接。​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支持运输企业根据实际需求管理驾驶员信息：可新增驾驶员，录入人员姓名、电话、车牌号等内容，且能实现驾驶员与车辆的一键绑定；此外，还支持对已录入的驾驶员信息进行删除与修改操作，保障信息准确性。</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1.2.3.2.2</w:t>
      </w:r>
      <w:r>
        <w:rPr>
          <w:rFonts w:hint="eastAsia" w:ascii="宋体" w:hAnsi="宋体" w:eastAsia="宋体" w:cs="宋体"/>
          <w:b/>
          <w:bCs/>
          <w:color w:val="auto"/>
          <w:sz w:val="24"/>
          <w:szCs w:val="24"/>
          <w:highlight w:val="none"/>
        </w:rPr>
        <w:t xml:space="preserve"> 车辆码管理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通过驾驶员与车辆的唯一绑定，系统自动生成车辆码，车辆码中包括车牌号、驾驶员等基本信息。通过扫描车辆码，能够展示相关信息。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w:t>
      </w:r>
      <w:r>
        <w:rPr>
          <w:rFonts w:hint="eastAsia" w:eastAsia="方正仿宋_GB2312" w:cs="Times New Roman"/>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 运输企业联单管理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驾驶员的电子联单管理界面对电子联单进行记录，支持查看电子联单状态信息、详情信息等。驾驶员输入运输路线信息，完善联单信息。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w:t>
      </w:r>
      <w:r>
        <w:rPr>
          <w:rFonts w:hint="eastAsia" w:eastAsia="方正仿宋_GB2312" w:cs="Times New Roman"/>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rPr>
        <w:t xml:space="preserve"> 路线比对</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系统对驾驶员录入的路线信息和申请路线信息进行比对，并自动生成处置意见。</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w:t>
      </w:r>
      <w:r>
        <w:rPr>
          <w:rFonts w:hint="eastAsia" w:eastAsia="方正仿宋_GB2312" w:cs="Times New Roman"/>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rPr>
        <w:t xml:space="preserve"> 车辆运输码管理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车辆码有两种获取途径，第一种是从PC端打印后随车携带，第二种是在"贴心城管"小程序中下载。</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1.2.3.3</w:t>
      </w:r>
      <w:r>
        <w:rPr>
          <w:rFonts w:hint="eastAsia" w:ascii="宋体" w:hAnsi="宋体" w:eastAsia="宋体" w:cs="宋体"/>
          <w:b/>
          <w:bCs/>
          <w:color w:val="auto"/>
          <w:sz w:val="24"/>
          <w:szCs w:val="24"/>
          <w:highlight w:val="none"/>
        </w:rPr>
        <w:t xml:space="preserve">电子联单处置场所端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1.2.3.3.1</w:t>
      </w:r>
      <w:r>
        <w:rPr>
          <w:rFonts w:hint="eastAsia" w:ascii="宋体" w:hAnsi="宋体" w:eastAsia="宋体" w:cs="宋体"/>
          <w:b/>
          <w:bCs/>
          <w:color w:val="auto"/>
          <w:sz w:val="24"/>
          <w:szCs w:val="24"/>
          <w:highlight w:val="none"/>
        </w:rPr>
        <w:t xml:space="preserve"> 处置员管理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处置场所根据处置人员信息，增加处置员，录入人员姓名、电话、处置场所等信息，实现处置人员与处置场所的一键绑定，支持对处置员的删除和修改。</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1.2.3.3.</w:t>
      </w:r>
      <w:r>
        <w:rPr>
          <w:rFonts w:hint="eastAsia" w:eastAsia="方正仿宋_GB2312" w:cs="Times New Roman"/>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 问题联单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对于未创建联单的运输车辆，通过扫描车辆二维码，可以创建问题联单。录入垃圾类型、处置场所、入场时间等信息。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1.2.3.3.</w:t>
      </w:r>
      <w:r>
        <w:rPr>
          <w:rFonts w:hint="eastAsia" w:eastAsia="方正仿宋_GB2312" w:cs="Times New Roman"/>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 处置场所联单管理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在处置员的电子联单管理界面对电子联单进行记录，支持查看电子联单状态信息、详情信息等。</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1.2.3.4</w:t>
      </w:r>
      <w:r>
        <w:rPr>
          <w:rFonts w:hint="eastAsia" w:ascii="宋体" w:hAnsi="宋体" w:eastAsia="宋体" w:cs="宋体"/>
          <w:b/>
          <w:bCs/>
          <w:color w:val="auto"/>
          <w:sz w:val="24"/>
          <w:szCs w:val="24"/>
          <w:highlight w:val="none"/>
        </w:rPr>
        <w:t xml:space="preserve">电子联单中转站</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1.2.3.4.1</w:t>
      </w:r>
      <w:r>
        <w:rPr>
          <w:rFonts w:hint="eastAsia" w:ascii="宋体" w:hAnsi="宋体" w:eastAsia="宋体" w:cs="宋体"/>
          <w:b/>
          <w:bCs/>
          <w:color w:val="auto"/>
          <w:sz w:val="24"/>
          <w:szCs w:val="24"/>
          <w:highlight w:val="none"/>
        </w:rPr>
        <w:t xml:space="preserve"> 中转站人员管理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处置场所根据处置人员信息，增加人员信息，录入人员姓名、电话、中转站等信息，实现处置人员与中转站的一键绑定，支持对人员信息的删除和修改。</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1.2.3.4.</w:t>
      </w:r>
      <w:r>
        <w:rPr>
          <w:rFonts w:hint="eastAsia" w:eastAsia="方正仿宋_GB2312" w:cs="Times New Roman"/>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 问题联单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对于未创建联单的运输车辆，通过扫描车辆二维码，可以创建问题联单。录入垃圾类型、处置场所、入场时间等信息。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1.2.3.4.</w:t>
      </w:r>
      <w:r>
        <w:rPr>
          <w:rFonts w:hint="eastAsia" w:eastAsia="方正仿宋_GB2312" w:cs="Times New Roman"/>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 中转站联单管理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在处置员的电子联单管理界面对电子联单进行记录，支持查看电子联单状态信息、详情信息等。</w:t>
      </w:r>
      <w:r/>
    </w:p>
    <w:p>
      <w:pPr>
        <w:ind w:left="0" w:right="0" w:firstLine="482"/>
        <w:jc w:val="both"/>
        <w:keepLines w:val="0"/>
        <w:keepNext w:val="0"/>
        <w:pageBreakBefore w:val="0"/>
        <w:spacing w:beforeAutospacing="0" w:afterAutospacing="0" w:line="380" w:lineRule="exact"/>
        <w:widowControl w:val="off"/>
        <w:rPr>
          <w:rFonts w:hint="eastAsia" w:ascii="宋体" w:hAnsi="宋体" w:cs="宋体"/>
          <w:b/>
          <w:bCs/>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电子联单管理功能要求</w:t>
      </w:r>
      <w:r>
        <w:rPr>
          <w:rFonts w:hint="eastAsia" w:ascii="宋体" w:hAnsi="宋体" w:cs="宋体"/>
          <w:b/>
          <w:bCs/>
          <w:color w:val="auto"/>
          <w:sz w:val="24"/>
          <w:szCs w:val="24"/>
          <w:highlight w:val="none"/>
          <w:lang w:val="en-US" w:eastAsia="zh-CN" w:bidi="ar"/>
        </w:rPr>
        <w:t xml:space="preserve">（此项部分为演示项）：</w:t>
      </w:r>
      <w:r/>
    </w:p>
    <w:p>
      <w:pPr>
        <w:ind w:left="0" w:right="0" w:firstLine="480"/>
        <w:jc w:val="both"/>
        <w:keepLines w:val="0"/>
        <w:keepNext w:val="0"/>
        <w:pageBreakBefore w:val="0"/>
        <w:spacing w:beforeAutospacing="0" w:afterAutospacing="0" w:line="380" w:lineRule="exact"/>
        <w:widowControl w:val="off"/>
        <w:rPr>
          <w:rFonts w:hint="eastAsia" w:ascii="宋体" w:hAnsi="宋体" w:cs="宋体"/>
          <w:color w:val="auto"/>
          <w:sz w:val="24"/>
          <w:szCs w:val="24"/>
          <w:highlight w:val="none"/>
          <w:lang w:val="en-US" w:eastAsia="zh-CN" w:bidi="ar"/>
        </w:rPr>
        <w:outlineLvl w:val="9"/>
        <w:suppressLineNumbers w:val="0"/>
      </w:pPr>
      <w:r>
        <w:rPr>
          <w:rFonts w:hint="eastAsia" w:ascii="宋体" w:hAnsi="宋体" w:cs="宋体"/>
          <w:color w:val="auto"/>
          <w:sz w:val="24"/>
          <w:szCs w:val="24"/>
          <w:highlight w:val="none"/>
          <w:lang w:val="en-US" w:eastAsia="zh-CN" w:bidi="ar"/>
        </w:rPr>
        <w:t xml:space="preserve">电子联单管理服务功能演示。包括支持电子联单添加、修改、删除、查询和导出等功能；新建电子联单需要填写移出方信息（移出经办人信息、移出时间、垃圾种类、移出量、现场照片）、运输方信息（运输经办人信息、运输</w:t>
      </w:r>
      <w:r>
        <w:rPr>
          <w:rFonts w:hint="eastAsia" w:ascii="宋体" w:hAnsi="宋体" w:cs="宋体"/>
          <w:color w:val="auto"/>
          <w:sz w:val="24"/>
          <w:szCs w:val="24"/>
          <w:highlight w:val="none"/>
          <w:lang w:val="en-US" w:eastAsia="zh-CN" w:bidi="ar"/>
        </w:rPr>
        <w:t xml:space="preserve">起止时间、运输路线）、接受方信息（消纳经办人信息、消纳时间、消纳量、消纳方式、现场照片）；承运人需要确认并填写运输经办人姓名、联系电话、运输垃圾种类、运输起点、起运时间、运输路线、运输终点、到达时间和运输备注等信息；接受人需要确认消纳经办人姓名、联系电话、消纳时间、消纳垃圾种类、消纳量（吨）、消纳方式、消纳现场照片和备注等信息；支持对所有流转中及已完成的电子联单进行统计；支持根据联单编号、联单状态、建筑垃圾类别、交付时间、车牌号等多条件组合查询；提供基于起点行政区划的统计分析；支持点击区划获取查询详细数据。</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1.2.4</w:t>
      </w:r>
      <w:r>
        <w:rPr>
          <w:rFonts w:hint="eastAsia" w:ascii="宋体" w:hAnsi="宋体" w:eastAsia="宋体" w:cs="宋体"/>
          <w:b/>
          <w:bCs w:val="0"/>
          <w:color w:val="auto"/>
          <w:sz w:val="24"/>
          <w:szCs w:val="24"/>
          <w:highlight w:val="none"/>
        </w:rPr>
        <w:t xml:space="preserve"> 装修垃圾订单管理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装修垃圾预约管理是建筑垃圾管理服务统一窗口，建立政府管理部门与建筑垃圾相关企业、公众之间的信息联系。基于“贴心城管”，便于不同的用户类型进行各类公共服务的访问。</w:t>
      </w:r>
      <w:r/>
    </w:p>
    <w:p>
      <w:pPr>
        <w:pStyle w:val="999"/>
        <w:ind w:left="0" w:right="0" w:firstLine="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9"/>
        <w:ind w:left="0" w:right="0" w:firstLine="0"/>
        <w:jc w:val="center"/>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9"/>
        <w:ind w:left="0" w:right="0" w:firstLine="48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ind w:left="0" w:right="0" w:firstLine="48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1118870</wp:posOffset>
                </wp:positionH>
                <wp:positionV relativeFrom="paragraph">
                  <wp:posOffset>93345</wp:posOffset>
                </wp:positionV>
                <wp:extent cx="3858260" cy="8112760"/>
                <wp:effectExtent l="0" t="0" r="0" b="0"/>
                <wp:wrapTopAndBottom/>
                <wp:docPr id="1" name="ECB019B1-382A-4266-B25C-5B523AA43C14-1" descr="C:/Users/Hasee/AppData/Local/Temp/wps.wzYntj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20258" name="ECB019B1-382A-4266-B25C-5B523AA43C14-1" descr="C:/Users/Hasee/AppData/Local/Temp/wps.wzYntjwps"/>
                        <pic:cNvPicPr>
                          <a:picLocks noChangeAspect="1"/>
                        </pic:cNvPicPr>
                        <pic:nvPr/>
                      </pic:nvPicPr>
                      <pic:blipFill>
                        <a:blip r:embed="rId13"/>
                        <a:stretch/>
                      </pic:blipFill>
                      <pic:spPr bwMode="auto">
                        <a:xfrm>
                          <a:off x="0" y="0"/>
                          <a:ext cx="3858259" cy="81127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8.1pt;mso-position-horizontal:absolute;mso-position-vertical-relative:text;margin-top:7.3pt;mso-position-vertical:absolute;width:303.8pt;height:638.8pt;mso-wrap-distance-left:0.0pt;mso-wrap-distance-top:0.0pt;mso-wrap-distance-right:0.0pt;mso-wrap-distance-bottom:0.0pt;" stroked="false">
                <v:path textboxrect="0,0,0,0"/>
                <w10:wrap type="topAndBottom"/>
                <v:imagedata r:id="rId13" o:title=""/>
              </v:shape>
            </w:pict>
          </mc:Fallback>
        </mc:AlternateContent>
      </w:r>
      <w:r/>
    </w:p>
    <w:p>
      <w:pPr>
        <w:pStyle w:val="999"/>
        <w:ind w:left="0" w:right="0" w:firstLine="48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流程设计说明：</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1、居民/物业/商户产生装修垃圾</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居民装修、物业或商户装修工程产生建筑垃圾（如废弃家具、装修废料等）。</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2、物业、社区创建预约订单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物业或社区通过“贴心城管”填写：垃圾类型、预估重量、预约时间、地点等信息，系统自动生成订单号。</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3、选择收运公司</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平台展示附近合规收运企业列表（含资质、评价。收运企业必须在扬州市主城区建筑垃圾运输企业名录里），物业可自主选择或由系统推荐。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4、收运公司接单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收运企业通过平台确认接单，绑定车辆及驾驶员信息。</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5、上门收运并生成电子联单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车辆到达现场后，驾驶员扫描车辆二维码（含车辆及公司信息）。</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6、系统自动关联订单信息，生成电子联单（记录垃圾类型、数量、收运时间、运输路线等）。</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7、运输至处置场所</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车辆按联单规定路线将垃圾运输至资源化利用厂或中转站，可对运输过程载重量溯源管理。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8、处置场所扫码接收</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处置场所工作人员扫描车辆二维码确认联单，完成交接。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9、称重与处置</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通过地磅称重，数据自动上传至平台。</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10、垃圾进入资源化利用（如破碎制砖）或无害化处置（如填埋）。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11、数据闭环</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处置结果（运输全程重量、处置方式）回传平台，物业、社区可在线查看订单完成状态。 </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1.2.4.1</w:t>
      </w:r>
      <w:r>
        <w:rPr>
          <w:rFonts w:hint="eastAsia" w:ascii="宋体" w:hAnsi="宋体" w:eastAsia="宋体" w:cs="宋体"/>
          <w:b/>
          <w:bCs/>
          <w:color w:val="auto"/>
          <w:sz w:val="24"/>
          <w:szCs w:val="24"/>
          <w:highlight w:val="none"/>
        </w:rPr>
        <w:t xml:space="preserve">创建订单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居民、物业、商户可通过“贴心城管” 小程序，发布装修垃圾收运预约订单（平台提供运输单位选择项）。创建订单时需输入预约地点、预约时间、运输量等关键信息，同时填写垃圾类型、预估重量等内容，提交后系统自动生成订单号，完成订单创建。​</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1.2.4.2</w:t>
      </w:r>
      <w:r>
        <w:rPr>
          <w:rFonts w:hint="eastAsia" w:ascii="宋体" w:hAnsi="宋体" w:eastAsia="宋体" w:cs="宋体"/>
          <w:b/>
          <w:bCs/>
          <w:color w:val="auto"/>
          <w:sz w:val="24"/>
          <w:szCs w:val="24"/>
          <w:highlight w:val="none"/>
        </w:rPr>
        <w:t xml:space="preserve">订单管理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在物业、单位、个人的订单管理界面对订单进行记录，支持查看订单状态信息、详情信息等。</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1.2.4.3</w:t>
      </w:r>
      <w:r>
        <w:rPr>
          <w:rFonts w:hint="eastAsia" w:ascii="宋体" w:hAnsi="宋体" w:eastAsia="宋体" w:cs="宋体"/>
          <w:b/>
          <w:bCs/>
          <w:color w:val="auto"/>
          <w:sz w:val="24"/>
          <w:szCs w:val="24"/>
          <w:highlight w:val="none"/>
        </w:rPr>
        <w:t xml:space="preserve">接单管理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运输单位分配驾驶员和车辆，根据要求上门收运。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车辆到达现场时，由驾驶员扫描车辆二维码，生成关联定制，包括垃圾类型、数量、收运时间和运输路线。</w:t>
      </w:r>
      <w:r/>
    </w:p>
    <w:p>
      <w:pPr>
        <w:numPr>
          <w:ilvl w:val="0"/>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1.2.4.4</w:t>
      </w:r>
      <w:r>
        <w:rPr>
          <w:rFonts w:hint="eastAsia" w:ascii="宋体" w:hAnsi="宋体" w:eastAsia="宋体" w:cs="宋体"/>
          <w:b/>
          <w:bCs/>
          <w:color w:val="auto"/>
          <w:sz w:val="24"/>
          <w:szCs w:val="24"/>
          <w:highlight w:val="none"/>
        </w:rPr>
        <w:t xml:space="preserve">处置管理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根据装修垃圾运输路线规划及处置要求，需将垃圾运输至指定的资源化利用厂或中转站。到达处置场所后，工作人员扫描车辆二维码确认电子联单信息，完成垃圾交接手续。</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同时，通过对接处置场所地磅数据，自动记录装修垃圾订单的处置相关信息；平台支持用户查看订单的实时状态信息与详细处置详情，实现订单全流程可追溯。</w:t>
      </w:r>
      <w:r/>
    </w:p>
    <w:p>
      <w:pPr>
        <w:numPr>
          <w:ilvl w:val="2"/>
          <w:numId w:val="0"/>
        </w:numPr>
        <w:ind w:left="0" w:firstLine="482"/>
        <w:jc w:val="both"/>
        <w:pageBreakBefore w:val="0"/>
        <w:spacing w:before="0" w:after="0" w:line="380" w:lineRule="exact"/>
        <w:widowControl/>
        <w:rPr>
          <w:rFonts w:hint="eastAsia" w:ascii="宋体" w:hAnsi="宋体" w:eastAsia="宋体" w:cs="宋体"/>
          <w:b w:val="0"/>
          <w:bCs/>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1.2.5</w:t>
      </w:r>
      <w:r>
        <w:rPr>
          <w:rFonts w:hint="eastAsia" w:ascii="宋体" w:hAnsi="宋体" w:eastAsia="宋体" w:cs="宋体"/>
          <w:b/>
          <w:bCs w:val="0"/>
          <w:color w:val="auto"/>
          <w:sz w:val="24"/>
          <w:szCs w:val="24"/>
          <w:highlight w:val="none"/>
        </w:rPr>
        <w:t xml:space="preserve">建筑垃圾陆上全链条治理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构建建筑垃圾全链条治理标准（含管理标准与技术标准），重点建设三方面内容：</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 针对拆除（工程）垃圾，建立工地 - 运输 - 处置全链条监管模式：工地端通过 “视频 + 门禁”，实现进出车辆、工地门口环境等要素监管；运输端通过 “ 定位设备”，规范车辆运输管理；处置端通过 “计量 + 视频 + 门禁”，实现源头匹配、精准计量，实时掌握厂区运行状况。​</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 推行装修垃圾电子联单制，充分覆盖源头 - 调配点 - 终端（AB、AC、BC 联单）各类场景应用，形成 “居民 / 单位（预约）- 运输（接单）- 处置（计量）” 三联管理模式，规范装修垃圾全链条管理。​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 建立工程渣土 “工地 - 运输 - 去化（消纳）” 全链条监管模式，同时协同公安、交通部门对运输车辆、船只进行重点管控，最终实现建筑垃圾全品类、全流程、全市域的一体化治理。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w:t>
      </w:r>
      <w:r>
        <w:rPr>
          <w:rFonts w:hint="eastAsia" w:ascii="宋体" w:hAnsi="宋体" w:eastAsia="宋体" w:cs="宋体"/>
          <w:b/>
          <w:bCs/>
          <w:color w:val="auto"/>
          <w:sz w:val="24"/>
          <w:szCs w:val="24"/>
          <w:highlight w:val="none"/>
        </w:rPr>
        <w:t xml:space="preserve">建筑垃圾工地管理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建筑垃圾源头管理环节，重点建立源头库：协调住建、交通运输、水利等部门，共享工程建设审批管理等行业管理信息系统数据，为源头库建设提供数据支撑。同步建设工程项目源头库，并将其接入市住建局的智慧工地系统，实现工地出入口视频、抬杆等关键数据的统一归集与管理，夯实源头监管基础。</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1.2.5.1.1</w:t>
      </w:r>
      <w:r>
        <w:rPr>
          <w:rFonts w:hint="eastAsia" w:ascii="宋体" w:hAnsi="宋体" w:eastAsia="宋体" w:cs="宋体"/>
          <w:b/>
          <w:bCs/>
          <w:color w:val="auto"/>
          <w:sz w:val="24"/>
          <w:szCs w:val="24"/>
          <w:highlight w:val="none"/>
        </w:rPr>
        <w:t xml:space="preserve">工地二维码管理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系统根据处置证审核结果生成建筑工地二维码，管理部门巡查时，进行二维码的扫描，查看系统内容与处置证信息是否吻合，杜绝造假等违法行为。</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1.2.5.1.2</w:t>
      </w:r>
      <w:r>
        <w:rPr>
          <w:rFonts w:hint="eastAsia" w:ascii="宋体" w:hAnsi="宋体" w:eastAsia="宋体" w:cs="宋体"/>
          <w:b/>
          <w:bCs/>
          <w:color w:val="auto"/>
          <w:sz w:val="24"/>
          <w:szCs w:val="24"/>
          <w:highlight w:val="none"/>
        </w:rPr>
        <w:t xml:space="preserve">工地视频监管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通过对接市住建局工地现有视频数据，以及接入租赁视频服务数据，实现对工地现场运行情况的查看监管。工地视频监管主要包含四大功能：​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视频实时查看：可实时查看存在报警信息的工地视频，也能通过视频树状结构调取对应工地画面，支持多画面同时查看；​</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1.2.5.1.3</w:t>
      </w:r>
      <w:r>
        <w:rPr>
          <w:rFonts w:hint="eastAsia" w:ascii="宋体" w:hAnsi="宋体" w:eastAsia="宋体" w:cs="宋体"/>
          <w:b/>
          <w:bCs/>
          <w:color w:val="auto"/>
          <w:sz w:val="24"/>
          <w:szCs w:val="24"/>
          <w:highlight w:val="none"/>
        </w:rPr>
        <w:t xml:space="preserve">进出数据统计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通过与市住建局的工地抬杆数据对接，实现对工地车辆进出情况的监管，实时掌握车辆进出的基本信息，包括车牌号、进出次数数据等。同时，基于 AI 算法将进出车辆信息与车辆白名单库进行对比，自动判断车辆是否合规，识别是否为黑车，进一步强化工地车辆进出的规范化管理。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1.2.5.1.4</w:t>
      </w:r>
      <w:r>
        <w:rPr>
          <w:rFonts w:hint="eastAsia" w:ascii="宋体" w:hAnsi="宋体" w:eastAsia="宋体" w:cs="宋体"/>
          <w:b/>
          <w:bCs/>
          <w:color w:val="auto"/>
          <w:sz w:val="24"/>
          <w:szCs w:val="24"/>
          <w:highlight w:val="none"/>
        </w:rPr>
        <w:t xml:space="preserve"> 冲洗工作状态监测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与市住建局的智慧工地对接，获取工地出入口冲洗设施的工作状态，实现车辆进出冲洗监测。</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1.2.5.2</w:t>
      </w:r>
      <w:r>
        <w:rPr>
          <w:rFonts w:hint="eastAsia" w:ascii="宋体" w:hAnsi="宋体" w:eastAsia="宋体" w:cs="宋体"/>
          <w:b/>
          <w:bCs/>
          <w:color w:val="auto"/>
          <w:sz w:val="24"/>
          <w:szCs w:val="24"/>
          <w:highlight w:val="none"/>
        </w:rPr>
        <w:t xml:space="preserve">建筑垃圾运输车辆监管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建筑垃圾运输监管环节，重点建立运输库：协调市公安局交警部门、市交通运输局，将全市建筑垃圾运输车辆的定位数据接入监管平台。通过数据接入实现对车辆运输过程的实时监控，一旦出现异常情况可自动触发报警，强化运输环节的动态监管。</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1.2.5.2.1</w:t>
      </w:r>
      <w:r>
        <w:rPr>
          <w:rFonts w:hint="eastAsia" w:ascii="宋体" w:hAnsi="宋体" w:eastAsia="宋体" w:cs="宋体"/>
          <w:b/>
          <w:bCs/>
          <w:color w:val="auto"/>
          <w:sz w:val="24"/>
          <w:szCs w:val="24"/>
          <w:highlight w:val="none"/>
        </w:rPr>
        <w:t xml:space="preserve"> 电子围栏管理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立多类型电子围栏，涵盖工地、消纳场、路线、禁区、停车场、限速圈电子围栏，以此实现车辆运输过程实时监管，全方位把控清运中车辆行驶轨迹、车体状况、是否按规定路线运输、是否非法倾倒、是否超速等情况；同时监测车辆实时位置，自动判别违规行为，出现违规时系统及时提醒记录，杜绝黑车上路、超速、超载等不规范行为。​</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作业路段管理：依据证件申报审批模块设置规定准行路线，同步进行图元管理；限制路段管理：运用图元技术设置禁区电子围栏、限速圈电子围栏的区域及限制条件；基础电子围栏管理：对工地、消纳场、停车场等相对固定场所进行图元设置，明确边界、时间条件等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1.2.5.2.2</w:t>
      </w:r>
      <w:r>
        <w:rPr>
          <w:rFonts w:hint="eastAsia" w:ascii="宋体" w:hAnsi="宋体" w:eastAsia="宋体" w:cs="宋体"/>
          <w:b/>
          <w:bCs/>
          <w:color w:val="auto"/>
          <w:sz w:val="24"/>
          <w:szCs w:val="24"/>
          <w:highlight w:val="none"/>
        </w:rPr>
        <w:t xml:space="preserve"> 车辆实时状态监控</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对接符合标准协议的车辆设备，实时监测渣土车辆的实时位置与运行轨迹，重点监管车辆是否按规定运输路线行驶、中途是否在禁驶路段通行，一旦发现问题及时发出提醒，避免违规行为发生，从源头杜绝安全事故。同时，支持通过车牌号检索相关车辆；地图上展示车辆信息包括：实时坐标、车牌号、车辆类型、设备标识、所属公司、所属地区、车身重量等信息，实现运输过程可视化监管。</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1.2.5.2.3</w:t>
      </w:r>
      <w:r>
        <w:rPr>
          <w:rFonts w:hint="eastAsia" w:ascii="宋体" w:hAnsi="宋体" w:eastAsia="宋体" w:cs="宋体"/>
          <w:b/>
          <w:bCs/>
          <w:color w:val="auto"/>
          <w:sz w:val="24"/>
          <w:szCs w:val="24"/>
          <w:highlight w:val="none"/>
        </w:rPr>
        <w:t xml:space="preserve"> 车辆轨迹监控</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协调市公安局交警部门、市交通运输局，将全市建筑垃圾运输车辆的定位数据数据接入监管平台。基于数据接入实现车辆运输轨迹动态监控，支持通过车牌号、开始时间、结束时间在线回放车辆作业轨迹，系统通过图形化方式在地图上还原车辆作业全过程，方便监管人员开展监管工作。其中播放速度可调整；车辆偏离规划路线后在地图上展示报警信息。</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w:t>
      </w:r>
      <w:r>
        <w:rPr>
          <w:rFonts w:hint="eastAsia" w:ascii="宋体" w:hAnsi="宋体" w:eastAsia="宋体" w:cs="宋体"/>
          <w:b/>
          <w:bCs/>
          <w:color w:val="auto"/>
          <w:sz w:val="24"/>
          <w:szCs w:val="24"/>
          <w:highlight w:val="none"/>
        </w:rPr>
        <w:t xml:space="preserve">建筑垃圾消纳点监管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建筑垃圾终端处置环节，重点建立处置库：协调属地相关部门，将装修垃圾临时堆放中转点的视频监控数据，以及工程渣土消纳场、资源化利用企业的视频监控数据、车辆进出场称重数据等全部接入监管平台，通过多类数据整合实现对终端处置环节的全面监管。</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1.2.5.3.1</w:t>
      </w:r>
      <w:r>
        <w:rPr>
          <w:rFonts w:hint="eastAsia" w:ascii="宋体" w:hAnsi="宋体" w:eastAsia="宋体" w:cs="宋体"/>
          <w:b/>
          <w:bCs/>
          <w:color w:val="auto"/>
          <w:sz w:val="24"/>
          <w:szCs w:val="24"/>
          <w:highlight w:val="none"/>
        </w:rPr>
        <w:t xml:space="preserve"> 消纳场二维码管理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会依据消纳证的审核结果，自动生成对应消纳场的专属二维码。管理部门开展巡查工作时，可扫描该二维码，将系统中存储的消纳场信息与实际消纳证信息进行比对核查，以此判断两者是否吻合，从而有效杜绝消纳证造假等违法行为，保障消纳场运营合规性。</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1.2.5.3.2</w:t>
      </w:r>
      <w:r>
        <w:rPr>
          <w:rFonts w:hint="eastAsia" w:ascii="宋体" w:hAnsi="宋体" w:eastAsia="宋体" w:cs="宋体"/>
          <w:b/>
          <w:bCs/>
          <w:color w:val="auto"/>
          <w:sz w:val="24"/>
          <w:szCs w:val="24"/>
          <w:highlight w:val="none"/>
        </w:rPr>
        <w:t xml:space="preserve"> 车辆出入授权管理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进出消纳场时，采用视频车牌识别技术，实现车辆作业结果的确认管理。将消纳场入场记录与工地进入信息、运输轨迹汇总整合，形成车辆完整的作业记录；通过核查记录完整性，可排查车辆是否存在中途倾倒行为，该记录可作为违规车辆核定的依据。​</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若因车牌污损或其他原因导致车牌识别失败，系统将自动触发报警，并把相关违法信息上传至监管平台；同时系统调取车辆定位设备信息，确认车辆车牌号，通知相关负责人督促车辆进行车容车貌整改。</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1.2.5.3.3</w:t>
      </w:r>
      <w:r>
        <w:rPr>
          <w:rFonts w:hint="eastAsia" w:ascii="宋体" w:hAnsi="宋体" w:eastAsia="宋体" w:cs="宋体"/>
          <w:b/>
          <w:bCs/>
          <w:color w:val="auto"/>
          <w:sz w:val="24"/>
          <w:szCs w:val="24"/>
          <w:highlight w:val="none"/>
        </w:rPr>
        <w:t xml:space="preserve"> 终端计量管理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现场配备称重设备的终端厂，通过对接消纳场现场地磅数据，获取车辆车牌号、所属单位、消纳场名称、进场称重时间、进场计量数据、出场称重时间、出场计量数据等信息，该称重数据可作为相关结算依据。​</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现场无称重设备的临时中转点、消纳场及资源化利用厂，需将装修垃圾临时堆放中转点、建筑垃圾消纳场、资源化利用厂的基础情况数据录入监管平台；各地通过平台按月上报装修垃圾临时堆放点中转量、建筑垃圾消纳数量等数据，实现处置量的动态监管。</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1.2.5.3.4</w:t>
      </w:r>
      <w:r>
        <w:rPr>
          <w:rFonts w:hint="eastAsia" w:ascii="宋体" w:hAnsi="宋体" w:eastAsia="宋体" w:cs="宋体"/>
          <w:b/>
          <w:bCs/>
          <w:color w:val="auto"/>
          <w:sz w:val="24"/>
          <w:szCs w:val="24"/>
          <w:highlight w:val="none"/>
        </w:rPr>
        <w:t xml:space="preserve"> 终端视频监管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协调属地相关部门，将装修垃圾临时堆放中转点的视频监控数据，以及工程渣土消纳场、资源化利用企业的视频监控数据接入监管平台，视频监管主要包含四大功能：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视频实时查看：可实时查看存在报警信息的视频画面，也能通过视频树状结构调取对应场所视频，支持多画面同时查看；​</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1.2.5.3.5</w:t>
      </w:r>
      <w:r>
        <w:rPr>
          <w:rFonts w:hint="eastAsia" w:ascii="宋体" w:hAnsi="宋体" w:eastAsia="宋体" w:cs="宋体"/>
          <w:b/>
          <w:bCs/>
          <w:color w:val="auto"/>
          <w:sz w:val="24"/>
          <w:szCs w:val="24"/>
          <w:highlight w:val="none"/>
        </w:rPr>
        <w:t xml:space="preserve"> 消纳点综合看板</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消纳场综合看板旨在搭建动态消纳场监管平台，基于地图多元化展示消纳场的静态信息与动态数据，助力管理人员快速获取所有消纳场运行信息、掌控管辖范围内消纳场运行特征，通过数据精准判断异常情况。​</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运行状况模块展示辖区内开停工消纳场总数、消纳场车辆进出趟次、总消纳土方量、总回填土方量等核心数据；合规状况模块则展示辖区内消纳场巡检问题事件数量、车辆不合规上路系统报警数量、环境指标超标次数等合规相关信息。</w:t>
      </w:r>
      <w:r/>
    </w:p>
    <w:p>
      <w:pPr>
        <w:ind w:left="0" w:right="0" w:firstLine="482"/>
        <w:jc w:val="both"/>
        <w:keepLines w:val="0"/>
        <w:keepNext w:val="0"/>
        <w:pageBreakBefore w:val="0"/>
        <w:spacing w:beforeAutospacing="0" w:afterAutospacing="0" w:line="380" w:lineRule="exact"/>
        <w:widowControl w:val="off"/>
        <w:rPr>
          <w:rFonts w:hint="eastAsia" w:ascii="宋体" w:hAnsi="宋体" w:eastAsia="宋体" w:cs="宋体"/>
          <w:b/>
          <w:bCs/>
          <w:strike w:val="0"/>
          <w:color w:val="auto"/>
          <w:sz w:val="24"/>
          <w:szCs w:val="24"/>
          <w:highlight w:val="none"/>
        </w:rPr>
        <w:outlineLvl w:val="9"/>
        <w:suppressLineNumbers w:val="0"/>
      </w:pPr>
      <w:r>
        <w:rPr>
          <w:rFonts w:hint="eastAsia" w:ascii="宋体" w:hAnsi="宋体" w:eastAsia="宋体" w:cs="宋体"/>
          <w:b/>
          <w:bCs/>
          <w:strike w:val="0"/>
          <w:color w:val="auto"/>
          <w:sz w:val="24"/>
          <w:szCs w:val="24"/>
          <w:highlight w:val="none"/>
          <w:lang w:val="en-US" w:eastAsia="zh-CN" w:bidi="ar"/>
        </w:rPr>
        <w:t xml:space="preserve">建筑垃圾陆上全链条治理功能要求</w:t>
      </w:r>
      <w:r>
        <w:rPr>
          <w:rFonts w:hint="eastAsia" w:ascii="宋体" w:hAnsi="宋体" w:cs="宋体"/>
          <w:b/>
          <w:bCs/>
          <w:strike w:val="0"/>
          <w:color w:val="auto"/>
          <w:sz w:val="24"/>
          <w:szCs w:val="24"/>
          <w:highlight w:val="none"/>
          <w:lang w:val="en-US" w:eastAsia="zh-CN" w:bidi="ar"/>
        </w:rPr>
        <w:t xml:space="preserve">（此项为演示项）：</w:t>
      </w:r>
      <w:r/>
    </w:p>
    <w:p>
      <w:pPr>
        <w:numPr>
          <w:ilvl w:val="2"/>
          <w:numId w:val="0"/>
        </w:numPr>
        <w:ind w:left="0" w:firstLine="480"/>
        <w:jc w:val="both"/>
        <w:pageBreakBefore w:val="0"/>
        <w:spacing w:before="0" w:after="0" w:line="380" w:lineRule="exact"/>
        <w:widowControl/>
        <w:rPr>
          <w:rFonts w:hint="eastAsia" w:ascii="Times New Roman" w:hAnsi="Times New Roman" w:eastAsia="宋体" w:cs="Times New Roman"/>
          <w:b w:val="0"/>
          <w:bCs/>
          <w:color w:val="auto"/>
          <w:sz w:val="24"/>
          <w:szCs w:val="24"/>
          <w:highlight w:val="none"/>
          <w:lang w:val="en-US" w:eastAsia="zh-CN" w:bidi="ar-SA"/>
        </w:rPr>
        <w:outlineLvl w:val="9"/>
      </w:pPr>
      <w:r>
        <w:rPr>
          <w:rFonts w:hint="eastAsia" w:ascii="Times New Roman" w:hAnsi="Times New Roman" w:eastAsia="宋体" w:cs="Times New Roman"/>
          <w:b w:val="0"/>
          <w:bCs/>
          <w:color w:val="auto"/>
          <w:sz w:val="24"/>
          <w:szCs w:val="24"/>
          <w:highlight w:val="none"/>
          <w:lang w:val="en-US" w:eastAsia="zh-CN" w:bidi="ar-SA"/>
        </w:rPr>
        <w:t xml:space="preserve">建筑垃圾陆上全链条治理服务功能演示。包括车辆实时状态监控、车辆轨迹监控以及偏离规划线路预警；通过车牌号检索相关车辆；点击后在地图上展示车辆信息包括：实时坐标、车牌号、车辆类型、设备标识、所属公司、所属地区、车身重量等信息；支持通过车牌号、开始时间、结束时间在线回放车辆作业轨迹，系统通过图形化方式在地图上还原车辆作业全过程；其中播放速度可调整；车辆偏离规划路线后在地图上展示报警信息。</w:t>
      </w:r>
      <w:r/>
    </w:p>
    <w:p>
      <w:pPr>
        <w:numPr>
          <w:ilvl w:val="2"/>
          <w:numId w:val="0"/>
        </w:numPr>
        <w:ind w:left="0" w:firstLine="482"/>
        <w:jc w:val="both"/>
        <w:pageBreakBefore w:val="0"/>
        <w:spacing w:before="0" w:after="0" w:line="380" w:lineRule="exact"/>
        <w:widowControl/>
        <w:rPr>
          <w:rFonts w:hint="default" w:ascii="宋体" w:hAnsi="宋体" w:eastAsia="宋体" w:cs="宋体"/>
          <w:b/>
          <w:bCs w:val="0"/>
          <w:color w:val="auto"/>
          <w:sz w:val="24"/>
          <w:szCs w:val="24"/>
          <w:highlight w:val="none"/>
          <w:lang w:val="en-US" w:eastAsia="zh-CN"/>
        </w:rPr>
        <w:outlineLvl w:val="9"/>
      </w:pPr>
      <w:r>
        <w:rPr>
          <w:rFonts w:hint="eastAsia" w:ascii="Times New Roman" w:hAnsi="Times New Roman" w:eastAsia="宋体" w:cs="Times New Roman"/>
          <w:b/>
          <w:bCs w:val="0"/>
          <w:color w:val="auto"/>
          <w:sz w:val="24"/>
          <w:szCs w:val="24"/>
          <w:highlight w:val="none"/>
          <w:lang w:val="en-US" w:eastAsia="zh-CN" w:bidi="ar-SA"/>
        </w:rPr>
        <w:t xml:space="preserve">1.2.6</w:t>
      </w:r>
      <w:r>
        <w:rPr>
          <w:rFonts w:hint="eastAsia" w:ascii="宋体" w:hAnsi="宋体" w:eastAsia="宋体" w:cs="宋体"/>
          <w:b/>
          <w:bCs w:val="0"/>
          <w:color w:val="auto"/>
          <w:sz w:val="24"/>
          <w:szCs w:val="24"/>
          <w:highlight w:val="none"/>
        </w:rPr>
        <w:t xml:space="preserve"> 建筑垃圾码头治理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码头位置管理，</w:t>
      </w:r>
      <w:r>
        <w:rPr>
          <w:rFonts w:hint="eastAsia" w:ascii="宋体" w:hAnsi="宋体" w:eastAsia="宋体" w:cs="宋体"/>
          <w:color w:val="auto"/>
          <w:sz w:val="24"/>
          <w:szCs w:val="24"/>
          <w:highlight w:val="none"/>
        </w:rPr>
        <w:t xml:space="preserve">对建筑垃圾转运码头信息进行监测，通过电子地图标注码头位置。</w:t>
      </w:r>
      <w:r/>
    </w:p>
    <w:p>
      <w:pPr>
        <w:pStyle w:val="999"/>
        <w:ind w:left="0" w:right="0" w:firstLine="480"/>
        <w:jc w:val="both"/>
        <w:pageBreakBefore w:val="0"/>
        <w:spacing w:before="0" w:beforeAutospacing="0" w:after="0" w:afterAutospacing="0" w:line="380" w:lineRule="exact"/>
        <w:widowControl/>
        <w:rPr>
          <w:rFonts w:hint="eastAsia" w:ascii="Times New Roman" w:hAnsi="Times New Roman" w:eastAsia="宋体" w:cs="Times New Roman"/>
          <w:b w:val="0"/>
          <w:bCs/>
          <w:color w:val="auto"/>
          <w:sz w:val="24"/>
          <w:szCs w:val="24"/>
          <w:highlight w:val="none"/>
          <w:lang w:val="en-US" w:eastAsia="zh" w:bidi="ar-SA"/>
        </w:rPr>
        <w:outlineLvl w:val="9"/>
      </w:pPr>
      <w:r>
        <w:rPr>
          <w:rFonts w:hint="eastAsia" w:ascii="Times New Roman" w:hAnsi="Times New Roman" w:eastAsia="宋体" w:cs="Times New Roman"/>
          <w:b w:val="0"/>
          <w:bCs/>
          <w:color w:val="auto"/>
          <w:sz w:val="24"/>
          <w:szCs w:val="24"/>
          <w:highlight w:val="none"/>
          <w:lang w:val="en-US" w:eastAsia="zh" w:bidi="ar-SA"/>
        </w:rPr>
        <w:t xml:space="preserve">码头</w:t>
      </w:r>
      <w:r>
        <w:rPr>
          <w:rFonts w:hint="eastAsia" w:ascii="Times New Roman" w:hAnsi="Times New Roman" w:eastAsia="宋体" w:cs="Times New Roman"/>
          <w:b w:val="0"/>
          <w:bCs/>
          <w:color w:val="auto"/>
          <w:sz w:val="24"/>
          <w:szCs w:val="24"/>
          <w:highlight w:val="none"/>
          <w:lang w:val="en-US" w:eastAsia="zh-CN" w:bidi="ar-SA"/>
        </w:rPr>
        <w:t xml:space="preserve">人员</w:t>
      </w:r>
      <w:r>
        <w:rPr>
          <w:rFonts w:hint="eastAsia" w:ascii="Times New Roman" w:hAnsi="Times New Roman" w:eastAsia="宋体" w:cs="Times New Roman"/>
          <w:b w:val="0"/>
          <w:bCs/>
          <w:color w:val="auto"/>
          <w:sz w:val="24"/>
          <w:szCs w:val="24"/>
          <w:highlight w:val="none"/>
          <w:lang w:val="en-US" w:eastAsia="zh" w:bidi="ar-SA"/>
        </w:rPr>
        <w:t xml:space="preserve">管理，根据码头人员信息，增加人员信息，录入人员姓名、电话等信息，实现码头人员与码头的一键绑定，支持对人员信息的删除和修改。</w:t>
      </w:r>
      <w:r/>
    </w:p>
    <w:p>
      <w:pPr>
        <w:pStyle w:val="999"/>
        <w:ind w:left="0" w:right="0" w:firstLine="480"/>
        <w:jc w:val="both"/>
        <w:pageBreakBefore w:val="0"/>
        <w:spacing w:before="0" w:beforeAutospacing="0" w:after="0" w:afterAutospacing="0" w:line="380" w:lineRule="exact"/>
        <w:widowControl/>
        <w:rPr>
          <w:rFonts w:hint="eastAsia" w:ascii="Times New Roman" w:hAnsi="Times New Roman" w:eastAsia="宋体" w:cs="Times New Roman"/>
          <w:b w:val="0"/>
          <w:bCs/>
          <w:color w:val="auto"/>
          <w:sz w:val="24"/>
          <w:szCs w:val="24"/>
          <w:highlight w:val="none"/>
          <w:lang w:val="en-US" w:eastAsia="zh-CN" w:bidi="ar-SA"/>
        </w:rPr>
        <w:outlineLvl w:val="9"/>
      </w:pPr>
      <w:r>
        <w:rPr>
          <w:rFonts w:hint="eastAsia" w:ascii="Times New Roman" w:hAnsi="Times New Roman" w:eastAsia="宋体" w:cs="Times New Roman"/>
          <w:b w:val="0"/>
          <w:bCs/>
          <w:color w:val="auto"/>
          <w:sz w:val="24"/>
          <w:szCs w:val="24"/>
          <w:highlight w:val="none"/>
          <w:lang w:val="en-US" w:eastAsia="zh" w:bidi="ar-SA"/>
        </w:rPr>
        <w:t xml:space="preserve">码头设施管理，对码头所属的设施进行新增，修改，删除。建立码头和设施的从属关系。</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1.2.7</w:t>
      </w:r>
      <w:r>
        <w:rPr>
          <w:rFonts w:hint="eastAsia" w:ascii="宋体" w:hAnsi="宋体" w:eastAsia="宋体" w:cs="宋体"/>
          <w:b/>
          <w:bCs w:val="0"/>
          <w:color w:val="auto"/>
          <w:sz w:val="24"/>
          <w:szCs w:val="24"/>
          <w:highlight w:val="none"/>
        </w:rPr>
        <w:t xml:space="preserve"> 业务协同</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加强城管、交通、公安、生态环境等部门的业务协同，发现问题可及时上传至业务协同模块，各部门通过模块共享信息并开展各自处办工作，处办结果需反馈至模块形成闭环，同时加大对违规行为的处罚力度。​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通过横向跨部门、纵向层级间的数据共建共享，进一步拓宽公安、交通、环保等部门的执法线索渠道，让企业单位的违法违规行为更易被发现，有效增加其违法成本，强化消纳场监管震慑力。</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1.2.7.1</w:t>
      </w:r>
      <w:r>
        <w:rPr>
          <w:rFonts w:hint="eastAsia" w:ascii="宋体" w:hAnsi="宋体" w:eastAsia="宋体" w:cs="宋体"/>
          <w:b/>
          <w:bCs/>
          <w:color w:val="auto"/>
          <w:sz w:val="24"/>
          <w:szCs w:val="24"/>
          <w:highlight w:val="none"/>
        </w:rPr>
        <w:t xml:space="preserve">跨部门事件归集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1.2.7.1.1</w:t>
      </w:r>
      <w:r>
        <w:rPr>
          <w:rFonts w:hint="eastAsia" w:ascii="宋体" w:hAnsi="宋体" w:eastAsia="宋体" w:cs="宋体"/>
          <w:b/>
          <w:bCs/>
          <w:color w:val="auto"/>
          <w:sz w:val="24"/>
          <w:szCs w:val="24"/>
          <w:highlight w:val="none"/>
        </w:rPr>
        <w:t xml:space="preserve"> 执法事件汇总</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住建、公安、生态环境、扬州市市域社会治理现代化指挥中心等部门的执法处罚事件进行汇总。可按照区域、时间等维度对这些处罚事件开展汇总分析，并通过可视化图表的方式进行展现，辅助监管部门直观掌握整体执法概况，提升监管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1.2.7.1.2</w:t>
      </w:r>
      <w:r>
        <w:rPr>
          <w:rFonts w:hint="eastAsia" w:ascii="宋体" w:hAnsi="宋体" w:eastAsia="宋体" w:cs="宋体"/>
          <w:b/>
          <w:bCs/>
          <w:color w:val="auto"/>
          <w:sz w:val="24"/>
          <w:szCs w:val="24"/>
          <w:highlight w:val="none"/>
        </w:rPr>
        <w:t xml:space="preserve"> 巡查问题汇总</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住建、公安、生态环境、扬州市市域社会治理现代化指挥中心等部门在日常巡查过程中发现的问题进行汇总。可按照区域、时间等维度对这些巡查问题开展汇总分析，并通过可视化图表的方式进行展现，辅助监管部门直观掌握整体巡查概况，为后续问题整改与监管优化提供支撑。</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w:t>
      </w:r>
      <w:r>
        <w:rPr>
          <w:rFonts w:hint="eastAsia" w:ascii="宋体" w:hAnsi="宋体" w:eastAsia="宋体" w:cs="宋体"/>
          <w:b/>
          <w:bCs/>
          <w:color w:val="auto"/>
          <w:sz w:val="24"/>
          <w:szCs w:val="24"/>
          <w:highlight w:val="none"/>
        </w:rPr>
        <w:t xml:space="preserve">智能识别管理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车辆智能识别环节，需将车辆轨迹等数据实时对接并共享至平台。通过该平台，实现车辆实际行驶路线与已绑定的工地信息、处置核准信息、通行证信息所关联的路线进行比对，从而判定车辆是否按照相关核准要求行驶，若存在不符情况则及时发出预警，保障车辆运输合规性。</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1.2.7.2.1</w:t>
      </w:r>
      <w:r>
        <w:rPr>
          <w:rFonts w:hint="eastAsia" w:ascii="宋体" w:hAnsi="宋体" w:eastAsia="宋体" w:cs="宋体"/>
          <w:b/>
          <w:bCs/>
          <w:color w:val="auto"/>
          <w:sz w:val="24"/>
          <w:szCs w:val="24"/>
          <w:highlight w:val="none"/>
        </w:rPr>
        <w:t xml:space="preserve"> 非获批工地预警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通过日常巡查、执法巡查等渠道，实现对黑工地发现预警。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1.2.7.2.2</w:t>
      </w:r>
      <w:r>
        <w:rPr>
          <w:rFonts w:hint="eastAsia" w:ascii="宋体" w:hAnsi="宋体" w:eastAsia="宋体" w:cs="宋体"/>
          <w:b/>
          <w:bCs/>
          <w:color w:val="auto"/>
          <w:sz w:val="24"/>
          <w:szCs w:val="24"/>
          <w:highlight w:val="none"/>
        </w:rPr>
        <w:t xml:space="preserve"> 非正规消纳点预警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通过日常巡查、执法巡查、投诉举报等渠道，实现对黑消纳场发现预警。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1.2.7.2.3</w:t>
      </w:r>
      <w:r>
        <w:rPr>
          <w:rFonts w:hint="eastAsia" w:ascii="宋体" w:hAnsi="宋体" w:eastAsia="宋体" w:cs="宋体"/>
          <w:b/>
          <w:bCs/>
          <w:color w:val="auto"/>
          <w:sz w:val="24"/>
          <w:szCs w:val="24"/>
          <w:highlight w:val="none"/>
        </w:rPr>
        <w:t xml:space="preserve"> 夜间禁行时段行驶预警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针对如22时至6时期间渣土车运行的情况进行预警。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1.2.7.2.4</w:t>
      </w:r>
      <w:r>
        <w:rPr>
          <w:rFonts w:hint="eastAsia" w:ascii="宋体" w:hAnsi="宋体" w:eastAsia="宋体" w:cs="宋体"/>
          <w:b/>
          <w:bCs/>
          <w:color w:val="auto"/>
          <w:sz w:val="24"/>
          <w:szCs w:val="24"/>
          <w:highlight w:val="none"/>
        </w:rPr>
        <w:t xml:space="preserve"> 未如实填报电子联单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通过运输人员实际信息、车辆卫星定位数据和装卸货地进行比对，发现数据异常。</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1.2.7.2.5</w:t>
      </w:r>
      <w:r>
        <w:rPr>
          <w:rFonts w:hint="eastAsia" w:ascii="宋体" w:hAnsi="宋体" w:eastAsia="宋体" w:cs="宋体"/>
          <w:b/>
          <w:bCs/>
          <w:color w:val="auto"/>
          <w:sz w:val="24"/>
          <w:szCs w:val="24"/>
          <w:highlight w:val="none"/>
        </w:rPr>
        <w:t xml:space="preserve"> 卫星定位不在线的车辆经营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车辆从事运输业务卫星定位未保持在线状态，进行预警。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1.2.7.2.6</w:t>
      </w:r>
      <w:r>
        <w:rPr>
          <w:rFonts w:hint="eastAsia" w:ascii="宋体" w:hAnsi="宋体" w:eastAsia="宋体" w:cs="宋体"/>
          <w:b/>
          <w:bCs/>
          <w:color w:val="auto"/>
          <w:sz w:val="24"/>
          <w:szCs w:val="24"/>
          <w:highlight w:val="none"/>
        </w:rPr>
        <w:t xml:space="preserve"> 车辆通行证异常预警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对车辆无通行证信息异常情况进行预警。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1.2.7.2.7</w:t>
      </w:r>
      <w:r>
        <w:rPr>
          <w:rFonts w:hint="eastAsia" w:ascii="宋体" w:hAnsi="宋体" w:eastAsia="宋体" w:cs="宋体"/>
          <w:b/>
          <w:bCs/>
          <w:color w:val="auto"/>
          <w:sz w:val="24"/>
          <w:szCs w:val="24"/>
          <w:highlight w:val="none"/>
        </w:rPr>
        <w:t xml:space="preserve"> 车辆异常逗留徘徊计算</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计算车辆运行位置是否在一定范围内长时间异常逗留、徘徊的行为，进行预警。</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1.2.7.3</w:t>
      </w:r>
      <w:r>
        <w:rPr>
          <w:rFonts w:hint="eastAsia" w:ascii="宋体" w:hAnsi="宋体" w:eastAsia="宋体" w:cs="宋体"/>
          <w:b/>
          <w:bCs/>
          <w:color w:val="auto"/>
          <w:sz w:val="24"/>
          <w:szCs w:val="24"/>
          <w:highlight w:val="none"/>
        </w:rPr>
        <w:t xml:space="preserve">投诉举报管理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通过对接12345、12319等投诉举报信息，获取对于建筑垃圾源头、运输、处置等全环节的投诉举报业务信息，并将信息下发至属地管理部门进行实地处理。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w:t>
      </w:r>
      <w:r>
        <w:rPr>
          <w:rFonts w:hint="eastAsia" w:ascii="宋体" w:hAnsi="宋体" w:eastAsia="宋体" w:cs="宋体"/>
          <w:b/>
          <w:bCs/>
          <w:color w:val="auto"/>
          <w:sz w:val="24"/>
          <w:szCs w:val="24"/>
          <w:highlight w:val="none"/>
        </w:rPr>
        <w:t xml:space="preserve">线索流转</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w:t>
      </w:r>
      <w:r>
        <w:rPr>
          <w:rFonts w:hint="eastAsia" w:ascii="宋体" w:hAnsi="宋体" w:eastAsia="宋体" w:cs="宋体"/>
          <w:b/>
          <w:bCs/>
          <w:color w:val="auto"/>
          <w:sz w:val="24"/>
          <w:szCs w:val="24"/>
          <w:highlight w:val="none"/>
        </w:rPr>
        <w:t xml:space="preserve"> 线索属地研判</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1.2.7.4.1.1</w:t>
      </w:r>
      <w:r>
        <w:rPr>
          <w:rFonts w:hint="eastAsia" w:ascii="宋体" w:hAnsi="宋体" w:eastAsia="宋体" w:cs="宋体"/>
          <w:b/>
          <w:bCs/>
          <w:color w:val="auto"/>
          <w:sz w:val="24"/>
          <w:szCs w:val="24"/>
          <w:highlight w:val="none"/>
        </w:rPr>
        <w:t xml:space="preserve">提醒单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属地工作人员基于结果进行研判后，可选择生成线索提醒单；运输企业安全监管人员需对提醒单进行核实并开展处置工作，系统实时记录整个处置过程，形成完整管理闭环。此外，对于长时间未处置的提醒单，系统会自动发出提醒，督促相关人员及时处理。</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1.2.7.4.1.2</w:t>
      </w:r>
      <w:r>
        <w:rPr>
          <w:rFonts w:hint="eastAsia" w:ascii="宋体" w:hAnsi="宋体" w:eastAsia="宋体" w:cs="宋体"/>
          <w:b/>
          <w:bCs/>
          <w:color w:val="auto"/>
          <w:sz w:val="24"/>
          <w:szCs w:val="24"/>
          <w:highlight w:val="none"/>
        </w:rPr>
        <w:t xml:space="preserve">预工单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属地工作人员结合实际场景研判后，可选择将相关线索生成预工单，随后预工单数据将流转至数字城管系统，由执法人员依据预工单信息开展具体的处置工作，保障异常问题有序推进解决。</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1.2.7.4.1.3</w:t>
      </w:r>
      <w:r>
        <w:rPr>
          <w:rFonts w:hint="eastAsia" w:ascii="宋体" w:hAnsi="宋体" w:eastAsia="宋体" w:cs="宋体"/>
          <w:b/>
          <w:bCs/>
          <w:color w:val="auto"/>
          <w:sz w:val="24"/>
          <w:szCs w:val="24"/>
          <w:highlight w:val="none"/>
        </w:rPr>
        <w:t xml:space="preserve">整改单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属地工作人员结合实际情况进行研判后，可选择将线索生成整改单，并转入数字城管系统；同时系统会实时记录整个处置过程，形成完整的管理闭环。</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1.2.7.4.1.4</w:t>
      </w:r>
      <w:r>
        <w:rPr>
          <w:rFonts w:hint="eastAsia" w:ascii="宋体" w:hAnsi="宋体" w:eastAsia="宋体" w:cs="宋体"/>
          <w:b/>
          <w:bCs/>
          <w:color w:val="auto"/>
          <w:sz w:val="24"/>
          <w:szCs w:val="24"/>
          <w:highlight w:val="none"/>
        </w:rPr>
        <w:t xml:space="preserve">抄告单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针对外地在扬经营车辆，外地车辆违法违规行为，抄告至属地处理，实现外地车辆闭环管理。</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1.2.7.4.1.5</w:t>
      </w:r>
      <w:r>
        <w:rPr>
          <w:rFonts w:hint="eastAsia" w:ascii="宋体" w:hAnsi="宋体" w:eastAsia="宋体" w:cs="宋体"/>
          <w:b/>
          <w:bCs/>
          <w:color w:val="auto"/>
          <w:sz w:val="24"/>
          <w:szCs w:val="24"/>
          <w:highlight w:val="none"/>
        </w:rPr>
        <w:t xml:space="preserve">线索处置退回</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对下发给属地进行研判的线索，属地判断</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署于本地管辖的情况，可进行研判退回平台，平台通过人工干预重新派发。</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1.2.7.4.1.6</w:t>
      </w:r>
      <w:r>
        <w:rPr>
          <w:rFonts w:hint="eastAsia" w:ascii="宋体" w:hAnsi="宋体" w:eastAsia="宋体" w:cs="宋体"/>
          <w:b/>
          <w:bCs/>
          <w:color w:val="auto"/>
          <w:sz w:val="24"/>
          <w:szCs w:val="24"/>
          <w:highlight w:val="none"/>
        </w:rPr>
        <w:t xml:space="preserve">驾驶员线索信息下发</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通过小程序将违法违规行为下发至驾驶员，提示驾驶员当前存在的违法违规行为。</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线索处置监测</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1.2.7.4.2.1</w:t>
      </w:r>
      <w:r>
        <w:rPr>
          <w:rFonts w:hint="eastAsia" w:ascii="宋体" w:hAnsi="宋体" w:eastAsia="宋体" w:cs="宋体"/>
          <w:b/>
          <w:bCs/>
          <w:color w:val="auto"/>
          <w:sz w:val="24"/>
          <w:szCs w:val="24"/>
          <w:highlight w:val="none"/>
        </w:rPr>
        <w:t xml:space="preserve">预工单管理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查看预工单处理的反馈状态。</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1.2.7.4.2.2</w:t>
      </w:r>
      <w:r>
        <w:rPr>
          <w:rFonts w:hint="eastAsia" w:ascii="宋体" w:hAnsi="宋体" w:eastAsia="宋体" w:cs="宋体"/>
          <w:b/>
          <w:bCs/>
          <w:color w:val="auto"/>
          <w:sz w:val="24"/>
          <w:szCs w:val="24"/>
          <w:highlight w:val="none"/>
        </w:rPr>
        <w:t xml:space="preserve">提醒单管理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查看提醒单处理的反馈状态。</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1.2.7.4.2.3</w:t>
      </w:r>
      <w:r>
        <w:rPr>
          <w:rFonts w:hint="eastAsia" w:ascii="宋体" w:hAnsi="宋体" w:eastAsia="宋体" w:cs="宋体"/>
          <w:b/>
          <w:bCs/>
          <w:color w:val="auto"/>
          <w:sz w:val="24"/>
          <w:szCs w:val="24"/>
          <w:highlight w:val="none"/>
        </w:rPr>
        <w:t xml:space="preserve">整改单管理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查看整改单处理的反馈状态。</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1.2.7.4.2.4</w:t>
      </w:r>
      <w:r>
        <w:rPr>
          <w:rFonts w:hint="eastAsia" w:ascii="宋体" w:hAnsi="宋体" w:eastAsia="宋体" w:cs="宋体"/>
          <w:b/>
          <w:bCs/>
          <w:color w:val="auto"/>
          <w:sz w:val="24"/>
          <w:szCs w:val="24"/>
          <w:highlight w:val="none"/>
        </w:rPr>
        <w:t xml:space="preserve">线索处理异常提醒</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对将超期的线索未处理、未完成处理的情况进行提醒。</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1.2.7.4.2.5</w:t>
      </w:r>
      <w:r>
        <w:rPr>
          <w:rFonts w:hint="eastAsia" w:ascii="宋体" w:hAnsi="宋体" w:eastAsia="宋体" w:cs="宋体"/>
          <w:b/>
          <w:bCs/>
          <w:color w:val="auto"/>
          <w:sz w:val="24"/>
          <w:szCs w:val="24"/>
          <w:highlight w:val="none"/>
        </w:rPr>
        <w:t xml:space="preserve">人工干预处理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对退回的线索处置工单，进行人工干预重新派发。</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1.2.8</w:t>
      </w:r>
      <w:r>
        <w:rPr>
          <w:rFonts w:hint="eastAsia" w:ascii="宋体" w:hAnsi="宋体" w:eastAsia="宋体" w:cs="宋体"/>
          <w:b/>
          <w:bCs w:val="0"/>
          <w:color w:val="auto"/>
          <w:sz w:val="24"/>
          <w:szCs w:val="24"/>
          <w:highlight w:val="none"/>
        </w:rPr>
        <w:t xml:space="preserve"> 执法监管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加强建筑垃圾涉及管理部门的跨专业、跨部门横向联系，一方面建立日常巡查机制，切实压实各板块责任；另一方面汇集各部门、各条线处罚数据，开展综合分析研判。通过积极推动城管、住建、公安交警、交通运输、城管执法等部门间的信息资源共享与政务协同，进一步增强对全市建筑垃圾管理工作的统抓统管、指挥协调和监督考核能力，实现渣土治理问题的闭环处理，凝聚形成高效治理合力。</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w:t>
      </w:r>
      <w:r>
        <w:rPr>
          <w:rFonts w:hint="eastAsia" w:ascii="宋体" w:hAnsi="宋体" w:eastAsia="宋体" w:cs="宋体"/>
          <w:b/>
          <w:bCs/>
          <w:color w:val="auto"/>
          <w:sz w:val="24"/>
          <w:szCs w:val="24"/>
          <w:highlight w:val="none"/>
        </w:rPr>
        <w:t xml:space="preserve">日常巡查管理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日常巡查管理子系统实现对工地、消纳场所、易发多发点位的分级分类巡查管理，工作人员可通过 小程序 对工地与车辆进行识别判定，发现违规工地、车辆后及时上报处理。平台根据问题性质将工单派发给对应部门处理，各部门需在有效期内将处理结果反馈至平台，最终形成 “发现问题 - 解决问题” 的闭环管理。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1.2.8.1.1</w:t>
      </w:r>
      <w:r>
        <w:rPr>
          <w:rFonts w:hint="eastAsia" w:ascii="宋体" w:hAnsi="宋体" w:eastAsia="宋体" w:cs="宋体"/>
          <w:b/>
          <w:bCs/>
          <w:color w:val="auto"/>
          <w:sz w:val="24"/>
          <w:szCs w:val="24"/>
          <w:highlight w:val="none"/>
        </w:rPr>
        <w:t xml:space="preserve"> 问题标签化管理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问题巡查管理中，对所有问题实行标签化管理，巡查人员在提交巡查问题前需先确认问题类型，并将问题标签与取证信息（如执法检查照片等）同步传输至工单流转中心，确保问题信息完整对应。同时，系统支持巡查人员在巡查过程中查看工地相关的备案信息、核准资料，以及与该工地关联的运输车辆等情况，为问题判定与上报提供数据支撑。</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1.2.8.1.2</w:t>
      </w:r>
      <w:r>
        <w:rPr>
          <w:rFonts w:hint="eastAsia" w:ascii="宋体" w:hAnsi="宋体" w:eastAsia="宋体" w:cs="宋体"/>
          <w:b/>
          <w:bCs/>
          <w:color w:val="auto"/>
          <w:sz w:val="24"/>
          <w:szCs w:val="24"/>
          <w:highlight w:val="none"/>
        </w:rPr>
        <w:t xml:space="preserve"> 巡查结果查看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系统对 “两点一线” 巡查管理 小程序的线下巡查问题进行统一信息收集与汇总，通过不同问题标签将巡查结果以列表形式展示，清晰呈现巡查实时上传的文字、图片、GIS 信息等详细内容。同时，系统支持通过选择不同问题标签类别、巡查时间、巡查地点等查询条件，对巡查结果进行精准筛选与查看。此外，系统会将建筑垃圾违法违规处置行为的监测预警信息推送至执法人员小程序，助力提升执法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1.2.8.1.3</w:t>
      </w:r>
      <w:r>
        <w:rPr>
          <w:rFonts w:hint="eastAsia" w:ascii="宋体" w:hAnsi="宋体" w:eastAsia="宋体" w:cs="宋体"/>
          <w:b/>
          <w:bCs/>
          <w:color w:val="auto"/>
          <w:sz w:val="24"/>
          <w:szCs w:val="24"/>
          <w:highlight w:val="none"/>
        </w:rPr>
        <w:t xml:space="preserve"> 工单流转</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工单流转现所有巡查问题的集中处理，方便工作人员及时追踪工单处理进度。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1.2.8.1.4</w:t>
      </w:r>
      <w:r>
        <w:rPr>
          <w:rFonts w:hint="eastAsia" w:ascii="宋体" w:hAnsi="宋体" w:eastAsia="宋体" w:cs="宋体"/>
          <w:b/>
          <w:bCs/>
          <w:color w:val="auto"/>
          <w:sz w:val="24"/>
          <w:szCs w:val="24"/>
          <w:highlight w:val="none"/>
        </w:rPr>
        <w:t xml:space="preserve"> 问题反馈管理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针对工单流转中心派发的问题工单，为工单处理全流程留存数据依据。</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1.2.8.1.5</w:t>
      </w:r>
      <w:r>
        <w:rPr>
          <w:rFonts w:hint="eastAsia" w:ascii="宋体" w:hAnsi="宋体" w:eastAsia="宋体" w:cs="宋体"/>
          <w:b/>
          <w:bCs/>
          <w:color w:val="auto"/>
          <w:sz w:val="24"/>
          <w:szCs w:val="24"/>
          <w:highlight w:val="none"/>
        </w:rPr>
        <w:t xml:space="preserve"> 日常巡查看板</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用数据分析及数据挖掘技术，系统可基于问题统计分析报表，生成各产生点、运输队伍、运输车辆的考核得分，支持日、周、月、季、年等固定时间维度，也可自定义时间区间查询统计；按问题类型统计，对交通运输类、环保类问题开展分析，查看各类型问题数据占比及变化趋势；按问题整改率统计，实现各类型问题整改结果分析，包括整改案件数量、整改率及整改率排名统计。</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w:t>
      </w:r>
      <w:r>
        <w:rPr>
          <w:rFonts w:hint="eastAsia" w:ascii="宋体" w:hAnsi="宋体" w:eastAsia="宋体" w:cs="宋体"/>
          <w:b/>
          <w:bCs/>
          <w:color w:val="auto"/>
          <w:sz w:val="24"/>
          <w:szCs w:val="24"/>
          <w:highlight w:val="none"/>
        </w:rPr>
        <w:t xml:space="preserve">量化考核管理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考核管理实现对消纳场所日常性考核情况的智能化管理，通过建立明确的考核标准、规范的考核表以及标准化的考核流程，达成对日常考核工作的规范化管控，同时为后期高效开展考核结果的统计分析工作提供便利。</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1.2.8.2.1</w:t>
      </w:r>
      <w:r>
        <w:rPr>
          <w:rFonts w:hint="eastAsia" w:ascii="宋体" w:hAnsi="宋体" w:eastAsia="宋体" w:cs="宋体"/>
          <w:b/>
          <w:bCs/>
          <w:color w:val="auto"/>
          <w:sz w:val="24"/>
          <w:szCs w:val="24"/>
          <w:highlight w:val="none"/>
        </w:rPr>
        <w:t xml:space="preserve"> 考核对象管理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将对消纳场所的考核进行数据库管理，对接基础信息库，全面覆盖建筑垃圾处置各环节。</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1.2.8.2.2</w:t>
      </w:r>
      <w:r>
        <w:rPr>
          <w:rFonts w:hint="eastAsia" w:ascii="宋体" w:hAnsi="宋体" w:eastAsia="宋体" w:cs="宋体"/>
          <w:b/>
          <w:bCs/>
          <w:color w:val="auto"/>
          <w:sz w:val="24"/>
          <w:szCs w:val="24"/>
          <w:highlight w:val="none"/>
        </w:rPr>
        <w:t xml:space="preserve"> 考核标准管理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将消纳场所现有考核标准进行录入，并进行版本管理，标准进行实时更新。现场考核工作根据标准进行扣分管理。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1.2.8.2.3</w:t>
      </w:r>
      <w:r>
        <w:rPr>
          <w:rFonts w:hint="eastAsia" w:ascii="宋体" w:hAnsi="宋体" w:eastAsia="宋体" w:cs="宋体"/>
          <w:b/>
          <w:bCs/>
          <w:color w:val="auto"/>
          <w:sz w:val="24"/>
          <w:szCs w:val="24"/>
          <w:highlight w:val="none"/>
        </w:rPr>
        <w:t xml:space="preserve"> 考核任务管理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在消纳场所考核管理中，下发任务给信息采集员，由其检查工地开工状态并上传至平台。管理部门考核内容确定公平、公正，确保作业考核的覆盖率和科学性。</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1.2.8.2.4</w:t>
      </w:r>
      <w:r>
        <w:rPr>
          <w:rFonts w:hint="eastAsia" w:ascii="宋体" w:hAnsi="宋体" w:eastAsia="宋体" w:cs="宋体"/>
          <w:b/>
          <w:bCs/>
          <w:color w:val="auto"/>
          <w:sz w:val="24"/>
          <w:szCs w:val="24"/>
          <w:highlight w:val="none"/>
        </w:rPr>
        <w:t xml:space="preserve"> 量化考核看板</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消纳场所考核管理中，运用数据分析及数据挖掘技术，系统可基于问题统计分析报表，精准得出各消纳场所的考核得分。同时，能深度分析建筑垃圾管理中存在的突出问题，并挖掘各问题高发的时间段；结合各单位历史考核得分，可对其作业质量进行科学评估，为后续管理优化提供数据支撑。</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1.2.8.3</w:t>
      </w:r>
      <w:r>
        <w:rPr>
          <w:rFonts w:hint="eastAsia" w:ascii="宋体" w:hAnsi="宋体" w:eastAsia="宋体" w:cs="宋体"/>
          <w:b/>
          <w:bCs/>
          <w:color w:val="auto"/>
          <w:sz w:val="24"/>
          <w:szCs w:val="24"/>
          <w:highlight w:val="none"/>
        </w:rPr>
        <w:t xml:space="preserve">重点区域管理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通过归集日常巡查结果、历史违法违规记录等信息，可完成重点管理区域的划定工作。同时，系统支持数据上图功能，能在监管端直观显示重点区域相关数据，方便监管人员实时掌握区域情况。</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1.2.9</w:t>
      </w:r>
      <w:r>
        <w:rPr>
          <w:rFonts w:hint="eastAsia" w:ascii="宋体" w:hAnsi="宋体" w:eastAsia="宋体" w:cs="宋体"/>
          <w:b/>
          <w:bCs w:val="0"/>
          <w:color w:val="auto"/>
          <w:sz w:val="24"/>
          <w:szCs w:val="24"/>
          <w:highlight w:val="none"/>
        </w:rPr>
        <w:t xml:space="preserve"> 研判分析</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1.2.9.1</w:t>
      </w:r>
      <w:r>
        <w:rPr>
          <w:rFonts w:hint="eastAsia" w:ascii="宋体" w:hAnsi="宋体" w:eastAsia="宋体" w:cs="宋体"/>
          <w:b/>
          <w:bCs/>
          <w:color w:val="auto"/>
          <w:sz w:val="24"/>
          <w:szCs w:val="24"/>
          <w:highlight w:val="none"/>
        </w:rPr>
        <w:t xml:space="preserve">源头分析研判</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可实现基础设施汇总统计，具体包括按区域维度、规模维度对工地进行统计，按车辆数量对运输单位进行统计，按区域对消纳场进行统计等。同时，能生成工地进出车次的时间维度报表，并根据车辆核定载重估算工地日出土量；通过对比分析工地道闸刷卡记录与开启记录，依据两者比例判断工地是否存在违章嫌疑。此外，还支持各类证件审核结果的统计分析，可从审核状态、时间、区域、证件类型等多维度开展统计，全面掌握证件审核情况。</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1.2.9.2</w:t>
      </w:r>
      <w:r>
        <w:rPr>
          <w:rFonts w:hint="eastAsia" w:ascii="宋体" w:hAnsi="宋体" w:eastAsia="宋体" w:cs="宋体"/>
          <w:b/>
          <w:bCs/>
          <w:color w:val="auto"/>
          <w:sz w:val="24"/>
          <w:szCs w:val="24"/>
          <w:highlight w:val="none"/>
        </w:rPr>
        <w:t xml:space="preserve">运输分析研判</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综合信息详情看板旨在通过一张图综合展示车辆信息，看板所展示的内容可根据用户需求进行自定义配置，方便用户直观获取管理所需的关键信息。该看板能实现车辆作业结果汇总，汇总信息涵盖车辆车牌号、排放点信息、运输路线、消纳点信息、运输里程、运输重量、运输趟数。若作业结果中存在信息不完整的情况，系统会进行标注显示，并形成不规范作业汇总表，表中所列名单将作为重点巡查对象。同时，看板还会汇总工地进出口、巡查过程中发现的黑车信息与黑工地信息，派发给对应管理部门的管理人员，且这些违章信息将作为企业信用与个人信用管理的依据。</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1.2.9.3</w:t>
      </w:r>
      <w:r>
        <w:rPr>
          <w:rFonts w:hint="eastAsia" w:ascii="宋体" w:hAnsi="宋体" w:eastAsia="宋体" w:cs="宋体"/>
          <w:b/>
          <w:bCs/>
          <w:color w:val="auto"/>
          <w:sz w:val="24"/>
          <w:szCs w:val="24"/>
          <w:highlight w:val="none"/>
        </w:rPr>
        <w:t xml:space="preserve">处置分析研判</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可统计消纳场进出车次，将其作为渣土车辆作业结果的结账依据，辅助开展消纳场处理能力变化趋势管理。此外，能汇总统计违规车辆信息，涵盖车辆基础信息、取证信息与时间信息，也可汇总统计黑工地信息，包括工地基础信息、取证信息与时间信息。还能结合消纳场规划容量、进入车辆入土称重数据、离开车辆出土称重数据，统计分析消纳场剩余库容，并形成剩余库容趋势预测预警，为消纳场运营管理提供数据支撑。</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1.2.10</w:t>
      </w:r>
      <w:r>
        <w:rPr>
          <w:rFonts w:hint="eastAsia" w:ascii="宋体" w:hAnsi="宋体" w:eastAsia="宋体" w:cs="宋体"/>
          <w:b/>
          <w:bCs w:val="0"/>
          <w:color w:val="auto"/>
          <w:sz w:val="24"/>
          <w:szCs w:val="24"/>
          <w:highlight w:val="none"/>
        </w:rPr>
        <w:t xml:space="preserve">建筑垃圾数治驾驶舱</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1.2.10.1</w:t>
      </w:r>
      <w:r>
        <w:rPr>
          <w:rFonts w:hint="eastAsia" w:ascii="宋体" w:hAnsi="宋体" w:eastAsia="宋体" w:cs="宋体"/>
          <w:b/>
          <w:bCs/>
          <w:color w:val="auto"/>
          <w:sz w:val="24"/>
          <w:szCs w:val="24"/>
          <w:highlight w:val="none"/>
        </w:rPr>
        <w:t xml:space="preserve">企业监测</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1.2.10.1.1</w:t>
      </w:r>
      <w:r>
        <w:rPr>
          <w:rFonts w:hint="eastAsia" w:ascii="宋体" w:hAnsi="宋体" w:eastAsia="宋体" w:cs="宋体"/>
          <w:b/>
          <w:bCs/>
          <w:color w:val="auto"/>
          <w:sz w:val="24"/>
          <w:szCs w:val="24"/>
          <w:highlight w:val="none"/>
        </w:rPr>
        <w:t xml:space="preserve">企业运单概览</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实现企业运单情况监测。支持展示产废企业数量、运输企业数量、运输车辆数量、处置企业数量、中转站数量、码头船只数量</w:t>
      </w:r>
      <w:r>
        <w:rPr>
          <w:rFonts w:hint="eastAsia" w:ascii="宋体" w:hAnsi="宋体" w:eastAsia="宋体" w:cs="宋体"/>
          <w:color w:val="auto"/>
          <w:sz w:val="24"/>
          <w:szCs w:val="24"/>
          <w:highlight w:val="none"/>
          <w:lang w:eastAsia="zh-CN"/>
        </w:rPr>
        <w:t xml:space="preserve">。</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1.2.10.1.2</w:t>
      </w:r>
      <w:r>
        <w:rPr>
          <w:rFonts w:hint="eastAsia" w:ascii="宋体" w:hAnsi="宋体" w:eastAsia="宋体" w:cs="宋体"/>
          <w:b/>
          <w:bCs/>
          <w:color w:val="auto"/>
          <w:sz w:val="24"/>
          <w:szCs w:val="24"/>
          <w:highlight w:val="none"/>
        </w:rPr>
        <w:t xml:space="preserve">本地企业辖区分级分类指标监测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根据数字化标签，统计包括全市概况展示可视化页面、实时数据功能、关键指标并做呈现。</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1.2.10.2</w:t>
      </w:r>
      <w:r>
        <w:rPr>
          <w:rFonts w:hint="eastAsia" w:ascii="宋体" w:hAnsi="宋体" w:eastAsia="宋体" w:cs="宋体"/>
          <w:b/>
          <w:bCs/>
          <w:color w:val="auto"/>
          <w:sz w:val="24"/>
          <w:szCs w:val="24"/>
          <w:highlight w:val="none"/>
        </w:rPr>
        <w:t xml:space="preserve">建筑垃圾一张图</w:t>
      </w:r>
      <w:r/>
    </w:p>
    <w:p>
      <w:pPr>
        <w:numPr>
          <w:ilvl w:val="3"/>
          <w:numId w:val="0"/>
        </w:numPr>
        <w:ind w:left="0" w:firstLine="480"/>
        <w:jc w:val="both"/>
        <w:pageBreakBefore w:val="0"/>
        <w:spacing w:before="0" w:after="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通过一张图全面综合展示扬州市建筑垃圾总体概况。图中整合呈现建筑垃圾量、备案信息、核准情况、车辆轨迹、消纳处置场所运行状态等核心内容，为建筑垃圾监管工作提供直观、全面的 “作战一张图” 支撑，助力高效开展监管决策。支持展示监控摄像头在离线数量、覆盖行政区数量、今日累计运输车次、当前在途车辆数；支持展示车辆线路偏离预警、实时在线车辆数量、实时电子联单统计；支持展示今日运输垃圾总量、今日运输垃圾类型分类统计、在途车辆数量统计；支持展示平均运输合规率、平均运输时长、路线偏离次数统计；</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w:t>
      </w:r>
      <w:r>
        <w:rPr>
          <w:rFonts w:hint="eastAsia" w:ascii="宋体" w:hAnsi="宋体" w:eastAsia="宋体" w:cs="宋体"/>
          <w:b/>
          <w:bCs/>
          <w:color w:val="auto"/>
          <w:sz w:val="24"/>
          <w:szCs w:val="24"/>
          <w:highlight w:val="none"/>
        </w:rPr>
        <w:t xml:space="preserve">特色应用场景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1.2.10.3.1</w:t>
      </w:r>
      <w:r>
        <w:rPr>
          <w:rFonts w:hint="eastAsia" w:ascii="宋体" w:hAnsi="宋体" w:eastAsia="宋体" w:cs="宋体"/>
          <w:b/>
          <w:bCs/>
          <w:color w:val="auto"/>
          <w:sz w:val="24"/>
          <w:szCs w:val="24"/>
          <w:highlight w:val="none"/>
        </w:rPr>
        <w:t xml:space="preserve">建筑垃圾流向流量溯源分析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大数据分析渣土车辆运行轨迹的起点、终点及运输重量，结合工地与归集点的地图位置信息，与数据库中的正规场所信息进行对比核查，判断车辆高频次停车点是否为正规排放点或消纳点。针对非正规场所，系统自动输出可疑黑工地、黑消纳点名单，并将名单推送至执法人员手持端（贴心城管小程序），指导执法人员开展现场巡查查证工作，提升对违法违规场所的识别与管控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1.2.10.3.2</w:t>
      </w:r>
      <w:r>
        <w:rPr>
          <w:rFonts w:hint="eastAsia" w:ascii="宋体" w:hAnsi="宋体" w:eastAsia="宋体" w:cs="宋体"/>
          <w:b/>
          <w:bCs/>
          <w:color w:val="auto"/>
          <w:sz w:val="24"/>
          <w:szCs w:val="24"/>
          <w:highlight w:val="none"/>
        </w:rPr>
        <w:t xml:space="preserve">建筑垃圾产生热力分析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通过对建筑垃圾产生点的产生量、GIS位置等信息，形成建筑垃圾产生热力图，直观从地图判断建筑垃圾的大量、高频产生地点，聚焦重点产生区域进行重点管理。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1.2.10.3.3</w:t>
      </w:r>
      <w:r>
        <w:rPr>
          <w:rFonts w:hint="eastAsia" w:ascii="宋体" w:hAnsi="宋体" w:eastAsia="宋体" w:cs="宋体"/>
          <w:b/>
          <w:bCs/>
          <w:color w:val="auto"/>
          <w:sz w:val="24"/>
          <w:szCs w:val="24"/>
          <w:highlight w:val="none"/>
        </w:rPr>
        <w:t xml:space="preserve">道路承载力分析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运输车辆定位设备采集的数据，可构建车辆运行位置的大数据体系，进而生成高任务量运输路线的热力图。该热力图能直观展示道路承载力情况，既便于研究现有核准运输路线的合理性，也能为新运输路线的开辟提供精准的数据支撑依据，助力优化运输路线规划。</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1.2.10.3.4</w:t>
      </w:r>
      <w:r>
        <w:rPr>
          <w:rFonts w:hint="eastAsia" w:ascii="宋体" w:hAnsi="宋体" w:eastAsia="宋体" w:cs="宋体"/>
          <w:b/>
          <w:bCs/>
          <w:color w:val="auto"/>
          <w:sz w:val="24"/>
          <w:szCs w:val="24"/>
          <w:highlight w:val="none"/>
        </w:rPr>
        <w:t xml:space="preserve">问题高发热力分析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根据巡查管理、考核管理、违规监管等功能发现的建筑垃圾问题进行热度分析，查看问题高发地点。</w:t>
      </w:r>
      <w:r/>
    </w:p>
    <w:p>
      <w:pPr>
        <w:ind w:left="0" w:right="0" w:firstLine="482"/>
        <w:jc w:val="both"/>
        <w:keepLines w:val="0"/>
        <w:keepNext w:val="0"/>
        <w:pageBreakBefore w:val="0"/>
        <w:spacing w:beforeAutospacing="0" w:afterAutospacing="0" w:line="380" w:lineRule="exact"/>
        <w:widowControl w:val="off"/>
        <w:rPr>
          <w:rFonts w:hint="eastAsia" w:ascii="宋体" w:hAnsi="宋体" w:cs="宋体"/>
          <w:b/>
          <w:bCs/>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建筑垃圾数治驾驶舱功能要求</w:t>
      </w:r>
      <w:r>
        <w:rPr>
          <w:rFonts w:hint="eastAsia" w:ascii="宋体" w:hAnsi="宋体" w:cs="宋体"/>
          <w:b/>
          <w:bCs/>
          <w:color w:val="auto"/>
          <w:sz w:val="24"/>
          <w:szCs w:val="24"/>
          <w:highlight w:val="none"/>
          <w:lang w:val="en-US" w:eastAsia="zh-CN" w:bidi="ar"/>
        </w:rPr>
        <w:t xml:space="preserve">（此项为演示项）：</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包括全市概况展示可视化页面、实时数据功能、关键指标功能等；支持展示产废企业数量、运输企业数量、运输车辆数量、处置企业数量、中转站数量、码头船只数量；支持展示监控摄像头在离线数量、覆盖行政区数量、今日累计运输车次、当前在途车辆数；支持展示车辆线路偏离预警、实时在线车辆数量、实时电子联单统计；支持展示今日运输垃圾总量、今日运输垃圾类型分类统计、在途车辆数量统计；支持展示平均运输合规率、平均运输时长、路线偏离次数统计</w:t>
      </w:r>
      <w:r>
        <w:rPr>
          <w:rFonts w:hint="eastAsia" w:ascii="宋体" w:hAnsi="宋体" w:cs="宋体"/>
          <w:color w:val="auto"/>
          <w:sz w:val="24"/>
          <w:szCs w:val="24"/>
          <w:highlight w:val="none"/>
          <w:lang w:val="en-US" w:eastAsia="zh-CN" w:bidi="ar"/>
        </w:rPr>
        <w:t xml:space="preserve">。</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1.2.11</w:t>
      </w:r>
      <w:r>
        <w:rPr>
          <w:rFonts w:hint="eastAsia" w:ascii="宋体" w:hAnsi="宋体" w:eastAsia="宋体" w:cs="宋体"/>
          <w:b/>
          <w:bCs w:val="0"/>
          <w:color w:val="auto"/>
          <w:sz w:val="24"/>
          <w:szCs w:val="24"/>
          <w:highlight w:val="none"/>
        </w:rPr>
        <w:t xml:space="preserve">移动端应用</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从使用角色角度搭建建筑垃圾移动服务平台，分为公众服务端与管理服务端，都基于“贴心城管”小程序下进行二次开发。公众服务端提供预约服务等功能，满足公众需求；管理移动端则面向业务人员，开发证件核查、业务监管、预警处置等工具，支撑日常工作。基于统一移动平台，实现公众服务端与管理端数据互通，推动案件流转标准化与办公处置便捷化，同时覆盖多种业务场景，以智慧化手段构建建筑垃圾共治共管格局，提升监管效能与服务水平。</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1.2.11.1</w:t>
      </w:r>
      <w:r>
        <w:rPr>
          <w:rFonts w:hint="eastAsia" w:ascii="宋体" w:hAnsi="宋体" w:eastAsia="宋体" w:cs="宋体"/>
          <w:b/>
          <w:bCs/>
          <w:color w:val="auto"/>
          <w:sz w:val="24"/>
          <w:szCs w:val="24"/>
          <w:highlight w:val="none"/>
        </w:rPr>
        <w:t xml:space="preserve"> 公众端应用</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1.2.11.1.1</w:t>
      </w:r>
      <w:r>
        <w:rPr>
          <w:rFonts w:hint="eastAsia" w:ascii="宋体" w:hAnsi="宋体" w:eastAsia="宋体" w:cs="宋体"/>
          <w:b/>
          <w:bCs/>
          <w:color w:val="auto"/>
          <w:sz w:val="24"/>
          <w:szCs w:val="24"/>
          <w:highlight w:val="none"/>
        </w:rPr>
        <w:t xml:space="preserve">便民服务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为市民提供各类便民服务事项。主要包括：办事指南、装修垃圾预约等。</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1.2.11.1.2</w:t>
      </w:r>
      <w:r>
        <w:rPr>
          <w:rFonts w:hint="eastAsia" w:ascii="宋体" w:hAnsi="宋体" w:eastAsia="宋体" w:cs="宋体"/>
          <w:b/>
          <w:bCs/>
          <w:color w:val="auto"/>
          <w:sz w:val="24"/>
          <w:szCs w:val="24"/>
          <w:highlight w:val="none"/>
        </w:rPr>
        <w:t xml:space="preserve">信息管理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户注册管理主要实现在线注册与在线审核功能。用户可通过微信小程序发起在线注册，系统会将用户类型划分为单位型用户与居民用户两类，以便后续针对不同用户群体提供适配的服务与管理，保障用户注册流程规范且高效。 </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w:t>
      </w:r>
      <w:r>
        <w:rPr>
          <w:rFonts w:hint="eastAsia" w:ascii="宋体" w:hAnsi="宋体" w:eastAsia="宋体" w:cs="宋体"/>
          <w:b/>
          <w:bCs/>
          <w:color w:val="auto"/>
          <w:sz w:val="24"/>
          <w:szCs w:val="24"/>
          <w:highlight w:val="none"/>
        </w:rPr>
        <w:t xml:space="preserve"> 管理端应用</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1.2.11.2.1</w:t>
      </w:r>
      <w:r>
        <w:rPr>
          <w:rFonts w:hint="eastAsia" w:ascii="宋体" w:hAnsi="宋体" w:eastAsia="宋体" w:cs="宋体"/>
          <w:b/>
          <w:bCs/>
          <w:color w:val="auto"/>
          <w:sz w:val="24"/>
          <w:szCs w:val="24"/>
          <w:highlight w:val="none"/>
        </w:rPr>
        <w:t xml:space="preserve">基础信息查看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移动端查看基础设施基础信息情况、分布情况，便于快速了解周边设施分布信息。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1.2.11.2.2</w:t>
      </w:r>
      <w:r>
        <w:rPr>
          <w:rFonts w:hint="eastAsia" w:ascii="宋体" w:hAnsi="宋体" w:eastAsia="宋体" w:cs="宋体"/>
          <w:b/>
          <w:bCs/>
          <w:color w:val="auto"/>
          <w:sz w:val="24"/>
          <w:szCs w:val="24"/>
          <w:highlight w:val="none"/>
        </w:rPr>
        <w:t xml:space="preserve">在线审核功能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作人员可通过移动小程序，对建筑垃圾处置核准申报、消纳场申报等在线填报的申请内容进行审核操作。待建筑垃圾管理处相关人员完成审批后，系统会自动对审批通过的申请进行备案，并将审批结果反馈至对应企业；同时，此次审批数据将与平台审批结果实现联动，确保数据实时同步，提升申报审批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1.2.11.2.3</w:t>
      </w:r>
      <w:r>
        <w:rPr>
          <w:rFonts w:hint="eastAsia" w:ascii="宋体" w:hAnsi="宋体" w:eastAsia="宋体" w:cs="宋体"/>
          <w:b/>
          <w:bCs/>
          <w:color w:val="auto"/>
          <w:sz w:val="24"/>
          <w:szCs w:val="24"/>
          <w:highlight w:val="none"/>
        </w:rPr>
        <w:t xml:space="preserve">车辆查看功能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作人员可通过手持移动端查看车辆监管信息，从而随时随地掌握建筑垃圾业务体系的作业情况。例如，当到达某一地点发现车辆存在违规行为时，可直接点击操作收集相关信息，并查看该车辆的基本信息，进而对违规车辆进行及时提醒，提升现场监管的灵活性与响应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1.2.11.2.4</w:t>
      </w:r>
      <w:r>
        <w:rPr>
          <w:rFonts w:hint="eastAsia" w:ascii="宋体" w:hAnsi="宋体" w:eastAsia="宋体" w:cs="宋体"/>
          <w:b/>
          <w:bCs/>
          <w:color w:val="auto"/>
          <w:sz w:val="24"/>
          <w:szCs w:val="24"/>
          <w:highlight w:val="none"/>
        </w:rPr>
        <w:t xml:space="preserve">视频查看功能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在小程序查看工地视频、消纳场视频，可随时随地查看监管，发现问题截图取证、现场核定。</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1.2.11.2.5</w:t>
      </w:r>
      <w:r>
        <w:rPr>
          <w:rFonts w:hint="eastAsia" w:ascii="宋体" w:hAnsi="宋体" w:eastAsia="宋体" w:cs="宋体"/>
          <w:b/>
          <w:bCs/>
          <w:color w:val="auto"/>
          <w:sz w:val="24"/>
          <w:szCs w:val="24"/>
          <w:highlight w:val="none"/>
        </w:rPr>
        <w:t xml:space="preserve">“两点一线”巡查管理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在“两点一线”管理流程中，支持对涉及的各类备案与核准信息进行查询，包括工地备案状态、核准情况以及运输车辆信息等。</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“两点”指建筑垃圾的产生点与消纳点。巡查人员可使用手持设备扫描工地、消纳场或综合处理厂的二维码，获取各点在审批环节中的详细信息，协助判断是否存在违规作业。</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巡查人员也可通过小程序定位并标记工地或处置点位置并上传，系统将自动核对该工地的清运队伍匹配状态及处置证发放情况，辅助识别违规清运行为。</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例如在巡查工地时，若发现未录入系统数据库的工地，巡查人员可通过手持端拍照记录并采集地址信息，将该情况作为问题线索上传至后台，便于管理人员后续核查与补录。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“一线”巡查主要针对运输车辆及其行驶轨迹。巡查人员可扫描车辆运输许可证二维码，查看审核内容以核实运输合规性。此外，也支持通过输入处置证编号或车牌号进行车辆信息查询。</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还支持通过运输证编码验证车辆是否属于合法运输主体；如无运输证，则可输入车牌号进行核查，查询内容包括车牌、所属运输公司、处置点信息、有效期及处置证编号等，并支持跳转查看车辆实时位置与历史轨迹。</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重点巡查提醒。系统会将资质审批模块中提交排放申请的工地自动纳入重点巡查名单，巡查员可在手持端接收提醒，并据此开展现场核查；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同时，根据系统中记录的车辆违章信息，生成嫌疑车辆重点名单，巡查人员可根据信息前往指定路段进行巡查。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就近推送功能。巡查人员在手持端可接收附近工地或路段推送的涉嫌违规车辆的实时通知，从而迅速到达相关路段进行现场核查。</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1.2.11.2.6</w:t>
      </w:r>
      <w:r>
        <w:rPr>
          <w:rFonts w:hint="eastAsia" w:ascii="宋体" w:hAnsi="宋体" w:eastAsia="宋体" w:cs="宋体"/>
          <w:b/>
          <w:bCs/>
          <w:color w:val="auto"/>
          <w:sz w:val="24"/>
          <w:szCs w:val="24"/>
          <w:highlight w:val="none"/>
        </w:rPr>
        <w:t xml:space="preserve">移动考核管理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考核功能分为任务派发型与自主考核型两类：任务派发型中，考核人员进入系统后查看分配的考核任务，依据指定考核路线开展现场考核，并及时上传考核结果；自主考核型则支持考核人员在现场发现问题时，主动发起自主考核操作。此外，设有问题反馈模块，供一线处理人员使用，对应系统中的整改管理模块。问题处理人员进入该模块后，可查看需及时处理的问题，待问题处理完成，通过拍照取证的方式反馈处理结果。</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1.2.11.2.7</w:t>
      </w:r>
      <w:r>
        <w:rPr>
          <w:rFonts w:hint="eastAsia" w:ascii="宋体" w:hAnsi="宋体" w:eastAsia="宋体" w:cs="宋体"/>
          <w:b/>
          <w:bCs/>
          <w:color w:val="auto"/>
          <w:sz w:val="24"/>
          <w:szCs w:val="24"/>
          <w:highlight w:val="none"/>
        </w:rPr>
        <w:t xml:space="preserve">统计报表查看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手持端支持集中查看决策中心报表，方便相关人员实时掌握业务数据。可供查看的报表类型丰富，包括基础数据报表、资质审批报表、计量数据报表、车辆违规情况报表等，满足对不同业务维度数据的实时了解需求。</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1.2.11.2.8</w:t>
      </w:r>
      <w:r>
        <w:rPr>
          <w:rFonts w:hint="eastAsia" w:ascii="宋体" w:hAnsi="宋体" w:eastAsia="宋体" w:cs="宋体"/>
          <w:b/>
          <w:bCs/>
          <w:color w:val="auto"/>
          <w:sz w:val="24"/>
          <w:szCs w:val="24"/>
          <w:highlight w:val="none"/>
        </w:rPr>
        <w:t xml:space="preserve">人车企筛选查看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通过移动端查看人车企分级分类监管信息。</w:t>
      </w:r>
      <w:r/>
    </w:p>
    <w:p>
      <w:pPr>
        <w:numPr>
          <w:ilvl w:val="0"/>
          <w:numId w:val="0"/>
        </w:numPr>
        <w:ind w:firstLine="482"/>
        <w:keepLines w:val="0"/>
        <w:keepNext w:val="0"/>
        <w:pageBreakBefore w:val="0"/>
        <w:spacing w:line="3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1.2.11.2.9电子联单流转 </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1.2.11.2.9.1创建电子联单</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出人通过扫描运输车辆二维码，创建电子联单A联；自动填充核准证号、联单编号、项目名称、施工许可证、施工单位、项目起点、批准（监督）单位、垃圾种类等基本信息；移出人确认无误后填写移出人信息并提交。</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1.2.11.2.9.2 车辆联运</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移出人提交完信息后，电子联单进入待运输状态，承运人点击开始运输生成电子联单B联；等到运输完成后填写承运人信息并提交。</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1.2.11.2.9.3 车辆联单接收</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收人通过扫描二维码生成电子联单C联，接收人确认货物后填写接收相关信息；如果接收到的货物符合A联信息点击确认接收，然后移出人确认联单后填写移出人确认信息；如果接收到的货物不符合A联信息点击拒绝接收，拒绝接收之后接收人根据拒绝原因联系移出人，确认是否修改联单信息。</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1.2.11.2.9.4 中转站转入信息管理</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通过扫描车辆二维码信息，自动带出出场场所、出场时间、垃圾类型、运输量等信息，并录入中转场所、接收意见、入场时间等信息。接收信息与联单信息一致方可转入。</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1.2.11.2.9.5 中转站转出信息管理</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通过扫描车辆二维码信息，录入中转场所、出场时间、垃圾类型、运输量等信息，提交后完成转出。</w:t>
      </w:r>
      <w:r/>
    </w:p>
    <w:p>
      <w:pPr>
        <w:numPr>
          <w:ilvl w:val="2"/>
          <w:numId w:val="0"/>
        </w:numPr>
        <w:ind w:left="0" w:firstLine="480"/>
        <w:jc w:val="both"/>
        <w:pageBreakBefore w:val="0"/>
        <w:spacing w:before="0" w:after="0" w:line="380" w:lineRule="exact"/>
        <w:widowControl/>
        <w:rPr>
          <w:rFonts w:hint="eastAsia" w:cs="宋体" w:asciiTheme="minorEastAsia" w:hAnsiTheme="minorEastAsia" w:eastAsiaTheme="minorEastAsia"/>
          <w:b/>
          <w:bCs/>
          <w:color w:val="auto"/>
          <w:sz w:val="24"/>
          <w:szCs w:val="24"/>
          <w:highlight w:val="none"/>
          <w:lang w:val="en-US" w:eastAsia="zh-CN"/>
        </w:rPr>
        <w:outlineLvl w:val="9"/>
      </w:pPr>
      <w:r>
        <w:rPr>
          <w:rFonts w:hint="eastAsia" w:cs="宋体" w:asciiTheme="minorEastAsia" w:hAnsiTheme="minorEastAsia" w:eastAsiaTheme="minorEastAsia"/>
          <w:b/>
          <w:bCs/>
          <w:color w:val="auto"/>
          <w:sz w:val="24"/>
          <w:szCs w:val="24"/>
          <w:highlight w:val="none"/>
          <w:lang w:val="en-US" w:eastAsia="zh-CN"/>
        </w:rPr>
        <w:t xml:space="preserve">移动端应用功能要求（此项为演示项）：</w:t>
      </w:r>
      <w:r/>
    </w:p>
    <w:p>
      <w:pPr>
        <w:numPr>
          <w:ilvl w:val="2"/>
          <w:numId w:val="0"/>
        </w:numPr>
        <w:ind w:left="0" w:firstLine="480"/>
        <w:jc w:val="both"/>
        <w:pageBreakBefore w:val="0"/>
        <w:spacing w:before="0" w:after="0" w:line="38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包括移出人通过扫描二维码创建电子</w:t>
      </w:r>
      <w:r>
        <w:rPr>
          <w:rFonts w:hint="eastAsia" w:ascii="宋体" w:hAnsi="宋体" w:eastAsia="宋体" w:cs="宋体"/>
          <w:color w:val="auto"/>
          <w:sz w:val="24"/>
          <w:szCs w:val="24"/>
          <w:highlight w:val="none"/>
          <w:lang w:val="en-US" w:eastAsia="zh-CN"/>
        </w:rPr>
        <w:t xml:space="preserve">联单A联；自动填充核准证号、联单编号、项目名称、施工许可证、施工单位、项目起点、批准（监督）单位、垃圾种类等基本信息；移出人确认无误后填写移出人信息并提交；此时电子联单进入待运输状态，点击开始运输生成电子联单B联；等到运输完成后填写承运人信息并提交；接收人通过扫描二维码生成电子联单C联，接收人确认货物后填写接收相关信息；如果接收到的货物符合A联信息点击确认接收，然后移出人确认联单后填写移出人确认信息；如果接收到的货物不符合A联信息点击拒绝接收，拒绝接收之后接收人根据拒绝原因联系移出人，确认是否修改联单信息。</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1.2.12</w:t>
      </w:r>
      <w:r>
        <w:rPr>
          <w:rFonts w:hint="eastAsia" w:ascii="宋体" w:hAnsi="宋体" w:eastAsia="宋体" w:cs="宋体"/>
          <w:b/>
          <w:bCs w:val="0"/>
          <w:color w:val="auto"/>
          <w:sz w:val="24"/>
          <w:szCs w:val="24"/>
          <w:highlight w:val="none"/>
        </w:rPr>
        <w:t xml:space="preserve">资源共享应用</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w:t>
      </w:r>
      <w:r>
        <w:rPr>
          <w:rFonts w:hint="eastAsia" w:ascii="宋体" w:hAnsi="宋体" w:eastAsia="宋体" w:cs="宋体"/>
          <w:b/>
          <w:bCs/>
          <w:color w:val="auto"/>
          <w:sz w:val="24"/>
          <w:szCs w:val="24"/>
          <w:highlight w:val="none"/>
        </w:rPr>
        <w:t xml:space="preserve"> Web端应用</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1.2.12.1.1</w:t>
      </w:r>
      <w:r>
        <w:rPr>
          <w:rFonts w:hint="eastAsia" w:ascii="宋体" w:hAnsi="宋体" w:eastAsia="宋体" w:cs="宋体"/>
          <w:b/>
          <w:bCs/>
          <w:color w:val="auto"/>
          <w:sz w:val="24"/>
          <w:szCs w:val="24"/>
          <w:highlight w:val="none"/>
        </w:rPr>
        <w:t xml:space="preserve">供需核心功能</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Web 页面需分为 “货源发布” 与 “货源查询” 两大核心模块，满足供需双方的基础操作需求。发布模块设置简洁表单，引导产生方填写必填信息，包括建筑垃圾类型（下拉选择）、数量（支持吨 / 立方米单位）、详细地址（可关联地图定位）、预计可供应周期及联系人电话，表单提交后自动生成货源信息卡片并展示。查询模块提供多维度筛选功能，需求方可按 “资源类型”“所在区域”“发布时间” 筛选，也可通过关键词搜索，快速定位目标货源。</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1.2.12.1.2</w:t>
      </w:r>
      <w:r>
        <w:rPr>
          <w:rFonts w:hint="eastAsia" w:ascii="宋体" w:hAnsi="宋体" w:eastAsia="宋体" w:cs="宋体"/>
          <w:b/>
          <w:bCs/>
          <w:color w:val="auto"/>
          <w:sz w:val="24"/>
          <w:szCs w:val="24"/>
          <w:highlight w:val="none"/>
        </w:rPr>
        <w:t xml:space="preserve">信息展示与交互功能</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货源信息以卡片式布局呈现，每张卡片清晰展示核心信息：资源类型（标注醒目图标）、数量、位置、发布时间及联系人，避免冗余内容。卡片底部设置 “联系 TA” 按钮，点击后直接显示产生方电话（无需跳转），方便需求方即时沟通。同时，页面顶部设置 “最新货源” 滚动栏，优先展示 24 小时内发布的信息，确保需求方获取最新消息；页面底部添加信息说明，提示双方线下对接时需核实资源真实性，规避信息误差风险。</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1.2.12.1.3</w:t>
      </w:r>
      <w:r>
        <w:rPr>
          <w:rFonts w:hint="eastAsia" w:ascii="宋体" w:hAnsi="宋体" w:eastAsia="宋体" w:cs="宋体"/>
          <w:b/>
          <w:bCs/>
          <w:color w:val="auto"/>
          <w:sz w:val="24"/>
          <w:szCs w:val="24"/>
          <w:highlight w:val="none"/>
        </w:rPr>
        <w:t xml:space="preserve">基础技术与运维保障功能</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Web 页面采用轻量化技术开发，确保加载速度快、适配电脑端主流浏览器，无需用户额外下载插件。后台设置信息审核机制，产生方提交的货源信息需经管理员初步核验（如排除明显虚假信息、违规内容）后再上线，保障信息可信度。同时，定期对页面信息进行清理，自动下架发布超过 30 天且未更新的货源，避免无效信息堆积；设置简单的用户反馈入口，收集双方使用问题，持续优化页面功能。</w:t>
      </w:r>
      <w:r/>
    </w:p>
    <w:p>
      <w:pPr>
        <w:numPr>
          <w:ilvl w:val="1"/>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w:t>
      </w:r>
      <w:r>
        <w:rPr>
          <w:rFonts w:hint="eastAsia" w:eastAsia="方正仿宋_GB2312" w:cs="Times New Roman"/>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标准规范响应</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随着数字化在建筑垃圾业务中的持续渗透，业务执行与管理流程逐步从线下转向线上线下融合，鉴于平台面向全市开放应用，为保障数据接入的</w:t>
      </w:r>
      <w:r>
        <w:rPr>
          <w:rFonts w:hint="eastAsia" w:ascii="宋体" w:hAnsi="宋体" w:eastAsia="宋体" w:cs="宋体"/>
          <w:color w:val="auto"/>
          <w:sz w:val="24"/>
          <w:szCs w:val="24"/>
          <w:highlight w:val="none"/>
        </w:rPr>
        <w:t xml:space="preserve">统一性与规范性，本期项目拟建设三项标准规范：一是《扬州市建筑垃圾物联设备接入标准》，涵盖车载设备、船舶装备、资源化厂计量设备的数据接入要求；二是《扬州市建筑垃圾视频数据统一接入标准》，针对未来车载、固定点等大量视频数据，规范其全量接入流程；三是《扬州市建筑垃圾数据管理规范》，考虑到项目涉及多元用户、多层级管理部门及众多企业，需明确管理部门、运营单位的日常数据维护责任及信息化平台建设单位的数据采集、处理与应用保障职责，避免平台仅存功能框架，助力累积扬州建筑垃圾数据资产，为全市建筑垃圾管理升级提质奠定数据基础。</w:t>
      </w:r>
      <w:r/>
    </w:p>
    <w:p>
      <w:pPr>
        <w:numPr>
          <w:ilvl w:val="1"/>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w:t>
      </w:r>
      <w:r>
        <w:rPr>
          <w:rFonts w:hint="eastAsia" w:eastAsia="方正仿宋_GB2312" w:cs="Times New Roman"/>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rPr>
        <w:t xml:space="preserve">基础软件（数据库、中间件）</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b/>
          <w:bCs/>
          <w:i/>
          <w:iCs w:val="0"/>
          <w:color w:val="auto"/>
          <w:sz w:val="24"/>
          <w:szCs w:val="24"/>
          <w:highlight w:val="none"/>
          <w:u w:val="single"/>
        </w:rPr>
        <w:outlineLvl w:val="9"/>
        <w:suppressLineNumbers w:val="0"/>
      </w:pPr>
      <w:r>
        <w:rPr>
          <w:rFonts w:hint="eastAsia" w:ascii="宋体" w:hAnsi="宋体" w:cs="宋体"/>
          <w:b w:val="0"/>
          <w:bCs w:val="0"/>
          <w:i/>
          <w:iCs w:val="0"/>
          <w:color w:val="auto"/>
          <w:sz w:val="24"/>
          <w:szCs w:val="24"/>
          <w:highlight w:val="none"/>
          <w:u w:val="single"/>
          <w:lang w:val="en-US" w:eastAsia="zh-CN" w:bidi="ar"/>
        </w:rPr>
        <w:t xml:space="preserve">采购</w:t>
      </w:r>
      <w:r>
        <w:rPr>
          <w:rFonts w:hint="eastAsia" w:ascii="宋体" w:hAnsi="宋体" w:eastAsia="宋体" w:cs="宋体"/>
          <w:b w:val="0"/>
          <w:bCs w:val="0"/>
          <w:i/>
          <w:iCs w:val="0"/>
          <w:color w:val="auto"/>
          <w:sz w:val="24"/>
          <w:szCs w:val="24"/>
          <w:highlight w:val="none"/>
          <w:u w:val="single"/>
          <w:lang w:val="en-US" w:eastAsia="zh-CN" w:bidi="ar"/>
        </w:rPr>
        <w:t xml:space="preserve">2套符合安全可靠要求的数据库产品，提供六年数据库售后服务</w:t>
      </w:r>
      <w:r>
        <w:rPr>
          <w:rFonts w:hint="eastAsia" w:ascii="宋体" w:hAnsi="宋体" w:cs="宋体"/>
          <w:b w:val="0"/>
          <w:bCs w:val="0"/>
          <w:i/>
          <w:iCs w:val="0"/>
          <w:color w:val="auto"/>
          <w:sz w:val="24"/>
          <w:szCs w:val="24"/>
          <w:highlight w:val="none"/>
          <w:u w:val="single"/>
          <w:lang w:val="en-US" w:eastAsia="zh-CN" w:bidi="ar"/>
        </w:rPr>
        <w:t xml:space="preserve">。</w:t>
      </w:r>
      <w:r>
        <w:rPr>
          <w:rFonts w:hint="eastAsia" w:ascii="宋体" w:hAnsi="宋体" w:eastAsia="宋体" w:cs="宋体"/>
          <w:b/>
          <w:bCs/>
          <w:i/>
          <w:iCs w:val="0"/>
          <w:color w:val="auto"/>
          <w:sz w:val="24"/>
          <w:szCs w:val="24"/>
          <w:highlight w:val="none"/>
          <w:u w:val="single"/>
          <w:lang w:val="en-US" w:eastAsia="zh-CN" w:bidi="ar"/>
        </w:rPr>
        <w:t xml:space="preserve">（投标人提供承诺函，格式自拟）</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b w:val="0"/>
          <w:bCs w:val="0"/>
          <w:i/>
          <w:iCs w:val="0"/>
          <w:color w:val="auto"/>
          <w:sz w:val="24"/>
          <w:szCs w:val="24"/>
          <w:highlight w:val="none"/>
          <w:u w:val="single"/>
        </w:rPr>
        <w:outlineLvl w:val="9"/>
        <w:suppressLineNumbers w:val="0"/>
      </w:pPr>
      <w:r>
        <w:rPr>
          <w:rFonts w:hint="eastAsia" w:ascii="宋体" w:hAnsi="宋体" w:eastAsia="宋体" w:cs="宋体"/>
          <w:b w:val="0"/>
          <w:bCs w:val="0"/>
          <w:i/>
          <w:iCs w:val="0"/>
          <w:color w:val="auto"/>
          <w:sz w:val="24"/>
          <w:szCs w:val="24"/>
          <w:highlight w:val="none"/>
          <w:u w:val="single"/>
          <w:lang w:val="en-US" w:eastAsia="zh-CN" w:bidi="ar"/>
        </w:rPr>
        <w:t xml:space="preserve">中间件采购数量5套，其中应用服务中间件3套、分布式数据缓存中间件1套、分布式消息中间件1套，</w:t>
      </w:r>
      <w:r>
        <w:rPr>
          <w:rFonts w:hint="eastAsia" w:ascii="宋体" w:hAnsi="宋体" w:cs="宋体"/>
          <w:b w:val="0"/>
          <w:bCs w:val="0"/>
          <w:i/>
          <w:iCs w:val="0"/>
          <w:color w:val="auto"/>
          <w:sz w:val="24"/>
          <w:szCs w:val="24"/>
          <w:highlight w:val="none"/>
          <w:u w:val="single"/>
          <w:lang w:val="en-US" w:eastAsia="zh-CN" w:bidi="ar"/>
        </w:rPr>
        <w:t xml:space="preserve">并</w:t>
      </w:r>
      <w:r>
        <w:rPr>
          <w:rFonts w:hint="eastAsia" w:ascii="宋体" w:hAnsi="宋体" w:eastAsia="宋体" w:cs="宋体"/>
          <w:b w:val="0"/>
          <w:bCs w:val="0"/>
          <w:i/>
          <w:iCs w:val="0"/>
          <w:color w:val="auto"/>
          <w:sz w:val="24"/>
          <w:szCs w:val="24"/>
          <w:highlight w:val="none"/>
          <w:u w:val="single"/>
          <w:lang w:val="en-US" w:eastAsia="zh-CN" w:bidi="ar"/>
        </w:rPr>
        <w:t xml:space="preserve">承诺提供三年质保服务</w:t>
      </w:r>
      <w:r>
        <w:rPr>
          <w:rFonts w:hint="eastAsia" w:ascii="宋体" w:hAnsi="宋体" w:cs="宋体"/>
          <w:b w:val="0"/>
          <w:bCs w:val="0"/>
          <w:i/>
          <w:iCs w:val="0"/>
          <w:color w:val="auto"/>
          <w:sz w:val="24"/>
          <w:szCs w:val="24"/>
          <w:highlight w:val="none"/>
          <w:u w:val="single"/>
          <w:lang w:val="en-US" w:eastAsia="zh-CN" w:bidi="ar"/>
        </w:rPr>
        <w:t xml:space="preserve">。</w:t>
      </w:r>
      <w:r>
        <w:rPr>
          <w:rFonts w:hint="eastAsia" w:ascii="宋体" w:hAnsi="宋体" w:eastAsia="宋体" w:cs="宋体"/>
          <w:b/>
          <w:bCs/>
          <w:i/>
          <w:iCs w:val="0"/>
          <w:color w:val="auto"/>
          <w:sz w:val="24"/>
          <w:szCs w:val="24"/>
          <w:highlight w:val="none"/>
          <w:u w:val="single"/>
          <w:lang w:val="en-US" w:eastAsia="zh-CN" w:bidi="ar"/>
        </w:rPr>
        <w:t xml:space="preserve">（投标人提供承诺函，格式自拟）</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b/>
          <w:bCs/>
          <w:i/>
          <w:iCs w:val="0"/>
          <w:strike w:val="0"/>
          <w:color w:val="auto"/>
          <w:sz w:val="24"/>
          <w:szCs w:val="24"/>
          <w:highlight w:val="none"/>
          <w:u w:val="single"/>
        </w:rPr>
        <w:outlineLvl w:val="9"/>
        <w:suppressLineNumbers w:val="0"/>
      </w:pPr>
      <w:r>
        <w:rPr>
          <w:rFonts w:hint="eastAsia" w:ascii="宋体" w:hAnsi="宋体" w:eastAsia="宋体" w:cs="宋体"/>
          <w:b w:val="0"/>
          <w:bCs w:val="0"/>
          <w:i/>
          <w:iCs w:val="0"/>
          <w:strike w:val="0"/>
          <w:color w:val="auto"/>
          <w:sz w:val="24"/>
          <w:szCs w:val="24"/>
          <w:highlight w:val="none"/>
          <w:u w:val="single"/>
          <w:lang w:val="en-US" w:eastAsia="zh-CN" w:bidi="ar"/>
        </w:rPr>
        <w:t xml:space="preserve">数据库、中间件必须进行适配、安装、调试完成后进行整体交付。</w:t>
      </w:r>
      <w:r>
        <w:rPr>
          <w:rFonts w:hint="eastAsia" w:ascii="宋体" w:hAnsi="宋体" w:eastAsia="宋体" w:cs="宋体"/>
          <w:b/>
          <w:bCs/>
          <w:i/>
          <w:iCs w:val="0"/>
          <w:strike w:val="0"/>
          <w:color w:val="auto"/>
          <w:sz w:val="24"/>
          <w:szCs w:val="24"/>
          <w:highlight w:val="none"/>
          <w:u w:val="single"/>
          <w:lang w:val="en-US" w:eastAsia="zh-CN" w:bidi="ar"/>
        </w:rPr>
        <w:t xml:space="preserve">（投标人提供承诺书，格式自拟）</w:t>
      </w:r>
      <w:r/>
    </w:p>
    <w:p>
      <w:pPr>
        <w:numPr>
          <w:ilvl w:val="2"/>
          <w:numId w:val="0"/>
        </w:numPr>
        <w:ind w:left="0" w:firstLine="482"/>
        <w:jc w:val="both"/>
        <w:pageBreakBefore w:val="0"/>
        <w:spacing w:before="0" w:after="0" w:line="380" w:lineRule="exact"/>
        <w:widowControl/>
        <w:rPr>
          <w:rFonts w:hint="eastAsia" w:ascii="宋体" w:hAnsi="宋体" w:eastAsia="宋体" w:cs="宋体"/>
          <w:b w:val="0"/>
          <w:bCs w:val="0"/>
          <w:i w:val="0"/>
          <w:iCs/>
          <w:color w:val="auto"/>
          <w:sz w:val="24"/>
          <w:szCs w:val="24"/>
          <w:highlight w:val="none"/>
        </w:rPr>
        <w:outlineLvl w:val="2"/>
      </w:pPr>
      <w:r>
        <w:rPr>
          <w:rFonts w:hint="eastAsia" w:ascii="Times New Roman" w:hAnsi="Times New Roman" w:eastAsia="宋体" w:cs="Times New Roman"/>
          <w:b/>
          <w:bCs w:val="0"/>
          <w:i w:val="0"/>
          <w:iCs/>
          <w:color w:val="auto"/>
          <w:sz w:val="24"/>
          <w:szCs w:val="24"/>
          <w:highlight w:val="none"/>
          <w:lang w:val="en-US" w:eastAsia="zh-CN" w:bidi="ar-SA"/>
        </w:rPr>
        <w:t xml:space="preserve">1.</w:t>
      </w:r>
      <w:r>
        <w:rPr>
          <w:rFonts w:hint="eastAsia" w:cs="Times New Roman"/>
          <w:b/>
          <w:bCs w:val="0"/>
          <w:i w:val="0"/>
          <w:iCs/>
          <w:color w:val="auto"/>
          <w:sz w:val="24"/>
          <w:szCs w:val="24"/>
          <w:highlight w:val="none"/>
          <w:lang w:val="en-US" w:eastAsia="zh-CN" w:bidi="ar-SA"/>
        </w:rPr>
        <w:t xml:space="preserve">4</w:t>
      </w:r>
      <w:r>
        <w:rPr>
          <w:rFonts w:hint="eastAsia" w:ascii="Times New Roman" w:hAnsi="Times New Roman" w:eastAsia="宋体" w:cs="Times New Roman"/>
          <w:b/>
          <w:bCs w:val="0"/>
          <w:i w:val="0"/>
          <w:i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rPr>
        <w:t xml:space="preserve">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Times New Roman"/>
          <w:i w:val="0"/>
          <w:iCs w:val="0"/>
          <w:color w:val="auto"/>
          <w:sz w:val="24"/>
          <w:szCs w:val="24"/>
          <w:highlight w:val="none"/>
        </w:rPr>
        <w:outlineLvl w:val="9"/>
        <w:suppressLineNumbers w:val="0"/>
      </w:pPr>
      <w:r>
        <w:rPr>
          <w:rFonts w:hint="eastAsia" w:ascii="宋体" w:hAnsi="宋体" w:eastAsia="宋体" w:cs="宋体"/>
          <w:i w:val="0"/>
          <w:iCs w:val="0"/>
          <w:color w:val="auto"/>
          <w:sz w:val="24"/>
          <w:szCs w:val="24"/>
          <w:highlight w:val="none"/>
          <w:lang w:val="en-US" w:eastAsia="zh-CN" w:bidi="ar"/>
        </w:rPr>
        <w:t xml:space="preserve">数据库采购需求：</w:t>
      </w:r>
      <w:r/>
    </w:p>
    <w:p>
      <w:pPr>
        <w:numPr>
          <w:ilvl w:val="0"/>
          <w:numId w:val="0"/>
        </w:numPr>
        <w:ind w:left="0" w:firstLine="480"/>
        <w:jc w:val="both"/>
        <w:pageBreakBefore w:val="0"/>
        <w:spacing w:line="380" w:lineRule="exact"/>
        <w:rPr>
          <w:rFonts w:hint="eastAsia" w:ascii="宋体" w:hAnsi="宋体" w:eastAsia="宋体" w:cs="宋体"/>
          <w:i w:val="0"/>
          <w:iCs w:val="0"/>
          <w:color w:val="auto"/>
          <w:sz w:val="24"/>
          <w:szCs w:val="24"/>
          <w:highlight w:val="none"/>
          <w:lang w:val="en-US" w:eastAsia="zh-CN" w:bidi="ar"/>
        </w:rPr>
        <w:outlineLvl w:val="9"/>
      </w:pPr>
      <w:r>
        <w:rPr>
          <w:rFonts w:hint="eastAsia" w:ascii="宋体" w:hAnsi="宋体" w:cs="宋体"/>
          <w:i/>
          <w:iCs/>
          <w:color w:val="auto"/>
          <w:sz w:val="24"/>
          <w:highlight w:val="none"/>
          <w:u w:val="single"/>
          <w:lang w:val="en-US" w:eastAsia="zh-CN"/>
        </w:rPr>
        <w:t xml:space="preserve">数据库</w:t>
      </w:r>
      <w:r>
        <w:rPr>
          <w:rFonts w:hint="eastAsia" w:ascii="宋体" w:hAnsi="宋体" w:cs="宋体"/>
          <w:i/>
          <w:iCs/>
          <w:color w:val="auto"/>
          <w:sz w:val="24"/>
          <w:highlight w:val="none"/>
          <w:u w:val="single"/>
          <w:lang w:eastAsia="zh-CN"/>
        </w:rPr>
        <w:t xml:space="preserve">：</w:t>
      </w:r>
      <w:r>
        <w:rPr>
          <w:rFonts w:hint="eastAsia" w:ascii="宋体" w:hAnsi="宋体" w:cs="宋体"/>
          <w:i/>
          <w:iCs/>
          <w:color w:val="auto"/>
          <w:sz w:val="24"/>
          <w:highlight w:val="none"/>
          <w:u w:val="single"/>
          <w:lang w:val="en-US" w:eastAsia="zh-CN"/>
        </w:rPr>
        <w:t xml:space="preserve">必须满足</w:t>
      </w:r>
      <w:r>
        <w:rPr>
          <w:rFonts w:hint="eastAsia" w:ascii="宋体" w:hAnsi="宋体" w:cs="宋体"/>
          <w:i/>
          <w:iCs/>
          <w:color w:val="auto"/>
          <w:sz w:val="24"/>
          <w:highlight w:val="none"/>
          <w:u w:val="single"/>
        </w:rPr>
        <w:t xml:space="preserve">财政部、工业和信息化部关于印发《</w:t>
      </w:r>
      <w:r>
        <w:rPr>
          <w:rFonts w:hint="eastAsia" w:ascii="宋体" w:hAnsi="宋体" w:cs="宋体"/>
          <w:i/>
          <w:iCs/>
          <w:color w:val="auto"/>
          <w:sz w:val="24"/>
          <w:highlight w:val="none"/>
          <w:u w:val="single"/>
          <w:lang w:val="en-US" w:eastAsia="zh-CN"/>
        </w:rPr>
        <w:t xml:space="preserve">数据库</w:t>
      </w:r>
      <w:r>
        <w:rPr>
          <w:rFonts w:hint="eastAsia" w:ascii="宋体" w:hAnsi="宋体" w:cs="宋体"/>
          <w:i/>
          <w:iCs/>
          <w:color w:val="auto"/>
          <w:sz w:val="24"/>
          <w:highlight w:val="none"/>
          <w:u w:val="single"/>
        </w:rPr>
        <w:t xml:space="preserve">政府采购需求标准（2023年版）》的通知</w:t>
      </w:r>
      <w:r>
        <w:rPr>
          <w:rFonts w:hint="eastAsia" w:ascii="宋体" w:hAnsi="宋体" w:cs="宋体"/>
          <w:i/>
          <w:iCs/>
          <w:color w:val="auto"/>
          <w:sz w:val="24"/>
          <w:szCs w:val="24"/>
          <w:highlight w:val="none"/>
          <w:u w:val="single"/>
        </w:rPr>
        <w:t xml:space="preserve">【财库〔2023〕3</w:t>
      </w:r>
      <w:r>
        <w:rPr>
          <w:rFonts w:hint="eastAsia" w:ascii="宋体" w:hAnsi="宋体" w:cs="宋体"/>
          <w:i/>
          <w:iCs/>
          <w:color w:val="auto"/>
          <w:sz w:val="24"/>
          <w:szCs w:val="24"/>
          <w:highlight w:val="none"/>
          <w:u w:val="single"/>
          <w:lang w:val="en-US" w:eastAsia="zh-CN"/>
        </w:rPr>
        <w:t xml:space="preserve">5</w:t>
      </w:r>
      <w:r>
        <w:rPr>
          <w:rFonts w:hint="eastAsia" w:ascii="宋体" w:hAnsi="宋体" w:cs="宋体"/>
          <w:i/>
          <w:iCs/>
          <w:color w:val="auto"/>
          <w:sz w:val="24"/>
          <w:szCs w:val="24"/>
          <w:highlight w:val="none"/>
          <w:u w:val="single"/>
        </w:rPr>
        <w:t xml:space="preserve">号】</w:t>
      </w:r>
      <w:r>
        <w:rPr>
          <w:rFonts w:hint="eastAsia" w:ascii="宋体" w:hAnsi="宋体" w:cs="宋体"/>
          <w:i/>
          <w:iCs/>
          <w:color w:val="auto"/>
          <w:sz w:val="24"/>
          <w:szCs w:val="24"/>
          <w:highlight w:val="none"/>
          <w:u w:val="single"/>
          <w:lang w:val="en-US" w:eastAsia="zh-CN"/>
        </w:rPr>
        <w:t xml:space="preserve">中的数据库政府采购需求标准。</w:t>
      </w:r>
      <w:r>
        <w:rPr>
          <w:rFonts w:hint="eastAsia" w:ascii="宋体" w:hAnsi="宋体" w:cs="宋体"/>
          <w:b/>
          <w:bCs/>
          <w:i/>
          <w:iCs/>
          <w:color w:val="auto"/>
          <w:sz w:val="24"/>
          <w:szCs w:val="24"/>
          <w:highlight w:val="none"/>
          <w:u w:val="single"/>
        </w:rPr>
        <w:t xml:space="preserve">（提供承诺函）</w:t>
      </w:r>
      <w:r/>
    </w:p>
    <w:p>
      <w:pPr>
        <w:numPr>
          <w:ilvl w:val="2"/>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4</w:t>
      </w:r>
      <w:r>
        <w:rPr>
          <w:rFonts w:hint="eastAsia" w:ascii="Times New Roman" w:hAnsi="Times New Roman" w:eastAsia="宋体" w:cs="Times New Roman"/>
          <w:b/>
          <w:bCs w:val="0"/>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中间件</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3"/>
      </w:pPr>
      <w:r>
        <w:rPr>
          <w:rFonts w:hint="eastAsia" w:ascii="Times New Roman" w:hAnsi="Times New Roman" w:eastAsia="方正仿宋_GB2312" w:cs="Times New Roman"/>
          <w:b/>
          <w:bCs/>
          <w:color w:val="auto"/>
          <w:sz w:val="24"/>
          <w:szCs w:val="24"/>
          <w:highlight w:val="none"/>
          <w:lang w:val="en-US" w:eastAsia="zh-CN" w:bidi="ar-SA"/>
        </w:rPr>
        <w:t xml:space="preserve">1.</w:t>
      </w:r>
      <w:r>
        <w:rPr>
          <w:rFonts w:hint="eastAsia" w:eastAsia="方正仿宋_GB2312" w:cs="Times New Roman"/>
          <w:b/>
          <w:bCs/>
          <w:color w:val="auto"/>
          <w:sz w:val="24"/>
          <w:szCs w:val="24"/>
          <w:highlight w:val="none"/>
          <w:lang w:val="en-US" w:eastAsia="zh-CN" w:bidi="ar-SA"/>
        </w:rPr>
        <w:t xml:space="preserve">4</w:t>
      </w:r>
      <w:r>
        <w:rPr>
          <w:rFonts w:hint="eastAsia" w:ascii="Times New Roman" w:hAnsi="Times New Roman" w:eastAsia="方正仿宋_GB2312" w:cs="Times New Roman"/>
          <w:b/>
          <w:bCs/>
          <w:color w:val="auto"/>
          <w:sz w:val="24"/>
          <w:szCs w:val="24"/>
          <w:highlight w:val="none"/>
          <w:lang w:val="en-US" w:eastAsia="zh-CN" w:bidi="ar-SA"/>
        </w:rPr>
        <w:t xml:space="preserve">.2.1</w:t>
      </w:r>
      <w:r>
        <w:rPr>
          <w:rFonts w:hint="eastAsia" w:ascii="宋体" w:hAnsi="宋体" w:eastAsia="宋体" w:cs="宋体"/>
          <w:b/>
          <w:bCs/>
          <w:color w:val="auto"/>
          <w:sz w:val="24"/>
          <w:szCs w:val="24"/>
          <w:highlight w:val="none"/>
        </w:rPr>
        <w:t xml:space="preserve">应用服务中间件</w:t>
      </w:r>
      <w:r/>
    </w:p>
    <w:tbl>
      <w:tblPr>
        <w:tblStyle w:val="73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988"/>
        <w:gridCol w:w="6217"/>
      </w:tblGrid>
      <w:tr>
        <w:trPr>
          <w:jc w:val="center"/>
          <w:trHeight w:val="567"/>
          <w:tblHeader/>
        </w:trPr>
        <w:tc>
          <w:tcPr>
            <w:tcW w:w="521" w:type="pct"/>
            <w:vAlign w:val="center"/>
            <w:textDirection w:val="lrTb"/>
            <w:noWrap w:val="false"/>
          </w:tcPr>
          <w:p>
            <w:pPr>
              <w:pStyle w:val="733"/>
              <w:ind w:left="0" w:right="0" w:firstLine="0"/>
              <w:jc w:val="both"/>
              <w:keepLines w:val="0"/>
              <w:keepNext w:val="0"/>
              <w:spacing w:before="0" w:beforeAutospacing="1" w:after="120" w:afterAutospacing="0" w:line="500" w:lineRule="exact"/>
              <w:widowControl w:val="off"/>
              <w:rPr>
                <w:rFonts w:hint="eastAsia" w:ascii="宋体" w:hAnsi="宋体" w:eastAsia="宋体" w:cs="宋体"/>
                <w:b/>
                <w:color w:val="auto"/>
                <w:sz w:val="24"/>
                <w:szCs w:val="24"/>
                <w:highlight w:val="none"/>
                <w:lang w:val="en-US" w:eastAsia="zh-CN"/>
              </w:rPr>
              <w:suppressLineNumbers w:val="0"/>
            </w:pPr>
            <w:r>
              <w:rPr>
                <w:rFonts w:hint="default" w:ascii="Times New Roman" w:hAnsi="Times New Roman" w:eastAsia="宋体" w:cs="Times New Roman"/>
                <w:color w:val="auto"/>
                <w:sz w:val="24"/>
                <w:szCs w:val="24"/>
                <w:highlight w:val="none"/>
                <w:lang w:val="en-US" w:eastAsia="zh-CN" w:bidi="ar"/>
              </w:rPr>
              <w:t xml:space="preserve"> </w:t>
            </w:r>
            <w:r>
              <w:rPr>
                <w:rFonts w:hint="eastAsia" w:ascii="宋体" w:hAnsi="宋体" w:eastAsia="宋体" w:cs="宋体"/>
                <w:b/>
                <w:color w:val="auto"/>
                <w:sz w:val="24"/>
                <w:szCs w:val="24"/>
                <w:highlight w:val="none"/>
                <w:lang w:val="en-US" w:eastAsia="zh-CN"/>
              </w:rPr>
              <w:t xml:space="preserve">序号</w:t>
            </w:r>
            <w:r/>
          </w:p>
        </w:tc>
        <w:tc>
          <w:tcPr>
            <w:tcW w:w="1085"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指标项</w:t>
            </w:r>
            <w:r/>
          </w:p>
        </w:tc>
        <w:tc>
          <w:tcPr>
            <w:tcW w:w="3393"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技术要求</w:t>
            </w:r>
            <w:r/>
          </w:p>
        </w:tc>
      </w:tr>
      <w:tr>
        <w:trPr>
          <w:jc w:val="center"/>
          <w:trHeight w:val="567"/>
        </w:trPr>
        <w:tc>
          <w:tcPr>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085"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基本要求</w:t>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支持市场主流</w:t>
            </w:r>
            <w:r>
              <w:rPr>
                <w:rFonts w:hint="eastAsia" w:ascii="宋体" w:hAnsi="宋体" w:cs="宋体"/>
                <w:i/>
                <w:iCs/>
                <w:color w:val="auto"/>
                <w:sz w:val="24"/>
                <w:szCs w:val="24"/>
                <w:highlight w:val="none"/>
                <w:u w:val="single"/>
                <w:lang w:val="en-US" w:eastAsia="zh-CN"/>
              </w:rPr>
              <w:t xml:space="preserve">国产</w:t>
            </w:r>
            <w:r>
              <w:rPr>
                <w:rFonts w:hint="eastAsia" w:ascii="宋体" w:hAnsi="宋体" w:eastAsia="宋体" w:cs="宋体"/>
                <w:i/>
                <w:iCs/>
                <w:color w:val="auto"/>
                <w:sz w:val="24"/>
                <w:szCs w:val="24"/>
                <w:highlight w:val="none"/>
                <w:u w:val="single"/>
                <w:lang w:val="en-US" w:eastAsia="zh-CN"/>
              </w:rPr>
              <w:t xml:space="preserve">芯片和操作系统</w:t>
            </w:r>
            <w:r>
              <w:rPr>
                <w:rFonts w:hint="eastAsia" w:ascii="宋体" w:hAnsi="宋体" w:cs="宋体"/>
                <w:b/>
                <w:bCs/>
                <w:i/>
                <w:iCs/>
                <w:color w:val="auto"/>
                <w:sz w:val="24"/>
                <w:szCs w:val="24"/>
                <w:highlight w:val="none"/>
                <w:u w:val="single"/>
                <w:lang w:val="en-US" w:eastAsia="zh-CN"/>
              </w:rPr>
              <w:t xml:space="preserve">(提供承诺函)</w:t>
            </w:r>
            <w:r/>
          </w:p>
        </w:tc>
      </w:tr>
      <w:tr>
        <w:trPr>
          <w:jc w:val="center"/>
          <w:trHeight w:val="567"/>
        </w:trPr>
        <w:tc>
          <w:tcPr>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w:t>
            </w:r>
            <w:r/>
          </w:p>
        </w:tc>
        <w:tc>
          <w:tcPr>
            <w:tcW w:w="108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行业标准</w:t>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遵循标准，必须通过Java EE 5、6、7、8四个标准规范的官方兼容认证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并且逐个提供上述标准兼容认证的查询网址和截图</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提供网页截图）</w:t>
            </w:r>
            <w:r/>
          </w:p>
        </w:tc>
      </w:tr>
      <w:tr>
        <w:trPr>
          <w:jc w:val="center"/>
          <w:trHeight w:val="1307"/>
        </w:trPr>
        <w:tc>
          <w:tcPr>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tabs>
                <w:tab w:val="left" w:pos="428" w:leader="none"/>
              </w:tabs>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tcW w:w="108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基础功能要求</w:t>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微软雅黑" w:hAnsi="微软雅黑" w:eastAsia="微软雅黑" w:cs="微软雅黑"/>
                <w:color w:val="auto"/>
                <w:sz w:val="24"/>
                <w:szCs w:val="24"/>
                <w:highlight w:val="none"/>
              </w:rPr>
              <w:t xml:space="preserve">∆</w:t>
            </w:r>
            <w:r>
              <w:rPr>
                <w:rFonts w:hint="eastAsia" w:ascii="宋体" w:hAnsi="宋体" w:eastAsia="宋体" w:cs="宋体"/>
                <w:color w:val="auto"/>
                <w:sz w:val="24"/>
                <w:szCs w:val="24"/>
                <w:highlight w:val="none"/>
              </w:rPr>
              <w:t xml:space="preserve">在不停止应用服务器运行的情况下，支持动态更新license以及集中管理替换license，避免更新license对业务正常运行的影响。</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提供产品功能截图</w:t>
            </w:r>
            <w:r>
              <w:rPr>
                <w:rFonts w:hint="eastAsia" w:ascii="宋体" w:hAnsi="宋体" w:cs="宋体"/>
                <w:b/>
                <w:bCs/>
                <w:color w:val="auto"/>
                <w:sz w:val="24"/>
                <w:szCs w:val="24"/>
                <w:highlight w:val="none"/>
                <w:lang w:eastAsia="zh-CN"/>
              </w:rPr>
              <w:t xml:space="preserve">）</w:t>
            </w:r>
            <w:r/>
          </w:p>
        </w:tc>
      </w:tr>
      <w:tr>
        <w:trPr>
          <w:jc w:val="center"/>
          <w:trHeight w:val="567"/>
        </w:trPr>
        <w:tc>
          <w:tcPr>
            <w:shd w:val="clear" w:color="auto" w:fill="auto"/>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tabs>
                <w:tab w:val="left" w:pos="428"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4</w:t>
            </w:r>
            <w:r/>
          </w:p>
        </w:tc>
        <w:tc>
          <w:tcPr>
            <w:tcW w:w="108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微软雅黑" w:hAnsi="微软雅黑" w:eastAsia="微软雅黑" w:cs="微软雅黑"/>
                <w:color w:val="auto"/>
                <w:sz w:val="24"/>
                <w:szCs w:val="24"/>
                <w:highlight w:val="none"/>
              </w:rPr>
              <w:t xml:space="preserve">∆</w:t>
            </w:r>
            <w:r>
              <w:rPr>
                <w:rFonts w:hint="eastAsia" w:ascii="宋体" w:hAnsi="宋体" w:eastAsia="宋体" w:cs="宋体"/>
                <w:color w:val="auto"/>
                <w:sz w:val="24"/>
                <w:szCs w:val="24"/>
                <w:highlight w:val="none"/>
              </w:rPr>
              <w:t xml:space="preserve">为避免用户误操作，支持应用回收站功能，卸载的应用部署包将移到回收站里。</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提供产品功能截图</w:t>
            </w:r>
            <w:r>
              <w:rPr>
                <w:rFonts w:hint="eastAsia" w:ascii="宋体" w:hAnsi="宋体" w:cs="宋体"/>
                <w:b/>
                <w:bCs/>
                <w:color w:val="auto"/>
                <w:sz w:val="24"/>
                <w:szCs w:val="24"/>
                <w:highlight w:val="none"/>
                <w:lang w:eastAsia="zh-CN"/>
              </w:rPr>
              <w:t xml:space="preserve">）</w:t>
            </w:r>
            <w:r/>
          </w:p>
        </w:tc>
      </w:tr>
      <w:tr>
        <w:trPr>
          <w:jc w:val="center"/>
          <w:trHeight w:val="567"/>
        </w:trPr>
        <w:tc>
          <w:tcPr>
            <w:shd w:val="clear" w:color="auto" w:fill="auto"/>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tabs>
                <w:tab w:val="left" w:pos="468"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5</w:t>
            </w:r>
            <w:r/>
          </w:p>
        </w:tc>
        <w:tc>
          <w:tcPr>
            <w:tcW w:w="108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eastAsia="zh-CN"/>
              </w:rPr>
              <w:suppressLineNumbers w:val="0"/>
            </w:pPr>
            <w:r>
              <w:rPr>
                <w:rFonts w:hint="eastAsia" w:ascii="微软雅黑" w:hAnsi="微软雅黑" w:eastAsia="微软雅黑" w:cs="微软雅黑"/>
                <w:color w:val="auto"/>
                <w:sz w:val="24"/>
                <w:szCs w:val="24"/>
                <w:highlight w:val="none"/>
              </w:rPr>
              <w:t xml:space="preserve">∆</w:t>
            </w:r>
            <w:r>
              <w:rPr>
                <w:rFonts w:hint="eastAsia" w:ascii="宋体" w:hAnsi="宋体" w:eastAsia="宋体" w:cs="宋体"/>
                <w:color w:val="auto"/>
                <w:sz w:val="24"/>
                <w:szCs w:val="24"/>
                <w:highlight w:val="none"/>
              </w:rPr>
              <w:t xml:space="preserve">内置快照功能，能够对服务器及应用程序的运行时信息进行捕获。同时需具备应用服务器快照分析系统专有技术积累</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提供产品功能截图</w:t>
            </w:r>
            <w:r>
              <w:rPr>
                <w:rFonts w:hint="eastAsia" w:ascii="宋体" w:hAnsi="宋体" w:cs="宋体"/>
                <w:b/>
                <w:bCs/>
                <w:color w:val="auto"/>
                <w:sz w:val="24"/>
                <w:szCs w:val="24"/>
                <w:highlight w:val="none"/>
                <w:lang w:eastAsia="zh-CN"/>
              </w:rPr>
              <w:t xml:space="preserve">）</w:t>
            </w:r>
            <w:r/>
          </w:p>
        </w:tc>
      </w:tr>
      <w:tr>
        <w:trPr>
          <w:jc w:val="center"/>
          <w:trHeight w:val="567"/>
        </w:trPr>
        <w:tc>
          <w:tcPr>
            <w:shd w:val="clear" w:color="auto" w:fill="auto"/>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w:t>
            </w:r>
            <w:r/>
          </w:p>
        </w:tc>
        <w:tc>
          <w:tcPr>
            <w:tcW w:w="1085"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性能要求</w:t>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中间件集群部署多个中间件节点，可随节点数量增加，中间件的服务能力呈线性递增</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提供该能力的第三方测试报告</w:t>
            </w:r>
            <w:r>
              <w:rPr>
                <w:rFonts w:hint="eastAsia" w:ascii="宋体" w:hAnsi="宋体" w:eastAsia="宋体" w:cs="宋体"/>
                <w:b/>
                <w:bCs/>
                <w:color w:val="auto"/>
                <w:sz w:val="24"/>
                <w:szCs w:val="24"/>
                <w:highlight w:val="none"/>
                <w:lang w:eastAsia="zh-CN"/>
              </w:rPr>
              <w:t xml:space="preserve">）</w:t>
            </w:r>
            <w:r/>
          </w:p>
        </w:tc>
      </w:tr>
      <w:tr>
        <w:trPr>
          <w:jc w:val="center"/>
          <w:trHeight w:val="567"/>
        </w:trPr>
        <w:tc>
          <w:tcPr>
            <w:shd w:val="clear" w:color="auto" w:fill="auto"/>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w:t>
            </w:r>
            <w:r/>
          </w:p>
        </w:tc>
        <w:tc>
          <w:tcPr>
            <w:tcW w:w="1085"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安全性要求</w:t>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通过中国网络安全审查技术与认证中心的IT产品信息安全认证，符合GB/T 18336-2015《信息技术安全技术信息技术安全评估准则》和CCRC-TR-128-2023《中间件安全技术要求和测试评价方法》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提供IT产品信息安全认证证书和IT产品信息安全认证型式试验报告</w:t>
            </w:r>
            <w:r>
              <w:rPr>
                <w:rFonts w:hint="eastAsia" w:ascii="宋体" w:hAnsi="宋体" w:eastAsia="宋体" w:cs="宋体"/>
                <w:b/>
                <w:bCs/>
                <w:color w:val="auto"/>
                <w:sz w:val="24"/>
                <w:szCs w:val="24"/>
                <w:highlight w:val="none"/>
                <w:lang w:eastAsia="zh-CN"/>
              </w:rPr>
              <w:t xml:space="preserve">）</w:t>
            </w:r>
            <w:r/>
          </w:p>
        </w:tc>
      </w:tr>
      <w:tr>
        <w:trPr>
          <w:jc w:val="center"/>
          <w:trHeight w:val="567"/>
        </w:trPr>
        <w:tc>
          <w:tcPr>
            <w:shd w:val="clear" w:color="auto" w:fill="auto"/>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8</w:t>
            </w:r>
            <w:r/>
          </w:p>
        </w:tc>
        <w:tc>
          <w:tcPr>
            <w:tcW w:w="1085"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服务承诺</w:t>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▲提供原厂服务</w:t>
            </w:r>
            <w:r>
              <w:rPr>
                <w:rFonts w:hint="eastAsia" w:ascii="宋体" w:hAnsi="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en-US" w:eastAsia="zh-CN"/>
              </w:rPr>
              <w:t xml:space="preserve">承诺函</w:t>
            </w:r>
            <w:r>
              <w:rPr>
                <w:rFonts w:hint="eastAsia" w:ascii="宋体" w:hAnsi="宋体" w:cs="宋体"/>
                <w:b/>
                <w:bCs/>
                <w:color w:val="auto"/>
                <w:sz w:val="24"/>
                <w:szCs w:val="24"/>
                <w:highlight w:val="none"/>
                <w:lang w:val="en-US" w:eastAsia="zh-CN"/>
              </w:rPr>
              <w:t xml:space="preserve">）</w:t>
            </w:r>
            <w:r/>
          </w:p>
        </w:tc>
      </w:tr>
    </w:tbl>
    <w:p>
      <w:pPr>
        <w:pStyle w:val="708"/>
        <w:numPr>
          <w:ilvl w:val="3"/>
          <w:numId w:val="0"/>
        </w:numPr>
        <w:ind w:left="0" w:firstLine="482"/>
        <w:keepLines/>
        <w:keepNext/>
        <w:pageBreakBefore w:val="0"/>
        <w:widowControl/>
        <w:rPr>
          <w:rFonts w:hint="eastAsia" w:ascii="宋体" w:hAnsi="宋体" w:eastAsia="宋体" w:cs="宋体"/>
          <w:b/>
          <w:bCs/>
          <w:color w:val="auto"/>
          <w:sz w:val="24"/>
          <w:szCs w:val="24"/>
          <w:highlight w:val="none"/>
        </w:rPr>
      </w:pPr>
      <w:r>
        <w:rPr>
          <w:rFonts w:hint="eastAsia" w:ascii="Times New Roman" w:hAnsi="Times New Roman" w:eastAsia="方正仿宋_GB2312" w:cs="Times New Roman"/>
          <w:b/>
          <w:bCs/>
          <w:color w:val="auto"/>
          <w:sz w:val="24"/>
          <w:szCs w:val="24"/>
          <w:highlight w:val="none"/>
          <w:lang w:val="en-US" w:eastAsia="zh-CN" w:bidi="ar-SA"/>
        </w:rPr>
        <w:t xml:space="preserve">1.4.2.2</w:t>
      </w:r>
      <w:r>
        <w:rPr>
          <w:rFonts w:hint="eastAsia" w:ascii="宋体" w:hAnsi="宋体" w:eastAsia="宋体" w:cs="宋体"/>
          <w:b/>
          <w:bCs/>
          <w:color w:val="auto"/>
          <w:sz w:val="24"/>
          <w:szCs w:val="24"/>
          <w:highlight w:val="none"/>
        </w:rPr>
        <w:t xml:space="preserve">分布式数据缓存中间件</w:t>
      </w:r>
      <w:r/>
    </w:p>
    <w:tbl>
      <w:tblPr>
        <w:tblStyle w:val="7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987"/>
        <w:gridCol w:w="6217"/>
      </w:tblGrid>
      <w:tr>
        <w:trPr>
          <w:jc w:val="center"/>
          <w:trHeight w:val="567"/>
        </w:trPr>
        <w:tc>
          <w:tcPr>
            <w:tcW w:w="52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W w:w="108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指标项</w:t>
            </w:r>
            <w:r/>
          </w:p>
        </w:tc>
        <w:tc>
          <w:tcPr>
            <w:tcW w:w="339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技术规格要求</w:t>
            </w:r>
            <w:r/>
          </w:p>
        </w:tc>
      </w:tr>
      <w:tr>
        <w:trPr>
          <w:jc w:val="center"/>
          <w:trHeight w:val="567"/>
        </w:trPr>
        <w:tc>
          <w:tcPr>
            <w:tcW w:w="52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08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基本要求</w:t>
            </w:r>
            <w:r/>
          </w:p>
        </w:tc>
        <w:tc>
          <w:tcPr>
            <w:tcW w:w="3391" w:type="pct"/>
            <w:vAlign w:val="center"/>
            <w:textDirection w:val="lrTb"/>
            <w:noWrap w:val="false"/>
          </w:tcPr>
          <w:p>
            <w:pPr>
              <w:ind w:left="0" w:right="0" w:firstLine="0"/>
              <w:jc w:val="both"/>
              <w:keepLines w:val="0"/>
              <w:keepNext w:val="0"/>
              <w:pageBreakBefore w:val="0"/>
              <w:spacing w:before="0" w:beforeAutospacing="0" w:after="0" w:afterAutospacing="0" w:line="380" w:lineRule="atLeas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iCs/>
                <w:color w:val="auto"/>
                <w:sz w:val="24"/>
                <w:szCs w:val="24"/>
                <w:highlight w:val="none"/>
                <w:u w:val="single"/>
                <w:lang w:val="en-US" w:eastAsia="zh-CN"/>
              </w:rPr>
              <w:t xml:space="preserve">支持市场主流</w:t>
            </w:r>
            <w:r>
              <w:rPr>
                <w:rFonts w:hint="eastAsia" w:ascii="宋体" w:hAnsi="宋体" w:cs="宋体"/>
                <w:i/>
                <w:iCs/>
                <w:color w:val="auto"/>
                <w:sz w:val="24"/>
                <w:szCs w:val="24"/>
                <w:highlight w:val="none"/>
                <w:u w:val="single"/>
                <w:lang w:val="en-US" w:eastAsia="zh-CN"/>
              </w:rPr>
              <w:t xml:space="preserve">国产</w:t>
            </w:r>
            <w:r>
              <w:rPr>
                <w:rFonts w:hint="eastAsia" w:ascii="宋体" w:hAnsi="宋体" w:eastAsia="宋体" w:cs="宋体"/>
                <w:i/>
                <w:iCs/>
                <w:color w:val="auto"/>
                <w:sz w:val="24"/>
                <w:szCs w:val="24"/>
                <w:highlight w:val="none"/>
                <w:u w:val="single"/>
                <w:lang w:val="en-US" w:eastAsia="zh-CN"/>
              </w:rPr>
              <w:t xml:space="preserve">芯片和操作系统</w:t>
            </w:r>
            <w:r>
              <w:rPr>
                <w:rFonts w:hint="eastAsia" w:ascii="宋体" w:hAnsi="宋体" w:cs="宋体"/>
                <w:b/>
                <w:bCs/>
                <w:i/>
                <w:iCs/>
                <w:color w:val="auto"/>
                <w:sz w:val="24"/>
                <w:szCs w:val="24"/>
                <w:highlight w:val="none"/>
                <w:u w:val="single"/>
                <w:lang w:val="en-US" w:eastAsia="zh-CN"/>
              </w:rPr>
              <w:t xml:space="preserve">(提供承诺函)</w:t>
            </w:r>
            <w:r/>
          </w:p>
        </w:tc>
      </w:tr>
      <w:tr>
        <w:trPr>
          <w:jc w:val="center"/>
          <w:trHeight w:val="567"/>
        </w:trPr>
        <w:tc>
          <w:tcPr>
            <w:tcW w:w="52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p>
        </w:tc>
        <w:tc>
          <w:tcPr>
            <w:tcW w:w="108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高可用性要求</w:t>
            </w:r>
            <w:r/>
          </w:p>
        </w:tc>
        <w:tc>
          <w:tcPr>
            <w:tcW w:w="3391" w:type="pct"/>
            <w:vAlign w:val="center"/>
            <w:textDirection w:val="lrTb"/>
            <w:noWrap w:val="false"/>
          </w:tcPr>
          <w:p>
            <w:pPr>
              <w:ind w:left="0" w:right="0" w:firstLine="0"/>
              <w:jc w:val="both"/>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lang w:eastAsia="zh-CN"/>
              </w:rPr>
              <w:suppressLineNumbers w:val="0"/>
            </w:pPr>
            <w:r>
              <w:rPr>
                <w:rFonts w:hint="eastAsia" w:ascii="微软雅黑" w:hAnsi="微软雅黑" w:eastAsia="微软雅黑" w:cs="微软雅黑"/>
                <w:color w:val="auto"/>
                <w:sz w:val="24"/>
                <w:szCs w:val="24"/>
                <w:highlight w:val="none"/>
              </w:rPr>
              <w:t xml:space="preserve">∆</w:t>
            </w:r>
            <w:r>
              <w:rPr>
                <w:rFonts w:hint="eastAsia" w:ascii="宋体" w:hAnsi="宋体" w:eastAsia="宋体" w:cs="宋体"/>
                <w:color w:val="auto"/>
                <w:sz w:val="24"/>
                <w:szCs w:val="24"/>
                <w:highlight w:val="none"/>
              </w:rPr>
              <w:t xml:space="preserve">产品应具有良好的高可用性，当集群中所有主节点因故障宕机时，系统仍然具备数据服务能力。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软件运行功能</w:t>
            </w:r>
            <w:r>
              <w:rPr>
                <w:rFonts w:hint="eastAsia" w:ascii="宋体" w:hAnsi="宋体" w:cs="宋体"/>
                <w:b/>
                <w:bCs/>
                <w:color w:val="auto"/>
                <w:sz w:val="24"/>
                <w:szCs w:val="24"/>
                <w:highlight w:val="none"/>
              </w:rPr>
              <w:t xml:space="preserve">截图</w:t>
            </w:r>
            <w:r>
              <w:rPr>
                <w:rFonts w:hint="eastAsia" w:ascii="宋体" w:hAnsi="宋体" w:cs="宋体"/>
                <w:b/>
                <w:bCs/>
                <w:color w:val="auto"/>
                <w:sz w:val="24"/>
                <w:szCs w:val="24"/>
                <w:highlight w:val="none"/>
                <w:lang w:eastAsia="zh-CN"/>
              </w:rPr>
              <w:t xml:space="preserve">）</w:t>
            </w:r>
            <w:r/>
          </w:p>
        </w:tc>
      </w:tr>
      <w:tr>
        <w:trPr>
          <w:jc w:val="center"/>
          <w:trHeight w:val="567"/>
        </w:trPr>
        <w:tc>
          <w:tcPr>
            <w:tcW w:w="52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tcW w:w="108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兼容性要求</w:t>
            </w:r>
            <w:r/>
          </w:p>
        </w:tc>
        <w:tc>
          <w:tcPr>
            <w:tcW w:w="3391" w:type="pct"/>
            <w:vAlign w:val="center"/>
            <w:textDirection w:val="lrTb"/>
            <w:noWrap w:val="false"/>
          </w:tcPr>
          <w:p>
            <w:pPr>
              <w:ind w:left="0" w:right="0" w:firstLine="0"/>
              <w:jc w:val="both"/>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考虑业务运行环境的多样性特点，产品应具备异构操作系统环境的兼容能力，采用Java语言开发，无需针对不同设备及操作系统分别进行编译。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提供服务节点的启动脚本截图）</w:t>
            </w:r>
            <w:r/>
          </w:p>
        </w:tc>
      </w:tr>
      <w:tr>
        <w:trPr>
          <w:jc w:val="center"/>
          <w:trHeight w:val="567"/>
        </w:trPr>
        <w:tc>
          <w:tcPr>
            <w:tcW w:w="52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tcW w:w="108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数据类型要求</w:t>
            </w:r>
            <w:r/>
          </w:p>
        </w:tc>
        <w:tc>
          <w:tcPr>
            <w:tcW w:w="3391" w:type="pct"/>
            <w:vAlign w:val="center"/>
            <w:textDirection w:val="lrTb"/>
            <w:noWrap w:val="false"/>
          </w:tcPr>
          <w:p>
            <w:pPr>
              <w:ind w:left="0" w:right="0" w:firstLine="0"/>
              <w:jc w:val="both"/>
              <w:keepLines w:val="0"/>
              <w:keepNext w:val="0"/>
              <w:pageBreakBefore w:val="0"/>
              <w:spacing w:before="0" w:beforeAutospacing="0" w:after="0" w:afterAutospacing="0" w:line="380" w:lineRule="atLeast"/>
              <w:widowControl/>
              <w:rPr>
                <w:rFonts w:hint="eastAsia" w:ascii="宋体" w:hAnsi="宋体" w:eastAsia="宋体" w:cs="宋体"/>
                <w:bCs/>
                <w:color w:val="auto"/>
                <w:sz w:val="24"/>
                <w:szCs w:val="24"/>
                <w:highlight w:val="none"/>
                <w:lang w:eastAsia="zh-CN"/>
              </w:rPr>
              <w:suppressLineNumbers w:val="0"/>
            </w:pPr>
            <w:r>
              <w:rPr>
                <w:rFonts w:hint="eastAsia" w:ascii="微软雅黑" w:hAnsi="微软雅黑" w:eastAsia="微软雅黑" w:cs="微软雅黑"/>
                <w:color w:val="auto"/>
                <w:sz w:val="24"/>
                <w:szCs w:val="24"/>
                <w:highlight w:val="none"/>
              </w:rPr>
              <w:t xml:space="preserve">∆</w:t>
            </w:r>
            <w:r>
              <w:rPr>
                <w:rFonts w:hint="eastAsia" w:ascii="宋体" w:hAnsi="宋体" w:eastAsia="宋体" w:cs="宋体"/>
                <w:bCs/>
                <w:color w:val="auto"/>
                <w:sz w:val="24"/>
                <w:szCs w:val="24"/>
                <w:highlight w:val="none"/>
              </w:rPr>
              <w:t xml:space="preserve">产品应原生支持以下数据类型,并提供下述数据类型的格式校验能力：Integer类型数据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Long类型数据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IPv4地址类型数据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IPv6地址类型数据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MAC地址类型数据</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提供产品功能截图证明</w:t>
            </w:r>
            <w:r>
              <w:rPr>
                <w:rFonts w:hint="eastAsia" w:ascii="宋体" w:hAnsi="宋体"/>
                <w:b/>
                <w:bCs/>
                <w:color w:val="auto"/>
                <w:sz w:val="24"/>
                <w:szCs w:val="24"/>
                <w:highlight w:val="none"/>
                <w:lang w:eastAsia="zh-CN"/>
              </w:rPr>
              <w:t xml:space="preserve">）</w:t>
            </w:r>
            <w:r/>
          </w:p>
        </w:tc>
      </w:tr>
      <w:tr>
        <w:trPr>
          <w:jc w:val="center"/>
          <w:trHeight w:val="567"/>
        </w:trPr>
        <w:tc>
          <w:tcPr>
            <w:shd w:val="clear" w:color="auto" w:fill="auto"/>
            <w:tcW w:w="52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5</w:t>
            </w:r>
            <w:r/>
          </w:p>
        </w:tc>
        <w:tc>
          <w:tcPr>
            <w:tcW w:w="108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查询/索引</w:t>
            </w:r>
            <w:r/>
          </w:p>
        </w:tc>
        <w:tc>
          <w:tcPr>
            <w:tcW w:w="3391" w:type="pct"/>
            <w:vAlign w:val="center"/>
            <w:textDirection w:val="lrTb"/>
            <w:noWrap w:val="false"/>
          </w:tcPr>
          <w:p>
            <w:pPr>
              <w:ind w:left="0" w:right="0" w:firstLine="0"/>
              <w:jc w:val="both"/>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产品可支持对Key建立索引，同时支持对Value建立多重索引，具备联合索引查询能力。</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提供联合索引查询相关能力的产品功能截图证明</w:t>
            </w:r>
            <w:r>
              <w:rPr>
                <w:rFonts w:hint="eastAsia" w:ascii="宋体" w:hAnsi="宋体" w:cs="宋体"/>
                <w:b/>
                <w:bCs/>
                <w:color w:val="auto"/>
                <w:sz w:val="24"/>
                <w:szCs w:val="24"/>
                <w:highlight w:val="none"/>
                <w:lang w:eastAsia="zh-CN"/>
              </w:rPr>
              <w:t xml:space="preserve">）</w:t>
            </w:r>
            <w:r/>
          </w:p>
        </w:tc>
      </w:tr>
      <w:tr>
        <w:trPr>
          <w:jc w:val="center"/>
          <w:trHeight w:val="567"/>
        </w:trPr>
        <w:tc>
          <w:tcPr>
            <w:shd w:val="clear" w:color="auto" w:fill="auto"/>
            <w:tcW w:w="52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w:t>
            </w:r>
            <w:r/>
          </w:p>
        </w:tc>
        <w:tc>
          <w:tcPr>
            <w:tcW w:w="108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客户端并发访问线性增长</w:t>
            </w:r>
            <w:r/>
          </w:p>
        </w:tc>
        <w:tc>
          <w:tcPr>
            <w:tcW w:w="3391" w:type="pct"/>
            <w:vAlign w:val="center"/>
            <w:textDirection w:val="lrTb"/>
            <w:noWrap w:val="false"/>
          </w:tcPr>
          <w:p>
            <w:pPr>
              <w:ind w:left="0" w:right="0" w:firstLine="0"/>
              <w:jc w:val="both"/>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产品应具备支持高并发访问请求的能力，性能测试结果应不低于30万QPS。</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提供第三方出具的产品性能测试报告证明材料。材料至少包含报告首页、签字页、测试环境、测试结果等信息。</w:t>
            </w:r>
            <w:r>
              <w:rPr>
                <w:rFonts w:hint="eastAsia" w:ascii="宋体" w:hAnsi="宋体" w:cs="宋体"/>
                <w:b/>
                <w:bCs/>
                <w:color w:val="auto"/>
                <w:sz w:val="24"/>
                <w:szCs w:val="24"/>
                <w:highlight w:val="none"/>
                <w:lang w:eastAsia="zh-CN"/>
              </w:rPr>
              <w:t xml:space="preserve">）</w:t>
            </w:r>
            <w:r/>
          </w:p>
        </w:tc>
      </w:tr>
      <w:tr>
        <w:trPr>
          <w:jc w:val="center"/>
          <w:trHeight w:val="567"/>
        </w:trPr>
        <w:tc>
          <w:tcPr>
            <w:shd w:val="clear" w:color="auto" w:fill="auto"/>
            <w:tcW w:w="52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w:t>
            </w:r>
            <w:r/>
          </w:p>
        </w:tc>
        <w:tc>
          <w:tcPr>
            <w:tcW w:w="108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权限管控</w:t>
            </w:r>
            <w:r/>
          </w:p>
        </w:tc>
        <w:tc>
          <w:tcPr>
            <w:tcW w:w="3391" w:type="pct"/>
            <w:vAlign w:val="center"/>
            <w:textDirection w:val="lrTb"/>
            <w:noWrap w:val="false"/>
          </w:tcPr>
          <w:p>
            <w:pPr>
              <w:ind w:left="0" w:right="0" w:firstLine="0"/>
              <w:jc w:val="both"/>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rPr>
              <w:suppressLineNumbers w:val="0"/>
            </w:pPr>
            <w:r>
              <w:rPr>
                <w:rFonts w:hint="eastAsia" w:ascii="微软雅黑" w:hAnsi="微软雅黑" w:eastAsia="微软雅黑" w:cs="微软雅黑"/>
                <w:color w:val="auto"/>
                <w:sz w:val="24"/>
                <w:szCs w:val="24"/>
                <w:highlight w:val="none"/>
              </w:rPr>
              <w:t xml:space="preserve">∆</w:t>
            </w:r>
            <w:r>
              <w:rPr>
                <w:rFonts w:hint="eastAsia" w:ascii="宋体" w:hAnsi="宋体" w:eastAsia="宋体" w:cs="宋体"/>
                <w:color w:val="auto"/>
                <w:sz w:val="24"/>
                <w:szCs w:val="24"/>
                <w:highlight w:val="none"/>
              </w:rPr>
              <w:t xml:space="preserve">产品应支持对节点用户访问口令等敏感信息进行加密、授权管理，同时支持基于节点用户授权实现节点操作配置的精细化管理，保障业务数据安全。</w:t>
            </w:r>
            <w:r/>
          </w:p>
          <w:p>
            <w:pPr>
              <w:ind w:left="0" w:right="0" w:firstLine="0"/>
              <w:jc w:val="both"/>
              <w:keepLines w:val="0"/>
              <w:keepNext w:val="0"/>
              <w:pageBreakBefore w:val="0"/>
              <w:spacing w:before="0" w:beforeAutospacing="0" w:after="0" w:afterAutospacing="0" w:line="380" w:lineRule="atLeas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基于哨兵（Sentinel）指令，产品具备根据客户端权限，返回授权范围的节点所属信息，避免节点信息泄露。</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提供产品功能截图证明</w:t>
            </w:r>
            <w:r>
              <w:rPr>
                <w:rFonts w:hint="eastAsia" w:ascii="宋体" w:hAnsi="宋体" w:cs="宋体"/>
                <w:b/>
                <w:bCs/>
                <w:color w:val="auto"/>
                <w:sz w:val="24"/>
                <w:szCs w:val="24"/>
                <w:highlight w:val="none"/>
                <w:lang w:eastAsia="zh-CN"/>
              </w:rPr>
              <w:t xml:space="preserve">）</w:t>
            </w:r>
            <w:r/>
          </w:p>
        </w:tc>
      </w:tr>
      <w:tr>
        <w:trPr>
          <w:jc w:val="center"/>
          <w:trHeight w:val="567"/>
        </w:trPr>
        <w:tc>
          <w:tcPr>
            <w:shd w:val="clear" w:color="auto" w:fill="auto"/>
            <w:tcW w:w="52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8</w:t>
            </w:r>
            <w:r/>
          </w:p>
        </w:tc>
        <w:tc>
          <w:tcPr>
            <w:shd w:val="clear" w:color="auto" w:fill="auto"/>
            <w:tcW w:w="1084"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服务承诺</w:t>
            </w:r>
            <w:r/>
          </w:p>
        </w:tc>
        <w:tc>
          <w:tcPr>
            <w:shd w:val="clear" w:color="auto" w:fill="auto"/>
            <w:tcW w:w="3391"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提供原厂服务</w:t>
            </w:r>
            <w:r>
              <w:rPr>
                <w:rFonts w:hint="eastAsia" w:ascii="宋体" w:hAnsi="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en-US" w:eastAsia="zh-CN"/>
              </w:rPr>
              <w:t xml:space="preserve">承诺函</w:t>
            </w:r>
            <w:r>
              <w:rPr>
                <w:rFonts w:hint="eastAsia" w:ascii="宋体" w:hAnsi="宋体" w:cs="宋体"/>
                <w:b/>
                <w:bCs/>
                <w:color w:val="auto"/>
                <w:sz w:val="24"/>
                <w:szCs w:val="24"/>
                <w:highlight w:val="none"/>
                <w:lang w:val="en-US" w:eastAsia="zh-CN"/>
              </w:rPr>
              <w:t xml:space="preserve">）</w:t>
            </w:r>
            <w:r/>
          </w:p>
        </w:tc>
      </w:tr>
    </w:tbl>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Times New Roman"/>
          <w:color w:val="auto"/>
          <w:sz w:val="24"/>
          <w:szCs w:val="24"/>
          <w:highlight w:val="none"/>
          <w:lang w:val="en-US" w:eastAsia="zh-CN" w:bidi="ar"/>
        </w:rPr>
        <w:t xml:space="preserve"> </w:t>
      </w:r>
      <w:r/>
    </w:p>
    <w:p>
      <w:pPr>
        <w:pStyle w:val="708"/>
        <w:numPr>
          <w:ilvl w:val="3"/>
          <w:numId w:val="0"/>
        </w:numPr>
        <w:ind w:left="0" w:firstLine="482"/>
        <w:keepLines/>
        <w:keepNext/>
        <w:pageBreakBefore w:val="0"/>
        <w:widowControl/>
        <w:rPr>
          <w:rFonts w:hint="eastAsia" w:ascii="宋体" w:hAnsi="宋体" w:eastAsia="宋体" w:cs="宋体"/>
          <w:b/>
          <w:bCs/>
          <w:color w:val="auto"/>
          <w:sz w:val="24"/>
          <w:szCs w:val="24"/>
          <w:highlight w:val="none"/>
        </w:rPr>
      </w:pPr>
      <w:r>
        <w:rPr>
          <w:rFonts w:hint="eastAsia" w:ascii="Times New Roman" w:hAnsi="Times New Roman" w:eastAsia="方正仿宋_GB2312" w:cs="Times New Roman"/>
          <w:b/>
          <w:bCs/>
          <w:color w:val="auto"/>
          <w:sz w:val="24"/>
          <w:szCs w:val="24"/>
          <w:highlight w:val="none"/>
          <w:lang w:val="en-US" w:eastAsia="zh-CN" w:bidi="ar-SA"/>
        </w:rPr>
        <w:t xml:space="preserve">1.4.2.3</w:t>
      </w:r>
      <w:r>
        <w:rPr>
          <w:rFonts w:hint="eastAsia" w:ascii="宋体" w:hAnsi="宋体" w:eastAsia="宋体" w:cs="宋体"/>
          <w:b/>
          <w:bCs/>
          <w:color w:val="auto"/>
          <w:sz w:val="24"/>
          <w:szCs w:val="24"/>
          <w:highlight w:val="none"/>
        </w:rPr>
        <w:t xml:space="preserve">分布式消息中间件</w:t>
      </w:r>
      <w:r/>
    </w:p>
    <w:tbl>
      <w:tblPr>
        <w:tblStyle w:val="7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989"/>
        <w:gridCol w:w="6221"/>
      </w:tblGrid>
      <w:tr>
        <w:trPr>
          <w:jc w:val="center"/>
          <w:trHeight w:val="567"/>
          <w:tblHeader/>
        </w:trPr>
        <w:tc>
          <w:tcPr>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序号</w:t>
            </w:r>
            <w:r/>
          </w:p>
        </w:tc>
        <w:tc>
          <w:tcPr>
            <w:tcW w:w="1085"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指标分类</w:t>
            </w:r>
            <w:r/>
          </w:p>
        </w:tc>
        <w:tc>
          <w:tcPr>
            <w:tcW w:w="3393"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指标要求</w:t>
            </w:r>
            <w:r/>
          </w:p>
        </w:tc>
      </w:tr>
      <w:tr>
        <w:trPr>
          <w:jc w:val="center"/>
          <w:trHeight w:val="567"/>
        </w:trPr>
        <w:tc>
          <w:tcPr>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085"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基本要求</w:t>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rPr>
              <w:t xml:space="preserve">支持市场主流国产芯片和操作系统</w:t>
            </w:r>
            <w:r>
              <w:rPr>
                <w:rFonts w:hint="eastAsia" w:ascii="宋体" w:hAnsi="宋体" w:cs="宋体"/>
                <w:b/>
                <w:bCs/>
                <w:i/>
                <w:iCs/>
                <w:color w:val="auto"/>
                <w:sz w:val="24"/>
                <w:szCs w:val="24"/>
                <w:highlight w:val="none"/>
                <w:u w:val="single"/>
                <w:lang w:val="en-US" w:eastAsia="zh-CN"/>
              </w:rPr>
              <w:t xml:space="preserve">(提供承诺函)</w:t>
            </w:r>
            <w:r/>
          </w:p>
        </w:tc>
      </w:tr>
      <w:tr>
        <w:trPr>
          <w:jc w:val="center"/>
          <w:trHeight w:val="567"/>
        </w:trPr>
        <w:tc>
          <w:tcPr>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p>
        </w:tc>
        <w:tc>
          <w:tcPr>
            <w:tcW w:w="1085"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安全性要求</w:t>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为保证客户端和服务端之间的数据隐私和完整性，需提供多种安全机制，如SSL/TLS加密，SASL身份验证机制以及ACL访问控制。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提供ACL图形化配置界面截图</w:t>
            </w:r>
            <w:r>
              <w:rPr>
                <w:rFonts w:hint="eastAsia" w:ascii="宋体" w:hAnsi="宋体" w:cs="宋体"/>
                <w:b/>
                <w:bCs/>
                <w:color w:val="auto"/>
                <w:sz w:val="24"/>
                <w:szCs w:val="24"/>
                <w:highlight w:val="none"/>
                <w:lang w:eastAsia="zh-CN"/>
              </w:rPr>
              <w:t xml:space="preserve">）</w:t>
            </w:r>
            <w:r/>
          </w:p>
        </w:tc>
      </w:tr>
      <w:tr>
        <w:trPr>
          <w:jc w:val="center"/>
          <w:trHeight w:val="567"/>
        </w:trPr>
        <w:tc>
          <w:tcPr>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tcW w:w="1085" w:type="pct"/>
            <w:vAlign w:val="center"/>
            <w:vMerge w:val="restart"/>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管理要求</w:t>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集群图形化展现功能，可展示集群健康状态，可根据需要选择展示关心的指标，包括展示集群总数、主题总数、消费者组总数以及最近一段时间内写入/流出集群的每秒字节数(最近1分钟/5分钟/15分钟均值)的时间点测量视图</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提供相关截图</w:t>
            </w:r>
            <w:r>
              <w:rPr>
                <w:rFonts w:hint="eastAsia" w:ascii="宋体" w:hAnsi="宋体" w:cs="宋体"/>
                <w:b/>
                <w:bCs/>
                <w:color w:val="auto"/>
                <w:sz w:val="24"/>
                <w:szCs w:val="24"/>
                <w:highlight w:val="none"/>
                <w:lang w:eastAsia="zh-CN"/>
              </w:rPr>
              <w:t xml:space="preserve">）</w:t>
            </w:r>
            <w:r/>
          </w:p>
        </w:tc>
      </w:tr>
      <w:tr>
        <w:trPr>
          <w:jc w:val="center"/>
          <w:trHeight w:val="567"/>
        </w:trPr>
        <w:tc>
          <w:tcPr>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tcW w:w="1085"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提供节点、主题概览功能，可提供节点、主题、消费者组的参数配置和统计功能</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提供相关截图</w:t>
            </w:r>
            <w:r>
              <w:rPr>
                <w:rFonts w:hint="eastAsia" w:ascii="宋体" w:hAnsi="宋体" w:cs="宋体"/>
                <w:b/>
                <w:bCs/>
                <w:color w:val="auto"/>
                <w:sz w:val="24"/>
                <w:szCs w:val="24"/>
                <w:highlight w:val="none"/>
                <w:lang w:eastAsia="zh-CN"/>
              </w:rPr>
              <w:t xml:space="preserve">）</w:t>
            </w:r>
            <w:r/>
          </w:p>
        </w:tc>
      </w:tr>
      <w:tr>
        <w:trPr>
          <w:jc w:val="center"/>
          <w:trHeight w:val="567"/>
        </w:trPr>
        <w:tc>
          <w:tcPr>
            <w:shd w:val="clear" w:color="auto" w:fill="auto"/>
            <w:tcW w:w="521"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5</w:t>
            </w:r>
            <w:r/>
          </w:p>
        </w:tc>
        <w:tc>
          <w:tcPr>
            <w:shd w:val="clear" w:color="auto" w:fill="auto"/>
            <w:tcW w:w="1085" w:type="pct"/>
            <w:vAlign w:val="center"/>
            <w:textDirection w:val="lrTb"/>
            <w:noWrap w:val="false"/>
          </w:tcPr>
          <w:p>
            <w:pPr>
              <w:ind w:left="0" w:right="0" w:firstLine="0"/>
              <w:jc w:val="center"/>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服务承诺</w:t>
            </w:r>
            <w:r/>
          </w:p>
        </w:tc>
        <w:tc>
          <w:tcPr>
            <w:shd w:val="clear" w:color="auto" w:fill="auto"/>
            <w:tcW w:w="3393" w:type="pct"/>
            <w:vAlign w:val="center"/>
            <w:textDirection w:val="lrTb"/>
            <w:noWrap w:val="false"/>
          </w:tcPr>
          <w:p>
            <w:pPr>
              <w:ind w:left="0" w:right="0" w:firstLine="0"/>
              <w:jc w:val="both"/>
              <w:keepLines w:val="0"/>
              <w:keepNext w:val="0"/>
              <w:pageBreakBefore w:val="0"/>
              <w:spacing w:before="0" w:beforeAutospacing="0" w:after="0" w:afterAutospacing="0" w:line="380" w:lineRule="atLeast"/>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▲提供原厂服务</w:t>
            </w:r>
            <w:r>
              <w:rPr>
                <w:rFonts w:hint="eastAsia" w:ascii="宋体" w:hAnsi="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en-US" w:eastAsia="zh-CN"/>
              </w:rPr>
              <w:t xml:space="preserve">承诺函</w:t>
            </w:r>
            <w:r>
              <w:rPr>
                <w:rFonts w:hint="eastAsia" w:ascii="宋体" w:hAnsi="宋体" w:cs="宋体"/>
                <w:b/>
                <w:bCs/>
                <w:color w:val="auto"/>
                <w:sz w:val="24"/>
                <w:szCs w:val="24"/>
                <w:highlight w:val="none"/>
                <w:lang w:val="en-US" w:eastAsia="zh-CN"/>
              </w:rPr>
              <w:t xml:space="preserve">）</w:t>
            </w:r>
            <w:r/>
          </w:p>
        </w:tc>
      </w:tr>
    </w:tbl>
    <w:p>
      <w:pPr>
        <w:ind w:left="0" w:right="0" w:firstLine="0"/>
        <w:jc w:val="both"/>
        <w:keepLines w:val="0"/>
        <w:keepNext w:val="0"/>
        <w:spacing w:before="0" w:beforeAutospacing="0" w:after="0" w:afterAutospacing="0" w:line="500" w:lineRule="exact"/>
        <w:widowControl w:val="off"/>
        <w:rPr>
          <w:rFonts w:hint="eastAsia" w:ascii="Times New Roman" w:hAnsi="Times New Roman" w:eastAsia="方正仿宋_GB2312" w:cs="Times New Roman"/>
          <w:color w:val="auto"/>
          <w:sz w:val="24"/>
          <w:szCs w:val="24"/>
          <w:highlight w:val="none"/>
        </w:rPr>
        <w:suppressLineNumbers w:val="0"/>
      </w:pPr>
      <w:r>
        <w:rPr>
          <w:rFonts w:hint="eastAsia" w:ascii="Times New Roman" w:hAnsi="Times New Roman" w:eastAsia="方正仿宋_GB2312" w:cs="Times New Roman"/>
          <w:color w:val="auto"/>
          <w:sz w:val="24"/>
          <w:szCs w:val="24"/>
          <w:highlight w:val="none"/>
          <w:lang w:val="en-US" w:eastAsia="zh-CN" w:bidi="ar"/>
        </w:rPr>
        <w:t xml:space="preserve"> </w:t>
      </w:r>
      <w:r/>
    </w:p>
    <w:p>
      <w:pPr>
        <w:numPr>
          <w:ilvl w:val="1"/>
          <w:numId w:val="0"/>
        </w:numPr>
        <w:ind w:left="0" w:firstLine="482"/>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w:t>
      </w:r>
      <w:r>
        <w:rPr>
          <w:rFonts w:hint="eastAsia" w:eastAsia="方正仿宋_GB2312" w:cs="Times New Roman"/>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rPr>
        <w:t xml:space="preserve">服务</w:t>
      </w:r>
      <w:r/>
    </w:p>
    <w:p>
      <w:pPr>
        <w:numPr>
          <w:ilvl w:val="2"/>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rPr>
        <w:t xml:space="preserve">系统数据填报服务</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扬州市住建局、城管局、公安局、生态环境局、交通局、水利局、海事局、资源规划局、各县（市、区）、功能区、数据局等部门的系统与扬州市建筑垃圾全链条监管平台进行数据对接，目前相关数据可通过人工方式获取，待条件成熟后，通过接口方式对接，由投标人免费提供服务。</w:t>
      </w:r>
      <w:r/>
    </w:p>
    <w:p>
      <w:pPr>
        <w:numPr>
          <w:ilvl w:val="2"/>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rPr>
        <w:t xml:space="preserve">售后服务</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本项目平台系统在竣工验收后，中标人须提供为期三年的免费售后服务。</w:t>
      </w:r>
      <w:r/>
    </w:p>
    <w:p>
      <w:pPr>
        <w:numPr>
          <w:ilvl w:val="2"/>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.3</w:t>
      </w:r>
      <w:r>
        <w:rPr>
          <w:rFonts w:hint="eastAsia" w:ascii="宋体" w:hAnsi="宋体" w:eastAsia="宋体" w:cs="宋体"/>
          <w:b/>
          <w:bCs w:val="0"/>
          <w:color w:val="auto"/>
          <w:sz w:val="24"/>
          <w:szCs w:val="24"/>
          <w:highlight w:val="none"/>
        </w:rPr>
        <w:t xml:space="preserve">进度要求</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自项目合同签订之日起九个月内，须完成所有系统功能模块的开发工作，并成功部署至采购人指定的运行环境。</w:t>
      </w:r>
      <w:r/>
    </w:p>
    <w:p>
      <w:pPr>
        <w:numPr>
          <w:ilvl w:val="2"/>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.4</w:t>
      </w:r>
      <w:r>
        <w:rPr>
          <w:rFonts w:hint="eastAsia" w:ascii="宋体" w:hAnsi="宋体" w:eastAsia="宋体" w:cs="宋体"/>
          <w:b/>
          <w:bCs w:val="0"/>
          <w:color w:val="auto"/>
          <w:sz w:val="24"/>
          <w:szCs w:val="24"/>
          <w:highlight w:val="none"/>
        </w:rPr>
        <w:t xml:space="preserve">运维服务</w:t>
      </w:r>
      <w:r/>
    </w:p>
    <w:p>
      <w:pPr>
        <w:ind w:left="0" w:right="0" w:firstLine="480"/>
        <w:jc w:val="both"/>
        <w:keepLines w:val="0"/>
        <w:keepNext w:val="0"/>
        <w:pageBreakBefore w:val="0"/>
        <w:spacing w:beforeAutospacing="0" w:afterAutospacing="0" w:line="380" w:lineRule="exact"/>
        <w:widowControl w:val="off"/>
        <w:rPr>
          <w:rFonts w:hint="default" w:ascii="Times New Roman" w:hAnsi="Times New Roman" w:eastAsia="方正仿宋_GB2312" w:cs="Times New Roman"/>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平台系统在竣工验收后，应提供软件版本升级、功能维护、咨询等维护服务。免费维护期三年，时间自验收合格之日起计算。维护期内，中标人免费负责平台的安装、运行、维护和升级服务，系统出现故障当天排除，对系统运行进行月、季和年度巡检，根巡检情况进行系统分析和优化。要求系统在运行期间出现故障响应时间，一般</w:t>
      </w:r>
      <w:r>
        <w:rPr>
          <w:rFonts w:hint="eastAsia" w:ascii="宋体" w:hAnsi="宋体" w:cs="宋体"/>
          <w:color w:val="auto"/>
          <w:sz w:val="24"/>
          <w:szCs w:val="24"/>
          <w:highlight w:val="none"/>
          <w:lang w:val="en-US" w:eastAsia="zh-CN" w:bidi="ar"/>
        </w:rPr>
        <w:t xml:space="preserve">情况</w:t>
      </w:r>
      <w:r>
        <w:rPr>
          <w:rFonts w:hint="eastAsia" w:ascii="宋体" w:hAnsi="宋体" w:eastAsia="宋体" w:cs="宋体"/>
          <w:color w:val="auto"/>
          <w:sz w:val="24"/>
          <w:szCs w:val="24"/>
          <w:highlight w:val="none"/>
          <w:lang w:val="en-US" w:eastAsia="zh-CN" w:bidi="ar"/>
        </w:rPr>
        <w:t xml:space="preserve">下解决的时间不得超过四小时。</w:t>
      </w:r>
      <w:r/>
    </w:p>
    <w:p>
      <w:pPr>
        <w:ind w:left="0" w:right="0" w:firstLine="482"/>
        <w:jc w:val="both"/>
        <w:keepLines w:val="0"/>
        <w:keepNext w:val="0"/>
        <w:pageBreakBefore w:val="0"/>
        <w:spacing w:beforeAutospacing="0" w:afterAutospacing="0" w:line="380" w:lineRule="exact"/>
        <w:widowControl w:val="off"/>
        <w:rPr>
          <w:rFonts w:hint="eastAsia" w:ascii="宋体" w:hAnsi="宋体" w:eastAsia="宋体" w:cs="宋体"/>
          <w:b/>
          <w:bCs w:val="0"/>
          <w:color w:val="auto"/>
          <w:sz w:val="24"/>
          <w:szCs w:val="24"/>
          <w:highlight w:val="none"/>
          <w:lang w:val="en-US" w:eastAsia="zh-CN" w:bidi="ar-SA"/>
        </w:rPr>
        <w:outlineLvl w:val="2"/>
        <w:suppressLineNumbers w:val="0"/>
      </w:pPr>
      <w:r>
        <w:rPr>
          <w:rFonts w:hint="eastAsia" w:ascii="Times New Roman" w:hAnsi="Times New Roman" w:eastAsia="宋体" w:cs="Times New Roman"/>
          <w:b/>
          <w:bCs w:val="0"/>
          <w:color w:val="auto"/>
          <w:sz w:val="24"/>
          <w:szCs w:val="24"/>
          <w:highlight w:val="none"/>
          <w:lang w:val="en-US" w:eastAsia="zh-CN" w:bidi="ar-SA"/>
        </w:rPr>
        <w:t xml:space="preserve">1.5.5</w:t>
      </w:r>
      <w:r>
        <w:rPr>
          <w:rFonts w:hint="eastAsia" w:ascii="宋体" w:hAnsi="宋体" w:eastAsia="宋体" w:cs="宋体"/>
          <w:b/>
          <w:bCs w:val="0"/>
          <w:color w:val="auto"/>
          <w:sz w:val="24"/>
          <w:szCs w:val="24"/>
          <w:highlight w:val="none"/>
          <w:lang w:val="en-US" w:eastAsia="zh-CN"/>
        </w:rPr>
        <w:t xml:space="preserve">应急服务</w:t>
      </w:r>
      <w:r/>
    </w:p>
    <w:p>
      <w:pPr>
        <w:ind w:left="0" w:firstLine="480"/>
        <w:keepLines w:val="0"/>
        <w:keepNext w:val="0"/>
        <w:pageBreakBefore w:val="0"/>
        <w:spacing w:line="3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紧急情况下</w:t>
      </w:r>
      <w:r>
        <w:rPr>
          <w:rFonts w:hint="eastAsia" w:ascii="宋体" w:hAnsi="宋体" w:eastAsia="宋体" w:cs="宋体"/>
          <w:color w:val="auto"/>
          <w:sz w:val="24"/>
          <w:szCs w:val="24"/>
          <w:highlight w:val="none"/>
        </w:rPr>
        <w:t xml:space="preserve">投标人接到采购人报修通知起半小时响应，</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小时内</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派技术人员到达现场并及时完成维修；</w:t>
      </w:r>
      <w:r>
        <w:rPr>
          <w:rFonts w:hint="eastAsia" w:ascii="宋体" w:hAnsi="宋体" w:eastAsia="宋体" w:cs="宋体"/>
          <w:color w:val="auto"/>
          <w:sz w:val="24"/>
          <w:szCs w:val="24"/>
          <w:highlight w:val="none"/>
          <w:lang w:val="en-US" w:eastAsia="zh-CN"/>
        </w:rPr>
        <w:t xml:space="preserve">最晚不得超过4</w:t>
      </w:r>
      <w:r>
        <w:rPr>
          <w:rFonts w:hint="eastAsia" w:ascii="宋体" w:hAnsi="宋体" w:eastAsia="宋体" w:cs="宋体"/>
          <w:color w:val="auto"/>
          <w:sz w:val="24"/>
          <w:szCs w:val="24"/>
          <w:highlight w:val="none"/>
        </w:rPr>
        <w:t xml:space="preserve">小时派技术人员到达现场并及时完成维修。</w:t>
      </w:r>
      <w:r/>
    </w:p>
    <w:p>
      <w:pPr>
        <w:numPr>
          <w:ilvl w:val="0"/>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.6</w:t>
      </w:r>
      <w:r>
        <w:rPr>
          <w:rFonts w:hint="eastAsia" w:ascii="宋体" w:hAnsi="宋体" w:eastAsia="宋体" w:cs="宋体"/>
          <w:b/>
          <w:bCs w:val="0"/>
          <w:color w:val="auto"/>
          <w:sz w:val="24"/>
          <w:szCs w:val="24"/>
          <w:highlight w:val="none"/>
        </w:rPr>
        <w:t xml:space="preserve">培训要求</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eastAsia="zh-CN" w:bidi="ar"/>
        </w:rPr>
        <w:t xml:space="preserve">本项目平台系统开发部署完成后，中标人须为采购人的系统管理员、业务操作人员等不同角色用户提供全面的免费培训服务。培训应包含集中理论授课、上机操作及现场指导等多种形式，确保使用人员能够熟练操作系统的各项功能。</w:t>
      </w:r>
      <w:r/>
    </w:p>
    <w:p>
      <w:pPr>
        <w:ind w:left="0" w:right="0" w:firstLine="482"/>
        <w:jc w:val="both"/>
        <w:keepLines w:val="0"/>
        <w:keepNext w:val="0"/>
        <w:pageBreakBefore w:val="0"/>
        <w:spacing w:line="380" w:lineRule="exact"/>
        <w:widowControl w:val="off"/>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outlineLvl w:val="1"/>
      </w:pPr>
      <w:r>
        <w:rPr>
          <w:rFonts w:hint="eastAsia" w:ascii="Times New Roman" w:hAnsi="Times New Roman" w:eastAsia="宋体" w:cs="Times New Roman"/>
          <w:b/>
          <w:bCs w:val="0"/>
          <w:color w:val="auto"/>
          <w:sz w:val="24"/>
          <w:szCs w:val="24"/>
          <w:highlight w:val="none"/>
          <w:lang w:val="en-US" w:eastAsia="zh-CN" w:bidi="ar-SA"/>
        </w:rPr>
        <w:t xml:space="preserve">1.6</w:t>
      </w:r>
      <w:r>
        <w:rPr>
          <w:rFonts w:hint="eastAsia" w:ascii="宋体" w:hAnsi="宋体" w:cs="宋体"/>
          <w:b/>
          <w:bCs/>
          <w:color w:val="auto"/>
          <w:sz w:val="24"/>
          <w:szCs w:val="24"/>
          <w:highlight w:val="none"/>
          <w:lang w:val="en-US" w:eastAsia="zh-CN"/>
        </w:rPr>
        <w:t xml:space="preserve">演示要求</w:t>
      </w:r>
      <w:r/>
    </w:p>
    <w:p>
      <w:pPr>
        <w:ind w:left="0" w:right="0" w:firstLine="480"/>
        <w:jc w:val="both"/>
        <w:keepLines w:val="0"/>
        <w:keepNext w:val="0"/>
        <w:pageBreakBefore w:val="0"/>
        <w:spacing w:line="380" w:lineRule="exact"/>
        <w:widowControl w:val="off"/>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15</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分钟</w:t>
      </w:r>
      <w:r>
        <w:rPr>
          <w:rFonts w:hint="eastAsia" w:ascii="宋体" w:hAnsi="宋体" w:cs="宋体"/>
          <w:color w:val="auto"/>
          <w:sz w:val="24"/>
          <w:szCs w:val="24"/>
          <w:highlight w:val="none"/>
          <w:lang w:eastAsia="zh-CN"/>
        </w:rPr>
        <w:t xml:space="preserve">。</w:t>
      </w:r>
      <w:r/>
    </w:p>
    <w:p>
      <w:pPr>
        <w:ind w:left="0" w:right="0" w:firstLine="0"/>
        <w:jc w:val="both"/>
        <w:spacing w:before="0" w:after="0"/>
        <w:rPr>
          <w:rFonts w:hint="eastAsia" w:ascii="Times New Roman" w:hAnsi="Times New Roman" w:eastAsia="宋体" w:cs="Times New Roman"/>
          <w:color w:val="auto"/>
          <w:sz w:val="21"/>
          <w:highlight w:val="none"/>
          <w:lang w:val="en-US"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eastAsia="宋体" w:cs="Times New Roman"/>
          <w:color w:val="auto"/>
          <w:sz w:val="21"/>
          <w:highlight w:val="none"/>
          <w:lang w:val="en-US" w:eastAsia="zh-CN"/>
        </w:rPr>
        <w:t xml:space="preserve">.</w:t>
      </w:r>
      <w:r/>
    </w:p>
    <w:p>
      <w:pPr>
        <w:pStyle w:val="888"/>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391"/>
        <w:gridCol w:w="55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1"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04"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1"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4" w:type="dxa"/>
            <w:vAlign w:val="top"/>
            <w:textDirection w:val="lrTb"/>
            <w:noWrap w:val="false"/>
          </w:tcPr>
          <w:p>
            <w:pPr>
              <w:ind w:left="0" w:right="0" w:firstLine="0"/>
              <w:jc w:val="center"/>
              <w:keepLines w:val="0"/>
              <w:keepNext w:val="0"/>
              <w:spacing w:before="0" w:beforeAutospacing="0" w:after="0" w:afterAutospacing="0" w:line="240" w:lineRule="auto"/>
              <w:rPr>
                <w:color w:val="0070c0"/>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政府采购政策功能落实</w:t>
      </w:r>
      <w:r/>
    </w:p>
    <w:p>
      <w:pPr>
        <w:ind w:left="0" w:right="0" w:firstLine="441"/>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highlight w:val="none"/>
        </w:rPr>
        <w:t xml:space="preserve">本项目专门面向中小企业：是</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78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0" w:type="dxa"/>
            <w:vAlign w:val="top"/>
            <w:textDirection w:val="lrTb"/>
            <w:noWrap w:val="false"/>
          </w:tcPr>
          <w:p>
            <w:pPr>
              <w:ind w:left="0" w:right="0" w:firstLine="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0" w:type="dxa"/>
            <w:vAlign w:val="top"/>
            <w:textDirection w:val="lrTb"/>
            <w:noWrap w:val="false"/>
          </w:tcPr>
          <w:p>
            <w:pPr>
              <w:ind w:left="0" w:right="0" w:firstLine="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w:t>
      </w:r>
      <w:r>
        <w:rPr>
          <w:rFonts w:ascii="宋体" w:hAnsi="宋体" w:eastAsia="宋体" w:cs="宋体"/>
          <w:color w:val="000000"/>
          <w:sz w:val="24"/>
          <w:highlight w:val="none"/>
        </w:rPr>
        <w:t xml:space="preserve">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w:t>
      </w:r>
      <w:r>
        <w:rPr>
          <w:rFonts w:ascii="宋体" w:hAnsi="宋体" w:eastAsia="宋体" w:cs="宋体"/>
          <w:color w:val="000000"/>
          <w:sz w:val="24"/>
          <w:highlight w:val="none"/>
        </w:rPr>
        <w:t xml:space="preserve">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left="0" w:right="0" w:firstLine="482"/>
        <w:jc w:val="both"/>
        <w:spacing w:before="240" w:after="24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15"/>
        <w:tblW w:w="90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7731"/>
      </w:tblGrid>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评分标准</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价格</w:t>
            </w:r>
            <w:r/>
          </w:p>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（10分）</w:t>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以满足采购文件要求的最低投标报价为评标基准价，得满分10分，其他投标报价得分=（评标基准价/其他投标报价）×10×100%。</w:t>
            </w:r>
            <w:r/>
          </w:p>
        </w:tc>
      </w:tr>
      <w:tr>
        <w:trPr>
          <w:trHeight w:val="92"/>
        </w:trPr>
        <w:tc>
          <w:tcPr>
            <w:tcBorders>
              <w:top w:val="single" w:color="000000" w:sz="4" w:space="0"/>
              <w:left w:val="single" w:color="000000" w:sz="4" w:space="0"/>
              <w:right w:val="single" w:color="000000" w:sz="4" w:space="0"/>
            </w:tcBorders>
            <w:tcW w:w="1297"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技术方案（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建筑垃圾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数据治理服务功能设计 </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2、核准管理服务功能设计</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sz w:val="24"/>
                <w:szCs w:val="24"/>
                <w:highlight w:val="none"/>
              </w:rPr>
              <w:outlineLvl w:val="9"/>
              <w:suppressLineNumbers w:val="0"/>
            </w:pPr>
            <w:r>
              <w:rPr>
                <w:rFonts w:hint="eastAsia" w:ascii="宋体" w:hAnsi="宋体" w:eastAsia="宋体" w:cs="宋体"/>
                <w:b/>
                <w:bCs/>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3、电子联单管理服务功能设计</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建筑垃圾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陆上全链条治理服务功能设计</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750"/>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、业务协同服务功能设计    </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numPr>
                <w:ilvl w:val="0"/>
                <w:numId w:val="0"/>
              </w:numPr>
              <w:contextualSpacing/>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执法监管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服务功能设计</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 </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7、研判分析服务功能设计</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numPr>
                <w:ilvl w:val="0"/>
                <w:numId w:val="0"/>
              </w:numPr>
              <w:contextualSpacing/>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移动</w:t>
            </w:r>
            <w:r>
              <w:rPr>
                <w:rFonts w:hint="eastAsia" w:ascii="宋体" w:hAnsi="宋体" w:cs="宋体"/>
                <w:color w:val="000000" w:themeColor="text1"/>
                <w:sz w:val="24"/>
                <w:szCs w:val="24"/>
                <w:highlight w:val="none"/>
                <w:lang w:val="en-US" w:eastAsia="zh-CN"/>
                <w14:textFill>
                  <w14:solidFill>
                    <w14:schemeClr w14:val="tx1"/>
                  </w14:solidFill>
                </w14:textFill>
              </w:rPr>
              <w:t xml:space="preserve">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应用服务功能设计</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770"/>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资源共享</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服务功能设计</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ff"/>
                <w:sz w:val="24"/>
                <w:szCs w:val="24"/>
                <w:highlight w:val="none"/>
                <w:lang w:val="en-US" w:eastAsia="zh-CN"/>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                                                                                                                                                                   </w:t>
            </w:r>
            <w:r/>
          </w:p>
        </w:tc>
      </w:tr>
      <w:tr>
        <w:trPr>
          <w:trHeight w:val="296"/>
        </w:trPr>
        <w:tc>
          <w:tcPr>
            <w:tcBorders>
              <w:top w:val="single" w:color="000000" w:sz="4" w:space="0"/>
              <w:left w:val="single" w:color="000000" w:sz="4" w:space="0"/>
              <w:right w:val="single" w:color="000000" w:sz="4" w:space="0"/>
            </w:tcBorders>
            <w:tcW w:w="1297"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演示视频</w:t>
            </w:r>
            <w:r/>
          </w:p>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投标人</w:t>
            </w:r>
            <w:r>
              <w:rPr>
                <w:rFonts w:hint="eastAsia" w:ascii="宋体" w:hAnsi="宋体" w:cs="宋体"/>
                <w:color w:val="000000"/>
                <w:sz w:val="24"/>
                <w:highlight w:val="none"/>
                <w:lang w:val="en-US" w:eastAsia="zh-CN"/>
              </w:rPr>
              <w:t xml:space="preserve">上传</w:t>
            </w:r>
            <w:r>
              <w:rPr>
                <w:rFonts w:ascii="宋体" w:hAnsi="宋体" w:eastAsia="宋体" w:cs="宋体"/>
                <w:color w:val="000000"/>
                <w:sz w:val="24"/>
                <w:highlight w:val="none"/>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w:t>
            </w:r>
            <w:r>
              <w:rPr>
                <w:rFonts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15</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分钟</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本项总分3分。 </w:t>
            </w:r>
            <w:r/>
          </w:p>
          <w:p>
            <w:pPr>
              <w:contextualSpacing/>
              <w:ind w:left="0" w:right="0" w:firstLine="482"/>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建筑垃圾数据治理服务的功能演示</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包括企业信息包括源头库企业、运输库企业和消纳处置库企业；</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源头库企业包括施工单位、建设单位等企业，运输库企业包括运输企业，消纳处置库企业包括消纳利用场所、码头、中转贮存设施、资源化利用设施、填埋场、消纳单位等企业；</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所有企业都支持添加、修改、删除、查询和导出等功能；</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其中运输企业还支持企业资质的新增</w:t>
            </w:r>
            <w:r>
              <w:rPr>
                <w:rFonts w:hint="eastAsia" w:ascii="宋体" w:hAnsi="宋体" w:cs="宋体"/>
                <w:color w:val="000000" w:themeColor="text1"/>
                <w:sz w:val="24"/>
                <w:szCs w:val="24"/>
                <w:highlight w:val="none"/>
                <w:lang w:val="en-US" w:eastAsia="zh-CN"/>
                <w14:textFill>
                  <w14:solidFill>
                    <w14:schemeClr w14:val="tx1"/>
                  </w14:solidFill>
                </w14:textFill>
              </w:rPr>
              <w:t xml:space="preserve">、删除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和延期功能；</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新建企业需填写企业名称、企业地址、联系人、联系方式、行政区划、营业执照等基本信息；</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企业信息管理支持通过企业名称和注册所在行政区划进行企业信息的检索和展示。</w:t>
            </w:r>
            <w:r/>
          </w:p>
        </w:tc>
      </w:tr>
      <w:tr>
        <w:trPr>
          <w:trHeight w:val="296"/>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sz w:val="24"/>
                <w:szCs w:val="24"/>
                <w:highlight w:val="none"/>
              </w:rPr>
              <w:outlineLvl w:val="9"/>
              <w:suppressLineNumbers w:val="0"/>
            </w:pPr>
            <w:r>
              <w:rPr>
                <w:rFonts w:hint="eastAsia" w:ascii="宋体" w:hAnsi="宋体" w:eastAsia="宋体" w:cs="宋体"/>
                <w:b/>
                <w:bCs/>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 </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电子联单管理服务功能演示</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支持电子联单添加、修改、删除、查询和导出等功能；</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新建电子联单需要填写移出方信息（移出经办人信息、移出时间、垃圾种类、移出量、现场照片）、运输方信息（运输经办人信息、运输起止时间、运输路线）、接受方信息（消纳经办人信息、消纳时间、消纳量、消纳方式、现场照片）；</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承运人需要确认并填写运输经办人姓名、联系电话、运输垃圾种类、运输起点、起运时间、运输路线、运输终点、到达时间和运输备注等信息；</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接受人需要确认消纳经办人姓名、联系电话、消纳时间、消纳垃圾种类、消纳量（吨）、消纳方式、消纳现场照片和备注等信息；</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支持对所有流转中及已完成的电子联单进行统计；</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支持根据联单编号、联单状态、建筑垃圾类别、交付时间、车牌号等多条件组合查询；</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提供基于起点行政区划的统计分析；</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支持点击区划获取查询详细数据。</w:t>
            </w:r>
            <w:r/>
          </w:p>
        </w:tc>
      </w:tr>
      <w:tr>
        <w:trPr>
          <w:trHeight w:val="296"/>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本项总分3分。 </w:t>
            </w:r>
            <w:r/>
          </w:p>
          <w:p>
            <w:pPr>
              <w:contextualSpacing/>
              <w:ind w:left="0" w:right="0" w:firstLine="482"/>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建筑垃圾陆上全链条治理服务功能演示</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车辆实时状态监控、车辆轨迹监控以及偏离规划线路预警；</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通过车牌号检索相关车辆；</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点击后在地图上展示车辆信息包括：实时坐标、车牌号、车辆类型、设备标识、所属公司、所属地区、车身重量等信息；</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支持通过车牌号、开始时间、结束时间在线回放车辆作业轨迹，系统通过图形化方式在地图上还原车辆作业全过程；</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其中播放速度可调整；</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车辆偏离规划路线后在地图上展示报警信息。</w:t>
            </w:r>
            <w:r/>
          </w:p>
        </w:tc>
      </w:tr>
      <w:tr>
        <w:trPr>
          <w:trHeight w:val="296"/>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本项总分3分。 </w:t>
            </w:r>
            <w:r/>
          </w:p>
          <w:p>
            <w:pPr>
              <w:numPr>
                <w:ilvl w:val="0"/>
                <w:numId w:val="0"/>
              </w:numPr>
              <w:contextualSpacing/>
              <w:ind w:left="0" w:right="0" w:firstLine="482"/>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建筑垃圾数治驾驶舱功能演示</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1、包括全市概况展示可视化页面、实时数据功能、关键指标功能等；</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eastAsia="宋体" w:cs="宋体"/>
                <w:b w:val="0"/>
                <w:bCs w:val="0"/>
                <w:sz w:val="24"/>
                <w:szCs w:val="24"/>
                <w:highlight w:val="none"/>
                <w:lang w:val="en-US" w:eastAsia="zh-CN"/>
              </w:rPr>
              <w:t xml:space="preserve">2、支持展示产废企业数量、运输企业数量、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运输车辆数量、处置企业数量、中转站数量、码头船只数量；</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eastAsia="宋体" w:cs="宋体"/>
                <w:b w:val="0"/>
                <w:bCs w:val="0"/>
                <w:sz w:val="24"/>
                <w:szCs w:val="24"/>
                <w:highlight w:val="none"/>
                <w:lang w:val="en-US" w:eastAsia="zh-CN"/>
              </w:rPr>
              <w:t xml:space="preserve">3、支持展示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监控摄像头在离线数量、覆盖行政区数量、今日累计运输车次、当前在途车辆数；</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b w:val="0"/>
                <w:bCs w:val="0"/>
                <w:sz w:val="24"/>
                <w:szCs w:val="24"/>
                <w:highlight w:val="none"/>
                <w:lang w:val="en-US" w:eastAsia="zh-CN"/>
              </w:rPr>
              <w:outlineLvl w:val="0"/>
              <w:suppressLineNumbers w:val="0"/>
            </w:pPr>
            <w:r>
              <w:rPr>
                <w:rFonts w:hint="eastAsia" w:ascii="宋体" w:hAnsi="宋体" w:eastAsia="宋体" w:cs="宋体"/>
                <w:b w:val="0"/>
                <w:bCs w:val="0"/>
                <w:sz w:val="24"/>
                <w:szCs w:val="24"/>
                <w:highlight w:val="none"/>
                <w:lang w:val="en-US" w:eastAsia="zh-CN"/>
              </w:rPr>
              <w:t xml:space="preserve">4、支持展示车辆线路偏离预警、实时在线车辆数量、实时电子联单统计；</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b w:val="0"/>
                <w:bCs w:val="0"/>
                <w:sz w:val="24"/>
                <w:szCs w:val="24"/>
                <w:highlight w:val="none"/>
                <w:lang w:val="en-US" w:eastAsia="zh-CN"/>
              </w:rPr>
              <w:outlineLvl w:val="0"/>
              <w:suppressLineNumbers w:val="0"/>
            </w:pPr>
            <w:r>
              <w:rPr>
                <w:rFonts w:hint="eastAsia" w:ascii="宋体" w:hAnsi="宋体" w:eastAsia="宋体" w:cs="宋体"/>
                <w:b w:val="0"/>
                <w:bCs w:val="0"/>
                <w:sz w:val="24"/>
                <w:szCs w:val="24"/>
                <w:highlight w:val="none"/>
                <w:lang w:val="en-US" w:eastAsia="zh-CN"/>
              </w:rPr>
              <w:t xml:space="preserve">5、支持展示今日运输垃圾总量、今日运输垃圾类型分类统计、在途车辆数量统计；</w:t>
            </w:r>
            <w:r/>
          </w:p>
          <w:p>
            <w:pPr>
              <w:contextualSpacing/>
              <w:ind w:left="0" w:right="0" w:firstLine="480"/>
              <w:jc w:val="left"/>
              <w:keepLines w:val="0"/>
              <w:keepNext w:val="0"/>
              <w:pageBreakBefore w:val="0"/>
              <w:spacing w:before="0" w:beforeAutospacing="0" w:after="0" w:afterAutospacing="0" w:line="380" w:lineRule="exact"/>
              <w:widowControl w:val="off"/>
              <w:tabs>
                <w:tab w:val="left" w:pos="153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sz w:val="24"/>
                <w:szCs w:val="24"/>
                <w:highlight w:val="none"/>
                <w:lang w:val="en-US" w:eastAsia="zh-CN"/>
              </w:rPr>
              <w:t xml:space="preserve">6、支持展示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平均运输合规率、平均运输时长、路线偏离次数统计</w:t>
            </w:r>
            <w:r>
              <w:rPr>
                <w:rFonts w:hint="eastAsia" w:ascii="宋体" w:hAnsi="宋体" w:eastAsia="宋体" w:cs="宋体"/>
                <w:b w:val="0"/>
                <w:bCs w:val="0"/>
                <w:sz w:val="24"/>
                <w:szCs w:val="24"/>
                <w:highlight w:val="none"/>
                <w:lang w:val="en-US" w:eastAsia="zh-CN"/>
              </w:rPr>
              <w:t xml:space="preserve">；</w:t>
            </w:r>
            <w:r/>
          </w:p>
        </w:tc>
      </w:tr>
      <w:tr>
        <w:trPr>
          <w:trHeight w:val="296"/>
        </w:trPr>
        <w:tc>
          <w:tcPr>
            <w:tcBorders>
              <w:left w:val="single" w:color="000000" w:sz="4" w:space="0"/>
              <w:bottom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 </w:t>
            </w:r>
            <w:r/>
          </w:p>
          <w:p>
            <w:pPr>
              <w:numPr>
                <w:ilvl w:val="0"/>
                <w:numId w:val="0"/>
              </w:numPr>
              <w:contextualSpacing/>
              <w:ind w:left="480" w:right="0"/>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移动端应用服务联单流转功能演示</w:t>
            </w:r>
            <w:r/>
          </w:p>
          <w:p>
            <w:pPr>
              <w:numPr>
                <w:ilvl w:val="0"/>
                <w:numId w:val="0"/>
              </w:numPr>
              <w:contextualSpacing/>
              <w:ind w:left="48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包括移出人通过扫描二维码创建电子联单A联；</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自动填充核准证号、联单编号、项目名称、施工许可证、施工单位、项目起点、批准（监督）单位、垃圾种类等基本信息；</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移出人确认无误后填写移出人信息并提交；</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此时电子联单进入待运输状态，点击开始运输生成电子联单B联；</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等到运输完成后填写承运人信息并提交；</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接收人通过扫描二维码生成电子联单C联，接收人确认货物后填写接收相关信息；</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如果接收到的货物符合A联信息点击确认接收，然后移出人确认联单后填写移出人确认信息；</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8、如果接收到的货物不符合A联信息点击拒绝接收，拒绝接收之后接收人根据拒绝原因联系移出人，确认是否修改联单信息。</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技术响应</w:t>
            </w:r>
            <w:r/>
          </w:p>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中间件指标：</w:t>
            </w:r>
            <w:r/>
          </w:p>
          <w:p>
            <w:pPr>
              <w:numPr>
                <w:ilvl w:val="0"/>
                <w:numId w:val="7"/>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应用服务中间件，▲</w:t>
            </w:r>
            <w:r>
              <w:rPr>
                <w:rFonts w:hint="eastAsia" w:ascii="宋体" w:hAnsi="宋体" w:cs="宋体"/>
                <w:color w:val="auto"/>
                <w:sz w:val="24"/>
                <w:szCs w:val="24"/>
                <w:highlight w:val="none"/>
                <w:lang w:val="en-US" w:eastAsia="zh-CN"/>
              </w:rPr>
              <w:t xml:space="preserve">的技术指标</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提供1</w:t>
            </w:r>
            <w:r>
              <w:rPr>
                <w:rFonts w:hint="eastAsia" w:ascii="宋体" w:hAnsi="宋体" w:eastAsia="宋体" w:cs="宋体"/>
                <w:color w:val="auto"/>
                <w:sz w:val="24"/>
                <w:szCs w:val="24"/>
                <w:highlight w:val="none"/>
              </w:rPr>
              <w:t xml:space="preserve">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微软雅黑" w:hAnsi="微软雅黑" w:eastAsia="微软雅黑" w:cs="微软雅黑"/>
                <w:color w:val="000000" w:themeColor="text1"/>
                <w:sz w:val="24"/>
                <w:szCs w:val="24"/>
                <w:highlight w:val="none"/>
                <w14:textFill>
                  <w14:solidFill>
                    <w14:schemeClr w14:val="tx1"/>
                  </w14:solidFill>
                </w14:textFill>
              </w:rPr>
              <w:t xml:space="preserve">∆</w:t>
            </w:r>
            <w:r>
              <w:rPr>
                <w:rFonts w:hint="eastAsia" w:ascii="宋体" w:hAnsi="宋体" w:cs="宋体"/>
                <w:color w:val="auto"/>
                <w:sz w:val="24"/>
                <w:szCs w:val="24"/>
                <w:highlight w:val="none"/>
                <w:lang w:val="en-US" w:eastAsia="zh-CN"/>
              </w:rPr>
              <w:t xml:space="preserve">项目每提供1项</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numPr>
                <w:ilvl w:val="0"/>
                <w:numId w:val="7"/>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分布式数据缓存中间件，▲</w:t>
            </w:r>
            <w:r>
              <w:rPr>
                <w:rFonts w:hint="eastAsia" w:ascii="宋体" w:hAnsi="宋体" w:cs="宋体"/>
                <w:color w:val="auto"/>
                <w:sz w:val="24"/>
                <w:szCs w:val="24"/>
                <w:highlight w:val="none"/>
                <w:lang w:val="en-US" w:eastAsia="zh-CN"/>
              </w:rPr>
              <w:t xml:space="preserve">的技术指标</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提供1</w:t>
            </w:r>
            <w:r>
              <w:rPr>
                <w:rFonts w:hint="eastAsia" w:ascii="宋体" w:hAnsi="宋体" w:eastAsia="宋体" w:cs="宋体"/>
                <w:color w:val="auto"/>
                <w:sz w:val="24"/>
                <w:szCs w:val="24"/>
                <w:highlight w:val="none"/>
              </w:rPr>
              <w:t xml:space="preserve">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微软雅黑" w:hAnsi="微软雅黑" w:eastAsia="微软雅黑" w:cs="微软雅黑"/>
                <w:color w:val="000000" w:themeColor="text1"/>
                <w:sz w:val="24"/>
                <w:szCs w:val="24"/>
                <w:highlight w:val="none"/>
                <w14:textFill>
                  <w14:solidFill>
                    <w14:schemeClr w14:val="tx1"/>
                  </w14:solidFill>
                </w14:textFill>
              </w:rPr>
              <w:t xml:space="preserve">∆</w:t>
            </w:r>
            <w:r>
              <w:rPr>
                <w:rFonts w:hint="eastAsia" w:ascii="宋体" w:hAnsi="宋体" w:cs="宋体"/>
                <w:color w:val="auto"/>
                <w:sz w:val="24"/>
                <w:szCs w:val="24"/>
                <w:highlight w:val="none"/>
                <w:lang w:val="en-US" w:eastAsia="zh-CN"/>
              </w:rPr>
              <w:t xml:space="preserve">项目每提供1项</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分布式消息中间件，▲</w:t>
            </w:r>
            <w:r>
              <w:rPr>
                <w:rFonts w:hint="eastAsia" w:ascii="宋体" w:hAnsi="宋体" w:cs="宋体"/>
                <w:color w:val="auto"/>
                <w:sz w:val="24"/>
                <w:szCs w:val="24"/>
                <w:highlight w:val="none"/>
                <w:lang w:val="en-US" w:eastAsia="zh-CN"/>
              </w:rPr>
              <w:t xml:space="preserve">的技术指标</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提供1</w:t>
            </w:r>
            <w:r>
              <w:rPr>
                <w:rFonts w:hint="eastAsia" w:ascii="宋体" w:hAnsi="宋体" w:eastAsia="宋体" w:cs="宋体"/>
                <w:color w:val="auto"/>
                <w:sz w:val="24"/>
                <w:szCs w:val="24"/>
                <w:highlight w:val="none"/>
              </w:rPr>
              <w:t xml:space="preserve">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应急响应</w:t>
            </w:r>
            <w:r/>
          </w:p>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应急响应时间：投标人接到采购人报修通知起半小时响应，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小时内（包含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2小时）</w:t>
            </w:r>
            <w:r>
              <w:rPr>
                <w:rFonts w:hint="eastAsia" w:ascii="宋体" w:hAnsi="宋体" w:eastAsia="宋体" w:cs="宋体"/>
                <w:color w:val="000000" w:themeColor="text1"/>
                <w:sz w:val="24"/>
                <w:szCs w:val="24"/>
                <w:highlight w:val="none"/>
                <w14:textFill>
                  <w14:solidFill>
                    <w14:schemeClr w14:val="tx1"/>
                  </w14:solidFill>
                </w14:textFill>
              </w:rPr>
              <w:t xml:space="preserve">派技术人员到达现场并及时完成维修得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小时内（包含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小时）派技术人员到达现场并及时完成维修的得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小时以上的不得分。</w:t>
            </w:r>
            <w:r>
              <w:rPr>
                <w:rFonts w:hint="eastAsia" w:ascii="宋体" w:hAnsi="宋体" w:eastAsia="宋体" w:cs="宋体"/>
                <w:b/>
                <w:bCs/>
                <w:color w:val="000000" w:themeColor="text1"/>
                <w:sz w:val="24"/>
                <w:szCs w:val="24"/>
                <w:highlight w:val="none"/>
                <w14:textFill>
                  <w14:solidFill>
                    <w14:schemeClr w14:val="tx1"/>
                  </w14:solidFill>
                </w14:textFill>
              </w:rPr>
              <w:t xml:space="preserve">（提供承诺函原件加盖投标人公章扫描上传）</w:t>
            </w:r>
            <w:r/>
          </w:p>
        </w:tc>
      </w:tr>
      <w:tr>
        <w:trPr>
          <w:trHeight w:val="913"/>
        </w:trPr>
        <w:tc>
          <w:tcPr>
            <w:tcBorders>
              <w:top w:val="single" w:color="000000" w:sz="4" w:space="0"/>
              <w:left w:val="single" w:color="000000" w:sz="4" w:space="0"/>
              <w:right w:val="single" w:color="000000" w:sz="4" w:space="0"/>
            </w:tcBorders>
            <w:tcW w:w="1297" w:type="dxa"/>
            <w:vAlign w:val="center"/>
            <w:textDirection w:val="lrTb"/>
            <w:noWrap w:val="false"/>
          </w:tcPr>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cs="宋体"/>
                <w:b/>
                <w:bCs/>
                <w:sz w:val="24"/>
                <w:szCs w:val="24"/>
                <w:highlight w:val="none"/>
                <w:lang w:val="en-US" w:eastAsia="zh-CN"/>
              </w:rPr>
              <w:suppressLineNumbers w:val="0"/>
            </w:pPr>
            <w:r>
              <w:rPr>
                <w:rFonts w:hint="eastAsia" w:ascii="宋体" w:hAnsi="宋体" w:cs="宋体"/>
                <w:b/>
                <w:bCs/>
                <w:sz w:val="24"/>
                <w:szCs w:val="24"/>
                <w:highlight w:val="none"/>
                <w:lang w:val="en-US" w:eastAsia="zh-CN"/>
              </w:rPr>
              <w:t xml:space="preserve">综合实力</w:t>
            </w:r>
            <w:r/>
          </w:p>
          <w:p>
            <w:pPr>
              <w:pStyle w:val="735"/>
              <w:ind w:left="0" w:right="0" w:firstLine="0"/>
              <w:jc w:val="center"/>
              <w:keepLines w:val="0"/>
              <w:keepNext w:val="0"/>
              <w:pageBreakBefore w:val="0"/>
              <w:spacing w:before="0" w:beforeAutospacing="0" w:afterAutospacing="0" w:line="380" w:lineRule="exact"/>
              <w:widowControl w:val="off"/>
              <w:rPr>
                <w:rFonts w:hint="default" w:ascii="宋体" w:hAnsi="宋体" w:cs="宋体"/>
                <w:b/>
                <w:bCs/>
                <w:sz w:val="24"/>
                <w:szCs w:val="24"/>
                <w:highlight w:val="none"/>
                <w:lang w:val="en-US" w:eastAsia="zh-CN"/>
              </w:rPr>
              <w:suppressLineNumbers w:val="0"/>
            </w:pPr>
            <w:r>
              <w:rPr>
                <w:rFonts w:hint="eastAsia" w:ascii="宋体" w:hAnsi="宋体" w:cs="宋体"/>
                <w:b/>
                <w:bCs/>
                <w:sz w:val="24"/>
                <w:szCs w:val="24"/>
                <w:highlight w:val="none"/>
                <w:lang w:val="en-US" w:eastAsia="zh-CN"/>
              </w:rPr>
              <w:t xml:space="preserve">（5分）</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信息安全管理体系认证证书，得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分，不</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提供证书</w:t>
            </w:r>
            <w:r>
              <w:rPr>
                <w:rFonts w:hint="eastAsia" w:ascii="宋体" w:hAnsi="宋体" w:eastAsia="宋体" w:cs="宋体"/>
                <w:b/>
                <w:bCs/>
                <w:color w:val="000000" w:themeColor="text1"/>
                <w:sz w:val="24"/>
                <w:szCs w:val="24"/>
                <w:highlight w:val="none"/>
                <w14:textFill>
                  <w14:solidFill>
                    <w14:schemeClr w14:val="tx1"/>
                  </w14:solidFill>
                </w14:textFill>
              </w:rPr>
              <w:t xml:space="preserve">原件扫描上传）</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投标人项目经理</w:t>
            </w:r>
            <w:r>
              <w:rPr>
                <w:rFonts w:hint="eastAsia" w:ascii="宋体" w:hAnsi="宋体" w:eastAsia="宋体" w:cs="宋体"/>
                <w:color w:val="000000" w:themeColor="text1"/>
                <w:sz w:val="24"/>
                <w:szCs w:val="24"/>
                <w:highlight w:val="none"/>
                <w14:textFill>
                  <w14:solidFill>
                    <w14:schemeClr w14:val="tx1"/>
                  </w14:solidFill>
                </w14:textFill>
              </w:rPr>
              <w:t xml:space="preserve">具有信息系统项目管理师（软考）、系统集成项目管理工程师（软考），每提供一个证书得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（提供相关证书及投标人为其缴纳的近三个月内任意一个月的社保缴纳证明扫描上传，未提供不得分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业绩</w:t>
            </w:r>
            <w:r/>
          </w:p>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（6分）</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w:t>
            </w:r>
            <w:r>
              <w:rPr>
                <w:rFonts w:hint="eastAsia" w:ascii="宋体" w:hAnsi="宋体" w:eastAsia="宋体" w:cs="宋体"/>
                <w:color w:val="000000" w:themeColor="text1"/>
                <w:sz w:val="24"/>
                <w:szCs w:val="24"/>
                <w:highlight w:val="none"/>
                <w14:textFill>
                  <w14:solidFill>
                    <w14:schemeClr w14:val="tx1"/>
                  </w14:solidFill>
                </w14:textFill>
              </w:rPr>
              <w:t xml:space="preserve">至今（以合同签订日期为准）与本项目类似的业绩，每提供一份合同得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（须提供合同原件扫描上传）</w:t>
            </w:r>
            <w:r/>
          </w:p>
        </w:tc>
      </w:tr>
    </w:tbl>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888"/>
        <w:rPr>
          <w:rFonts w:ascii="黑体" w:hAnsi="黑体" w:eastAsia="黑体" w:cs="黑体"/>
          <w:color w:val="000000"/>
          <w:sz w:val="44"/>
          <w:szCs w:val="44"/>
          <w:highlight w:val="none"/>
        </w:rPr>
      </w:pPr>
      <w:r>
        <w:rPr>
          <w:rStyle w:val="923"/>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rPr>
          <w:rFonts w:hint="eastAsia" w:ascii="宋体" w:hAnsi="宋体" w:cs="宋体"/>
          <w:b/>
          <w:color w:val="000000"/>
          <w:sz w:val="36"/>
          <w:u w:val="single"/>
          <w:lang w:val="en-US" w:eastAsia="zh-CN"/>
        </w:rPr>
        <w:t xml:space="preserve"> </w:t>
      </w:r>
      <w:r/>
    </w:p>
    <w:p>
      <w:pPr>
        <w:ind w:left="0" w:right="0" w:firstLine="1084"/>
        <w:jc w:val="left"/>
        <w:spacing w:before="0" w:after="0"/>
        <w:rPr>
          <w:rFonts w:hint="eastAsia" w:ascii="宋体" w:hAnsi="宋体" w:eastAsia="宋体" w:cs="宋体"/>
          <w:b/>
          <w:bCs/>
          <w:color w:val="000000"/>
          <w:sz w:val="36"/>
          <w:szCs w:val="36"/>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rPr>
          <w:rFonts w:hint="eastAsia" w:ascii="宋体" w:hAnsi="宋体" w:cs="宋体"/>
          <w:b/>
          <w:color w:val="000000"/>
          <w:sz w:val="36"/>
          <w:u w:val="single"/>
          <w:lang w:val="en-US" w:eastAsia="zh-CN"/>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rPr>
          <w:rFonts w:hint="eastAsia" w:ascii="宋体" w:hAnsi="宋体" w:cs="宋体"/>
          <w:b/>
          <w:color w:val="000000"/>
          <w:sz w:val="36"/>
          <w:u w:val="single"/>
          <w:lang w:val="en-US" w:eastAsia="zh-CN"/>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7"/>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7" w:type="dxa"/>
            <w:vAlign w:val="center"/>
            <w:textDirection w:val="lrTb"/>
            <w:noWrap w:val="false"/>
          </w:tcPr>
          <w:p>
            <w:pPr>
              <w:ind w:left="0" w:right="0" w:firstLine="0"/>
              <w:jc w:val="center"/>
              <w:keepLines w:val="0"/>
              <w:keepNext w:val="0"/>
              <w:spacing w:before="0" w:beforeAutospacing="0" w:after="0" w:afterAutospacing="0" w:line="499"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3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287"/>
        <w:gridCol w:w="1131"/>
        <w:gridCol w:w="888"/>
        <w:gridCol w:w="1200"/>
        <w:gridCol w:w="1362"/>
        <w:gridCol w:w="2042"/>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8"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分项</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分项</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8"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8"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附件3        技术要求响应及偏离表（采购包号：**）</w:t>
      </w:r>
      <w:r/>
    </w:p>
    <w:tbl>
      <w:tblPr>
        <w:tblStyle w:val="73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附件4        商务要求响应及偏离表（采购包号：**）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73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1"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附件5           法人授权书</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名称：</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品牌（如有）：</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规格型号：</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数量：</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名称：</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服务范围：</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服务要求：</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服务时间：</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扬州市城市管理局扬州市建筑垃圾全链条监管平台项目</w:t>
      </w:r>
      <w:r>
        <w:rPr>
          <w:rFonts w:ascii="宋体" w:hAnsi="宋体" w:eastAsia="宋体" w:cs="宋体"/>
          <w:color w:val="000000"/>
          <w:sz w:val="24"/>
          <w:u w:val="single"/>
        </w:rPr>
        <w:t xml:space="preserve">）</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附件14      实质性要求响应及偏离表（采购包号：**）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3714"/>
        <w:gridCol w:w="1674"/>
        <w:gridCol w:w="31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4"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4"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仿宋_GB2312">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0"/>
        <w:rFonts w:ascii="宋体" w:hAnsi="宋体"/>
      </w:rPr>
      <w:framePr w:wrap="around" w:vAnchor="text" w:hAnchor="margin" w:xAlign="center" w:y="1"/>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３５</w:t>
    </w:r>
    <w:r>
      <w:rPr>
        <w:rFonts w:ascii="宋体" w:hAnsi="宋体"/>
      </w:rPr>
      <w:fldChar w:fldCharType="end"/>
    </w:r>
    <w:r/>
  </w:p>
  <w:p>
    <w:pPr>
      <w:pStyle w:val="90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4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link w:val="740"/>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1"/>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2"/>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3"/>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5"/>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7"/>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8"/>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Body Text"/>
    <w:basedOn w:val="704"/>
    <w:uiPriority w:val="1"/>
    <w:qFormat/>
    <w:rPr>
      <w:rFonts w:ascii="楷体_GB2312" w:hAnsi="Arial" w:eastAsia="楷体_GB2312"/>
      <w:sz w:val="28"/>
      <w:szCs w:val="28"/>
    </w:rPr>
  </w:style>
  <w:style w:type="paragraph" w:styleId="719">
    <w:name w:val="toc 5"/>
    <w:basedOn w:val="704"/>
    <w:next w:val="704"/>
    <w:uiPriority w:val="39"/>
    <w:unhideWhenUsed/>
    <w:qFormat/>
    <w:pPr>
      <w:ind w:left="1134" w:right="0" w:firstLine="0"/>
      <w:spacing w:after="57"/>
    </w:pPr>
  </w:style>
  <w:style w:type="paragraph" w:styleId="720">
    <w:name w:val="toc 3"/>
    <w:basedOn w:val="704"/>
    <w:next w:val="704"/>
    <w:uiPriority w:val="39"/>
    <w:unhideWhenUsed/>
    <w:qFormat/>
    <w:pPr>
      <w:ind w:left="567" w:right="0" w:firstLine="0"/>
      <w:spacing w:after="57"/>
    </w:pPr>
  </w:style>
  <w:style w:type="paragraph" w:styleId="721">
    <w:name w:val="toc 8"/>
    <w:basedOn w:val="704"/>
    <w:next w:val="704"/>
    <w:uiPriority w:val="39"/>
    <w:unhideWhenUsed/>
    <w:qFormat/>
    <w:pPr>
      <w:ind w:left="1984" w:right="0" w:firstLine="0"/>
      <w:spacing w:after="57"/>
    </w:pPr>
  </w:style>
  <w:style w:type="paragraph" w:styleId="722">
    <w:name w:val="endnote text"/>
    <w:basedOn w:val="704"/>
    <w:link w:val="886"/>
    <w:uiPriority w:val="99"/>
    <w:semiHidden/>
    <w:unhideWhenUsed/>
    <w:qFormat/>
    <w:pPr>
      <w:spacing w:after="0" w:line="240" w:lineRule="auto"/>
    </w:pPr>
    <w:rPr>
      <w:sz w:val="20"/>
    </w:rPr>
  </w:style>
  <w:style w:type="paragraph" w:styleId="723">
    <w:name w:val="Footer"/>
    <w:basedOn w:val="704"/>
    <w:link w:val="759"/>
    <w:uiPriority w:val="99"/>
    <w:unhideWhenUsed/>
    <w:qFormat/>
    <w:pPr>
      <w:spacing w:after="0" w:line="240" w:lineRule="auto"/>
      <w:tabs>
        <w:tab w:val="center" w:pos="7143" w:leader="none"/>
        <w:tab w:val="right" w:pos="14287" w:leader="none"/>
      </w:tabs>
    </w:pPr>
  </w:style>
  <w:style w:type="paragraph" w:styleId="724">
    <w:name w:val="Header"/>
    <w:basedOn w:val="704"/>
    <w:link w:val="757"/>
    <w:uiPriority w:val="99"/>
    <w:unhideWhenUsed/>
    <w:qFormat/>
    <w:pPr>
      <w:spacing w:after="0" w:line="240" w:lineRule="auto"/>
      <w:tabs>
        <w:tab w:val="center" w:pos="7143" w:leader="none"/>
        <w:tab w:val="right" w:pos="14287" w:leader="none"/>
      </w:tabs>
    </w:pPr>
  </w:style>
  <w:style w:type="paragraph" w:styleId="725">
    <w:name w:val="toc 1"/>
    <w:basedOn w:val="704"/>
    <w:next w:val="704"/>
    <w:uiPriority w:val="39"/>
    <w:unhideWhenUsed/>
    <w:qFormat/>
    <w:pPr>
      <w:ind w:left="0" w:right="0" w:firstLine="0"/>
      <w:spacing w:after="57"/>
    </w:pPr>
  </w:style>
  <w:style w:type="paragraph" w:styleId="726">
    <w:name w:val="toc 4"/>
    <w:basedOn w:val="704"/>
    <w:next w:val="704"/>
    <w:uiPriority w:val="39"/>
    <w:unhideWhenUsed/>
    <w:qFormat/>
    <w:pPr>
      <w:ind w:left="850" w:right="0" w:firstLine="0"/>
      <w:spacing w:after="57"/>
    </w:pPr>
  </w:style>
  <w:style w:type="paragraph" w:styleId="727">
    <w:name w:val="Subtitle"/>
    <w:basedOn w:val="704"/>
    <w:next w:val="704"/>
    <w:link w:val="752"/>
    <w:uiPriority w:val="11"/>
    <w:qFormat/>
    <w:pPr>
      <w:spacing w:before="200" w:after="200"/>
    </w:pPr>
    <w:rPr>
      <w:sz w:val="24"/>
      <w:szCs w:val="24"/>
    </w:rPr>
  </w:style>
  <w:style w:type="paragraph" w:styleId="728">
    <w:name w:val="footnote text"/>
    <w:basedOn w:val="704"/>
    <w:link w:val="885"/>
    <w:uiPriority w:val="99"/>
    <w:semiHidden/>
    <w:unhideWhenUsed/>
    <w:qFormat/>
    <w:pPr>
      <w:spacing w:after="40" w:line="240" w:lineRule="auto"/>
    </w:pPr>
    <w:rPr>
      <w:sz w:val="18"/>
    </w:rPr>
  </w:style>
  <w:style w:type="paragraph" w:styleId="729">
    <w:name w:val="toc 6"/>
    <w:basedOn w:val="704"/>
    <w:next w:val="704"/>
    <w:uiPriority w:val="39"/>
    <w:unhideWhenUsed/>
    <w:qFormat/>
    <w:pPr>
      <w:ind w:left="1417" w:right="0" w:firstLine="0"/>
      <w:spacing w:after="57"/>
    </w:pPr>
  </w:style>
  <w:style w:type="paragraph" w:styleId="730">
    <w:name w:val="table of figures"/>
    <w:basedOn w:val="704"/>
    <w:next w:val="704"/>
    <w:uiPriority w:val="99"/>
    <w:unhideWhenUsed/>
    <w:qFormat/>
    <w:pPr>
      <w:spacing w:after="0" w:afterAutospacing="0"/>
    </w:pPr>
  </w:style>
  <w:style w:type="paragraph" w:styleId="731">
    <w:name w:val="toc 2"/>
    <w:basedOn w:val="704"/>
    <w:next w:val="704"/>
    <w:uiPriority w:val="39"/>
    <w:unhideWhenUsed/>
    <w:qFormat/>
    <w:pPr>
      <w:ind w:left="283" w:right="0" w:firstLine="0"/>
      <w:spacing w:after="57"/>
    </w:pPr>
  </w:style>
  <w:style w:type="paragraph" w:styleId="732">
    <w:name w:val="toc 9"/>
    <w:basedOn w:val="704"/>
    <w:next w:val="704"/>
    <w:uiPriority w:val="39"/>
    <w:unhideWhenUsed/>
    <w:qFormat/>
    <w:pPr>
      <w:ind w:left="2268" w:right="0" w:firstLine="0"/>
      <w:spacing w:after="57"/>
    </w:pPr>
  </w:style>
  <w:style w:type="paragraph" w:styleId="733">
    <w:name w:val="Normal (Web)"/>
    <w:basedOn w:val="704"/>
    <w:uiPriority w:val="99"/>
    <w:semiHidden/>
    <w:unhideWhenUsed/>
    <w:qFormat/>
    <w:rPr>
      <w:sz w:val="24"/>
    </w:rPr>
  </w:style>
  <w:style w:type="paragraph" w:styleId="734">
    <w:name w:val="Title"/>
    <w:basedOn w:val="704"/>
    <w:next w:val="704"/>
    <w:link w:val="751"/>
    <w:uiPriority w:val="10"/>
    <w:qFormat/>
    <w:pPr>
      <w:contextualSpacing/>
      <w:spacing w:before="300" w:after="200"/>
    </w:pPr>
    <w:rPr>
      <w:sz w:val="48"/>
      <w:szCs w:val="48"/>
    </w:rPr>
  </w:style>
  <w:style w:type="paragraph" w:styleId="735">
    <w:name w:val="Body Text First Indent"/>
    <w:basedOn w:val="718"/>
    <w:uiPriority w:val="0"/>
    <w:unhideWhenUsed/>
    <w:qFormat/>
    <w:pPr>
      <w:ind w:firstLine="420"/>
      <w:spacing w:after="120"/>
    </w:pPr>
    <w:rPr>
      <w:rFonts w:ascii="Times New Roman" w:hAnsi="Times New Roman" w:eastAsia="宋体"/>
      <w:sz w:val="21"/>
      <w:szCs w:val="21"/>
    </w:rPr>
  </w:style>
  <w:style w:type="table" w:styleId="736">
    <w:name w:val="Table Grid"/>
    <w:basedOn w:val="71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character" w:styleId="740" w:customStyle="1">
    <w:name w:val="Heading 1 Char"/>
    <w:link w:val="705"/>
    <w:uiPriority w:val="9"/>
    <w:qFormat/>
    <w:rPr>
      <w:rFonts w:ascii="Arial" w:hAnsi="Arial" w:eastAsia="Arial" w:cs="Arial"/>
      <w:sz w:val="40"/>
      <w:szCs w:val="40"/>
    </w:rPr>
  </w:style>
  <w:style w:type="character" w:styleId="741" w:customStyle="1">
    <w:name w:val="Heading 2 Char"/>
    <w:link w:val="706"/>
    <w:uiPriority w:val="9"/>
    <w:qFormat/>
    <w:rPr>
      <w:rFonts w:ascii="Arial" w:hAnsi="Arial" w:eastAsia="Arial" w:cs="Arial"/>
      <w:sz w:val="34"/>
    </w:rPr>
  </w:style>
  <w:style w:type="character" w:styleId="742" w:customStyle="1">
    <w:name w:val="Heading 3 Char"/>
    <w:link w:val="707"/>
    <w:uiPriority w:val="9"/>
    <w:qFormat/>
    <w:rPr>
      <w:rFonts w:ascii="Arial" w:hAnsi="Arial" w:eastAsia="Arial" w:cs="Arial"/>
      <w:sz w:val="30"/>
      <w:szCs w:val="30"/>
    </w:rPr>
  </w:style>
  <w:style w:type="character" w:styleId="743" w:customStyle="1">
    <w:name w:val="Heading 4 Char"/>
    <w:link w:val="708"/>
    <w:uiPriority w:val="9"/>
    <w:qFormat/>
    <w:rPr>
      <w:rFonts w:ascii="Arial" w:hAnsi="Arial" w:eastAsia="Arial" w:cs="Arial"/>
      <w:b/>
      <w:bCs/>
      <w:sz w:val="26"/>
      <w:szCs w:val="26"/>
    </w:rPr>
  </w:style>
  <w:style w:type="character" w:styleId="744" w:customStyle="1">
    <w:name w:val="Heading 5 Char"/>
    <w:link w:val="709"/>
    <w:uiPriority w:val="9"/>
    <w:qFormat/>
    <w:rPr>
      <w:rFonts w:ascii="Arial" w:hAnsi="Arial" w:eastAsia="Arial" w:cs="Arial"/>
      <w:b/>
      <w:bCs/>
      <w:sz w:val="24"/>
      <w:szCs w:val="24"/>
    </w:rPr>
  </w:style>
  <w:style w:type="character" w:styleId="745" w:customStyle="1">
    <w:name w:val="Heading 6 Char"/>
    <w:link w:val="710"/>
    <w:uiPriority w:val="9"/>
    <w:qFormat/>
    <w:rPr>
      <w:rFonts w:ascii="Arial" w:hAnsi="Arial" w:eastAsia="Arial" w:cs="Arial"/>
      <w:b/>
      <w:bCs/>
      <w:sz w:val="22"/>
      <w:szCs w:val="22"/>
    </w:rPr>
  </w:style>
  <w:style w:type="character" w:styleId="746" w:customStyle="1">
    <w:name w:val="Heading 7 Char"/>
    <w:link w:val="711"/>
    <w:uiPriority w:val="9"/>
    <w:qFormat/>
    <w:rPr>
      <w:rFonts w:ascii="Arial" w:hAnsi="Arial" w:eastAsia="Arial" w:cs="Arial"/>
      <w:b/>
      <w:bCs/>
      <w:i/>
      <w:iCs/>
      <w:sz w:val="22"/>
      <w:szCs w:val="22"/>
    </w:rPr>
  </w:style>
  <w:style w:type="character" w:styleId="747" w:customStyle="1">
    <w:name w:val="Heading 8 Char"/>
    <w:link w:val="712"/>
    <w:uiPriority w:val="9"/>
    <w:qFormat/>
    <w:rPr>
      <w:rFonts w:ascii="Arial" w:hAnsi="Arial" w:eastAsia="Arial" w:cs="Arial"/>
      <w:i/>
      <w:iCs/>
      <w:sz w:val="22"/>
      <w:szCs w:val="22"/>
    </w:rPr>
  </w:style>
  <w:style w:type="character" w:styleId="748" w:customStyle="1">
    <w:name w:val="Heading 9 Char"/>
    <w:link w:val="713"/>
    <w:uiPriority w:val="9"/>
    <w:qFormat/>
    <w:rPr>
      <w:rFonts w:ascii="Arial" w:hAnsi="Arial" w:eastAsia="Arial" w:cs="Arial"/>
      <w:i/>
      <w:iCs/>
      <w:sz w:val="21"/>
      <w:szCs w:val="21"/>
    </w:rPr>
  </w:style>
  <w:style w:type="paragraph" w:styleId="749">
    <w:name w:val="List Paragraph"/>
    <w:basedOn w:val="704"/>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4"/>
    <w:uiPriority w:val="10"/>
    <w:qFormat/>
    <w:rPr>
      <w:sz w:val="48"/>
      <w:szCs w:val="48"/>
    </w:rPr>
  </w:style>
  <w:style w:type="character" w:styleId="752" w:customStyle="1">
    <w:name w:val="Subtitle Char"/>
    <w:link w:val="727"/>
    <w:uiPriority w:val="11"/>
    <w:qFormat/>
    <w:rPr>
      <w:sz w:val="24"/>
      <w:szCs w:val="24"/>
    </w:rPr>
  </w:style>
  <w:style w:type="paragraph" w:styleId="753">
    <w:name w:val="Quote"/>
    <w:basedOn w:val="704"/>
    <w:next w:val="704"/>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4"/>
    <w:next w:val="704"/>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4"/>
    <w:uiPriority w:val="99"/>
    <w:qFormat/>
  </w:style>
  <w:style w:type="character" w:styleId="758" w:customStyle="1">
    <w:name w:val="Footer Char"/>
    <w:link w:val="723"/>
    <w:uiPriority w:val="99"/>
    <w:qFormat/>
  </w:style>
  <w:style w:type="character" w:styleId="759" w:customStyle="1">
    <w:name w:val="Caption Char"/>
    <w:link w:val="723"/>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8"/>
    <w:uiPriority w:val="99"/>
    <w:qFormat/>
    <w:rPr>
      <w:sz w:val="18"/>
    </w:rPr>
  </w:style>
  <w:style w:type="character" w:styleId="886" w:customStyle="1">
    <w:name w:val="Endnote Text Char"/>
    <w:link w:val="722"/>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4"/>
    <w:next w:val="704"/>
    <w:link w:val="923"/>
    <w:uiPriority w:val="0"/>
    <w:qFormat/>
    <w:pPr>
      <w:jc w:val="center"/>
      <w:keepNext/>
      <w:outlineLvl w:val="0"/>
    </w:pPr>
    <w:rPr>
      <w:rFonts w:ascii="楷体_GB2312" w:hAnsi="楷体_GB2312" w:eastAsia="黑体"/>
      <w:sz w:val="44"/>
      <w:szCs w:val="28"/>
    </w:rPr>
  </w:style>
  <w:style w:type="paragraph" w:styleId="889" w:customStyle="1">
    <w:name w:val="标题 21"/>
    <w:basedOn w:val="704"/>
    <w:next w:val="890"/>
    <w:link w:val="9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0" w:customStyle="1">
    <w:name w:val="正文缩进1"/>
    <w:basedOn w:val="704"/>
    <w:link w:val="929"/>
    <w:uiPriority w:val="0"/>
    <w:qFormat/>
    <w:pPr>
      <w:ind w:firstLine="420"/>
    </w:pPr>
  </w:style>
  <w:style w:type="paragraph" w:styleId="891" w:customStyle="1">
    <w:name w:val="标题 31"/>
    <w:basedOn w:val="704"/>
    <w:next w:val="890"/>
    <w:link w:val="900"/>
    <w:uiPriority w:val="0"/>
    <w:qFormat/>
    <w:pPr>
      <w:keepLines/>
      <w:keepNext/>
      <w:spacing w:before="260" w:after="260" w:line="416" w:lineRule="auto"/>
      <w:outlineLvl w:val="2"/>
    </w:pPr>
    <w:rPr>
      <w:b/>
      <w:bCs/>
      <w:sz w:val="32"/>
      <w:szCs w:val="32"/>
    </w:rPr>
  </w:style>
  <w:style w:type="paragraph" w:styleId="892" w:customStyle="1">
    <w:name w:val="标题 41"/>
    <w:basedOn w:val="704"/>
    <w:next w:val="890"/>
    <w:link w:val="943"/>
    <w:uiPriority w:val="0"/>
    <w:qFormat/>
    <w:pPr>
      <w:keepLines/>
      <w:keepNext/>
      <w:spacing w:before="280" w:after="290" w:line="376" w:lineRule="auto"/>
      <w:outlineLvl w:val="3"/>
    </w:pPr>
    <w:rPr>
      <w:rFonts w:ascii="Arial" w:hAnsi="Arial" w:eastAsia="黑体" w:cs="Arial"/>
      <w:b/>
      <w:bCs/>
      <w:sz w:val="28"/>
      <w:szCs w:val="28"/>
    </w:rPr>
  </w:style>
  <w:style w:type="paragraph" w:styleId="893" w:customStyle="1">
    <w:name w:val="标题 51"/>
    <w:basedOn w:val="704"/>
    <w:next w:val="890"/>
    <w:link w:val="935"/>
    <w:uiPriority w:val="0"/>
    <w:qFormat/>
    <w:pPr>
      <w:keepNext/>
      <w:outlineLvl w:val="4"/>
    </w:pPr>
    <w:rPr>
      <w:rFonts w:ascii="宋体"/>
      <w:color w:val="000000"/>
      <w:sz w:val="28"/>
      <w:szCs w:val="28"/>
    </w:rPr>
  </w:style>
  <w:style w:type="paragraph" w:styleId="894" w:customStyle="1">
    <w:name w:val="标题 61"/>
    <w:basedOn w:val="704"/>
    <w:next w:val="704"/>
    <w:link w:val="9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customStyle="1">
    <w:name w:val="标题 71"/>
    <w:basedOn w:val="704"/>
    <w:next w:val="704"/>
    <w:link w:val="931"/>
    <w:uiPriority w:val="0"/>
    <w:qFormat/>
    <w:pPr>
      <w:numPr>
        <w:ilvl w:val="6"/>
        <w:numId w:val="1"/>
      </w:numPr>
      <w:keepLines/>
      <w:keepNext/>
      <w:spacing w:before="240" w:after="64" w:line="320" w:lineRule="auto"/>
      <w:outlineLvl w:val="6"/>
    </w:pPr>
    <w:rPr>
      <w:b/>
      <w:bCs/>
      <w:sz w:val="24"/>
      <w:szCs w:val="24"/>
    </w:rPr>
  </w:style>
  <w:style w:type="paragraph" w:styleId="896" w:customStyle="1">
    <w:name w:val="标题 81"/>
    <w:basedOn w:val="704"/>
    <w:next w:val="704"/>
    <w:link w:val="9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7" w:customStyle="1">
    <w:name w:val="标题 91"/>
    <w:basedOn w:val="704"/>
    <w:next w:val="704"/>
    <w:link w:val="933"/>
    <w:uiPriority w:val="0"/>
    <w:qFormat/>
    <w:pPr>
      <w:numPr>
        <w:ilvl w:val="8"/>
        <w:numId w:val="1"/>
      </w:numPr>
      <w:keepLines/>
      <w:keepNext/>
      <w:spacing w:before="240" w:after="64" w:line="320" w:lineRule="auto"/>
      <w:outlineLvl w:val="8"/>
    </w:pPr>
    <w:rPr>
      <w:rFonts w:ascii="Arial" w:hAnsi="Arial" w:eastAsia="黑体"/>
    </w:rPr>
  </w:style>
  <w:style w:type="character" w:styleId="898" w:customStyle="1">
    <w:name w:val="默认段落字体1"/>
    <w:link w:val="704"/>
    <w:uiPriority w:val="1"/>
    <w:unhideWhenUsed/>
    <w:qFormat/>
  </w:style>
  <w:style w:type="table" w:styleId="899" w:customStyle="1">
    <w:name w:val="普通表格1"/>
    <w:uiPriority w:val="99"/>
    <w:unhideWhenUsed/>
    <w:qFormat/>
    <w:tblPr/>
  </w:style>
  <w:style w:type="character" w:styleId="900" w:customStyle="1">
    <w:name w:val="标题 3 Char"/>
    <w:link w:val="891"/>
    <w:uiPriority w:val="0"/>
    <w:qFormat/>
    <w:rPr>
      <w:rFonts w:ascii="Times New Roman" w:hAnsi="Times New Roman" w:eastAsia="宋体" w:cs="Times New Roman"/>
      <w:b/>
      <w:bCs/>
      <w:sz w:val="32"/>
      <w:szCs w:val="32"/>
    </w:rPr>
  </w:style>
  <w:style w:type="character" w:styleId="901" w:customStyle="1">
    <w:name w:val="标题 2 Char"/>
    <w:link w:val="889"/>
    <w:uiPriority w:val="0"/>
    <w:qFormat/>
    <w:rPr>
      <w:rFonts w:ascii="Arial" w:hAnsi="Arial" w:eastAsia="幼圆" w:cs="Arial"/>
      <w:b/>
      <w:bCs/>
      <w:sz w:val="44"/>
      <w:szCs w:val="44"/>
    </w:rPr>
  </w:style>
  <w:style w:type="character" w:styleId="902" w:customStyle="1">
    <w:name w:val="批注引用1"/>
    <w:link w:val="704"/>
    <w:uiPriority w:val="0"/>
    <w:semiHidden/>
    <w:qFormat/>
    <w:rPr>
      <w:sz w:val="21"/>
      <w:szCs w:val="21"/>
    </w:rPr>
  </w:style>
  <w:style w:type="character" w:styleId="903" w:customStyle="1">
    <w:name w:val="纯文本 Char"/>
    <w:link w:val="904"/>
    <w:uiPriority w:val="0"/>
    <w:qFormat/>
    <w:rPr>
      <w:rFonts w:ascii="宋体" w:hAnsi="Courier New" w:eastAsia="宋体" w:cs="Courier New"/>
      <w:szCs w:val="21"/>
    </w:rPr>
  </w:style>
  <w:style w:type="paragraph" w:styleId="904" w:customStyle="1">
    <w:name w:val="纯文本1"/>
    <w:basedOn w:val="704"/>
    <w:link w:val="903"/>
    <w:uiPriority w:val="0"/>
    <w:qFormat/>
    <w:rPr>
      <w:rFonts w:ascii="宋体" w:hAnsi="Courier New" w:cs="Courier New"/>
    </w:rPr>
  </w:style>
  <w:style w:type="character" w:styleId="905" w:customStyle="1">
    <w:name w:val="文档结构图 Char"/>
    <w:link w:val="906"/>
    <w:uiPriority w:val="0"/>
    <w:semiHidden/>
    <w:qFormat/>
    <w:rPr>
      <w:rFonts w:ascii="Times New Roman" w:hAnsi="Times New Roman" w:eastAsia="宋体" w:cs="Times New Roman"/>
      <w:szCs w:val="21"/>
      <w:shd w:val="clear" w:color="auto" w:fill="000080"/>
    </w:rPr>
  </w:style>
  <w:style w:type="paragraph" w:styleId="906" w:customStyle="1">
    <w:name w:val="文档结构图1"/>
    <w:basedOn w:val="704"/>
    <w:link w:val="905"/>
    <w:uiPriority w:val="0"/>
    <w:semiHidden/>
    <w:qFormat/>
    <w:pPr>
      <w:shd w:val="clear" w:color="auto" w:fill="000080"/>
    </w:pPr>
  </w:style>
  <w:style w:type="character" w:styleId="907" w:customStyle="1">
    <w:name w:val="要点1"/>
    <w:link w:val="704"/>
    <w:uiPriority w:val="0"/>
    <w:qFormat/>
    <w:rPr>
      <w:b/>
      <w:bCs/>
    </w:rPr>
  </w:style>
  <w:style w:type="character" w:styleId="908" w:customStyle="1">
    <w:name w:val="页脚 Char"/>
    <w:link w:val="909"/>
    <w:uiPriority w:val="0"/>
    <w:qFormat/>
    <w:rPr>
      <w:rFonts w:ascii="Times New Roman" w:hAnsi="Times New Roman" w:eastAsia="宋体" w:cs="Times New Roman"/>
      <w:sz w:val="18"/>
      <w:szCs w:val="18"/>
    </w:rPr>
  </w:style>
  <w:style w:type="paragraph" w:styleId="909" w:customStyle="1">
    <w:name w:val="页脚1"/>
    <w:basedOn w:val="704"/>
    <w:link w:val="908"/>
    <w:uiPriority w:val="0"/>
    <w:qFormat/>
    <w:pPr>
      <w:jc w:val="left"/>
      <w:tabs>
        <w:tab w:val="center" w:pos="4153" w:leader="none"/>
        <w:tab w:val="right" w:pos="8306" w:leader="none"/>
      </w:tabs>
    </w:pPr>
    <w:rPr>
      <w:sz w:val="18"/>
      <w:szCs w:val="18"/>
    </w:rPr>
  </w:style>
  <w:style w:type="character" w:styleId="910" w:customStyle="1">
    <w:name w:val="列出段落 Char"/>
    <w:link w:val="911"/>
    <w:uiPriority w:val="0"/>
    <w:qFormat/>
    <w:rPr>
      <w:rFonts w:ascii="Calibri" w:hAnsi="Calibri"/>
      <w:sz w:val="24"/>
      <w:szCs w:val="24"/>
      <w:lang w:eastAsia="en-US" w:bidi="en-US"/>
    </w:rPr>
  </w:style>
  <w:style w:type="paragraph" w:styleId="911" w:customStyle="1">
    <w:name w:val="列出段落1"/>
    <w:basedOn w:val="704"/>
    <w:link w:val="910"/>
    <w:uiPriority w:val="0"/>
    <w:qFormat/>
    <w:pPr>
      <w:contextualSpacing/>
      <w:ind w:left="720"/>
      <w:jc w:val="left"/>
      <w:widowControl/>
    </w:pPr>
    <w:rPr>
      <w:rFonts w:ascii="Calibri" w:hAnsi="Calibri" w:eastAsia="宋体" w:cs="Times New Roman"/>
      <w:sz w:val="24"/>
      <w:szCs w:val="24"/>
      <w:lang w:eastAsia="en-US" w:bidi="en-US"/>
    </w:rPr>
  </w:style>
  <w:style w:type="character" w:styleId="912" w:customStyle="1">
    <w:name w:val="标题 6 Char"/>
    <w:link w:val="894"/>
    <w:uiPriority w:val="0"/>
    <w:qFormat/>
    <w:rPr>
      <w:rFonts w:ascii="Arial" w:hAnsi="Arial" w:eastAsia="黑体" w:cs="Times New Roman"/>
      <w:b/>
      <w:bCs/>
      <w:sz w:val="24"/>
      <w:szCs w:val="24"/>
    </w:rPr>
  </w:style>
  <w:style w:type="character" w:styleId="913" w:customStyle="1">
    <w:name w:val="批注主题 Char"/>
    <w:link w:val="914"/>
    <w:uiPriority w:val="0"/>
    <w:semiHidden/>
    <w:qFormat/>
    <w:rPr>
      <w:rFonts w:ascii="Times New Roman" w:hAnsi="Times New Roman" w:eastAsia="宋体" w:cs="Times New Roman"/>
      <w:b/>
      <w:bCs/>
      <w:szCs w:val="21"/>
    </w:rPr>
  </w:style>
  <w:style w:type="paragraph" w:styleId="914" w:customStyle="1">
    <w:name w:val="批注主题1"/>
    <w:basedOn w:val="915"/>
    <w:next w:val="915"/>
    <w:link w:val="913"/>
    <w:uiPriority w:val="0"/>
    <w:semiHidden/>
    <w:qFormat/>
    <w:rPr>
      <w:b/>
      <w:bCs/>
    </w:rPr>
  </w:style>
  <w:style w:type="paragraph" w:styleId="915" w:customStyle="1">
    <w:name w:val="批注文字1"/>
    <w:basedOn w:val="704"/>
    <w:link w:val="934"/>
    <w:uiPriority w:val="0"/>
    <w:semiHidden/>
    <w:qFormat/>
    <w:pPr>
      <w:jc w:val="left"/>
    </w:pPr>
  </w:style>
  <w:style w:type="character" w:styleId="916" w:customStyle="1">
    <w:name w:val="正文文本 2 Char"/>
    <w:link w:val="917"/>
    <w:uiPriority w:val="0"/>
    <w:qFormat/>
    <w:rPr>
      <w:rFonts w:ascii="楷体_GB2312" w:hAnsi="Times New Roman" w:eastAsia="楷体_GB2312" w:cs="Times New Roman"/>
      <w:sz w:val="28"/>
      <w:szCs w:val="28"/>
    </w:rPr>
  </w:style>
  <w:style w:type="paragraph" w:styleId="917" w:customStyle="1">
    <w:name w:val="正文文本 21"/>
    <w:basedOn w:val="704"/>
    <w:link w:val="916"/>
    <w:uiPriority w:val="0"/>
    <w:qFormat/>
    <w:pPr>
      <w:jc w:val="center"/>
      <w:widowControl/>
    </w:pPr>
    <w:rPr>
      <w:rFonts w:ascii="楷体_GB2312" w:eastAsia="楷体_GB2312"/>
      <w:sz w:val="28"/>
      <w:szCs w:val="28"/>
    </w:rPr>
  </w:style>
  <w:style w:type="character" w:styleId="918" w:customStyle="1">
    <w:name w:val="正文首行缩进 Char"/>
    <w:link w:val="919"/>
    <w:uiPriority w:val="0"/>
    <w:qFormat/>
    <w:rPr>
      <w:rFonts w:ascii="仿宋_GB2312" w:hAnsi="Times New Roman" w:eastAsia="仿宋_GB2312" w:cs="Times New Roman"/>
      <w:sz w:val="30"/>
      <w:szCs w:val="30"/>
    </w:rPr>
  </w:style>
  <w:style w:type="paragraph" w:styleId="919" w:customStyle="1">
    <w:name w:val="正文首行缩进1"/>
    <w:basedOn w:val="704"/>
    <w:link w:val="918"/>
    <w:uiPriority w:val="0"/>
    <w:qFormat/>
    <w:pPr>
      <w:ind w:firstLine="200"/>
      <w:spacing w:line="360" w:lineRule="auto"/>
    </w:pPr>
    <w:rPr>
      <w:rFonts w:ascii="仿宋_GB2312" w:eastAsia="仿宋_GB2312"/>
      <w:sz w:val="30"/>
      <w:szCs w:val="30"/>
    </w:rPr>
  </w:style>
  <w:style w:type="character" w:styleId="920" w:customStyle="1">
    <w:name w:val="正文首行缩进 2 Char"/>
    <w:link w:val="921"/>
    <w:uiPriority w:val="0"/>
    <w:qFormat/>
    <w:rPr>
      <w:rFonts w:ascii="宋体" w:hAnsi="宋体" w:eastAsia="宋体" w:cs="Times New Roman"/>
      <w:sz w:val="32"/>
      <w:szCs w:val="20"/>
    </w:rPr>
  </w:style>
  <w:style w:type="paragraph" w:styleId="921" w:customStyle="1">
    <w:name w:val="正文首行缩进 21"/>
    <w:basedOn w:val="922"/>
    <w:link w:val="920"/>
    <w:uiPriority w:val="0"/>
    <w:qFormat/>
    <w:pPr>
      <w:ind w:firstLine="420"/>
      <w:spacing w:line="360" w:lineRule="auto"/>
    </w:pPr>
    <w:rPr>
      <w:rFonts w:ascii="宋体" w:hAnsi="宋体" w:eastAsia="宋体"/>
      <w:sz w:val="21"/>
      <w:szCs w:val="20"/>
    </w:rPr>
  </w:style>
  <w:style w:type="paragraph" w:styleId="922" w:customStyle="1">
    <w:name w:val="正文文本缩进1"/>
    <w:basedOn w:val="704"/>
    <w:link w:val="932"/>
    <w:uiPriority w:val="0"/>
    <w:qFormat/>
    <w:pPr>
      <w:ind w:firstLine="645"/>
    </w:pPr>
    <w:rPr>
      <w:rFonts w:ascii="楷体_GB2312" w:eastAsia="楷体_GB2312"/>
      <w:sz w:val="32"/>
      <w:szCs w:val="32"/>
    </w:rPr>
  </w:style>
  <w:style w:type="character" w:styleId="923" w:customStyle="1">
    <w:name w:val="标题 1 Char"/>
    <w:link w:val="888"/>
    <w:uiPriority w:val="0"/>
    <w:qFormat/>
    <w:rPr>
      <w:rFonts w:ascii="楷体_GB2312" w:hAnsi="楷体_GB2312" w:eastAsia="黑体" w:cs="Times New Roman"/>
      <w:sz w:val="44"/>
      <w:szCs w:val="28"/>
    </w:rPr>
  </w:style>
  <w:style w:type="character" w:styleId="924" w:customStyle="1">
    <w:name w:val="已访问的超链接1"/>
    <w:link w:val="704"/>
    <w:uiPriority w:val="0"/>
    <w:qFormat/>
    <w:rPr>
      <w:color w:val="800080"/>
      <w:u w:val="single"/>
    </w:rPr>
  </w:style>
  <w:style w:type="character" w:styleId="925" w:customStyle="1">
    <w:name w:val="正文文本 3 Char"/>
    <w:link w:val="926"/>
    <w:uiPriority w:val="0"/>
    <w:qFormat/>
    <w:rPr>
      <w:rFonts w:ascii="仿宋_GB2312" w:hAnsi="Arial" w:eastAsia="仿宋_GB2312" w:cs="Times New Roman"/>
      <w:sz w:val="32"/>
      <w:szCs w:val="32"/>
    </w:rPr>
  </w:style>
  <w:style w:type="paragraph" w:styleId="926" w:customStyle="1">
    <w:name w:val="正文文本 31"/>
    <w:basedOn w:val="704"/>
    <w:link w:val="925"/>
    <w:uiPriority w:val="0"/>
    <w:qFormat/>
    <w:rPr>
      <w:rFonts w:ascii="仿宋_GB2312" w:hAnsi="Arial" w:eastAsia="仿宋_GB2312"/>
      <w:sz w:val="32"/>
      <w:szCs w:val="32"/>
    </w:rPr>
  </w:style>
  <w:style w:type="character" w:styleId="927" w:customStyle="1">
    <w:name w:val="二级目录 Char"/>
    <w:link w:val="928"/>
    <w:uiPriority w:val="0"/>
    <w:qFormat/>
    <w:rPr>
      <w:b/>
      <w:sz w:val="30"/>
      <w:szCs w:val="28"/>
    </w:rPr>
  </w:style>
  <w:style w:type="paragraph" w:styleId="928" w:customStyle="1">
    <w:name w:val="二级目录"/>
    <w:next w:val="704"/>
    <w:link w:val="9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9" w:customStyle="1">
    <w:name w:val="正文缩进 Char"/>
    <w:link w:val="890"/>
    <w:uiPriority w:val="0"/>
    <w:qFormat/>
    <w:rPr>
      <w:rFonts w:ascii="Times New Roman" w:hAnsi="Times New Roman" w:eastAsia="宋体" w:cs="Times New Roman"/>
      <w:szCs w:val="21"/>
    </w:rPr>
  </w:style>
  <w:style w:type="character" w:styleId="930" w:customStyle="1">
    <w:name w:val="页码1"/>
    <w:link w:val="704"/>
    <w:uiPriority w:val="0"/>
    <w:qFormat/>
  </w:style>
  <w:style w:type="character" w:styleId="931" w:customStyle="1">
    <w:name w:val="标题 7 Char"/>
    <w:link w:val="895"/>
    <w:uiPriority w:val="0"/>
    <w:qFormat/>
    <w:rPr>
      <w:rFonts w:ascii="Times New Roman" w:hAnsi="Times New Roman" w:eastAsia="宋体" w:cs="Times New Roman"/>
      <w:b/>
      <w:bCs/>
      <w:sz w:val="24"/>
      <w:szCs w:val="24"/>
    </w:rPr>
  </w:style>
  <w:style w:type="character" w:styleId="932" w:customStyle="1">
    <w:name w:val="正文文本缩进 Char"/>
    <w:link w:val="922"/>
    <w:uiPriority w:val="0"/>
    <w:qFormat/>
    <w:rPr>
      <w:rFonts w:ascii="楷体_GB2312" w:hAnsi="Times New Roman" w:eastAsia="楷体_GB2312" w:cs="Times New Roman"/>
      <w:sz w:val="32"/>
      <w:szCs w:val="32"/>
    </w:rPr>
  </w:style>
  <w:style w:type="character" w:styleId="933" w:customStyle="1">
    <w:name w:val="标题 9 Char"/>
    <w:link w:val="897"/>
    <w:uiPriority w:val="0"/>
    <w:qFormat/>
    <w:rPr>
      <w:rFonts w:ascii="Arial" w:hAnsi="Arial" w:eastAsia="黑体" w:cs="Times New Roman"/>
      <w:szCs w:val="21"/>
    </w:rPr>
  </w:style>
  <w:style w:type="character" w:styleId="934" w:customStyle="1">
    <w:name w:val="批注文字 Char"/>
    <w:link w:val="915"/>
    <w:uiPriority w:val="0"/>
    <w:semiHidden/>
    <w:qFormat/>
    <w:rPr>
      <w:rFonts w:ascii="Times New Roman" w:hAnsi="Times New Roman" w:eastAsia="宋体" w:cs="Times New Roman"/>
      <w:szCs w:val="21"/>
    </w:rPr>
  </w:style>
  <w:style w:type="character" w:styleId="935" w:customStyle="1">
    <w:name w:val="标题 5 Char"/>
    <w:link w:val="893"/>
    <w:uiPriority w:val="0"/>
    <w:qFormat/>
    <w:rPr>
      <w:rFonts w:ascii="宋体" w:hAnsi="Times New Roman" w:eastAsia="宋体" w:cs="Times New Roman"/>
      <w:color w:val="000000"/>
      <w:sz w:val="28"/>
      <w:szCs w:val="28"/>
    </w:rPr>
  </w:style>
  <w:style w:type="character" w:styleId="936" w:customStyle="1">
    <w:name w:val="正文文本缩进 2 Char"/>
    <w:link w:val="937"/>
    <w:uiPriority w:val="0"/>
    <w:qFormat/>
    <w:rPr>
      <w:rFonts w:ascii="Arial" w:hAnsi="Arial" w:eastAsia="仿宋_GB2312" w:cs="Arial"/>
      <w:sz w:val="32"/>
      <w:szCs w:val="32"/>
    </w:rPr>
  </w:style>
  <w:style w:type="paragraph" w:styleId="937" w:customStyle="1">
    <w:name w:val="正文文本缩进 21"/>
    <w:basedOn w:val="704"/>
    <w:link w:val="936"/>
    <w:uiPriority w:val="0"/>
    <w:qFormat/>
    <w:pPr>
      <w:ind w:left="630" w:firstLine="645"/>
    </w:pPr>
    <w:rPr>
      <w:rFonts w:ascii="Arial" w:hAnsi="Arial" w:eastAsia="仿宋_GB2312" w:cs="Arial"/>
      <w:sz w:val="32"/>
      <w:szCs w:val="32"/>
    </w:rPr>
  </w:style>
  <w:style w:type="character" w:styleId="938" w:customStyle="1">
    <w:name w:val="日期 Char"/>
    <w:link w:val="939"/>
    <w:uiPriority w:val="0"/>
    <w:qFormat/>
    <w:rPr>
      <w:rFonts w:ascii="Times New Roman" w:hAnsi="Times New Roman" w:eastAsia="宋体" w:cs="Times New Roman"/>
      <w:sz w:val="24"/>
      <w:szCs w:val="24"/>
    </w:rPr>
  </w:style>
  <w:style w:type="paragraph" w:styleId="939" w:customStyle="1">
    <w:name w:val="日期1"/>
    <w:basedOn w:val="704"/>
    <w:next w:val="704"/>
    <w:link w:val="938"/>
    <w:uiPriority w:val="0"/>
    <w:qFormat/>
    <w:rPr>
      <w:sz w:val="24"/>
      <w:szCs w:val="24"/>
    </w:rPr>
  </w:style>
  <w:style w:type="character" w:styleId="940" w:customStyle="1">
    <w:name w:val="超链接1"/>
    <w:link w:val="704"/>
    <w:uiPriority w:val="0"/>
    <w:qFormat/>
    <w:rPr>
      <w:color w:val="0000ff"/>
      <w:u w:val="single"/>
    </w:rPr>
  </w:style>
  <w:style w:type="character" w:styleId="941" w:customStyle="1">
    <w:name w:val="批注框文本 Char"/>
    <w:link w:val="942"/>
    <w:uiPriority w:val="0"/>
    <w:semiHidden/>
    <w:qFormat/>
    <w:rPr>
      <w:rFonts w:ascii="Times New Roman" w:hAnsi="Times New Roman" w:eastAsia="宋体" w:cs="Times New Roman"/>
      <w:sz w:val="18"/>
      <w:szCs w:val="18"/>
    </w:rPr>
  </w:style>
  <w:style w:type="paragraph" w:styleId="942" w:customStyle="1">
    <w:name w:val="批注框文本1"/>
    <w:basedOn w:val="704"/>
    <w:link w:val="941"/>
    <w:uiPriority w:val="0"/>
    <w:semiHidden/>
    <w:qFormat/>
    <w:rPr>
      <w:sz w:val="18"/>
      <w:szCs w:val="18"/>
    </w:rPr>
  </w:style>
  <w:style w:type="character" w:styleId="943" w:customStyle="1">
    <w:name w:val="标题 4 Char"/>
    <w:link w:val="892"/>
    <w:uiPriority w:val="0"/>
    <w:qFormat/>
    <w:rPr>
      <w:rFonts w:ascii="Arial" w:hAnsi="Arial" w:eastAsia="黑体" w:cs="Arial"/>
      <w:b/>
      <w:bCs/>
      <w:sz w:val="28"/>
      <w:szCs w:val="28"/>
    </w:rPr>
  </w:style>
  <w:style w:type="character" w:styleId="944" w:customStyle="1">
    <w:name w:val="font5 Char"/>
    <w:link w:val="704"/>
    <w:uiPriority w:val="0"/>
    <w:qFormat/>
    <w:rPr>
      <w:rFonts w:ascii="宋体" w:hAnsi="宋体" w:eastAsia="宋体"/>
      <w:sz w:val="28"/>
      <w:szCs w:val="28"/>
      <w:lang w:val="en-US" w:eastAsia="zh-CN" w:bidi="ar-SA"/>
    </w:rPr>
  </w:style>
  <w:style w:type="character" w:styleId="945" w:customStyle="1">
    <w:name w:val="页眉 Char"/>
    <w:link w:val="946"/>
    <w:uiPriority w:val="0"/>
    <w:qFormat/>
    <w:rPr>
      <w:rFonts w:ascii="Times New Roman" w:hAnsi="Times New Roman" w:eastAsia="宋体" w:cs="Times New Roman"/>
      <w:sz w:val="18"/>
      <w:szCs w:val="18"/>
    </w:rPr>
  </w:style>
  <w:style w:type="paragraph" w:styleId="946" w:customStyle="1">
    <w:name w:val="页眉1"/>
    <w:basedOn w:val="704"/>
    <w:link w:val="945"/>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正文文本 Char"/>
    <w:link w:val="948"/>
    <w:uiPriority w:val="0"/>
    <w:qFormat/>
    <w:rPr>
      <w:rFonts w:ascii="楷体_GB2312" w:hAnsi="Arial" w:eastAsia="楷体_GB2312" w:cs="Times New Roman"/>
      <w:sz w:val="28"/>
      <w:szCs w:val="28"/>
    </w:rPr>
  </w:style>
  <w:style w:type="paragraph" w:styleId="948" w:customStyle="1">
    <w:name w:val="正文文本1"/>
    <w:basedOn w:val="704"/>
    <w:link w:val="947"/>
    <w:uiPriority w:val="0"/>
    <w:qFormat/>
    <w:rPr>
      <w:rFonts w:ascii="楷体_GB2312" w:hAnsi="Arial" w:eastAsia="楷体_GB2312"/>
      <w:sz w:val="28"/>
      <w:szCs w:val="28"/>
    </w:rPr>
  </w:style>
  <w:style w:type="character" w:styleId="949" w:customStyle="1">
    <w:name w:val="正文文本缩进 3 Char"/>
    <w:link w:val="950"/>
    <w:uiPriority w:val="0"/>
    <w:qFormat/>
    <w:rPr>
      <w:rFonts w:ascii="Arial" w:hAnsi="Arial" w:eastAsia="仿宋_GB2312" w:cs="Arial"/>
      <w:color w:val="ffff00"/>
      <w:sz w:val="32"/>
      <w:szCs w:val="32"/>
    </w:rPr>
  </w:style>
  <w:style w:type="paragraph" w:styleId="950" w:customStyle="1">
    <w:name w:val="正文文本缩进 31"/>
    <w:basedOn w:val="704"/>
    <w:link w:val="949"/>
    <w:uiPriority w:val="0"/>
    <w:qFormat/>
    <w:pPr>
      <w:ind w:left="645" w:firstLine="645"/>
    </w:pPr>
    <w:rPr>
      <w:rFonts w:ascii="Arial" w:hAnsi="Arial" w:eastAsia="仿宋_GB2312" w:cs="Arial"/>
      <w:color w:val="ffff00"/>
      <w:sz w:val="32"/>
      <w:szCs w:val="32"/>
    </w:rPr>
  </w:style>
  <w:style w:type="character" w:styleId="951" w:customStyle="1">
    <w:name w:val="标题 8 Char"/>
    <w:link w:val="896"/>
    <w:uiPriority w:val="0"/>
    <w:qFormat/>
    <w:rPr>
      <w:rFonts w:ascii="Arial" w:hAnsi="Arial" w:eastAsia="黑体" w:cs="Times New Roman"/>
      <w:sz w:val="24"/>
      <w:szCs w:val="24"/>
    </w:rPr>
  </w:style>
  <w:style w:type="paragraph" w:styleId="952"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3"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目录 31"/>
    <w:basedOn w:val="704"/>
    <w:next w:val="704"/>
    <w:uiPriority w:val="0"/>
    <w:semiHidden/>
    <w:qFormat/>
    <w:pPr>
      <w:ind w:left="420"/>
      <w:jc w:val="left"/>
    </w:pPr>
    <w:rPr>
      <w:i/>
      <w:iCs/>
      <w:szCs w:val="24"/>
    </w:rPr>
  </w:style>
  <w:style w:type="paragraph" w:styleId="956"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57"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958"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列表 31"/>
    <w:basedOn w:val="704"/>
    <w:uiPriority w:val="0"/>
    <w:qFormat/>
    <w:pPr>
      <w:ind w:left="100" w:hanging="200"/>
    </w:pPr>
  </w:style>
  <w:style w:type="paragraph" w:styleId="961" w:customStyle="1">
    <w:name w:val="列表1"/>
    <w:basedOn w:val="704"/>
    <w:uiPriority w:val="0"/>
    <w:qFormat/>
    <w:pPr>
      <w:ind w:left="200" w:hanging="200"/>
    </w:pPr>
  </w:style>
  <w:style w:type="paragraph" w:styleId="962" w:customStyle="1">
    <w:name w:val=" Char Char Char Char"/>
    <w:basedOn w:val="906"/>
    <w:uiPriority w:val="0"/>
    <w:qFormat/>
    <w:pPr>
      <w:spacing w:line="360" w:lineRule="auto"/>
    </w:pPr>
    <w:rPr>
      <w:rFonts w:ascii="Tahoma" w:hAnsi="Tahoma"/>
      <w:sz w:val="24"/>
      <w:szCs w:val="24"/>
    </w:rPr>
  </w:style>
  <w:style w:type="paragraph" w:styleId="963" w:customStyle="1">
    <w:name w:val="目录 81"/>
    <w:basedOn w:val="704"/>
    <w:next w:val="704"/>
    <w:uiPriority w:val="0"/>
    <w:semiHidden/>
    <w:qFormat/>
    <w:pPr>
      <w:ind w:left="1470"/>
      <w:jc w:val="left"/>
    </w:pPr>
  </w:style>
  <w:style w:type="paragraph" w:styleId="96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5" w:customStyle="1">
    <w:name w:val="列表 21"/>
    <w:basedOn w:val="704"/>
    <w:uiPriority w:val="0"/>
    <w:qFormat/>
    <w:pPr>
      <w:ind w:left="100" w:hanging="200"/>
    </w:pPr>
  </w:style>
  <w:style w:type="paragraph" w:styleId="966"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目录 51"/>
    <w:basedOn w:val="704"/>
    <w:next w:val="704"/>
    <w:uiPriority w:val="0"/>
    <w:semiHidden/>
    <w:qFormat/>
    <w:pPr>
      <w:ind w:left="840"/>
      <w:jc w:val="left"/>
    </w:pPr>
  </w:style>
  <w:style w:type="paragraph" w:styleId="968"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969" w:customStyle="1">
    <w:name w:val="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70"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71" w:customStyle="1">
    <w:name w:val="索引 11"/>
    <w:basedOn w:val="704"/>
    <w:next w:val="704"/>
    <w:uiPriority w:val="0"/>
    <w:semiHidden/>
    <w:qFormat/>
    <w:pPr>
      <w:spacing w:line="240" w:lineRule="atLeast"/>
    </w:pPr>
    <w:rPr>
      <w:b/>
      <w:bCs/>
    </w:rPr>
  </w:style>
  <w:style w:type="paragraph" w:styleId="972" w:customStyle="1">
    <w:name w:val="目录 61"/>
    <w:basedOn w:val="704"/>
    <w:next w:val="704"/>
    <w:uiPriority w:val="0"/>
    <w:semiHidden/>
    <w:qFormat/>
    <w:pPr>
      <w:ind w:left="1050"/>
      <w:jc w:val="left"/>
    </w:pPr>
  </w:style>
  <w:style w:type="paragraph" w:styleId="973"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74" w:customStyle="1">
    <w:name w:val="table_lines"/>
    <w:basedOn w:val="704"/>
    <w:uiPriority w:val="0"/>
    <w:qFormat/>
    <w:pPr>
      <w:jc w:val="left"/>
      <w:widowControl/>
    </w:pPr>
    <w:rPr>
      <w:sz w:val="20"/>
      <w:szCs w:val="20"/>
      <w:lang w:val="de-DE" w:eastAsia="de-DE"/>
    </w:rPr>
  </w:style>
  <w:style w:type="paragraph" w:styleId="975" w:customStyle="1">
    <w:name w:val=" Char"/>
    <w:basedOn w:val="906"/>
    <w:uiPriority w:val="0"/>
    <w:qFormat/>
    <w:rPr>
      <w:rFonts w:ascii="Tahoma" w:hAnsi="Tahoma"/>
      <w:sz w:val="24"/>
      <w:szCs w:val="24"/>
    </w:rPr>
  </w:style>
  <w:style w:type="paragraph" w:styleId="97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8" w:customStyle="1">
    <w:name w:val="图表目录1"/>
    <w:basedOn w:val="704"/>
    <w:next w:val="704"/>
    <w:uiPriority w:val="0"/>
    <w:semiHidden/>
    <w:qFormat/>
    <w:pPr>
      <w:ind w:left="840" w:hanging="420"/>
    </w:pPr>
  </w:style>
  <w:style w:type="paragraph" w:styleId="979" w:customStyle="1">
    <w:name w:val="Body Text(ch)"/>
    <w:basedOn w:val="704"/>
    <w:next w:val="948"/>
    <w:uiPriority w:val="0"/>
    <w:qFormat/>
    <w:pPr>
      <w:spacing w:after="120"/>
    </w:pPr>
    <w:rPr>
      <w:rFonts w:ascii="宋体" w:hAnsi="Arial"/>
      <w:bCs/>
      <w:iCs/>
      <w:szCs w:val="24"/>
    </w:rPr>
  </w:style>
  <w:style w:type="paragraph" w:styleId="980" w:customStyle="1">
    <w:name w:val="目录 91"/>
    <w:basedOn w:val="704"/>
    <w:next w:val="704"/>
    <w:uiPriority w:val="0"/>
    <w:semiHidden/>
    <w:qFormat/>
    <w:pPr>
      <w:ind w:left="1680"/>
      <w:jc w:val="left"/>
    </w:pPr>
  </w:style>
  <w:style w:type="paragraph" w:styleId="981"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982"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3" w:customStyle="1">
    <w:name w:val="目录 21"/>
    <w:basedOn w:val="704"/>
    <w:next w:val="704"/>
    <w:uiPriority w:val="0"/>
    <w:semiHidden/>
    <w:qFormat/>
    <w:pPr>
      <w:ind w:left="210"/>
      <w:jc w:val="left"/>
    </w:pPr>
    <w:rPr>
      <w:smallCaps/>
      <w:szCs w:val="24"/>
    </w:rPr>
  </w:style>
  <w:style w:type="paragraph" w:styleId="984"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85" w:customStyle="1">
    <w:name w:val="列出段落"/>
    <w:basedOn w:val="704"/>
    <w:uiPriority w:val="0"/>
    <w:qFormat/>
    <w:pPr>
      <w:contextualSpacing/>
      <w:ind w:left="720"/>
      <w:jc w:val="left"/>
      <w:widowControl/>
    </w:pPr>
    <w:rPr>
      <w:rFonts w:ascii="Calibri" w:hAnsi="Calibri"/>
      <w:sz w:val="24"/>
      <w:szCs w:val="24"/>
      <w:lang w:eastAsia="en-US" w:bidi="en-US"/>
    </w:rPr>
  </w:style>
  <w:style w:type="paragraph" w:styleId="986"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87" w:customStyle="1">
    <w:name w:val="目录 71"/>
    <w:basedOn w:val="704"/>
    <w:next w:val="704"/>
    <w:uiPriority w:val="0"/>
    <w:semiHidden/>
    <w:qFormat/>
    <w:pPr>
      <w:ind w:left="1260"/>
      <w:jc w:val="left"/>
    </w:pPr>
  </w:style>
  <w:style w:type="paragraph" w:styleId="988" w:customStyle="1">
    <w:name w:val="目录 41"/>
    <w:basedOn w:val="704"/>
    <w:next w:val="704"/>
    <w:uiPriority w:val="0"/>
    <w:semiHidden/>
    <w:qFormat/>
    <w:pPr>
      <w:ind w:left="630"/>
      <w:jc w:val="left"/>
    </w:pPr>
  </w:style>
  <w:style w:type="paragraph" w:styleId="989"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Char"/>
    <w:basedOn w:val="704"/>
    <w:uiPriority w:val="0"/>
    <w:qFormat/>
    <w:pPr>
      <w:ind w:firstLine="200"/>
      <w:tabs>
        <w:tab w:val="left" w:pos="360" w:leader="none"/>
      </w:tabs>
    </w:pPr>
    <w:rPr>
      <w:sz w:val="28"/>
      <w:szCs w:val="30"/>
    </w:rPr>
  </w:style>
  <w:style w:type="paragraph" w:styleId="992" w:customStyle="1">
    <w:name w:val="4"/>
    <w:basedOn w:val="704"/>
    <w:next w:val="950"/>
    <w:uiPriority w:val="0"/>
    <w:qFormat/>
    <w:pPr>
      <w:ind w:firstLine="420"/>
      <w:spacing w:line="360" w:lineRule="auto"/>
    </w:pPr>
    <w:rPr>
      <w:color w:val="ff0000"/>
      <w:sz w:val="24"/>
      <w:szCs w:val="24"/>
    </w:rPr>
  </w:style>
  <w:style w:type="paragraph" w:styleId="993" w:customStyle="1">
    <w:name w:val=" Char Char Char Char Char Char Char Char Char Char"/>
    <w:basedOn w:val="704"/>
    <w:uiPriority w:val="0"/>
    <w:qFormat/>
    <w:pPr>
      <w:spacing w:line="360" w:lineRule="auto"/>
    </w:pPr>
    <w:rPr>
      <w:sz w:val="24"/>
      <w:szCs w:val="20"/>
    </w:rPr>
  </w:style>
  <w:style w:type="paragraph" w:styleId="994" w:customStyle="1">
    <w:name w:val="样式1"/>
    <w:basedOn w:val="704"/>
    <w:uiPriority w:val="0"/>
    <w:qFormat/>
    <w:pPr>
      <w:numPr>
        <w:ilvl w:val="0"/>
        <w:numId w:val="3"/>
      </w:numPr>
    </w:pPr>
    <w:rPr>
      <w:rFonts w:ascii="宋体" w:hAnsi="宋体"/>
    </w:rPr>
  </w:style>
  <w:style w:type="paragraph" w:styleId="995"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996" w:customStyle="1">
    <w:name w:val="Char Char Char Char"/>
    <w:basedOn w:val="906"/>
    <w:uiPriority w:val="0"/>
    <w:qFormat/>
    <w:pPr>
      <w:spacing w:line="360" w:lineRule="auto"/>
    </w:pPr>
    <w:rPr>
      <w:rFonts w:ascii="Tahoma" w:hAnsi="Tahoma"/>
      <w:sz w:val="24"/>
      <w:szCs w:val="24"/>
    </w:rPr>
  </w:style>
  <w:style w:type="paragraph" w:styleId="997" w:customStyle="1">
    <w:name w:val="table_1stline"/>
    <w:basedOn w:val="704"/>
    <w:uiPriority w:val="0"/>
    <w:qFormat/>
    <w:pPr>
      <w:jc w:val="left"/>
      <w:spacing w:before="120"/>
      <w:widowControl/>
    </w:pPr>
    <w:rPr>
      <w:bCs/>
      <w:sz w:val="20"/>
      <w:szCs w:val="20"/>
      <w:lang w:val="de-DE" w:eastAsia="de-DE"/>
    </w:rPr>
  </w:style>
  <w:style w:type="table" w:styleId="998" w:customStyle="1">
    <w:name w:val="网格型1"/>
    <w:basedOn w:val="899"/>
    <w:uiPriority w:val="0"/>
    <w:qFormat/>
    <w:pPr>
      <w:jc w:val="both"/>
      <w:widowControl w:val="off"/>
    </w:pPr>
    <w:rPr>
      <w:rFonts w:ascii="Times New Roman" w:hAnsi="Times New Roman" w:eastAsia="宋体" w:cs="Times New Roman"/>
      <w:sz w:val="20"/>
      <w:szCs w:val="20"/>
    </w:rPr>
    <w:tblPr/>
  </w:style>
  <w:style w:type="paragraph" w:styleId="999" w:customStyle="1">
    <w:name w:val="标准文件_二级无标题"/>
    <w:uiPriority w:val="0"/>
    <w:qFormat/>
    <w:pPr>
      <w:ind w:left="0" w:firstLine="200"/>
      <w:jc w:val="both"/>
      <w:keepLines w:val="0"/>
      <w:keepNext w:val="0"/>
      <w:spacing w:before="0" w:beforeAutospacing="0" w:after="0" w:afterAutospacing="0" w:line="500" w:lineRule="exact"/>
      <w:widowControl w:val="off"/>
      <w:outlineLvl w:val="9"/>
      <w:suppressLineNumbers w:val="0"/>
    </w:pPr>
    <w:rPr>
      <w:rFonts w:hint="default" w:ascii="Times New Roman" w:hAnsi="Times New Roman" w:eastAsia="方正仿宋_GB2312" w:cs="Times New Roman"/>
      <w:sz w:val="24"/>
      <w:szCs w:val="24"/>
      <w:lang w:val="en-US" w:eastAsia="zh-CN" w:bidi="ar"/>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4</cp:revision>
  <dcterms:created xsi:type="dcterms:W3CDTF">2023-03-16T02:16:00Z</dcterms:created>
  <dcterms:modified xsi:type="dcterms:W3CDTF">2025-12-29T08:58:07Z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9C5E8F5B98094294971F161F2848D7C9_13</vt:lpwstr>
  </property>
</Properties>
</file>