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left="2741" w:hanging="1458"/>
        <w:spacing w:line="480" w:lineRule="auto"/>
        <w:rPr>
          <w:rFonts w:ascii="黑体" w:hAnsi="Arial" w:eastAsia="黑体" w:cs="Times New Roman"/>
          <w:b/>
          <w:color w:val="000000"/>
          <w:sz w:val="44"/>
          <w:szCs w:val="21"/>
          <w:highlight w:val="none"/>
        </w:rPr>
      </w:pPr>
      <w:r>
        <w:rPr>
          <w:rFonts w:hint="eastAsia" w:ascii="Arial" w:hAnsi="Arial" w:eastAsia="宋体" w:cs="Times New Roman"/>
          <w:b/>
          <w:bCs/>
          <w:color w:val="000000"/>
          <w:sz w:val="32"/>
          <w:szCs w:val="24"/>
          <w:highlight w:val="none"/>
        </w:rPr>
        <w:t xml:space="preserve">项目名称：连云港市消防救援支队化工消防处置专业指挥中心建设软件开发项目</w:t>
      </w:r>
      <w:r/>
    </w:p>
    <w:p>
      <w:pPr>
        <w:ind w:firstLine="1285"/>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项目编号：JSZC-320700-JZCG-G2024-0131</w:t>
      </w: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before="120" w:after="120" w:line="360" w:lineRule="auto"/>
        <w:rPr>
          <w:highlight w:val="none"/>
        </w:rPr>
      </w:pPr>
      <w:r>
        <w:rPr>
          <w:rFonts w:hint="eastAsia" w:ascii="Arial" w:hAnsi="Arial" w:eastAsia="宋体" w:cs="Times New Roman"/>
          <w:b/>
          <w:bCs/>
          <w:color w:val="000000"/>
          <w:sz w:val="32"/>
          <w:szCs w:val="24"/>
          <w:highlight w:val="none"/>
        </w:rPr>
        <w:t xml:space="preserve">2024年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845"/>
        <w:jc w:val="center"/>
        <w:spacing w:line="360" w:lineRule="auto"/>
        <w:rPr>
          <w:rFonts w:ascii="黑体" w:hAnsi="黑体" w:eastAsia="黑体"/>
          <w:b w:val="0"/>
          <w:highlight w:val="none"/>
        </w:rPr>
      </w:pPr>
      <w:r>
        <w:rPr>
          <w:rFonts w:hint="eastAsia" w:ascii="黑体" w:hAnsi="黑体" w:eastAsia="黑体"/>
          <w:b w:val="0"/>
          <w:highlight w:val="none"/>
        </w:rPr>
        <w:t xml:space="preserve">目  录</w:t>
      </w:r>
      <w:r/>
    </w:p>
    <w:p>
      <w:pPr>
        <w:pStyle w:val="858"/>
        <w:tabs>
          <w:tab w:val="right" w:pos="8296" w:leader="dot"/>
        </w:tabs>
        <w:rPr>
          <w:sz w:val="32"/>
          <w:highlight w:val="none"/>
        </w:rPr>
      </w:pPr>
      <w:r>
        <w:rPr>
          <w:rFonts w:hint="eastAsia" w:ascii="黑体" w:hAnsi="黑体" w:eastAsia="黑体"/>
          <w:sz w:val="32"/>
          <w:highlight w:val="none"/>
        </w:rPr>
        <w:t xml:space="preserve">第一章</w:t>
      </w:r>
      <w:r>
        <w:rPr>
          <w:rFonts w:ascii="黑体" w:hAnsi="黑体" w:eastAsia="黑体"/>
          <w:sz w:val="32"/>
          <w:highlight w:val="none"/>
        </w:rPr>
        <w:t xml:space="preserve">  </w:t>
      </w:r>
      <w:r>
        <w:rPr>
          <w:rFonts w:hint="eastAsia" w:ascii="黑体" w:hAnsi="黑体" w:eastAsia="黑体"/>
          <w:sz w:val="32"/>
          <w:highlight w:val="none"/>
        </w:rPr>
        <w:t xml:space="preserve">投标邀请</w:t>
      </w:r>
      <w:r>
        <w:rPr>
          <w:sz w:val="32"/>
          <w:highlight w:val="none"/>
        </w:rPr>
        <w:tab/>
      </w:r>
      <w:r>
        <w:rPr>
          <w:sz w:val="32"/>
          <w:highlight w:val="none"/>
        </w:rPr>
        <w:fldChar w:fldCharType="begin"/>
      </w:r>
      <w:r>
        <w:rPr>
          <w:sz w:val="32"/>
          <w:highlight w:val="none"/>
        </w:rPr>
        <w:instrText xml:space="preserve"> PAGEREF _Toc155796356 \h </w:instrText>
      </w:r>
      <w:r>
        <w:rPr>
          <w:sz w:val="32"/>
          <w:highlight w:val="none"/>
        </w:rPr>
        <w:fldChar w:fldCharType="separate"/>
      </w:r>
      <w:r>
        <w:rPr>
          <w:sz w:val="32"/>
          <w:highlight w:val="none"/>
        </w:rPr>
        <w:t xml:space="preserve">1</w:t>
      </w:r>
      <w:r>
        <w:rPr>
          <w:sz w:val="32"/>
          <w:highlight w:val="none"/>
        </w:rPr>
        <w:fldChar w:fldCharType="end"/>
      </w:r>
      <w:r/>
    </w:p>
    <w:p>
      <w:pPr>
        <w:pStyle w:val="858"/>
        <w:tabs>
          <w:tab w:val="right" w:pos="8296" w:leader="dot"/>
        </w:tabs>
        <w:rPr>
          <w:sz w:val="32"/>
          <w:highlight w:val="none"/>
        </w:rPr>
      </w:pPr>
      <w:r>
        <w:rPr>
          <w:rFonts w:hint="eastAsia" w:ascii="黑体" w:hAnsi="黑体" w:eastAsia="黑体"/>
          <w:sz w:val="32"/>
          <w:highlight w:val="none"/>
        </w:rPr>
        <w:t xml:space="preserve">第二章</w:t>
      </w:r>
      <w:r>
        <w:rPr>
          <w:rFonts w:ascii="黑体" w:hAnsi="黑体" w:eastAsia="黑体"/>
          <w:sz w:val="32"/>
          <w:highlight w:val="none"/>
        </w:rPr>
        <w:t xml:space="preserve">  </w:t>
      </w:r>
      <w:r>
        <w:rPr>
          <w:rFonts w:hint="eastAsia" w:ascii="黑体" w:hAnsi="黑体" w:eastAsia="黑体"/>
          <w:sz w:val="32"/>
          <w:highlight w:val="none"/>
        </w:rPr>
        <w:t xml:space="preserve">投标人须知</w:t>
      </w:r>
      <w:r>
        <w:rPr>
          <w:sz w:val="32"/>
          <w:highlight w:val="none"/>
        </w:rPr>
        <w:tab/>
      </w:r>
      <w:r>
        <w:rPr>
          <w:sz w:val="32"/>
          <w:highlight w:val="none"/>
        </w:rPr>
        <w:fldChar w:fldCharType="begin"/>
      </w:r>
      <w:r>
        <w:rPr>
          <w:sz w:val="32"/>
          <w:highlight w:val="none"/>
        </w:rPr>
        <w:instrText xml:space="preserve"> PAGEREF _Toc155796357 \h </w:instrText>
      </w:r>
      <w:r>
        <w:rPr>
          <w:sz w:val="32"/>
          <w:highlight w:val="none"/>
        </w:rPr>
        <w:fldChar w:fldCharType="separate"/>
      </w:r>
      <w:r>
        <w:rPr>
          <w:sz w:val="32"/>
          <w:highlight w:val="none"/>
        </w:rPr>
        <w:t xml:space="preserve">5</w:t>
      </w:r>
      <w:r>
        <w:rPr>
          <w:sz w:val="32"/>
          <w:highlight w:val="none"/>
        </w:rPr>
        <w:fldChar w:fldCharType="end"/>
      </w:r>
      <w:r/>
    </w:p>
    <w:p>
      <w:pPr>
        <w:pStyle w:val="858"/>
        <w:tabs>
          <w:tab w:val="right" w:pos="8296" w:leader="dot"/>
        </w:tabs>
        <w:rPr>
          <w:sz w:val="32"/>
          <w:highlight w:val="none"/>
        </w:rPr>
      </w:pPr>
      <w:r>
        <w:rPr>
          <w:rFonts w:hint="eastAsia" w:ascii="黑体" w:hAnsi="黑体" w:eastAsia="黑体"/>
          <w:sz w:val="32"/>
          <w:highlight w:val="none"/>
        </w:rPr>
        <w:t xml:space="preserve">第三章</w:t>
      </w:r>
      <w:r>
        <w:rPr>
          <w:rFonts w:ascii="黑体" w:hAnsi="黑体" w:eastAsia="黑体"/>
          <w:sz w:val="32"/>
          <w:highlight w:val="none"/>
        </w:rPr>
        <w:t xml:space="preserve">  </w:t>
      </w:r>
      <w:r>
        <w:rPr>
          <w:rFonts w:hint="eastAsia" w:ascii="黑体" w:hAnsi="黑体" w:eastAsia="黑体"/>
          <w:sz w:val="32"/>
          <w:highlight w:val="none"/>
        </w:rPr>
        <w:t xml:space="preserve">合同文本</w:t>
      </w:r>
      <w:r>
        <w:rPr>
          <w:sz w:val="32"/>
          <w:highlight w:val="none"/>
        </w:rPr>
        <w:tab/>
      </w:r>
      <w:r>
        <w:rPr>
          <w:sz w:val="32"/>
          <w:highlight w:val="none"/>
        </w:rPr>
        <w:fldChar w:fldCharType="begin"/>
      </w:r>
      <w:r>
        <w:rPr>
          <w:sz w:val="32"/>
          <w:highlight w:val="none"/>
        </w:rPr>
        <w:instrText xml:space="preserve"> PAGEREF _Toc155796358 \h </w:instrText>
      </w:r>
      <w:r>
        <w:rPr>
          <w:sz w:val="32"/>
          <w:highlight w:val="none"/>
        </w:rPr>
        <w:fldChar w:fldCharType="separate"/>
      </w:r>
      <w:r>
        <w:rPr>
          <w:sz w:val="32"/>
          <w:highlight w:val="none"/>
        </w:rPr>
        <w:t xml:space="preserve">23</w:t>
      </w:r>
      <w:r>
        <w:rPr>
          <w:sz w:val="32"/>
          <w:highlight w:val="none"/>
        </w:rPr>
        <w:fldChar w:fldCharType="end"/>
      </w:r>
      <w:r/>
    </w:p>
    <w:p>
      <w:pPr>
        <w:pStyle w:val="858"/>
        <w:tabs>
          <w:tab w:val="right" w:pos="8296" w:leader="dot"/>
        </w:tabs>
        <w:rPr>
          <w:sz w:val="32"/>
          <w:highlight w:val="none"/>
        </w:rPr>
      </w:pPr>
      <w:r>
        <w:rPr>
          <w:rFonts w:hint="eastAsia" w:ascii="黑体" w:hAnsi="黑体" w:eastAsia="黑体"/>
          <w:sz w:val="32"/>
          <w:highlight w:val="none"/>
        </w:rPr>
        <w:t xml:space="preserve">第四章</w:t>
      </w:r>
      <w:r>
        <w:rPr>
          <w:rFonts w:ascii="黑体" w:hAnsi="黑体" w:eastAsia="黑体"/>
          <w:sz w:val="32"/>
          <w:highlight w:val="none"/>
        </w:rPr>
        <w:t xml:space="preserve">  </w:t>
      </w:r>
      <w:r>
        <w:rPr>
          <w:rFonts w:hint="eastAsia" w:ascii="黑体" w:hAnsi="黑体" w:eastAsia="黑体"/>
          <w:sz w:val="32"/>
          <w:highlight w:val="none"/>
        </w:rPr>
        <w:t xml:space="preserve">采购需求</w:t>
      </w:r>
      <w:r>
        <w:rPr>
          <w:sz w:val="32"/>
          <w:highlight w:val="none"/>
        </w:rPr>
        <w:tab/>
      </w:r>
      <w:r>
        <w:rPr>
          <w:sz w:val="32"/>
          <w:highlight w:val="none"/>
        </w:rPr>
        <w:fldChar w:fldCharType="begin"/>
      </w:r>
      <w:r>
        <w:rPr>
          <w:sz w:val="32"/>
          <w:highlight w:val="none"/>
        </w:rPr>
        <w:instrText xml:space="preserve"> PAGEREF _Toc155796359 \h </w:instrText>
      </w:r>
      <w:r>
        <w:rPr>
          <w:sz w:val="32"/>
          <w:highlight w:val="none"/>
        </w:rPr>
        <w:fldChar w:fldCharType="separate"/>
      </w:r>
      <w:r>
        <w:rPr>
          <w:sz w:val="32"/>
          <w:highlight w:val="none"/>
        </w:rPr>
        <w:t xml:space="preserve">29</w:t>
      </w:r>
      <w:r>
        <w:rPr>
          <w:sz w:val="32"/>
          <w:highlight w:val="none"/>
        </w:rPr>
        <w:fldChar w:fldCharType="end"/>
      </w:r>
      <w:r/>
    </w:p>
    <w:p>
      <w:pPr>
        <w:pStyle w:val="858"/>
        <w:tabs>
          <w:tab w:val="right" w:pos="8296" w:leader="dot"/>
        </w:tabs>
        <w:rPr>
          <w:sz w:val="32"/>
          <w:highlight w:val="none"/>
        </w:rPr>
      </w:pPr>
      <w:r>
        <w:rPr>
          <w:rFonts w:hint="eastAsia" w:ascii="黑体" w:hAnsi="黑体" w:eastAsia="黑体"/>
          <w:sz w:val="32"/>
          <w:highlight w:val="none"/>
        </w:rPr>
        <w:t xml:space="preserve">第五章</w:t>
      </w:r>
      <w:r>
        <w:rPr>
          <w:rFonts w:ascii="黑体" w:hAnsi="黑体" w:eastAsia="黑体"/>
          <w:sz w:val="32"/>
          <w:highlight w:val="none"/>
        </w:rPr>
        <w:t xml:space="preserve">  </w:t>
      </w:r>
      <w:r>
        <w:rPr>
          <w:rFonts w:hint="eastAsia" w:ascii="黑体" w:hAnsi="黑体" w:eastAsia="黑体"/>
          <w:sz w:val="32"/>
          <w:highlight w:val="none"/>
        </w:rPr>
        <w:t xml:space="preserve">评标方法与评标标准</w:t>
      </w:r>
      <w:r>
        <w:rPr>
          <w:sz w:val="32"/>
          <w:highlight w:val="none"/>
        </w:rPr>
        <w:tab/>
      </w:r>
      <w:r>
        <w:rPr>
          <w:sz w:val="32"/>
          <w:highlight w:val="none"/>
        </w:rPr>
        <w:fldChar w:fldCharType="begin"/>
      </w:r>
      <w:r>
        <w:rPr>
          <w:sz w:val="32"/>
          <w:highlight w:val="none"/>
        </w:rPr>
        <w:instrText xml:space="preserve"> PAGEREF _Toc155796360 \h </w:instrText>
      </w:r>
      <w:r>
        <w:rPr>
          <w:sz w:val="32"/>
          <w:highlight w:val="none"/>
        </w:rPr>
        <w:fldChar w:fldCharType="separate"/>
      </w:r>
      <w:r>
        <w:rPr>
          <w:sz w:val="32"/>
          <w:highlight w:val="none"/>
        </w:rPr>
        <w:t xml:space="preserve">34</w:t>
      </w:r>
      <w:r>
        <w:rPr>
          <w:sz w:val="32"/>
          <w:highlight w:val="none"/>
        </w:rPr>
        <w:fldChar w:fldCharType="end"/>
      </w:r>
      <w:r/>
    </w:p>
    <w:p>
      <w:pPr>
        <w:pStyle w:val="858"/>
        <w:tabs>
          <w:tab w:val="right" w:pos="8296" w:leader="dot"/>
        </w:tabs>
        <w:rPr>
          <w:sz w:val="32"/>
          <w:highlight w:val="none"/>
        </w:rPr>
      </w:pPr>
      <w:r>
        <w:rPr>
          <w:rFonts w:hint="eastAsia" w:ascii="黑体" w:hAnsi="黑体" w:eastAsia="黑体"/>
          <w:sz w:val="32"/>
          <w:highlight w:val="none"/>
        </w:rPr>
        <w:t xml:space="preserve">第六章</w:t>
      </w:r>
      <w:r>
        <w:rPr>
          <w:rFonts w:ascii="黑体" w:hAnsi="黑体" w:eastAsia="黑体"/>
          <w:sz w:val="32"/>
          <w:highlight w:val="none"/>
        </w:rPr>
        <w:t xml:space="preserve">  </w:t>
      </w:r>
      <w:r>
        <w:rPr>
          <w:rFonts w:hint="eastAsia" w:ascii="黑体" w:hAnsi="黑体" w:eastAsia="黑体"/>
          <w:sz w:val="32"/>
          <w:highlight w:val="none"/>
        </w:rPr>
        <w:t xml:space="preserve">投标文件格式</w:t>
      </w:r>
      <w:r>
        <w:rPr>
          <w:sz w:val="32"/>
          <w:highlight w:val="none"/>
        </w:rPr>
        <w:tab/>
      </w:r>
      <w:r>
        <w:rPr>
          <w:sz w:val="32"/>
          <w:highlight w:val="none"/>
        </w:rPr>
        <w:fldChar w:fldCharType="begin"/>
      </w:r>
      <w:r>
        <w:rPr>
          <w:sz w:val="32"/>
          <w:highlight w:val="none"/>
        </w:rPr>
        <w:instrText xml:space="preserve"> PAGEREF _Toc155796361 \h </w:instrText>
      </w:r>
      <w:r>
        <w:rPr>
          <w:sz w:val="32"/>
          <w:highlight w:val="none"/>
        </w:rPr>
        <w:fldChar w:fldCharType="separate"/>
      </w:r>
      <w:r>
        <w:rPr>
          <w:sz w:val="32"/>
          <w:highlight w:val="none"/>
        </w:rPr>
        <w:t xml:space="preserve">36</w:t>
      </w:r>
      <w:r>
        <w:rPr>
          <w:sz w:val="32"/>
          <w:highlight w:val="none"/>
        </w:rPr>
        <w:fldChar w:fldCharType="end"/>
      </w:r>
      <w:r/>
    </w:p>
    <w:p>
      <w:pPr>
        <w:jc w:val="left"/>
        <w:widowControl/>
        <w:rPr>
          <w:highlight w:val="none"/>
        </w:rPr>
      </w:pPr>
      <w:r>
        <w:rPr>
          <w:highlight w:val="none"/>
        </w:rPr>
        <w:fldChar w:fldCharType="end"/>
      </w:r>
      <w:r>
        <w:rPr>
          <w:highlight w:val="none"/>
        </w:rPr>
        <w:br w:type="page" w:clear="all"/>
      </w:r>
      <w:r/>
    </w:p>
    <w:p>
      <w:pPr>
        <w:pStyle w:val="845"/>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5"/>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both"/>
        <w:spacing w:line="500" w:lineRule="exact"/>
        <w:rPr>
          <w:sz w:val="24"/>
          <w:szCs w:val="24"/>
          <w:highlight w:val="none"/>
        </w:rPr>
      </w:pPr>
      <w:r>
        <w:rPr>
          <w:rFonts w:hint="eastAsia"/>
          <w:sz w:val="24"/>
          <w:szCs w:val="24"/>
          <w:highlight w:val="none"/>
        </w:rPr>
        <w:t xml:space="preserve">受连云港市消防救援支队的委托，连云港市公共资源交易中心就</w:t>
      </w:r>
      <w:r>
        <w:rPr>
          <w:rFonts w:hint="eastAsia"/>
          <w:sz w:val="24"/>
          <w:szCs w:val="24"/>
          <w:highlight w:val="none"/>
          <w:u w:val="single"/>
        </w:rPr>
        <w:t xml:space="preserve">连云港市消防救援支队化工消防处置专业指挥中心建设软件开发项目</w:t>
      </w:r>
      <w:r>
        <w:rPr>
          <w:rFonts w:hint="eastAsia"/>
          <w:sz w:val="24"/>
          <w:szCs w:val="24"/>
          <w:highlight w:val="none"/>
        </w:rPr>
        <w:t xml:space="preserve">（JSZC-320700-JZCG-G2024-0131）进行公开招标采购，欢迎符合条件的供应商投标。</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u w:val="single"/>
              </w:rPr>
              <w:t xml:space="preserve">连云港市消防救援支队化工消防处置专业指挥中心建设软件开发</w:t>
            </w:r>
            <w:r>
              <w:rPr>
                <w:rFonts w:hint="eastAsia"/>
                <w:sz w:val="24"/>
                <w:szCs w:val="24"/>
                <w:highlight w:val="none"/>
              </w:rPr>
              <w:t xml:space="preserve">招标项目的潜在投标人应在江苏政府采购网自行免费下载招标文件，并于2024年</w:t>
            </w:r>
            <w:r>
              <w:rPr>
                <w:rFonts w:hint="eastAsia"/>
                <w:sz w:val="24"/>
                <w:szCs w:val="24"/>
                <w:highlight w:val="none"/>
                <w:lang w:val="en-US" w:eastAsia="zh-CN"/>
              </w:rPr>
              <w:t xml:space="preserve">9</w:t>
            </w:r>
            <w:r>
              <w:rPr>
                <w:rFonts w:hint="eastAsia"/>
                <w:sz w:val="24"/>
                <w:szCs w:val="24"/>
                <w:highlight w:val="none"/>
              </w:rPr>
              <w:t xml:space="preserve">月1</w:t>
            </w:r>
            <w:r>
              <w:rPr>
                <w:rFonts w:hint="eastAsia"/>
                <w:sz w:val="24"/>
                <w:szCs w:val="24"/>
                <w:highlight w:val="none"/>
                <w:lang w:val="en-US" w:eastAsia="zh-CN"/>
              </w:rPr>
              <w:t xml:space="preserve">8</w:t>
            </w:r>
            <w:r>
              <w:rPr>
                <w:rFonts w:hint="eastAsia"/>
                <w:sz w:val="24"/>
                <w:szCs w:val="24"/>
                <w:highlight w:val="none"/>
              </w:rPr>
              <w:t xml:space="preserve">日10:30:00（北京时间）前递交（上传）投标文件。</w:t>
            </w:r>
            <w:r/>
          </w:p>
        </w:tc>
      </w:tr>
    </w:tbl>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项目编号：JSZC-320700-JZCG-G2024-0131</w:t>
      </w:r>
      <w:r/>
    </w:p>
    <w:p>
      <w:pPr>
        <w:ind w:firstLine="480"/>
        <w:jc w:val="left"/>
        <w:spacing w:line="500" w:lineRule="exact"/>
        <w:rPr>
          <w:sz w:val="24"/>
          <w:szCs w:val="24"/>
          <w:highlight w:val="none"/>
        </w:rPr>
      </w:pPr>
      <w:r>
        <w:rPr>
          <w:rFonts w:hint="eastAsia"/>
          <w:sz w:val="24"/>
          <w:szCs w:val="24"/>
          <w:highlight w:val="none"/>
        </w:rPr>
        <w:t xml:space="preserve">项目名称：连云港市消防救援支队化工消防处置专业指挥中心建设软件开发项目</w:t>
      </w:r>
      <w:r/>
    </w:p>
    <w:p>
      <w:pPr>
        <w:ind w:firstLine="480"/>
        <w:jc w:val="left"/>
        <w:spacing w:line="500" w:lineRule="exact"/>
        <w:rPr>
          <w:sz w:val="24"/>
          <w:szCs w:val="24"/>
          <w:highlight w:val="none"/>
        </w:rPr>
      </w:pPr>
      <w:r>
        <w:rPr>
          <w:rFonts w:hint="eastAsia"/>
          <w:sz w:val="24"/>
          <w:szCs w:val="24"/>
          <w:highlight w:val="none"/>
        </w:rPr>
        <w:t xml:space="preserve">预算金额：204.46</w:t>
      </w:r>
      <w:r>
        <w:rPr>
          <w:rFonts w:hint="eastAsia"/>
          <w:sz w:val="24"/>
          <w:szCs w:val="24"/>
          <w:highlight w:val="none"/>
          <w:lang w:val="en-US" w:eastAsia="zh-CN"/>
        </w:rPr>
        <w:t xml:space="preserve">万元</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highlight w:val="none"/>
        </w:rPr>
        <w:t xml:space="preserve">采购需求：为</w:t>
      </w:r>
      <w:r>
        <w:rPr>
          <w:rFonts w:hint="eastAsia" w:ascii="宋体" w:hAnsi="宋体" w:eastAsia="宋体" w:cs="宋体"/>
          <w:sz w:val="24"/>
          <w:szCs w:val="24"/>
          <w:highlight w:val="none"/>
        </w:rPr>
        <w:t xml:space="preserve">着力把徐圩新区消防救援大队指挥中心打造成为全市化工园区应急救援指挥调度中心，有效推进化工应急救援现代化，提高化工灾害事故处置能力，拟对徐圩</w:t>
      </w:r>
      <w:r>
        <w:rPr>
          <w:rFonts w:hint="eastAsia"/>
          <w:sz w:val="24"/>
          <w:szCs w:val="24"/>
          <w:highlight w:val="none"/>
        </w:rPr>
        <w:t xml:space="preserve">化工消防处置专业指挥中心进行软件开发</w:t>
      </w:r>
      <w:r>
        <w:rPr>
          <w:rFonts w:hint="eastAsia" w:ascii="宋体" w:hAnsi="宋体" w:eastAsia="宋体" w:cs="宋体"/>
          <w:sz w:val="24"/>
          <w:szCs w:val="24"/>
          <w:highlight w:val="none"/>
        </w:rPr>
        <w:t xml:space="preserve">，详见第四章项目需求</w:t>
      </w:r>
      <w:r>
        <w:rPr>
          <w:rFonts w:hint="eastAsia" w:ascii="宋体" w:hAnsi="宋体" w:eastAsia="宋体" w:cs="宋体"/>
          <w:sz w:val="24"/>
          <w:szCs w:val="24"/>
          <w:highlight w:val="none"/>
          <w:lang w:eastAsia="zh-CN"/>
        </w:rPr>
        <w:t xml:space="preserve">。</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highlight w:val="none"/>
        </w:rPr>
        <w:t xml:space="preserve">合同履行期限：自合同签订之日起4个月内完成平台搭建部署并申请初步验收，初步验收后，进入试运行3个月，试运行期满后进行最终验收。</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ascii="Calibri" w:hAnsi="Calibri" w:eastAsia="宋体" w:cs="Times New Roman"/>
          <w:sz w:val="24"/>
          <w:szCs w:val="24"/>
          <w:highlight w:val="none"/>
        </w:rPr>
        <w:t xml:space="preserve">7.资格审查现场查询信用中国、中国政府采购网</w:t>
      </w:r>
      <w:r>
        <w:rPr>
          <w:rFonts w:hint="eastAsia"/>
          <w:sz w:val="24"/>
          <w:szCs w:val="24"/>
          <w:highlight w:val="none"/>
        </w:rPr>
        <w:t xml:space="preserve">，投标人被</w:t>
      </w:r>
      <w:r>
        <w:rPr>
          <w:rFonts w:hint="eastAsia" w:ascii="Calibri" w:hAnsi="Calibri" w:eastAsia="宋体" w:cs="Times New Roman"/>
          <w:sz w:val="24"/>
          <w:szCs w:val="24"/>
          <w:highlight w:val="none"/>
        </w:rPr>
        <w:t xml:space="preserve">列入失信被执行人、</w:t>
      </w:r>
      <w:r>
        <w:rPr>
          <w:rFonts w:ascii="Calibri" w:hAnsi="Calibri" w:eastAsia="宋体" w:cs="Times New Roman"/>
          <w:sz w:val="24"/>
          <w:szCs w:val="24"/>
          <w:highlight w:val="none"/>
        </w:rPr>
        <w:t xml:space="preserve">税收违法黑名单</w:t>
      </w:r>
      <w:r>
        <w:rPr>
          <w:rFonts w:hint="eastAsia" w:ascii="Calibri" w:hAnsi="Calibri" w:eastAsia="宋体" w:cs="Times New Roman"/>
          <w:sz w:val="24"/>
          <w:szCs w:val="24"/>
          <w:highlight w:val="none"/>
        </w:rPr>
        <w:t xml:space="preserve">、政府采购严重违法失信行为记录名单</w:t>
      </w:r>
      <w:r>
        <w:rPr>
          <w:rFonts w:hint="eastAsia"/>
          <w:sz w:val="24"/>
          <w:szCs w:val="24"/>
          <w:highlight w:val="none"/>
        </w:rPr>
        <w:t xml:space="preserve">及具有其他不符合《中华人民共和国政府采购法》第二十二条规定情形</w:t>
      </w:r>
      <w:r>
        <w:rPr>
          <w:rFonts w:hint="eastAsia" w:ascii="Calibri" w:hAnsi="Calibri" w:eastAsia="宋体" w:cs="Times New Roman"/>
          <w:sz w:val="24"/>
          <w:szCs w:val="24"/>
          <w:highlight w:val="none"/>
        </w:rPr>
        <w:t xml:space="preserve">的，拒绝其参与政府采购活动。</w:t>
      </w:r>
      <w:r>
        <w:rPr>
          <w:rFonts w:hint="eastAsia"/>
          <w:sz w:val="24"/>
          <w:szCs w:val="24"/>
          <w:highlight w:val="none"/>
        </w:rPr>
        <w:t xml:space="preserve">（投标文件中无需提供证明材料）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（二）落实政府采购政策需满足的资格要求：无。</w:t>
      </w:r>
      <w:r/>
    </w:p>
    <w:p>
      <w:pPr>
        <w:ind w:firstLine="480"/>
        <w:jc w:val="left"/>
        <w:spacing w:line="500" w:lineRule="exact"/>
        <w:rPr>
          <w:sz w:val="24"/>
          <w:szCs w:val="24"/>
          <w:highlight w:val="none"/>
        </w:rPr>
      </w:pPr>
      <w:r>
        <w:rPr>
          <w:rFonts w:hint="eastAsia"/>
          <w:sz w:val="24"/>
          <w:szCs w:val="24"/>
          <w:highlight w:val="none"/>
        </w:rPr>
        <w:t xml:space="preserve">（三）本项目的特定资格要求：无。</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时间：自招标公告发布之日起至2024年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月2</w:t>
      </w:r>
      <w:r>
        <w:rPr>
          <w:rFonts w:hint="eastAsia" w:asciiTheme="minorEastAsia" w:hAnsiTheme="minorEastAsia"/>
          <w:sz w:val="24"/>
          <w:szCs w:val="24"/>
          <w:highlight w:val="none"/>
        </w:rPr>
        <w:t xml:space="preserve">日（北京时间）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提交投标文件截止时间：2024年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18</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highlight w:val="none"/>
        </w:rPr>
        <w:t xml:space="preserve">自行承担一切损失。</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sz w:val="24"/>
          <w:szCs w:val="24"/>
          <w:highlight w:val="none"/>
        </w:rPr>
      </w:pPr>
      <w:r>
        <w:rPr>
          <w:rFonts w:hint="eastAsia"/>
          <w:sz w:val="24"/>
          <w:szCs w:val="24"/>
          <w:highlight w:val="none"/>
        </w:rPr>
        <w:t xml:space="preserve">名    称：</w:t>
      </w:r>
      <w:r>
        <w:rPr>
          <w:rFonts w:hint="eastAsia" w:ascii="宋体" w:hAnsi="宋体"/>
          <w:sz w:val="24"/>
          <w:highlight w:val="none"/>
        </w:rPr>
        <w:t xml:space="preserve">连云港市消防救援支队</w:t>
      </w:r>
      <w:r/>
    </w:p>
    <w:p>
      <w:pPr>
        <w:ind w:firstLine="480"/>
        <w:jc w:val="left"/>
        <w:spacing w:line="500" w:lineRule="exact"/>
        <w:rPr>
          <w:sz w:val="24"/>
          <w:szCs w:val="24"/>
          <w:highlight w:val="none"/>
        </w:rPr>
      </w:pPr>
      <w:r>
        <w:rPr>
          <w:rFonts w:hint="eastAsia"/>
          <w:sz w:val="24"/>
          <w:szCs w:val="24"/>
          <w:highlight w:val="none"/>
        </w:rPr>
        <w:t xml:space="preserve">地    址：</w:t>
      </w:r>
      <w:r>
        <w:rPr>
          <w:rFonts w:hint="eastAsia" w:ascii="宋体" w:hAnsi="宋体"/>
          <w:sz w:val="24"/>
          <w:highlight w:val="none"/>
        </w:rPr>
        <w:t xml:space="preserve">连云港市花果山大道与青峰路交叉口</w:t>
      </w:r>
      <w:r/>
    </w:p>
    <w:p>
      <w:pPr>
        <w:ind w:firstLine="480"/>
        <w:jc w:val="left"/>
        <w:spacing w:line="500" w:lineRule="exact"/>
        <w:rPr>
          <w:sz w:val="24"/>
          <w:szCs w:val="24"/>
          <w:highlight w:val="none"/>
        </w:rPr>
      </w:pPr>
      <w:r>
        <w:rPr>
          <w:rFonts w:hint="eastAsia"/>
          <w:sz w:val="24"/>
          <w:szCs w:val="24"/>
          <w:highlight w:val="none"/>
        </w:rPr>
        <w:t xml:space="preserve">联 系 人：</w:t>
      </w:r>
      <w:r>
        <w:rPr>
          <w:rFonts w:hint="eastAsia" w:ascii="宋体" w:hAnsi="宋体"/>
          <w:sz w:val="24"/>
          <w:highlight w:val="none"/>
        </w:rPr>
        <w:t xml:space="preserve">李工</w:t>
      </w:r>
      <w:r/>
    </w:p>
    <w:p>
      <w:pPr>
        <w:ind w:firstLine="480"/>
        <w:jc w:val="left"/>
        <w:spacing w:line="500" w:lineRule="exact"/>
        <w:rPr>
          <w:sz w:val="24"/>
          <w:szCs w:val="24"/>
          <w:highlight w:val="none"/>
        </w:rPr>
      </w:pPr>
      <w:r>
        <w:rPr>
          <w:rFonts w:hint="eastAsia"/>
          <w:sz w:val="24"/>
          <w:szCs w:val="24"/>
          <w:highlight w:val="none"/>
        </w:rPr>
        <w:t xml:space="preserve">联系电话：</w:t>
      </w:r>
      <w:r>
        <w:rPr>
          <w:rFonts w:hint="eastAsia" w:ascii="宋体" w:hAnsi="宋体"/>
          <w:sz w:val="24"/>
          <w:highlight w:val="none"/>
        </w:rPr>
        <w:t xml:space="preserve">0518-80680825</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    址：连云港市海州区凌洲东路9号2号楼419室</w:t>
      </w:r>
      <w:r/>
    </w:p>
    <w:p>
      <w:pPr>
        <w:ind w:firstLine="480"/>
        <w:jc w:val="left"/>
        <w:spacing w:line="500" w:lineRule="exact"/>
        <w:rPr>
          <w:sz w:val="24"/>
          <w:szCs w:val="24"/>
          <w:highlight w:val="none"/>
        </w:rPr>
      </w:pPr>
      <w:r>
        <w:rPr>
          <w:rFonts w:hint="eastAsia"/>
          <w:sz w:val="24"/>
          <w:szCs w:val="24"/>
          <w:highlight w:val="none"/>
        </w:rPr>
        <w:t xml:space="preserve">联 系 人：王一峰</w:t>
      </w:r>
      <w:r/>
    </w:p>
    <w:p>
      <w:pPr>
        <w:ind w:firstLine="480"/>
        <w:jc w:val="left"/>
        <w:spacing w:line="500" w:lineRule="exact"/>
        <w:rPr>
          <w:sz w:val="24"/>
          <w:szCs w:val="24"/>
          <w:highlight w:val="none"/>
        </w:rPr>
      </w:pPr>
      <w:r>
        <w:rPr>
          <w:rFonts w:hint="eastAsia"/>
          <w:sz w:val="24"/>
          <w:szCs w:val="24"/>
          <w:highlight w:val="none"/>
        </w:rPr>
        <w:t xml:space="preserve">联系电话：0518-82256587</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项目联系人：王一峰</w:t>
      </w:r>
      <w:r/>
    </w:p>
    <w:p>
      <w:pPr>
        <w:ind w:firstLine="480"/>
        <w:jc w:val="left"/>
        <w:spacing w:line="500" w:lineRule="exact"/>
        <w:rPr>
          <w:sz w:val="24"/>
          <w:szCs w:val="24"/>
          <w:highlight w:val="none"/>
        </w:rPr>
      </w:pPr>
      <w:r>
        <w:rPr>
          <w:rFonts w:hint="eastAsia"/>
          <w:sz w:val="24"/>
          <w:szCs w:val="24"/>
          <w:highlight w:val="none"/>
        </w:rPr>
        <w:t xml:space="preserve">电      话：0518-82256587</w:t>
      </w:r>
      <w:bookmarkStart w:id="23" w:name="_GoBack"/>
      <w:r/>
      <w:bookmarkEnd w:id="23"/>
      <w:r/>
      <w:r/>
    </w:p>
    <w:p>
      <w:pPr>
        <w:jc w:val="left"/>
        <w:widowControl/>
        <w:rPr>
          <w:rFonts w:ascii="黑体" w:hAnsi="黑体" w:eastAsia="黑体"/>
          <w:bCs/>
          <w:sz w:val="44"/>
          <w:szCs w:val="44"/>
          <w:highlight w:val="none"/>
        </w:rPr>
      </w:pPr>
      <w:r/>
      <w:bookmarkStart w:id="1" w:name="_Toc155796357"/>
      <w:r>
        <w:rPr>
          <w:rFonts w:ascii="黑体" w:hAnsi="黑体" w:eastAsia="黑体"/>
          <w:b/>
          <w:highlight w:val="none"/>
        </w:rPr>
        <w:br w:type="page" w:clear="all"/>
      </w:r>
      <w:r/>
    </w:p>
    <w:p>
      <w:pPr>
        <w:pStyle w:val="845"/>
        <w:jc w:val="center"/>
        <w:spacing w:line="360" w:lineRule="auto"/>
        <w:rPr>
          <w:rFonts w:ascii="黑体" w:hAnsi="黑体" w:eastAsia="黑体"/>
          <w:b w:val="0"/>
          <w:highlight w:val="none"/>
        </w:rPr>
      </w:pPr>
      <w:r>
        <w:rPr>
          <w:rFonts w:hint="eastAsia" w:ascii="黑体" w:hAnsi="黑体" w:eastAsia="黑体"/>
          <w:b w:val="0"/>
          <w:highlight w:val="none"/>
        </w:rPr>
        <w:t xml:space="preserve">第二章  投标人须知</w:t>
      </w:r>
      <w:bookmarkEnd w:id="1"/>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847"/>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47"/>
        <w:ind w:firstLine="562"/>
        <w:jc w:val="left"/>
        <w:spacing w:before="0" w:after="0" w:line="360" w:lineRule="auto"/>
        <w:rPr>
          <w:sz w:val="28"/>
          <w:szCs w:val="28"/>
          <w:highlight w:val="none"/>
        </w:rPr>
      </w:pPr>
      <w:r>
        <w:rPr>
          <w:rFonts w:hint="eastAsia"/>
          <w:sz w:val="28"/>
          <w:szCs w:val="28"/>
          <w:highlight w:val="none"/>
        </w:rPr>
        <w:t xml:space="preserve">2、合格的投标人</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847"/>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47"/>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本次招标采购人和交易中心不收取标书工本费与中标服务费。</w:t>
      </w:r>
      <w:r/>
    </w:p>
    <w:p>
      <w:pPr>
        <w:pStyle w:val="847"/>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p>
    <w:p>
      <w:pPr>
        <w:pStyle w:val="847"/>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（2）投标人须知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请仔细检查招标文件是否齐全，如有缺漏请立即与交易中心联系解决。</w:t>
      </w:r>
      <w:r/>
    </w:p>
    <w:p>
      <w:pPr>
        <w:pStyle w:val="847"/>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 在投标截止时间前，采购人和交易中心可以对招标文件进行修改。</w:t>
      </w:r>
      <w:r/>
    </w:p>
    <w:p>
      <w:pPr>
        <w:ind w:firstLine="480"/>
        <w:jc w:val="left"/>
        <w:spacing w:line="500" w:lineRule="exact"/>
        <w:rPr>
          <w:sz w:val="24"/>
          <w:szCs w:val="24"/>
          <w:highlight w:val="none"/>
        </w:rPr>
      </w:pPr>
      <w:r>
        <w:rPr>
          <w:rFonts w:hint="eastAsia"/>
          <w:sz w:val="24"/>
          <w:szCs w:val="24"/>
          <w:highlight w:val="none"/>
        </w:rPr>
        <w:t xml:space="preserve">8.2 采购人和交易中心有权按照法定的要求推迟投标截止时间和开标时间。</w:t>
      </w:r>
      <w:r/>
    </w:p>
    <w:p>
      <w:pPr>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p>
    <w:p>
      <w:pPr>
        <w:pStyle w:val="847"/>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7"/>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47"/>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highlight w:val="none"/>
        </w:rPr>
      </w:pPr>
      <w:r>
        <w:rPr>
          <w:rFonts w:hint="eastAsia"/>
          <w:sz w:val="28"/>
          <w:szCs w:val="28"/>
          <w:highlight w:val="none"/>
        </w:rPr>
        <w:t xml:space="preserve">12、证明投标人及投标标的符合招标文件规定的文件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13.2 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投标人可在投标文件中提供认为需要的其他技术文件或说明。</w:t>
      </w:r>
      <w:r/>
    </w:p>
    <w:p>
      <w:pPr>
        <w:pStyle w:val="847"/>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p>
    <w:p>
      <w:pPr>
        <w:pStyle w:val="847"/>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highlight w:val="none"/>
        </w:rPr>
      </w:pPr>
      <w:r>
        <w:rPr>
          <w:rFonts w:hint="eastAsia"/>
          <w:sz w:val="24"/>
          <w:szCs w:val="24"/>
          <w:highlight w:val="none"/>
        </w:rPr>
        <w:t xml:space="preserve">17.2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p>
    <w:p>
      <w:pPr>
        <w:pStyle w:val="847"/>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847"/>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highlight w:val="none"/>
        </w:rPr>
      </w:pPr>
      <w:r>
        <w:rPr>
          <w:rFonts w:hint="eastAsia"/>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交易中心拒绝接收在招标文件规定的投标截止时间后递交（上传）的任何投标文件。</w:t>
      </w:r>
      <w:r/>
    </w:p>
    <w:p>
      <w:pPr>
        <w:pStyle w:val="847"/>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p>
    <w:p>
      <w:pPr>
        <w:pStyle w:val="847"/>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highlight w:val="none"/>
        </w:rPr>
      </w:pPr>
      <w:r>
        <w:rPr>
          <w:rFonts w:hint="eastAsia"/>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投标人未参加开标的，视同认可开标结果。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投标人在开标、评标全过程中应保持通讯畅通，及时登录“苏采云”系统查阅、答复相关信息，并安排专人与交易中心及评委会联系。</w:t>
      </w:r>
      <w:r/>
    </w:p>
    <w:p>
      <w:pPr>
        <w:pStyle w:val="847"/>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 开标后，交易中心将组织评委会进行评标。</w:t>
      </w:r>
      <w:r/>
    </w:p>
    <w:p>
      <w:pPr>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47"/>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 交易中心和评委会不向未中标的投标人解释未中标原因，也不公布评标过程中的相关细节。</w:t>
      </w:r>
      <w:r/>
    </w:p>
    <w:p>
      <w:pPr>
        <w:ind w:firstLine="480"/>
        <w:jc w:val="left"/>
        <w:spacing w:line="50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47"/>
        <w:ind w:firstLine="562"/>
        <w:jc w:val="left"/>
        <w:spacing w:before="0" w:after="0" w:line="360" w:lineRule="auto"/>
        <w:rPr>
          <w:sz w:val="28"/>
          <w:szCs w:val="28"/>
          <w:highlight w:val="none"/>
        </w:rPr>
      </w:pPr>
      <w:r>
        <w:rPr>
          <w:rFonts w:hint="eastAsia"/>
          <w:sz w:val="28"/>
          <w:szCs w:val="28"/>
          <w:highlight w:val="none"/>
        </w:rPr>
        <w:t xml:space="preserve">26、对投标文件的初审</w:t>
      </w:r>
      <w:r/>
    </w:p>
    <w:p>
      <w:pPr>
        <w:ind w:firstLine="480"/>
        <w:jc w:val="left"/>
        <w:spacing w:line="500" w:lineRule="exact"/>
        <w:rPr>
          <w:sz w:val="24"/>
          <w:szCs w:val="24"/>
          <w:highlight w:val="none"/>
        </w:rPr>
      </w:pPr>
      <w:r>
        <w:rPr>
          <w:rFonts w:hint="eastAsia"/>
          <w:sz w:val="24"/>
          <w:szCs w:val="24"/>
          <w:highlight w:val="none"/>
        </w:rPr>
        <w:t xml:space="preserve">26.1 投标文件初审分为资格审查和符合性审查。</w:t>
      </w:r>
      <w:r/>
    </w:p>
    <w:p>
      <w:pPr>
        <w:ind w:firstLine="480"/>
        <w:jc w:val="left"/>
        <w:spacing w:line="50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highlight w:val="none"/>
        </w:rPr>
      </w:pPr>
      <w:r>
        <w:rPr>
          <w:rFonts w:hint="eastAsia"/>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sz w:val="24"/>
          <w:szCs w:val="24"/>
          <w:highlight w:val="none"/>
        </w:rPr>
      </w:pPr>
      <w:r>
        <w:rPr>
          <w:rFonts w:hint="eastAsia"/>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highlight w:val="none"/>
        </w:rPr>
      </w:pPr>
      <w:r>
        <w:rPr>
          <w:rFonts w:hint="eastAsia"/>
          <w:sz w:val="24"/>
          <w:szCs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Pr>
      <w:r>
        <w:rPr>
          <w:rFonts w:hint="eastAsia"/>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 无效投标条款：</w:t>
      </w:r>
      <w:r/>
    </w:p>
    <w:p>
      <w:pPr>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（10）投标人未通过符合性审查的。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有下列情形之一的，视为投标人串通投标，投标无效：</w:t>
      </w:r>
      <w:r/>
    </w:p>
    <w:p>
      <w:pPr>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（5）不同投标人的投标文件相互混装。</w:t>
      </w:r>
      <w:r/>
    </w:p>
    <w:p>
      <w:pPr>
        <w:ind w:firstLine="480"/>
        <w:jc w:val="left"/>
        <w:spacing w:line="500" w:lineRule="exact"/>
        <w:rPr>
          <w:sz w:val="24"/>
          <w:szCs w:val="24"/>
          <w:highlight w:val="none"/>
        </w:rPr>
      </w:pPr>
      <w:r>
        <w:rPr>
          <w:rFonts w:hint="eastAsia"/>
          <w:sz w:val="24"/>
          <w:szCs w:val="24"/>
          <w:highlight w:val="none"/>
        </w:rPr>
        <w:t xml:space="preserve">27.3 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p>
    <w:p>
      <w:pPr>
        <w:pStyle w:val="847"/>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 交易中心将在江苏政府采购网发布中标公告，公告期限为1个工作日。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（3）与采购人、其他供应商或者交易中心恶意串通的。</w:t>
      </w:r>
      <w:r/>
    </w:p>
    <w:p>
      <w:pPr>
        <w:ind w:firstLine="480"/>
        <w:jc w:val="left"/>
        <w:spacing w:line="500" w:lineRule="exact"/>
        <w:rPr>
          <w:sz w:val="24"/>
          <w:szCs w:val="24"/>
          <w:highlight w:val="none"/>
        </w:rPr>
      </w:pPr>
      <w:r>
        <w:rPr>
          <w:rFonts w:hint="eastAsia"/>
          <w:sz w:val="24"/>
          <w:szCs w:val="24"/>
          <w:highlight w:val="none"/>
        </w:rPr>
        <w:t xml:space="preserve">（4）向采购人、交易中心行贿或者提供其他不正当利益的。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47"/>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29.3 中标人应在中标后七个工作日内，向采购人和交易中心各提供一份与电子投标文件一致的纸质打印胶装投标文件，封面、骑缝需加盖公章。</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847"/>
        <w:ind w:firstLine="562"/>
        <w:jc w:val="left"/>
        <w:spacing w:before="0" w:after="0" w:line="360" w:lineRule="auto"/>
        <w:rPr>
          <w:sz w:val="28"/>
          <w:szCs w:val="28"/>
          <w:highlight w:val="none"/>
        </w:rPr>
      </w:pPr>
      <w:r>
        <w:rPr>
          <w:rFonts w:hint="eastAsia"/>
          <w:sz w:val="28"/>
          <w:szCs w:val="28"/>
          <w:highlight w:val="none"/>
        </w:rPr>
        <w:t xml:space="preserve">30、履约保证金</w:t>
      </w:r>
      <w:r/>
    </w:p>
    <w:p>
      <w:pPr>
        <w:ind w:firstLine="480"/>
        <w:jc w:val="left"/>
        <w:spacing w:line="500" w:lineRule="exact"/>
        <w:rPr>
          <w:sz w:val="24"/>
          <w:szCs w:val="24"/>
          <w:highlight w:val="none"/>
        </w:rP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p>
    <w:p>
      <w:pPr>
        <w:pStyle w:val="847"/>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7"/>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847"/>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采购人、交易中心依法受理的质疑，将按照政府采购有关规定，在法定期限内作出答复。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47"/>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37.7 未尽事宜，依照有关法律、法规执行。</w:t>
      </w:r>
      <w:r/>
    </w:p>
    <w:p>
      <w:pPr>
        <w:pStyle w:val="846"/>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47"/>
        <w:ind w:firstLine="562"/>
        <w:jc w:val="left"/>
        <w:spacing w:before="0" w:after="0" w:line="360" w:lineRule="auto"/>
        <w:rPr>
          <w:sz w:val="28"/>
          <w:szCs w:val="28"/>
          <w:highlight w:val="none"/>
        </w:rPr>
      </w:pPr>
      <w:r>
        <w:rPr>
          <w:rFonts w:hint="eastAsia"/>
          <w:sz w:val="28"/>
          <w:szCs w:val="28"/>
          <w:highlight w:val="none"/>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Pr>
      <w:r>
        <w:rPr>
          <w:rFonts w:hint="eastAsia"/>
          <w:sz w:val="24"/>
          <w:szCs w:val="24"/>
          <w:highlight w:val="none"/>
        </w:rPr>
        <w:t xml:space="preserve">38.2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highlight w:val="none"/>
        </w:rPr>
      </w:pPr>
      <w:r>
        <w:rPr>
          <w:rFonts w:hint="eastAsia"/>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highlight w:val="none"/>
        </w:rPr>
      </w:pPr>
      <w:r>
        <w:rPr>
          <w:rFonts w:hint="eastAsia"/>
          <w:sz w:val="24"/>
          <w:szCs w:val="24"/>
          <w:highlight w:val="none"/>
        </w:rPr>
        <w:t xml:space="preserve">38.3 参加本项目政府采购活动的供应商享受价格评审优惠的应当提供的材料： </w:t>
      </w:r>
      <w:r/>
    </w:p>
    <w:p>
      <w:pPr>
        <w:ind w:firstLine="480"/>
        <w:jc w:val="left"/>
        <w:spacing w:line="500" w:lineRule="exact"/>
        <w:rPr>
          <w:sz w:val="24"/>
          <w:szCs w:val="24"/>
          <w:highlight w:val="none"/>
        </w:rPr>
      </w:pPr>
      <w:r>
        <w:rPr>
          <w:rFonts w:hint="eastAsia"/>
          <w:sz w:val="24"/>
          <w:szCs w:val="24"/>
          <w:highlight w:val="none"/>
        </w:rPr>
        <w:t xml:space="preserve">（1）投标人为小型企业、微型企业的，提供《中小企业声明函》（第六章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38.4 残疾人福利单位、监狱企业属于小型、微型企业的，不重复享受政策。</w:t>
      </w:r>
      <w:r/>
    </w:p>
    <w:p>
      <w:pPr>
        <w:ind w:firstLine="480"/>
        <w:jc w:val="left"/>
        <w:spacing w:line="500" w:lineRule="exact"/>
        <w:rPr>
          <w:sz w:val="24"/>
          <w:szCs w:val="24"/>
          <w:highlight w:val="none"/>
        </w:rPr>
      </w:pPr>
      <w:r>
        <w:rPr>
          <w:rFonts w:hint="eastAsia"/>
          <w:sz w:val="24"/>
          <w:szCs w:val="24"/>
          <w:highlight w:val="none"/>
        </w:rPr>
        <w:t xml:space="preserve">38.5 享受扶持政策获得政府采购合同的，小微型企业不得将合同分包给大中型企业，中型企业不得将合同分包给大型企业。</w:t>
      </w:r>
      <w:r/>
    </w:p>
    <w:p>
      <w:pPr>
        <w:pStyle w:val="847"/>
        <w:ind w:firstLine="562"/>
        <w:jc w:val="left"/>
        <w:spacing w:before="0" w:after="0" w:line="360" w:lineRule="auto"/>
        <w:rPr>
          <w:sz w:val="28"/>
          <w:szCs w:val="28"/>
          <w:highlight w:val="none"/>
        </w:rPr>
      </w:pPr>
      <w:r>
        <w:rPr>
          <w:rFonts w:hint="eastAsia"/>
          <w:sz w:val="28"/>
          <w:szCs w:val="28"/>
          <w:highlight w:val="none"/>
        </w:rPr>
        <w:t xml:space="preserve">39、支持绿色发展</w:t>
      </w:r>
      <w:r/>
    </w:p>
    <w:p>
      <w:pPr>
        <w:ind w:firstLine="480"/>
        <w:jc w:val="left"/>
        <w:spacing w:line="500" w:lineRule="exact"/>
        <w:rPr>
          <w:sz w:val="24"/>
          <w:szCs w:val="24"/>
          <w:highlight w:val="none"/>
        </w:rPr>
      </w:pPr>
      <w:r>
        <w:rPr>
          <w:rFonts w:hint="eastAsia"/>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highlight w:val="none"/>
        </w:rPr>
      </w:pPr>
      <w:r>
        <w:rPr>
          <w:rFonts w:hint="eastAsia"/>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Pr>
      <w:r>
        <w:rPr>
          <w:rFonts w:hint="eastAsia"/>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7"/>
        <w:ind w:firstLine="562"/>
        <w:jc w:val="left"/>
        <w:spacing w:before="0" w:after="0" w:line="360" w:lineRule="auto"/>
        <w:rPr>
          <w:sz w:val="28"/>
          <w:szCs w:val="28"/>
          <w:highlight w:val="none"/>
        </w:rPr>
      </w:pPr>
      <w:r>
        <w:rPr>
          <w:rFonts w:hint="eastAsia"/>
          <w:sz w:val="28"/>
          <w:szCs w:val="28"/>
          <w:highlight w:val="none"/>
        </w:rPr>
        <w:t xml:space="preserve">40、政府采购需求标准</w:t>
      </w:r>
      <w:r/>
    </w:p>
    <w:p>
      <w:pPr>
        <w:ind w:firstLine="480"/>
        <w:jc w:val="left"/>
        <w:spacing w:line="500" w:lineRule="exact"/>
        <w:rPr>
          <w:sz w:val="24"/>
          <w:szCs w:val="24"/>
          <w:highlight w:val="none"/>
        </w:rPr>
      </w:pPr>
      <w:r>
        <w:rPr>
          <w:rFonts w:hint="eastAsia"/>
          <w:sz w:val="24"/>
          <w:szCs w:val="24"/>
          <w:highlight w:val="none"/>
        </w:rPr>
        <w:t xml:space="preserve">40.1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845"/>
        <w:jc w:val="center"/>
        <w:spacing w:line="360" w:lineRule="auto"/>
        <w:rPr>
          <w:rFonts w:ascii="黑体" w:hAnsi="黑体" w:eastAsia="黑体"/>
          <w:b w:val="0"/>
          <w:highlight w:val="none"/>
        </w:rPr>
      </w:pPr>
      <w:r/>
      <w:bookmarkStart w:id="2" w:name="_Toc155796358"/>
      <w:r>
        <w:rPr>
          <w:rFonts w:hint="eastAsia" w:ascii="黑体" w:hAnsi="黑体" w:eastAsia="黑体"/>
          <w:b w:val="0"/>
          <w:highlight w:val="none"/>
        </w:rPr>
        <w:t xml:space="preserve">第三章  合同文本</w:t>
      </w:r>
      <w:bookmarkEnd w:id="2"/>
      <w:r/>
      <w:r/>
    </w:p>
    <w:p>
      <w:pPr>
        <w:ind w:firstLine="480"/>
        <w:jc w:val="left"/>
        <w:spacing w:line="500" w:lineRule="exact"/>
        <w:rPr>
          <w:sz w:val="24"/>
          <w:szCs w:val="24"/>
          <w:highlight w:val="none"/>
        </w:rPr>
      </w:pPr>
      <w:r>
        <w:rPr>
          <w:rFonts w:hint="eastAsia"/>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甲方：（买方）_________</w:t>
      </w:r>
      <w:r/>
    </w:p>
    <w:p>
      <w:pPr>
        <w:jc w:val="left"/>
        <w:spacing w:line="500" w:lineRule="exact"/>
        <w:rPr>
          <w:sz w:val="24"/>
          <w:szCs w:val="24"/>
          <w:highlight w:val="none"/>
        </w:rPr>
      </w:pPr>
      <w:r>
        <w:rPr>
          <w:rFonts w:hint="eastAsia"/>
          <w:sz w:val="24"/>
          <w:szCs w:val="24"/>
          <w:highlight w:val="none"/>
        </w:rPr>
        <w:t xml:space="preserve">乙方：（卖方）_________</w:t>
      </w:r>
      <w:r/>
    </w:p>
    <w:p>
      <w:pPr>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p>
    <w:p>
      <w:pPr>
        <w:ind w:firstLine="480"/>
        <w:jc w:val="left"/>
        <w:spacing w:line="500" w:lineRule="exact"/>
        <w:rPr>
          <w:sz w:val="24"/>
          <w:szCs w:val="24"/>
          <w:highlight w:val="none"/>
        </w:rPr>
      </w:pPr>
      <w:r>
        <w:rPr>
          <w:sz w:val="24"/>
          <w:szCs w:val="24"/>
          <w:highlight w:val="none"/>
        </w:rPr>
        <w:t xml:space="preserve">1.1 服务内容：</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1.2 服务要求：</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p>
    <w:p>
      <w:pPr>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p>
    <w:p>
      <w:pPr>
        <w:ind w:firstLine="480"/>
        <w:jc w:val="left"/>
        <w:spacing w:line="500" w:lineRule="exact"/>
        <w:rPr>
          <w:sz w:val="24"/>
          <w:szCs w:val="24"/>
          <w:highlight w:val="none"/>
        </w:rPr>
      </w:pPr>
      <w:r>
        <w:rPr>
          <w:rFonts w:hint="eastAsia"/>
          <w:sz w:val="24"/>
          <w:szCs w:val="24"/>
          <w:highlight w:val="none"/>
        </w:rPr>
        <w:t xml:space="preserve">3.1 乙方应按招标文件规定的时间向甲方提供有关技术资料。</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p>
    <w:p>
      <w:pPr>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本合同不收取履约保证金。</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p>
    <w:p>
      <w:pPr>
        <w:ind w:firstLine="480"/>
        <w:jc w:val="left"/>
        <w:spacing w:line="500" w:lineRule="exact"/>
        <w:rPr>
          <w:sz w:val="24"/>
          <w:szCs w:val="24"/>
          <w:highlight w:val="none"/>
        </w:rPr>
      </w:pPr>
      <w:r>
        <w:rPr>
          <w:rFonts w:hint="eastAsia"/>
          <w:sz w:val="24"/>
          <w:szCs w:val="24"/>
          <w:highlight w:val="none"/>
        </w:rPr>
        <w:t xml:space="preserve">9.1 交 付 期：_________。</w:t>
      </w:r>
      <w:r/>
    </w:p>
    <w:p>
      <w:pPr>
        <w:ind w:firstLine="480"/>
        <w:jc w:val="left"/>
        <w:spacing w:line="500" w:lineRule="exact"/>
        <w:rPr>
          <w:sz w:val="24"/>
          <w:szCs w:val="24"/>
          <w:highlight w:val="none"/>
        </w:rPr>
      </w:pPr>
      <w:r>
        <w:rPr>
          <w:rFonts w:hint="eastAsia"/>
          <w:sz w:val="24"/>
          <w:szCs w:val="24"/>
          <w:highlight w:val="none"/>
        </w:rPr>
        <w:t xml:space="preserve">9.2 交付方式：_________。</w:t>
      </w:r>
      <w:r/>
    </w:p>
    <w:p>
      <w:pPr>
        <w:ind w:firstLine="480"/>
        <w:jc w:val="left"/>
        <w:spacing w:line="500" w:lineRule="exact"/>
        <w:rPr>
          <w:sz w:val="24"/>
          <w:szCs w:val="24"/>
          <w:highlight w:val="none"/>
        </w:rPr>
      </w:pPr>
      <w:r>
        <w:rPr>
          <w:rFonts w:hint="eastAsia"/>
          <w:sz w:val="24"/>
          <w:szCs w:val="24"/>
          <w:highlight w:val="none"/>
        </w:rPr>
        <w:t xml:space="preserve">9.3 交付地点：_________。</w:t>
      </w:r>
      <w:r/>
    </w:p>
    <w:p>
      <w:pPr>
        <w:ind w:firstLine="480"/>
        <w:jc w:val="left"/>
        <w:spacing w:line="500" w:lineRule="exact"/>
        <w:rPr>
          <w:sz w:val="24"/>
          <w:szCs w:val="24"/>
          <w:highlight w:val="none"/>
        </w:rPr>
      </w:pPr>
      <w:r>
        <w:rPr>
          <w:sz w:val="24"/>
          <w:szCs w:val="24"/>
          <w:highlight w:val="none"/>
        </w:rPr>
        <w:t xml:space="preserve">9.4</w:t>
      </w:r>
      <w:r>
        <w:rPr>
          <w:rFonts w:hint="eastAsia"/>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highlight w:val="none"/>
        </w:rPr>
      </w:pPr>
      <w:r>
        <w:rPr>
          <w:sz w:val="24"/>
          <w:szCs w:val="24"/>
          <w:highlight w:val="none"/>
        </w:rPr>
        <w:t xml:space="preserve">9.5</w:t>
      </w:r>
      <w:r>
        <w:rPr>
          <w:rFonts w:hint="eastAsia"/>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付款方式：_________。</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sz w:val="24"/>
          <w:szCs w:val="24"/>
          <w:highlight w:val="none"/>
          <w:u w:val="single"/>
        </w:rPr>
        <w:t xml:space="preserve">   </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p>
    <w:p>
      <w:pPr>
        <w:ind w:firstLine="480"/>
        <w:jc w:val="left"/>
        <w:spacing w:line="50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百分之五</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万分之五</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百分之五</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万分之五</w:t>
      </w:r>
      <w:r>
        <w:rPr>
          <w:rFonts w:hint="eastAsia"/>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百分之五</w:t>
      </w:r>
      <w:r>
        <w:rPr>
          <w:rFonts w:hint="eastAsia"/>
          <w:sz w:val="24"/>
          <w:szCs w:val="24"/>
          <w:highlight w:val="none"/>
        </w:rPr>
        <w:t xml:space="preserve">。逾期超过约定日期</w:t>
      </w:r>
      <w:r>
        <w:rPr>
          <w:rFonts w:hint="eastAsia"/>
          <w:sz w:val="24"/>
          <w:szCs w:val="24"/>
          <w:highlight w:val="none"/>
          <w:u w:val="single"/>
        </w:rPr>
        <w:t xml:space="preserve">10个工作日</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百分之五</w:t>
      </w:r>
      <w:r>
        <w:rPr>
          <w:rFonts w:hint="eastAsia"/>
          <w:sz w:val="24"/>
          <w:szCs w:val="24"/>
          <w:highlight w:val="none"/>
        </w:rPr>
        <w:t xml:space="preserve">的违约金，如造成甲方损失超过违约金的，超出部分由乙方继续承担赔偿责任。 </w:t>
      </w:r>
      <w:r/>
    </w:p>
    <w:p>
      <w:pPr>
        <w:ind w:firstLine="480"/>
        <w:jc w:val="left"/>
        <w:spacing w:line="500" w:lineRule="exact"/>
        <w:rPr>
          <w:sz w:val="24"/>
          <w:szCs w:val="24"/>
          <w:highlight w:val="none"/>
        </w:rPr>
      </w:pPr>
      <w:r>
        <w:rPr>
          <w:rFonts w:hint="eastAsia" w:asciiTheme="minorHAnsi" w:hAnsiTheme="minorHAnsi" w:eastAsiaTheme="minorEastAsia" w:cstheme="minorBidi"/>
          <w:sz w:val="24"/>
          <w:szCs w:val="24"/>
          <w:highlight w:val="none"/>
        </w:rPr>
        <w:t xml:space="preserve">14.4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十五、不可抗力事件处理</w:t>
      </w:r>
      <w:r/>
    </w:p>
    <w:p>
      <w:pPr>
        <w:ind w:firstLine="480"/>
        <w:jc w:val="left"/>
        <w:spacing w:line="500" w:lineRule="exact"/>
        <w:rPr>
          <w:sz w:val="24"/>
          <w:szCs w:val="24"/>
          <w:highlight w:val="none"/>
        </w:rPr>
      </w:pPr>
      <w:r>
        <w:rPr>
          <w:rFonts w:hint="eastAsia"/>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highlight w:val="none"/>
        </w:rPr>
      </w:pPr>
      <w:r>
        <w:rPr>
          <w:rFonts w:hint="eastAsia"/>
          <w:sz w:val="24"/>
          <w:szCs w:val="24"/>
          <w:highlight w:val="none"/>
        </w:rPr>
        <w:t xml:space="preserve">15.2 不可抗力事件发生后，应立即通知对方，并寄送有关权威机构出具的证明。</w:t>
      </w:r>
      <w:r/>
    </w:p>
    <w:p>
      <w:pPr>
        <w:ind w:firstLine="480"/>
        <w:jc w:val="left"/>
        <w:spacing w:line="500" w:lineRule="exact"/>
        <w:rPr>
          <w:sz w:val="24"/>
          <w:szCs w:val="24"/>
          <w:highlight w:val="none"/>
        </w:rPr>
      </w:pPr>
      <w:r>
        <w:rPr>
          <w:rFonts w:hint="eastAsia"/>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十六、解决争议的方法</w:t>
      </w:r>
      <w:r/>
    </w:p>
    <w:p>
      <w:pPr>
        <w:ind w:firstLine="480"/>
        <w:jc w:val="left"/>
        <w:spacing w:line="500" w:lineRule="exact"/>
        <w:rPr>
          <w:sz w:val="24"/>
          <w:szCs w:val="24"/>
          <w:highlight w:val="none"/>
        </w:rPr>
      </w:pPr>
      <w:r>
        <w:rPr>
          <w:rFonts w:hint="eastAsia"/>
          <w:sz w:val="24"/>
          <w:szCs w:val="24"/>
          <w:highlight w:val="none"/>
        </w:rPr>
        <w:t xml:space="preserve">16.1 甲乙双方因合同签订、履行而发生的一切争议，应通过友好协商解决。如协商不成，按下列第</w:t>
      </w:r>
      <w:r>
        <w:rPr>
          <w:rFonts w:hint="eastAsia"/>
          <w:sz w:val="24"/>
          <w:szCs w:val="24"/>
          <w:highlight w:val="none"/>
          <w:u w:val="single"/>
        </w:rPr>
        <w:t xml:space="preserve">（</w:t>
      </w:r>
      <w:r>
        <w:rPr>
          <w:rFonts w:hint="eastAsia"/>
          <w:sz w:val="24"/>
          <w:szCs w:val="24"/>
          <w:highlight w:val="none"/>
          <w:u w:val="single"/>
          <w:lang w:val="en-US" w:eastAsia="zh-CN"/>
        </w:rPr>
        <w:t xml:space="preserve">2</w:t>
      </w:r>
      <w:r>
        <w:rPr>
          <w:rFonts w:hint="eastAsia"/>
          <w:sz w:val="24"/>
          <w:szCs w:val="24"/>
          <w:highlight w:val="none"/>
          <w:u w:val="single"/>
        </w:rPr>
        <w:t xml:space="preserve">）</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十七、合同生效及其他</w:t>
      </w:r>
      <w:r/>
    </w:p>
    <w:p>
      <w:pPr>
        <w:ind w:firstLine="480"/>
        <w:jc w:val="left"/>
        <w:spacing w:line="500" w:lineRule="exact"/>
        <w:rPr>
          <w:sz w:val="24"/>
          <w:szCs w:val="24"/>
          <w:highlight w:val="none"/>
        </w:rPr>
      </w:pPr>
      <w:r>
        <w:rPr>
          <w:rFonts w:hint="eastAsia"/>
          <w:sz w:val="24"/>
          <w:szCs w:val="24"/>
          <w:highlight w:val="none"/>
        </w:rPr>
        <w:t xml:space="preserve">17.1 合同经双方法定代表人或授权代表签字并加盖单位公章后生效。</w:t>
      </w:r>
      <w:r/>
    </w:p>
    <w:p>
      <w:pPr>
        <w:ind w:firstLine="480"/>
        <w:jc w:val="left"/>
        <w:spacing w:line="500" w:lineRule="exact"/>
        <w:rPr>
          <w:sz w:val="24"/>
          <w:szCs w:val="24"/>
          <w:highlight w:val="none"/>
        </w:rPr>
      </w:pPr>
      <w:r>
        <w:rPr>
          <w:rFonts w:hint="eastAsia"/>
          <w:sz w:val="24"/>
          <w:szCs w:val="24"/>
          <w:highlight w:val="none"/>
        </w:rPr>
        <w:t xml:space="preserve">17.2 本合同未尽事宜，遵照</w:t>
      </w:r>
      <w:r>
        <w:rPr>
          <w:rFonts w:hint="eastAsia"/>
          <w:color w:val="000000"/>
          <w:sz w:val="24"/>
          <w:highlight w:val="none"/>
        </w:rPr>
        <w:t xml:space="preserve">《中华人民共和国民法典》</w:t>
      </w:r>
      <w:r>
        <w:rPr>
          <w:rFonts w:hint="eastAsia"/>
          <w:sz w:val="24"/>
          <w:szCs w:val="24"/>
          <w:highlight w:val="none"/>
        </w:rPr>
        <w:t xml:space="preserve">、《</w:t>
      </w:r>
      <w:r>
        <w:rPr>
          <w:rFonts w:hint="eastAsia"/>
          <w:color w:val="000000"/>
          <w:sz w:val="24"/>
          <w:highlight w:val="none"/>
        </w:rPr>
        <w:t xml:space="preserve">中华人民共和国</w:t>
      </w:r>
      <w:r>
        <w:rPr>
          <w:rFonts w:hint="eastAsia"/>
          <w:sz w:val="24"/>
          <w:szCs w:val="24"/>
          <w:highlight w:val="none"/>
        </w:rPr>
        <w:t xml:space="preserve">政府采购法》有关条文执行。</w:t>
      </w:r>
      <w:r/>
    </w:p>
    <w:p>
      <w:pPr>
        <w:ind w:firstLine="480"/>
        <w:jc w:val="left"/>
        <w:spacing w:line="500" w:lineRule="exact"/>
        <w:rPr>
          <w:sz w:val="24"/>
          <w:szCs w:val="24"/>
          <w:highlight w:val="none"/>
        </w:rPr>
      </w:pPr>
      <w:r>
        <w:rPr>
          <w:rFonts w:hint="eastAsia"/>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甲方：                        乙方： </w:t>
      </w:r>
      <w:r/>
    </w:p>
    <w:p>
      <w:pPr>
        <w:ind w:firstLine="480"/>
        <w:jc w:val="left"/>
        <w:spacing w:line="500" w:lineRule="exact"/>
        <w:rPr>
          <w:sz w:val="24"/>
          <w:szCs w:val="24"/>
          <w:highlight w:val="none"/>
        </w:rPr>
      </w:pPr>
      <w:r>
        <w:rPr>
          <w:rFonts w:hint="eastAsia"/>
          <w:sz w:val="24"/>
          <w:szCs w:val="24"/>
          <w:highlight w:val="none"/>
        </w:rPr>
        <w:t xml:space="preserve">地址：                        地址： </w:t>
      </w:r>
      <w:r/>
    </w:p>
    <w:p>
      <w:pPr>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500" w:lineRule="exact"/>
        <w:rPr>
          <w:sz w:val="24"/>
          <w:szCs w:val="24"/>
          <w:highlight w:val="none"/>
        </w:rPr>
      </w:pPr>
      <w:r>
        <w:rPr>
          <w:rFonts w:hint="eastAsia"/>
          <w:sz w:val="24"/>
          <w:szCs w:val="24"/>
          <w:highlight w:val="none"/>
        </w:rPr>
        <w:t xml:space="preserve">联系电话：                    联系电话：     </w:t>
      </w:r>
      <w:r/>
    </w:p>
    <w:p>
      <w:pPr>
        <w:ind w:firstLine="480"/>
        <w:jc w:val="left"/>
        <w:spacing w:line="500" w:lineRule="exact"/>
        <w:rPr>
          <w:sz w:val="24"/>
          <w:szCs w:val="24"/>
          <w:highlight w:val="none"/>
        </w:rPr>
      </w:pPr>
      <w:r>
        <w:rPr>
          <w:rFonts w:hint="eastAsia"/>
          <w:sz w:val="24"/>
          <w:szCs w:val="24"/>
          <w:highlight w:val="none"/>
        </w:rPr>
        <w:t xml:space="preserve">                                     </w:t>
      </w:r>
      <w:r/>
    </w:p>
    <w:p>
      <w:pPr>
        <w:ind w:firstLine="480"/>
        <w:jc w:val="right"/>
        <w:spacing w:line="500" w:lineRule="exact"/>
        <w:rPr>
          <w:sz w:val="24"/>
          <w:szCs w:val="24"/>
          <w:highlight w:val="none"/>
        </w:rPr>
      </w:pPr>
      <w:r>
        <w:rPr>
          <w:rFonts w:hint="eastAsia"/>
          <w:sz w:val="24"/>
          <w:szCs w:val="24"/>
          <w:highlight w:val="none"/>
        </w:rPr>
        <w:t xml:space="preserve">签订日期：       年    月    日</w:t>
      </w:r>
      <w:r/>
    </w:p>
    <w:p>
      <w:pPr>
        <w:jc w:val="left"/>
        <w:widowControl/>
        <w:rPr>
          <w:sz w:val="24"/>
          <w:szCs w:val="24"/>
          <w:highlight w:val="none"/>
        </w:rPr>
      </w:pPr>
      <w:r>
        <w:rPr>
          <w:sz w:val="24"/>
          <w:szCs w:val="24"/>
          <w:highlight w:val="none"/>
        </w:rPr>
        <w:br w:type="page" w:clear="all"/>
      </w:r>
      <w:r/>
    </w:p>
    <w:p>
      <w:pPr>
        <w:pStyle w:val="845"/>
        <w:jc w:val="center"/>
        <w:spacing w:line="360" w:lineRule="auto"/>
        <w:rPr>
          <w:rFonts w:ascii="黑体" w:hAnsi="黑体" w:eastAsia="黑体"/>
          <w:b w:val="0"/>
          <w:highlight w:val="none"/>
        </w:rPr>
      </w:pPr>
      <w:r/>
      <w:bookmarkStart w:id="3" w:name="_Toc155796359"/>
      <w:r>
        <w:rPr>
          <w:rFonts w:hint="eastAsia" w:ascii="黑体" w:hAnsi="黑体" w:eastAsia="黑体"/>
          <w:b w:val="0"/>
          <w:highlight w:val="none"/>
        </w:rPr>
        <w:t xml:space="preserve">第四章  采购需求</w:t>
      </w:r>
      <w:bookmarkEnd w:id="3"/>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tbl>
      <w:tblPr>
        <w:tblStyle w:val="86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689" w:type="dxa"/>
            <w:vAlign w:val="top"/>
            <w:textDirection w:val="lrTb"/>
            <w:noWrap w:val="false"/>
          </w:tcPr>
          <w:p>
            <w:pPr>
              <w:jc w:val="left"/>
              <w:spacing w:line="500" w:lineRule="exact"/>
              <w:rPr>
                <w:rFonts w:ascii="宋体" w:hAnsi="宋体" w:eastAsia="宋体" w:cs="宋体"/>
                <w:sz w:val="24"/>
                <w:szCs w:val="24"/>
                <w:highlight w:val="none"/>
                <w:lang w:val="en-US" w:eastAsia="zh-CN" w:bidi="ar-SA"/>
              </w:rPr>
            </w:pPr>
            <w:r>
              <w:rPr>
                <w:rFonts w:hint="eastAsia" w:ascii="宋体" w:hAnsi="宋体" w:eastAsia="宋体" w:cs="宋体"/>
                <w:i/>
                <w:iCs/>
                <w:sz w:val="24"/>
                <w:szCs w:val="24"/>
                <w:highlight w:val="none"/>
                <w:u w:val="single"/>
              </w:rPr>
              <w:t xml:space="preserve">本项目需配置项目团队成员不低于10人，包括项目经理1人，技术负责人1人，项目组成员不低于8人。</w:t>
            </w:r>
            <w:r/>
          </w:p>
        </w:tc>
      </w:tr>
      <w:tr>
        <w:trPr>
          <w:jc w:val="center"/>
        </w:trPr>
        <w:tc>
          <w:tcPr>
            <w:tcW w:w="816" w:type="dxa"/>
            <w:textDirection w:val="lrTb"/>
            <w:noWrap w:val="false"/>
          </w:tcPr>
          <w:p>
            <w:pPr>
              <w:jc w:val="center"/>
              <w:spacing w:line="500" w:lineRule="exact"/>
              <w:rPr>
                <w:sz w:val="24"/>
                <w:szCs w:val="24"/>
                <w:highlight w:val="none"/>
              </w:rPr>
            </w:pPr>
            <w:r>
              <w:rPr>
                <w:rFonts w:hint="eastAsia"/>
                <w:sz w:val="24"/>
                <w:szCs w:val="24"/>
                <w:highlight w:val="none"/>
              </w:rPr>
              <w:t xml:space="preserve">2</w:t>
            </w:r>
            <w:r/>
          </w:p>
        </w:tc>
        <w:tc>
          <w:tcPr>
            <w:tcW w:w="7689" w:type="dxa"/>
            <w:vAlign w:val="top"/>
            <w:textDirection w:val="lrTb"/>
            <w:noWrap w:val="false"/>
          </w:tcPr>
          <w:p>
            <w:pPr>
              <w:jc w:val="left"/>
              <w:spacing w:line="500" w:lineRule="exact"/>
              <w:rPr>
                <w:rFonts w:ascii="宋体" w:hAnsi="宋体" w:eastAsia="宋体" w:cs="宋体"/>
                <w:sz w:val="24"/>
                <w:szCs w:val="24"/>
                <w:highlight w:val="none"/>
                <w:lang w:val="en-US" w:eastAsia="zh-CN" w:bidi="ar-SA"/>
              </w:rPr>
            </w:pPr>
            <w:r>
              <w:rPr>
                <w:rFonts w:hint="eastAsia" w:ascii="宋体" w:hAnsi="宋体" w:eastAsia="宋体" w:cs="宋体"/>
                <w:i/>
                <w:iCs/>
                <w:sz w:val="24"/>
                <w:szCs w:val="24"/>
                <w:highlight w:val="none"/>
                <w:u w:val="single"/>
              </w:rPr>
              <w:t xml:space="preserve">自合同签订之日起4个月内完成平台搭建部署并申请初步验收，初步验收后，进入试运行3个月，试运行期满后进行最终验收。</w:t>
            </w:r>
            <w:r/>
          </w:p>
        </w:tc>
      </w:tr>
      <w:tr>
        <w:trPr>
          <w:jc w:val="center"/>
        </w:trPr>
        <w:tc>
          <w:tcPr>
            <w:tcW w:w="816" w:type="dxa"/>
            <w:textDirection w:val="lrTb"/>
            <w:noWrap w:val="false"/>
          </w:tcPr>
          <w:p>
            <w:pPr>
              <w:jc w:val="center"/>
              <w:spacing w:line="500" w:lineRule="exact"/>
              <w:rPr>
                <w:sz w:val="24"/>
                <w:szCs w:val="24"/>
                <w:highlight w:val="none"/>
              </w:rPr>
            </w:pPr>
            <w:r>
              <w:rPr>
                <w:rFonts w:hint="eastAsia"/>
                <w:sz w:val="24"/>
                <w:szCs w:val="24"/>
                <w:highlight w:val="none"/>
              </w:rPr>
              <w:t xml:space="preserve">3</w:t>
            </w:r>
            <w:r/>
          </w:p>
        </w:tc>
        <w:tc>
          <w:tcPr>
            <w:tcW w:w="7689" w:type="dxa"/>
            <w:vAlign w:val="top"/>
            <w:textDirection w:val="lrTb"/>
            <w:noWrap w:val="false"/>
          </w:tcPr>
          <w:p>
            <w:pPr>
              <w:jc w:val="left"/>
              <w:spacing w:line="500" w:lineRule="exact"/>
              <w:rPr>
                <w:rFonts w:ascii="宋体" w:hAnsi="宋体" w:eastAsia="宋体" w:cs="宋体"/>
                <w:sz w:val="24"/>
                <w:szCs w:val="24"/>
                <w:highlight w:val="none"/>
                <w:lang w:val="en-US" w:eastAsia="zh-CN" w:bidi="ar-SA"/>
              </w:rPr>
            </w:pPr>
            <w:r>
              <w:rPr>
                <w:rFonts w:hint="eastAsia" w:ascii="宋体" w:hAnsi="宋体" w:eastAsia="宋体" w:cs="宋体"/>
                <w:i/>
                <w:iCs/>
                <w:sz w:val="24"/>
                <w:szCs w:val="24"/>
                <w:highlight w:val="none"/>
                <w:u w:val="single"/>
              </w:rPr>
              <w:t xml:space="preserve">合同签订后10个工作日内付至合同总额的30%；完成初步验收后支付至合同总额的60%；通过最终验收并经审计审核后支付至审定金额的100%。</w:t>
            </w:r>
            <w:r/>
          </w:p>
        </w:tc>
      </w:tr>
    </w:tbl>
    <w:p>
      <w:pPr>
        <w:ind w:firstLine="562"/>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pStyle w:val="853"/>
        <w:ind w:firstLine="472"/>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1.背景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围绕消防应急队伍“全灾种、大应急”的职责要求，以及应急管理部、国家消防救援局、江苏省、连云港市关于全面推进消防治理体系和治理能力现代化建设要求，连云港市消防救援支队着眼实际，结合总队化工事故灭火救援“五知五会三能”专项训练工作，按照“1+1+N”信</w:t>
      </w:r>
      <w:r>
        <w:rPr>
          <w:rFonts w:hint="eastAsia" w:ascii="宋体" w:hAnsi="宋体" w:eastAsia="宋体" w:cs="宋体"/>
          <w:sz w:val="24"/>
          <w:szCs w:val="24"/>
          <w:highlight w:val="none"/>
        </w:rPr>
        <w:t xml:space="preserve">息化建设理念，围绕“看得见、测得到、联得上、打得赢”的总体方针，构建以智能接处警系统为主体，消防一体化作战指挥平台为核心，以360全景监控、安全生产管理、智能消火栓等多个系统、平台为辅助的灭火救援指挥体系，着力把徐圩新区消防救援大队指挥中心打造成为全市化工园区应急救援指挥调度中心，承担全市危化品灾害事故处置辅助决策专项任务，打牢全市化工灾害事故应急救援安全底线，为化工应急救援事业的发展和建设提供强有力的信息化支撑，有效推进化工应急救援现代化，提高化工灾害事故处置能力，有力维护人民群众生命财产安全和社会稳定。</w:t>
      </w:r>
      <w:r/>
    </w:p>
    <w:p>
      <w:pPr>
        <w:pStyle w:val="853"/>
        <w:ind w:firstLine="472"/>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2.建设现状及目标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目前连云港市赣榆、灌云、灌南、徐圩4大化工园区和板桥监测点，已建设园区安全生产管理平台、危化品运输管控平台、智能消火栓系统、360全景监控等信息化平台资源。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整合连云港市赣榆、灌云、灌南、徐圩4大化工园区和板桥监测点的道路、厂区、高点监控视频；DCS</w:t>
      </w:r>
      <w:r>
        <w:rPr>
          <w:rFonts w:hint="eastAsia" w:ascii="宋体" w:hAnsi="宋体" w:eastAsia="宋体" w:cs="宋体"/>
          <w:sz w:val="24"/>
          <w:szCs w:val="24"/>
          <w:highlight w:val="none"/>
        </w:rPr>
        <w:t xml:space="preserve">、GDS、烟雾和危化品车预警告警数据，基于实时监测数据开展火灾风险研判、化工灾害综合风险分析等，提升风险预警能力；推进消防训练体系与实战体系深度融合，实现“训、考、评”一体化，构建联合作战机制，打破以往消防救援缺乏平战结合、协同联动的弊端，提高消防救援综合应急响应与指挥水平；建立消防资源数据管理机制，充分利用日常监测数据、各类社会化数据，实现态势感知、综合研判和辅助分析，提升消防救援辅助决策能力；综合运用音视频手段和多维信息显示，开展视频会商、指挥协同等，加强信息交换共享，提升跨部门业务协同和数据共享能力。</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二、服务技术要求</w:t>
      </w:r>
      <w:r/>
    </w:p>
    <w:p>
      <w:pPr>
        <w:pStyle w:val="847"/>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1.服务范围</w:t>
      </w:r>
      <w:r/>
    </w:p>
    <w:p>
      <w:pPr>
        <w:pStyle w:val="847"/>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（1）定制化软件开发</w:t>
      </w:r>
      <w:r/>
    </w:p>
    <w:tbl>
      <w:tblPr>
        <w:tblStyle w:val="84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457"/>
        <w:gridCol w:w="1278"/>
        <w:gridCol w:w="800"/>
        <w:gridCol w:w="5289"/>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一级模块名称</w:t>
            </w:r>
            <w:r/>
          </w:p>
        </w:tc>
        <w:tc>
          <w:tcPr>
            <w:gridSpan w:val="2"/>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二级模块名称</w:t>
            </w:r>
            <w:r/>
          </w:p>
        </w:tc>
        <w:tc>
          <w:tcPr>
            <w:shd w:val="clear" w:color="auto" w:fill="auto"/>
            <w:tcBorders>
              <w:top w:val="single" w:color="auto" w:sz="4" w:space="0"/>
              <w:left w:val="none" w:color="000000" w:sz="4" w:space="0"/>
              <w:bottom w:val="single" w:color="auto" w:sz="4" w:space="0"/>
              <w:right w:val="single" w:color="auto" w:sz="4" w:space="0"/>
            </w:tcBorders>
            <w:tcW w:w="5289"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功能描述</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图像融合汇聚平台</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中心管理服务模块</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接入模式模块</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采用双向通讯控制机制来保证各个服务的接入图像融合汇聚平台，规定通过IP及IP PORT方式，将系统中其他服务主动添加至中心管理服务模块系统中。视频接入能力不低于10000路。实现支队-大队-化工园区分布式部署和多级级联，并可通过多级平台浏览视频。</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用户管理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保存用户信息，实现用户的创建、修改、删除、赋权功能。具备设置用户最大连接数、管理资源、密码规则、移动端白名单功能。</w:t>
            </w:r>
            <w:r/>
          </w:p>
        </w:tc>
      </w:tr>
      <w:tr>
        <w:trPr>
          <w:trHeight w:val="282"/>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前端视频设备的注册与验证、配置与查询、修改与保存、备份与还原。</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设备接入</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翻译和转发来自客户端或者其他中心设备对前端设备的配置、设置和控制命令；上报设备状态及报警信息至图像融合汇聚平台。可实现分布式扩容，用户可根据设备数量扩容设备接入服务模块数量，扩容时原有系统正常运行。可以对接入设备进行设备白名单和黑名单管理，对于白名单中的设备直接放行，对于黑名单设备拒绝接入。</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提供设备及其它前端设备接入管理服务，并对不同的前端设备类型进行划分。支持动态IP、静态IP等多种接入方式。</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告警管理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接收来自接入管理单元的告警信息，将告警信息分发给当前操作用户，支持客户端的告警联动设置，在条件成立时，完成告警联动功能，以声音、弹出视频以及通知等方式进行播放。</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调度管理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根据每个流分发服务的负载情况，自动将视频流均衡负载于各个分发服务上。</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注册管理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鉴别设备等前端设备的合法性，以及完成前端设备的注册。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配置管理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远程配置设备等前端设备接入方式、IP地址等属性，远程配置码流、帧率、OSD等参数。</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时钟管理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自动或者手动校正设备等前端设备时钟，保持与图像融合汇聚平台一致。</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业务控制</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接收调度命令，启动并控制接收和分发。如请求观看视频、点播录像等。</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统一接口</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将平台汇聚资源根据需提供统一接口供第三方平台应用调用，包括视频、定位、音频、组织目录等信息，支持RTSP/RTMP/HLS/FLV等视频流。</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流转发</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媒体转发/分发</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当发起视频查询命令时，自动查询前端设备并获取视频流，并将获取到视频流进行复制，然后分发给需要查看的用户。制定逻辑配置原则，指导用户就近访问视频资源。</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转发功能</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转发来自设备的音视频媒体流，根据调度指令转发给相应的用户连接、视频存储服务模块、流转发服务模块。</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分发功能</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将同一路媒体流同时发送向多个接受端, 支持扩展与负载均衡。</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业务控制</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接收调度命令，启动并控制接收和分发。</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计费信息采集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采集实时媒体访问的时长/流量等计费信息，并上报iCMS；</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手机视频转发管理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用户获取移动分发单元的地址，获取媒体流，转发给手机用户（MCU）；</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状态上报功能</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自动上报服务器工作状态，及时发出预警信息；</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转码格式配置</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支持对转码输出格式进行配置，如QCIF/QVGA/CIF/360P格式</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存储</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云存储</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实现对音频/视频的接收存储、录像存储管理、存储介质管理及录像回放服务等功能。</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录像存储</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从设备或流转发模块处获取媒体流存储在所连接的存储介质中，并保存所存储资料的索引。</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录像检索</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对视频汇聚中心管理系统中录像检索指令进行反馈，支持多种检索方式。</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流式回放</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对来自图像融合汇聚平台的回放请求打开文件，并通过RTMP和RTSP 提供流媒体服务。</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录像下载</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下载存储介质的中音视频录像数据。</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图像接入</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图像接入实施，汇聚连云港支队现有无线图传类设备、营区监控及危化品等社会面第三方设备资源，主要包括连云港四个化工园区及1个监测点。</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shd w:val="clear" w:color="auto" w:fill="auto"/>
            <w:tcBorders>
              <w:top w:val="none" w:color="000000" w:sz="4" w:space="0"/>
              <w:left w:val="single" w:color="auto" w:sz="4" w:space="0"/>
              <w:bottom w:val="none" w:color="000000" w:sz="4" w:space="0"/>
              <w:right w:val="none" w:color="000000"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语音留存系统</w:t>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语音留存</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监听：实时跟踪和监听某个移动终端用户或组，包括语音监听和事件监听。监听不受任何业的影响，随时都可以进行，并且被监听的对象不需要给出任何提示。</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shd w:val="clear" w:color="auto" w:fill="auto"/>
            <w:tcBorders>
              <w:top w:val="none" w:color="000000" w:sz="4" w:space="0"/>
              <w:left w:val="single" w:color="auto"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采集语音：根据配置的录音方案自动录制语音数据。可自定义录音格式：主叫号码、被叫号码、开始时间、结束时间、时长、呼叫类型等。</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shd w:val="clear" w:color="auto" w:fill="auto"/>
            <w:tcBorders>
              <w:top w:val="none" w:color="000000" w:sz="4" w:space="0"/>
              <w:left w:val="single" w:color="auto"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语音查询与播放</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查询语音：普通查询、高级查询、模糊查询，包括开始时间、结束时间、主叫号码、被叫号码、主叫别名、被叫别名、呼叫类型等。</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auto" w:fill="auto"/>
            <w:tcBorders>
              <w:top w:val="none" w:color="000000" w:sz="4" w:space="0"/>
              <w:left w:val="single" w:color="auto"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回放语音：查找需要的录音，在录音列表或者播放列表中进行回放，支持播放、暂停、循环等操作，从而实现对整个调度场景的还原。</w:t>
            </w:r>
            <w:r/>
          </w:p>
        </w:tc>
      </w:tr>
      <w:tr>
        <w:trPr>
          <w:trHeight w:val="34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shd w:val="clear" w:color="auto" w:fill="auto"/>
            <w:tcBorders>
              <w:top w:val="none" w:color="000000" w:sz="4" w:space="0"/>
              <w:left w:val="single" w:color="auto"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000000" w:sz="4" w:space="0"/>
            </w:tcBorders>
            <w:tcW w:w="182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数据共享服务</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提供标准API开发协议，可实现与第三方系统融合。</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消防救援数据融合智慧平台</w:t>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消防数据服务</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数据资源门户服务</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构建消防数据资源门户，统计分析各类数据资源，包括平台存储数据、对外共享数据、外部接入数据情况等；监测运行核心数据资源连接情况，包括：警情数据接入和对外服务、危化品车辆数据接入等。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数据治理服务</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整编国家队、政府专职队数据，并按基础库设计标准处理入库。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整编重点单位的微型消防站数据，并按标准化处理入库。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整编国家队指战员、政府（企业）专职消防队消防员及值班人员数据，并按标准化处理入库。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整编消防救援车辆、上装、北斗定位数据，并按标准化处理入库。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整编泡沫灭火剂、大型供水泵组等数据，并按标准化处理入库。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整编泡沫灭火剂、大型供水泵组、堵漏器材、挖机、吊机、发电车、救护车、装载机、防撞车、照明车、泡沫液、氮气、二氧化碳、防汛积石、吸水膨胀袋等数据，并按标准化处理入库。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整编化工园区名录及基本信息数据，并按标准化处理入库。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整编化工企业名录及基本信息数据，并按标准化处理入库。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整编罐区、储罐、装置、单元/设备、仓库、堆场、火炬数据，并按标准化处理入库。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整编已接入企业DCS监测数据，处理并关联或补充DCS监测设备经纬度位置，并按标准化处理入库。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整编消防水管网、消防泡沫管网、消防泵房、泡沫站、消防水源、消火栓、泡沫栓、固定水泡、固定泡沫炮数据，并按标准化处理入库。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整编出入口、应急事故池、DCS控制室、消防控制室、道路限宽、厂区监控数据，并按标准化处理入库。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整编危化品车、电子运单数据，并按标准化处理入库。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color w:val="000000"/>
                <w:sz w:val="24"/>
                <w:szCs w:val="24"/>
              </w:rPr>
              <w:t xml:space="preserve">整编化工企业的灭火救援预案数据，并按标准化处理入库，</w:t>
            </w:r>
            <w:r>
              <w:rPr>
                <w:rFonts w:hint="eastAsia" w:ascii="宋体" w:hAnsi="宋体" w:eastAsia="宋体" w:cs="宋体"/>
                <w:sz w:val="24"/>
                <w:szCs w:val="24"/>
              </w:rPr>
              <w:t xml:space="preserve">并协助连云港消防救援支队绘制所有化工数字化预案。</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整编市政消火栓的数据，并按标准化处理入库。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整编江、河、湖、重点水库等天然水源数据，并按标准化处理入库。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整编化工园区、周边道路等高点监控数据，并按标准化处理入库。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数据接入：支持MySQL binlog、RabbitMQ、Kafka、Flink四种实时数据同步模式。提供完善的实时数据接入配置等功能，有效保障实时任务接入的稳定性和可控性。</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接口文档:根据需求，向用户提供详细的接口文档，并支持在线查看，包括接口定义，参数说明，调用方式，返回值与响应，并对安全性进行考虑，还会对版本进行管理，记录接口的版本信息和历史变更情况，以便在必要时回滚到旧版本或理解不同版本之间的差异，帮助开发人员进行对接</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实时消息中间件:对于实时数据，我们提供RocketMQ、kafka、RabbirMQ等中间件。用户可以通过定义好的数据格式，将产生的数据向指定的Topic发送消息，以及消费相关数据，确保数据的实时性，包括警情信息，危化品车信息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数据加解密:考虑到接口安全性，对接入数据展示接口进行DES算法加密处理，谨防相关数据通过接口恶意爬取；在显示端进行DES解密展示，并隐藏解密规则，做到接口返回非明文展示。</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校验:对接入的数据，我们提供校验功能，校验包括数据格式校验和重复数据校验。其中数据格式包括数据长度校验、是否必填、数值类型等。通过接口鉴权，可以限制对敏感数据的访问，只有具有相应权限的用户或者应用程序才能获取敏感数据，保护数据的机密性和完整性</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接入统计:对接入的数据进行统计，按照每天数据更新情况进行多维度联表统计，可以统计各种指标，如总数、平均值、最大值、最小值、标准差等。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接入异常分析：为动态数据接入提供实时监测分析功能，主要包括：警情数据和车辆北斗定位数据接入，并对数据接入设置异常接入监测机制，并实时进行接入异常告警。</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源表增量分析：对外部接入增量同步的数据进行实时监测和分析，统计基础类数据的增量指标，并针对部分基础数据源表设置数据量级短期激增管控，实现对源表异常波动风险过滤。</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日志管理：主要实现数据数据接入和消费日志的采集、存储和检索功能。其中检索功能主要实现对日志全文进行检索，日志内任一字段满足检索条件时即可检索到该日志，例如使用error检索所有出现过 error 的日志。</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数据对接接入</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数据接入119消防接处警系统:警情信息、报警记录等数据。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60</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数据接入总队社会单位管理系统：化工单位基础信息等数据。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数据接入综合业务平台：值班人员信息等数据。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数据接入总队装备管理系统：执勤车辆信息等数据。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数据接入消防车辆动态信息管理系统：车辆基础信息等数据。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数据接入北斗定位管理系统：国家队、政企专职队车辆以及化工重点装备定位信息等数据。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数据接入智能消火栓系统：消火栓点位、压力等数据。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数据接入图像综合管理平台：消防队站营区、球机、单兵等视频数据。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w:t>
            </w:r>
            <w:r>
              <w:rPr>
                <w:rFonts w:hint="eastAsia" w:ascii="宋体" w:hAnsi="宋体" w:eastAsia="宋体" w:cs="宋体"/>
                <w:color w:val="000000"/>
                <w:sz w:val="24"/>
                <w:szCs w:val="24"/>
                <w:lang w:val="en-US" w:eastAsia="zh-CN"/>
              </w:rPr>
              <w:t xml:space="preserve">无人机</w:t>
            </w:r>
            <w:r>
              <w:rPr>
                <w:rFonts w:hint="eastAsia" w:ascii="宋体" w:hAnsi="宋体" w:eastAsia="宋体" w:cs="宋体"/>
                <w:color w:val="000000"/>
                <w:sz w:val="24"/>
                <w:szCs w:val="24"/>
              </w:rPr>
              <w:t xml:space="preserve">管理平台：接入化工企业倾斜摄影模型信息数据。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数据接入人员定位系统：接入人员定位等数据。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数据接入危险化学品安全生产风险监测预警系统：危化品单位相关数据。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数据接入危险化学品安全生产风险监测预警系统：企业DCS</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实时监测数据，包括各类设备监测数据、历史值数据。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71</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数据接入危化品运输系统：危化品运输车相关数据。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数据接入备份</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实现所有接入源的原始数据备份。</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数据共享服务</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数据提供给总队数据平台：人员机构数据、车辆数据、警情处置信息、力量出动信息、现场多媒体信息等数据。</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数据提供给本地接处警系统：力量反馈信息、联勤人员信息、全勤会商等数据。</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警情信息共享：内置两套共享模版，具备警情基础信息、消防出动力量信息、现场图像信息等数据共享能力，并对图像类数据进行预览处置，同时设置数据共享加解密机制。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none" w:color="000000"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数据对外服务管控：数据服务时效性设置、数据对外服务关停和启用等。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消防数据统一框架</w:t>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基础库</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警情库：包括立案时间、案件描述、案件类型、案件等级、案发地址、报警电话、调派信息等。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力量库：包括救援人员、专家、联动人员。</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机构库：包括消防机构、联勤机构（政府联动机构、企事业联动机构、事业公益组织联动机构、其他联动机构）。</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80</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微型消防站库：微型消防站名称、所属单位、联系人、联系电话、在岗情况、位置和照片信息等。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81</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车辆库：包括灭火、举高、专勤、战勤保障和其他车辆。</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社会单位库：包括化工园区、化工企业等场所。</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装备器材库：包括重点消防装备、消防物资等。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水源库：包括市政消火栓、天然水源、水库等。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模型信息库：包括倾斜摄影模型、BIM模型信息等。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预案库：预案的资料文件。</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多媒体库：主要包括灾害处置的图片、短视频、以及其他各类图文视频信息。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视频监控库：包括城市高点监控、营区监控、布控球、单兵视频、视频设备和路由信息。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化工专题库</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化工园区信息：园区名称、园区地址、园区所属地市和区县、园区产业类型等信息。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90</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单位（企业）信息：包含企业名称、地址、经营范围、法人、安全管理人等基本企业信息。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91</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生产存储信息：包含罐区、装置、堆场、仓库、火炬等重要区域生产存储信息，且为罐区和装置两类典型生成存储建立罐体、单元/工艺段、生产设备等子库。</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92</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企业设施信息：DCS控制室、监控视频、应急事故池、出入口、内部道路等。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93</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消防设施信息：企业内消火栓、固定炮、消防水池/罐、泡沫站、消防泵房、消防管网、自然水源、消防控制室等</w:t>
            </w:r>
            <w:r>
              <w:rPr>
                <w:rFonts w:hint="eastAsia" w:ascii="宋体" w:hAnsi="宋体" w:eastAsia="宋体" w:cs="宋体"/>
                <w:color w:val="000000"/>
                <w:sz w:val="24"/>
                <w:szCs w:val="24"/>
                <w:lang w:eastAsia="zh-CN"/>
              </w:rPr>
              <w:t xml:space="preserve">。</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94</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企业专职队信息：队伍基本信息、队伍主要联系人和位置等信息。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95</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园区救援处置力量库：队伍基本信息、队伍主要联系人和位置等信息。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96</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化工专家库：化工类专家名录、所在单位、联系方式和常驻位置等信息</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97</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资料图纸信息：包含企业（厂区）的四色风险图、工艺图、平面图、消防系统图、消防预案等图纸和企业文档。</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98</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外部建筑结构信息：外部倾斜摄影模型信息</w:t>
            </w:r>
            <w:r>
              <w:rPr>
                <w:rFonts w:hint="eastAsia" w:ascii="宋体" w:hAnsi="宋体" w:eastAsia="宋体" w:cs="宋体"/>
                <w:color w:val="000000"/>
                <w:sz w:val="24"/>
                <w:szCs w:val="24"/>
                <w:lang w:eastAsia="zh-CN"/>
              </w:rPr>
              <w:t xml:space="preserve">。</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99</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92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危化品车辆信息：包含危化品车辆基本信息、车辆驾驶员、电子运单信息等。</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化工平时管理子系统</w:t>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化工警情</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化工警情缩略：对接消防接处警系统，从警情中筛选出化工类警情，并以列表形式展现</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警情匹配单位：根据案件信息匹配事故单位</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化工警情跟踪：实时跟踪化工警情处理状态和处置时长</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化工警情统计分析：统计分析近一年化工警情分布情况和高发时段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化工警情定位：支持在GIS地图上实时显示化工警情位置，并区分化工警情处理状态</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监测预警</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监测预警总览：统计分析各类监测预警总数</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监测预警年度分析：统计分析DCS、GDS、烟雾和危化品车全年预警数量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监测预警多维分析：以多维折线图的方式统计分析DCS、GDS、烟雾和危化品车每月预警数量和高发时段</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测预警列表：接入并筛选化工园区各类监测预警信息并条目化显示，按时间和处理状态综合排序，4大化工园和1个监测点的数据接口和数据标准不统一，多系统接入需要开发匹配接口，并且对接入的预警数据进行清洗</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监测预警等级划分：设计等级划分标准公式，并将公式代码化，将接入的监测预警信息按预警类型、预警内容、处置状态等标准划分等级</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监测预警处理：实时跟踪监测预警处理状态，支持将预警信息按标准要求推送至接处警系统</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化工处置力量</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消防队伍统计分析：统计分析连云港市各类消防队伍、人员配置、车辆配置情况</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化工编队统计分析：统计分析连云港市各类化工编成队伍建设情况和各类救援单元、消防车、救援人员配置情况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消防救援车辆统计分析：统计分析连云港市灭火、高喷、专勤等各类消防车数量，并统计在位总数</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消防队站分布：支持在GSI地图上显示各队站分布的地理位置，将接入的队站位置进行校准，确保跟实际位置统一；区别显示队</w:t>
            </w:r>
            <w:r>
              <w:rPr>
                <w:rFonts w:hint="eastAsia" w:ascii="宋体" w:hAnsi="宋体" w:eastAsia="宋体" w:cs="宋体"/>
                <w:color w:val="000000"/>
                <w:sz w:val="24"/>
                <w:szCs w:val="24"/>
                <w:lang w:val="en-US" w:eastAsia="zh-CN"/>
              </w:rPr>
              <w:t xml:space="preserve">站</w:t>
            </w:r>
            <w:r>
              <w:rPr>
                <w:rFonts w:hint="eastAsia" w:ascii="宋体" w:hAnsi="宋体" w:eastAsia="宋体" w:cs="宋体"/>
                <w:color w:val="000000"/>
                <w:sz w:val="24"/>
                <w:szCs w:val="24"/>
              </w:rPr>
              <w:t xml:space="preserve">类型，主要包括消防内部力量及园区联动力量；实时显示队战状态，主要包括：出勤务、待命、拉练等。</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消防车辆分布：支持在GIS地图上实时显示在线消防车位置，对全市</w:t>
            </w:r>
            <w:r>
              <w:rPr>
                <w:rFonts w:hint="eastAsia" w:ascii="宋体" w:hAnsi="宋体" w:eastAsia="宋体" w:cs="宋体"/>
                <w:color w:val="000000"/>
                <w:sz w:val="24"/>
                <w:szCs w:val="24"/>
                <w:lang w:val="en-US" w:eastAsia="zh-CN"/>
              </w:rPr>
              <w:t xml:space="preserve">执勤</w:t>
            </w:r>
            <w:r>
              <w:rPr>
                <w:rFonts w:hint="eastAsia" w:ascii="宋体" w:hAnsi="宋体" w:eastAsia="宋体" w:cs="宋体"/>
                <w:color w:val="000000"/>
                <w:sz w:val="24"/>
                <w:szCs w:val="24"/>
              </w:rPr>
              <w:t xml:space="preserve">车辆进行筛选，匹配跟此次警情相关的车辆，并实时更新最新的车辆位置信息，动态显示在GIS地图上</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化工编队维护列表：以列表的形式显示编队、单元、车辆等详细信息，支持编队、单元、车辆名称检索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编队维护：维护编队信息，支持新增、编辑、删除操作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作战单元维护：维护作战单元信息，支持新增、编辑、删除操作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作战车辆维护：维护作战车辆信息，支持新增、编辑、删除、复制、手动排序等操作</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化工安全</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化工企业分布：统计分析连云港市4大化工园区和板桥监测点企业数量，并占地、产值、数量等分析各化工园规模情况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重大危险源分布：统计分析一级、二级、三级和四级重大危险源分布情况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重点监管危化品分布：统计分析1200余种重点监管危化品分布情况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中间监管危险化工工艺分布：统计分析18种危险化工工艺分布情况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储罐分布：统计分析内浮顶、全压力球形、半冷冻球形、卧式等储罐数量</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危化品运输</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电子运单统计分析：统计分析每月目的地和始发地为连云港市的电子运单数量，并分析危化品车高峰时段和低谷时段</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当日市内危化品车统计分析：实时统计分析当日驶往本市、抵达本市和本市出发的危化品车数量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危化品车辆检索：对当日驶往本市、抵达本市和本市出发的危化品车辆进行检索，并在GIS地图上定位</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电子运单详情查看：查看某一辆危化品车电子运单编号、驾驶员、出发时间等详细信息</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危化品车分布：接入江苏省危化品车辆数据，并构建连云港行政边界，对全省大量的出入连云港市内的危化品车辆进行甄别过滤，实时跟踪危化品车的最新位置，并在GIS地图上动态显示；同时根据车辆的过境、始发地、目的地等维度进行区别可视化展现。</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智能消火栓</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智能消火栓统计分析：统计分析全市智能消火栓总数，并实时分析正常使用和故障消火栓数量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智能消火栓详情：显示智能消火栓编号、水压值和电压值等信息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当日值班</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指挥中心值班：同步消防支队指挥中心值班人员信息并显示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编队值班：显示各化工编队当日值班人员信息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专家值班：显示消防、化工、环保和港口专家当日值班人员信息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值班日历：查看当月排班情况，支持月份和年度选择</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值班人员维护：指挥中心、编队、专家人员排班，支持新增、编辑、删除操作</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监控视频</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消防监控：实时播放消防营区、球机、单兵以及其他终端监控视频，支持单个视频锁定、视频顺序和视频随机播放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高点监控：实时播放各化工园区高点监控视频，支持单个视频锁定、视频顺序和视频随机播放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道路监控：实时播放各化工园区道路监控视频，支持单个视频锁定、视频顺序和视频随机播放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厂区监控：实时播放各化工园区内企业厂区的监控视频，支持单个视频锁定、视频顺序和视频随机播放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视频大窗口：支持各类视频放大播放，支持单个视频锁定和视频随机播放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视频列表：条目化分级显示各类视频信息，并统计各类视频在线和离线数量，实时跟踪视频状态</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视频检索：支持模糊检索各类视频数据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图层控制</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高点监控分布：支持在GIS地图上显示高点监控地理位置，支持小窗口播放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化工园区分布：支持在GIS地图上显示化工园区区域位置信息</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智能消火栓分布：支持在GIS地图上显示智能消火栓的地理位置，实时监测消火栓的好坏状态，并以不同的图标区别显示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天然水源分布：支持在GIS地图上显示天然水源水系区域位置信息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取水码头分布：支持在GIS地图上显示取水码头位置信息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企业信息</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化工企业目录：显示市内化工企业目录，支持化工企业模糊检索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单位（企业）信息：包含企业名称、地址、经营范围、法人、安全管理人等基本企业信息。</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生产存储信息：包含罐区、装置、堆场、仓库、火炬等重要区域生产存储详细信息，支持在倾斜摄影平台上显示其地理位置</w:t>
            </w:r>
            <w:r>
              <w:rPr>
                <w:rFonts w:hint="eastAsia" w:ascii="宋体" w:hAnsi="宋体" w:eastAsia="宋体" w:cs="宋体"/>
                <w:color w:val="000000"/>
                <w:sz w:val="24"/>
                <w:szCs w:val="24"/>
                <w:lang w:eastAsia="zh-CN"/>
              </w:rPr>
              <w:t xml:space="preserve">。</w:t>
            </w:r>
            <w:r/>
          </w:p>
        </w:tc>
      </w:tr>
      <w:tr>
        <w:trPr>
          <w:trHeight w:val="49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企业设施信息：DCS控制室、监控视频、应急事故池、出入口、内部道路、地势差等，支持在倾斜摄影平台上显示其地理位置。</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消防设施信息：企业内消火栓、固定炮、消防水池/罐、泡沫站、消防泵房、消防管网、自然水源、消防控制室等，支持在倾斜摄影平台上显示其地理位置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企业专职队信息：队伍基本信息、队伍主要联系人等信息，支持在倾斜摄影平台上显示其地理位置</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资料图纸信息：包含企业（厂区）的四色风险图、工艺图、平面图、消防系统图、消防预案等图纸和企业文档</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外部建筑结构信息：在影像图上筛选叠加相关厂区的倾斜摄影模型，根据webgis加载三维可视化性能限制，构建模型加载优化机制，基于模型的精度和体量大小，对模型进行显示精度和预加载处理，确保模型在不同大小、不同层级下最佳显示效果和最优加载速度</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危化品车辆信息：包含危化品车辆基本信息、车辆驾驶员、电子运单信息等，支持在倾斜摄影平台上显示其地理位置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MSDS列表：条目化显示危化品中文名称、英文名称和CAS.NO信息，支持MSDS列表检索</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MSDS详情：根据设计的格式对源MSDS数据筛选组合，形成显示危化品名称、理化性质、危险特性等信息详情清单</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化工战时救援</w:t>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警情缩略</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警情处置阶段跟踪：对警情进行时序化状态链条显示，实时跟踪警情处理阶段，显示每个阶段处理的时间</w:t>
            </w:r>
            <w:r>
              <w:rPr>
                <w:rFonts w:hint="eastAsia" w:ascii="宋体" w:hAnsi="宋体" w:eastAsia="宋体" w:cs="宋体"/>
                <w:color w:val="000000"/>
                <w:sz w:val="24"/>
                <w:szCs w:val="24"/>
                <w:lang w:eastAsia="zh-CN"/>
              </w:rPr>
              <w:t xml:space="preserve">。</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警情详情：显示案件的基本信息，包括案件等级、案件描述、事故对象、地址、报警分析、指挥模式等，显示案件计时</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162</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调派力量</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调派力量缩略：实时统计本次调派队次、车辆和人员数量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163</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化工编成调派力量：以编队形式显示本次调派的化工编成队伍，包括编队、单元、车辆</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164</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联勤联动通知力量：显示本次通知的联勤联动力量，并实时跟踪力量到场状态</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165</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调派队站画像：统计分析本次调派的队站、车辆和人员信息，并实时跟踪队站出动状态</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166</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调派车辆画像：统计分析各类消防救援车辆调派信息和最大举升高度、灭火剂量等</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167</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出动人员画像：统计分析国家队和专职队出动人员信息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168</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调派力量检索：根据车辆车牌、编队、类型检索定位调派车辆</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169</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调派力量位置跟踪：在GIS地图是显示调派队站的位置，并生成调派队站和事故点之间的消防车路径规划，实时跟踪出动消防车的地理位置，并显示剩余到达时间</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物资装备</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物资装备统计：统计分析市内消防作战车辆、重点装备和重点物资信息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物资分布：在GIS地图上显示消防作战车辆、重点装备和重点物资存放位置和数量</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172</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物资运送路线规划：在GIS地图上显示消防作战车辆、重点装备和重点物资存放点到事故点之间的导航路径规划</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173</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物资列表：以分页的形式显示消防化工救援所需的物资信息</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174</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物资数据维护：消防和社会救援物资数据的维护，支持新增、编辑、删除操作，并支持在GIS地图上标注点位信息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175</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装备列表：以分页的形式显示消防化工救援所需的装备信息</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176</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装备数据维护：消防和社会救援装备数据维护，支持新增、编辑、删除操作，并支持在GIS地图上标注点位信息</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177</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水源分析</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▲水源统计分析：统计分析厂区内消火栓、消防用水储备数量，毗邻企业用水储备数量，距离最近的天然水源，和范围内取水码头数量，支持展现消火栓的稳压压力和高压压力数值</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178</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水源分布：汇聚事故点周边范围内消火栓、消防炮、消防水池、消防水罐、天然水源、取水码头的地理位置分布</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179</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距离测算：在倾斜摄影模型上使用距离测量工具量算水源距离故事部位之间的距离</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组织指挥</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支队指挥模式：根据支队指挥特征，生成支队指挥模式组织架构图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总队指挥模式：根据总队指挥特征，生成总队指挥模式组织架构图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182</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应急指挥模式：根据应急指挥部的指挥特征，生成应急指挥模式组织架构图</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183</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组织指挥模板维护首页：以列表的形式分类显示支队、总队、应急指挥组织架构模板，支持模板名称检索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184</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组织指挥模板应用：查看选择的组织指挥模板，支持战时救援更新应用</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185</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组织指挥模板维护：维护支队、总队、应急三种模式的组织架构模板，支持新增、编辑、删除操作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186</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none" w:color="000000" w:sz="4" w:space="0"/>
              <w:bottom w:val="single" w:color="auto" w:sz="4" w:space="0"/>
              <w:right w:val="single" w:color="000000" w:sz="4" w:space="0"/>
            </w:tcBorders>
            <w:tcW w:w="182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企业情况</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重大危险源统计：显示事故企业总数和一级、二级、三级、四级重大危险源数量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187</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灭火剂分析</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泡沫原液估算：根据事故部位特性和灭火时长，通过灭火剂分析模型公式计算出所需泡沫原液量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188</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供液时间估算：通过事故部位特性、现场存储水量、泡沫原液等元素计算出总供液时长</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189</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供水量估算：根据事故部位特性、泡沫原液、毗邻储罐等元素计算出总的供水量需求</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泡沫强度计算：根据事故部位着火面积、部位物理特征等元素计算出泡沫强度</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▲最大供水流量计算：根据事故部位着火面积、部位物理特征和毗邻储罐的受影响面等元素计算出最大供水流量</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192</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专家会商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通讯录：条目化显示通讯录人员信息，支持人员检索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193</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点对点音视频通信：支持点对点音视频通信，通过通讯录人员直呼</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194</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视频会议：将通讯录中多个人员群呼，组成视频会议</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195</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火场文书</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▲文书总览：按时间节点显示文书内容，包括文字、图片、短视频、语音，文书内容来源不一，包括移动端、车载台等，需要根据来源匹配不同系统，再进行数据整合显示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196</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电台语音：筛选出本次警情的语音文书，按时间排序显示，支持两年周期存储播放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197</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现场图像：筛选出本次警情的图片和短视频，按时间排序显示，短视频支持一年周期播放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198</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气象特征</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天气情况：实时显示本市当日小时气象预报，气象情况主要包括：天气、温度、风向、风力等</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199</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未来6小时风力：显示本市未来6小时的风力分布图</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未来6小时降雨量：显示本来未来6小时的降雨量分布图</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企业信息</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受灾标记：支持在倾斜摄影模型上标注受灾部位并在三维场景中模拟出真实火焰特效，支持手动调整火焰类型、火焰大小</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202</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标绘管理：关联企业历史标绘图，以列表的形式显示受灾单位的标绘图，支持选择的标绘图在倾斜摄影模型上显示和图层显示隐藏，标绘图包括基础的点线面和特性的消防救援车辆、禁停区、警戒区、进攻路线等作战部署和作战标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支持PC端和移动端协同标绘</w:t>
            </w:r>
            <w:r>
              <w:rPr>
                <w:rFonts w:hint="eastAsia" w:ascii="宋体" w:hAnsi="宋体" w:eastAsia="宋体" w:cs="宋体"/>
                <w:color w:val="000000"/>
                <w:sz w:val="24"/>
                <w:szCs w:val="24"/>
                <w:highlight w:val="none"/>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203</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测量工具：支持在倾斜摄影模型上测高、测距、测面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204</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人员定位</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身份绑定：显示人员和设备列表，并显示设备绑定状态，支持定位设备与人员绑定</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205</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人员位置：在倾斜摄影模型上实时显示绑定人员地理位置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206</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告警提醒：实时监视设备状态，显示设备告警信息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战例复盘</w:t>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战例复盘首页</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战例卡片列表：按时间分页显示处理的警情列表，支持时间、类型、描述检索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战例分类：将战例按火灾扑救和抢险救援两个维度分类，通过标签快速筛选战例卡片</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战评总结评价</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战例地图分布：将搜索后的战例按分页显示在地图上</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战例切换：选中某个战例，地图和信息面板均切换为该战例内容</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战例地图要素：显示该战例以灾点为中心，自动显示周边一定范围内的消防要素，包括：消防救援机构、联勤联动机构、消火栓、其他水源和上报标注点等信息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警情信息概览：简要显示该战例的案件信息、报警信息、警情画像、组织指挥等内容</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派遣力量：统计该案例派遣力量，并和本年其它警情力量调派进行对比</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复盘总结：构建总结算法模型，根据案件类型、派车、出动、到场等信息以及现场反馈情况综合评价该战例，并生成最终评价结果及图形化雷达图形</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战例复盘推演</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案件总览复现：案例总览时间轴根据推演过程进行复现展示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复盘推演：支持控制推演的开始、暂停、结束操作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复盘主/次节点显示：将关键节点按不同类别显示在播放时间轴上，通过主节点可显示关联次节点</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节点跳跃：推演过程中允许跳跃到任意节点处</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图像复现及统计：现场图像根据推演过程进行复现展示，并对图像的来源、产生时段进行统计分析</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力量动态复现：力量动态时间轴根据推演过程进行复现展示，并在GIS地图上按历史路径和时间，显示车辆的位置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作战演训</w:t>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预案管理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预案列表：对已有预案进行列表展示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考核内容维护：维护考核内容信息，以列表的形式显示，支持新增、编辑、删除操作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考核对象维护：维护考核对象信息，以卡片形式显示对象列表，支持新增、移除操作</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non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▲考核场景维护：维护考核场景信息，包括预案基本信息、考核内容信息、监控设备信息、考核对象信息、部署标绘信息，支持新增、编辑、删除操作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考核管理</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考核统计：对各编队考核的结果进行统计，以图文的形式显示统计结果</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新建考核：通过设置响应的条件进行新建考核对目标编队进行训练考核，配置考核流程，流程包括选择预案、填写考核基本信息、确认考核项、确认监控设备、归档 6 大功能模块</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考核检索：支持按照约束条件进行目标检索</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考核监测：对考核过程进行监测，监测内容包括文字、语音、图像等，对接的来源有多个端，有文字、语音、短视频和直播视频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考核评价：对考核结果进行评价，并输出评价结果</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考核列表：对历史考核进行展示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服务组件</w:t>
            </w:r>
            <w:r/>
          </w:p>
        </w:tc>
        <w:tc>
          <w:tcPr>
            <w:gridSpan w:val="2"/>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应用服务组件</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全勤值守应用服务：提供值班人员身份、值班日程、负责区域等值班信息记录和查询服务</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通用服务组件</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火场文书服务：接警信息、通话信息、通知记录、现场反馈记录、返队记录的警情链全流程查询服务</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参战力量服务：提供调派参战机构、车辆、人员信息，并由参战机构和人员进行消息确认和反馈服务</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组织指挥服务：根据警情等级调整指挥组织架构，提供指挥员联系方式，进行站指挥、支队指挥、总队指挥的指挥模式服务</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联勤联动服务：根据联勤联动人员身份推送不同警情信息，提供联勤联动人员二次调派服务</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作战人员服务：通过使用相关的软件和硬件设备，提供救援相关人员的精确位置信息服务</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移动指挥端</w:t>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企业信息</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警情信息：警情级别、辖区队站、警情位置、警情描述、立案时间显示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标绘管理：选择受灾单位的标绘图在倾斜摄影模型上显示，支持图层显示隐藏</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测量工具：支持在倾斜摄影模型上进行立体测量，包括：测高、测距、测面，并将测量结果显示在三维模型上，支持结果清除</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快捷操作栏：提供企业信息、生产存储信息、MSDS信息、资料信息、设备设施信息显示</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企业基本信息：显示企业名称、地址、产业类型、主要联系人、经营范围、危险源和企业消防队伍信息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生产存储列表：显示罐区、装置、堆场、仓库和火炬缩略列表信息</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罐区信息：显示罐区的基本信息，并在倾斜摄影模型上显示罐区边界</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储罐信息：显示储罐的物理特征和存储介质信息，并在倾斜摄影模型上显示储罐点位，支持储罐的存储介质关联MSDS库</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储罐信息分享：将储罐的详细信息以图片形式分享至平台全勤会商群组</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装置信息：显示装置的基本信息，并在倾斜摄影模型上显示装置边界</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单元/设备信息：显示装置下的单元/设备基本信息，并在倾斜摄影模型上显示单位边界和设备点位</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仓库信息：显示仓库的基本信息，并在倾斜摄影模型上显示仓库边界</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堆场信息：显示堆场的基本信息，并在倾斜摄影模型上显示堆场边界</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MSDS分享：支持将查询的危化品MSDS信息以图片形式分享至平台全勤会商群组</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MSDS列表：条目化显示危化品中文名称、英文名称和CAS.NO信息，支持MSDS信息检索</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MSDS详情：根据设计的格式对源MSDS数据筛选组合，形成显示危化品名称、理化性质、危险特性等信息详情清单</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MSDS分享：支持将查询的危化品MSDS信息以图片形式分享至平台全勤群</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资料信息列表：显示图纸、预案等资料信息列表，厂区的图纸分类包括厂区风险四色图、平面图、水系统图、工艺图等，预案包括工艺段预案、罐区预案、装置预案等，支持在线调阅显示</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企业设施信息：DCS控制室、消防控制室、监控视频、出入口、道路限宽等，支持在倾斜摄影平台上显示其地理位置。</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消防设施信息：企业内消火栓、固定炮、消防水池、泡沫站、消防泵房、消防管网、自然水源等，支持在倾斜摄影平台上显示其地理位置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企业专职队信息：队伍基本信息、队伍主要联系人等信息</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258</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外部倾斜摄影信息：在影像图上筛选叠加相关厂区的倾斜摄影模型，根据移动终端加载三维可视化性能限制，构建模型加载优化机制，基于模型的精度和体量大小，对模型进行显示精度和预加载处理，确保模型在不同大小不同层级下保证显示效果和加载速度</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259</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联勤联动作战端</w:t>
            </w:r>
            <w:r/>
          </w:p>
        </w:tc>
        <w:tc>
          <w:tcPr>
            <w:gridSpan w:val="2"/>
            <w:shd w:val="clear" w:color="auto" w:fill="auto"/>
            <w:tcBorders>
              <w:top w:val="single" w:color="auto" w:sz="4" w:space="0"/>
              <w:left w:val="none" w:color="000000" w:sz="4" w:space="0"/>
              <w:bottom w:val="single" w:color="auto" w:sz="4" w:space="0"/>
              <w:right w:val="single" w:color="auto" w:sz="4" w:space="0"/>
            </w:tcBorders>
            <w:tcW w:w="182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联勤联动通知</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接收链接：通过短信的方式接收通知信息链接</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260</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警情首页</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警情地图：在GIS地图上显示本次警情点位图标和状态</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261</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警情统计：对今日、本月、本年联动警情数量进行统计</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262</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警情列表：警情统计面板可显示警情列表，点击单个警情可进入警情浏览</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263</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警情描述</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警情描述：显示警情的关键信息，包括警情等级、警情位置、案件描述、立案时间、处置用时</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264</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警情反馈：确认收到警情和确认到场状态</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265</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会商：支持会商群聊，在群聊中进行文字、文件发送、位置共享等操作</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266</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视角切换：支持地图视角切换，默认为灾点中心视角（显示灾点400米内的各项资源、人员、车辆位置），可切换为力量视角（仅显示灾点、所有出动车辆、用户自己的位置）</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267</w:t>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导航：支持唤起手机导航，自动置入起点终点</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268</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消防数据服务组件</w:t>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外部系统数据接入服务</w:t>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车辆信息：车辆基本信息和位置信息数据接口开发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269</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装备信息：装备信息数据接口开发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人员信息：救援人员基本信息、位置信息和值班人员信息数据接口开发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交接班信息：交接班信息数据接口开发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272</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消防机构信息：救援机构和行政机构信息数据接口开发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273</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水源信息：取水码头、自然水源、人工水源和室外消火栓信息数据接口开发</w:t>
            </w:r>
            <w:r>
              <w:rPr>
                <w:rFonts w:hint="eastAsia" w:ascii="宋体" w:hAnsi="宋体" w:eastAsia="宋体" w:cs="宋体"/>
                <w:color w:val="000000"/>
                <w:sz w:val="24"/>
                <w:szCs w:val="24"/>
                <w:lang w:eastAsia="zh-CN"/>
              </w:rPr>
              <w:t xml:space="preserve">。</w:t>
            </w:r>
            <w:r/>
          </w:p>
        </w:tc>
      </w:tr>
      <w:tr>
        <w:trPr>
          <w:trHeight w:val="67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274</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警情信息：案件信息表、案件合并信息、案件状态信息、报警记录信息、处警记录信息、接警记录信息、电话报警信息、录音信息数据、文书信息、调派信息、作战车辆信息和作战车辆变更记录信息数据接口开发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275</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消防自有图像信息：营区监控信息、单兵视频信息和布控球视频信息数据接口开发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276</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园区内部图像信息：高点视频信息、厂区视频信息和道路视频信息数据接口开发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277</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企业信息：企业基础信息、生产存储信息、设备设施信息和资料图纸信息数据接口开发</w:t>
            </w:r>
            <w:r>
              <w:rPr>
                <w:rFonts w:hint="eastAsia" w:ascii="宋体" w:hAnsi="宋体" w:eastAsia="宋体" w:cs="宋体"/>
                <w:color w:val="000000"/>
                <w:sz w:val="24"/>
                <w:szCs w:val="24"/>
                <w:lang w:eastAsia="zh-CN"/>
              </w:rPr>
              <w:t xml:space="preserve">。</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278</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告警信息：GDS告警信息、DCS告警信息、危化品车告警信息、烟雾监测告警信息和智能消火栓告警信息数据接口开发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279</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气象信息：气象信息数据接口开发</w:t>
            </w:r>
            <w:r>
              <w:rPr>
                <w:rFonts w:hint="eastAsia" w:ascii="宋体" w:hAnsi="宋体" w:eastAsia="宋体" w:cs="宋体"/>
                <w:color w:val="000000"/>
                <w:sz w:val="24"/>
                <w:szCs w:val="24"/>
                <w:lang w:eastAsia="zh-CN"/>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280</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gridSpan w:val="2"/>
            <w:shd w:val="clear" w:color="auto" w:fill="auto"/>
            <w:tcBorders>
              <w:top w:val="none" w:color="000000" w:sz="4" w:space="0"/>
              <w:left w:val="single" w:color="auto" w:sz="4" w:space="0"/>
              <w:bottom w:val="single" w:color="000000" w:sz="4" w:space="0"/>
              <w:right w:val="single" w:color="000000" w:sz="4" w:space="0"/>
            </w:tcBorders>
            <w:tcW w:w="1826"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289"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MSDS信息：MSDS信息数据接口开发</w:t>
            </w:r>
            <w:r>
              <w:rPr>
                <w:rFonts w:hint="eastAsia" w:ascii="宋体" w:hAnsi="宋体" w:eastAsia="宋体" w:cs="宋体"/>
                <w:color w:val="000000"/>
                <w:sz w:val="24"/>
                <w:szCs w:val="24"/>
                <w:lang w:eastAsia="zh-CN"/>
              </w:rPr>
              <w:t xml:space="preserve">。</w:t>
            </w:r>
            <w:r/>
          </w:p>
        </w:tc>
      </w:tr>
    </w:tbl>
    <w:p>
      <w:pPr>
        <w:pStyle w:val="847"/>
        <w:rPr>
          <w:rFonts w:ascii="宋体" w:hAnsi="宋体" w:eastAsia="宋体" w:cs="宋体"/>
          <w:sz w:val="24"/>
          <w:szCs w:val="24"/>
          <w:highlight w:val="none"/>
        </w:rPr>
      </w:pPr>
      <w:r>
        <w:rPr>
          <w:rFonts w:hint="eastAsia" w:ascii="宋体" w:hAnsi="宋体" w:eastAsia="宋体" w:cs="宋体"/>
          <w:sz w:val="24"/>
          <w:szCs w:val="24"/>
          <w:highlight w:val="none"/>
        </w:rPr>
        <w:t xml:space="preserve">（2）系统集成服务</w:t>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195"/>
        <w:gridCol w:w="6651"/>
      </w:tblGrid>
      <w:tr>
        <w:trPr>
          <w:trHeight w:val="498"/>
        </w:trPr>
        <w:tc>
          <w:tcPr>
            <w:tcW w:w="397"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01" w:type="pct"/>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系统集成</w:t>
            </w:r>
            <w:r/>
          </w:p>
        </w:tc>
        <w:tc>
          <w:tcPr>
            <w:tcW w:w="3902" w:type="pct"/>
            <w:vAlign w:val="center"/>
            <w:textDirection w:val="lrTb"/>
            <w:noWrap w:val="false"/>
          </w:tcPr>
          <w:p>
            <w:pPr>
              <w:pStyle w:val="875"/>
              <w:rPr>
                <w:rFonts w:ascii="宋体" w:hAnsi="宋体" w:cs="宋体"/>
                <w:sz w:val="24"/>
                <w:szCs w:val="24"/>
                <w:highlight w:val="none"/>
              </w:rPr>
            </w:pPr>
            <w:r>
              <w:rPr>
                <w:rFonts w:hint="eastAsia" w:ascii="宋体" w:hAnsi="宋体" w:cs="宋体"/>
                <w:sz w:val="24"/>
                <w:szCs w:val="24"/>
                <w:highlight w:val="none"/>
              </w:rPr>
              <w:t xml:space="preserve">集成软件的操作系统需满足业务需求，确保业务流程的顺畅进行，包括消防一体化指挥作战平台、消防救援重点目标作战要素采集系统和消防救援移动作战端。</w:t>
            </w:r>
            <w:r/>
          </w:p>
        </w:tc>
      </w:tr>
    </w:tbl>
    <w:p>
      <w:pPr>
        <w:pStyle w:val="847"/>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2.建设应用技术要求</w:t>
      </w:r>
      <w:r/>
    </w:p>
    <w:p>
      <w:pPr>
        <w:pStyle w:val="847"/>
        <w:spacing w:line="240" w:lineRule="auto"/>
        <w:rPr>
          <w:rFonts w:ascii="宋体" w:hAnsi="宋体" w:eastAsia="宋体" w:cs="宋体"/>
          <w:sz w:val="24"/>
          <w:szCs w:val="24"/>
          <w:highlight w:val="none"/>
        </w:rPr>
      </w:pPr>
      <w:r/>
      <w:bookmarkStart w:id="4" w:name="_Toc162877725"/>
      <w:r>
        <w:rPr>
          <w:rFonts w:hint="eastAsia" w:ascii="宋体" w:hAnsi="宋体" w:eastAsia="宋体" w:cs="宋体"/>
          <w:sz w:val="24"/>
          <w:szCs w:val="24"/>
          <w:highlight w:val="none"/>
        </w:rPr>
        <w:t xml:space="preserve">（1）图像融合汇聚平台</w:t>
      </w:r>
      <w:bookmarkEnd w:id="4"/>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化工园区已有图像类视频资源包含园区高点监控视频、道路监控视频、厂</w:t>
      </w:r>
      <w:r>
        <w:rPr>
          <w:rFonts w:hint="eastAsia" w:ascii="宋体" w:hAnsi="宋体" w:eastAsia="宋体" w:cs="宋体"/>
          <w:sz w:val="24"/>
          <w:szCs w:val="24"/>
          <w:highlight w:val="none"/>
        </w:rPr>
        <w:t xml:space="preserve">区监控视频等。通过建设图像融合汇聚平台将所有视频监控类资源统一汇聚，建设连云港市级互联网侧视频联网汇聚模块，通过整合徐圩新区石化产业基地、赣榆区柘汪临港产业区、灌云县临港产业区、连云港化工产业园区（灌南）四个化工园区视频资源，屏蔽各厂商底层的差异化，实现统一接入和统一编码，构建城市级消防视频资源池，为上层应用提供基础的视频服务。汇聚完成后为消防一体化作战指挥平台提供统一接口，满足视频预览等基础应用。通过调研企业的网络和视频监控的实际情况，选择平台接入方式进行对接，设计图像接入融合汇聚能力至少为10000路。</w:t>
      </w:r>
      <w:r/>
    </w:p>
    <w:p>
      <w:pPr>
        <w:pStyle w:val="847"/>
        <w:rPr>
          <w:rFonts w:ascii="宋体" w:hAnsi="宋体" w:eastAsia="宋体" w:cs="宋体"/>
          <w:sz w:val="24"/>
          <w:szCs w:val="24"/>
          <w:highlight w:val="none"/>
        </w:rPr>
      </w:pPr>
      <w:r/>
      <w:bookmarkStart w:id="5" w:name="_Toc162877726"/>
      <w:r>
        <w:rPr>
          <w:rFonts w:hint="eastAsia" w:ascii="宋体" w:hAnsi="宋体" w:eastAsia="宋体" w:cs="宋体"/>
          <w:sz w:val="24"/>
          <w:szCs w:val="24"/>
          <w:highlight w:val="none"/>
        </w:rPr>
        <w:t xml:space="preserve">（2）通信语音留存系统</w:t>
      </w:r>
      <w:bookmarkEnd w:id="5"/>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集群通信系统通过支队指挥中心、化工处置专业指挥中心、前方指挥部配备基地台、集群台，建立通信一级网；前方指挥部、各作战单元、参战队站配备集群台、手持台（现有），建立通信二级网；各作战单元和队站内部配备数字电台，建立通信三级网，完成通信网络搭建，同时前方指挥部能实现一键强制呼叫功能。在通信指挥车内计算机上部署录音软件，通过车载电台，实现对现场通信语音全程留存。</w:t>
      </w:r>
      <w:r/>
    </w:p>
    <w:p>
      <w:pPr>
        <w:pStyle w:val="847"/>
        <w:rPr>
          <w:rFonts w:ascii="宋体" w:hAnsi="宋体" w:eastAsia="宋体" w:cs="宋体"/>
          <w:sz w:val="24"/>
          <w:szCs w:val="24"/>
          <w:highlight w:val="none"/>
        </w:rPr>
      </w:pPr>
      <w:r/>
      <w:bookmarkStart w:id="6" w:name="_Toc162877728"/>
      <w:r>
        <w:rPr>
          <w:rFonts w:hint="eastAsia" w:ascii="宋体" w:hAnsi="宋体" w:eastAsia="宋体" w:cs="宋体"/>
          <w:sz w:val="24"/>
          <w:szCs w:val="24"/>
          <w:highlight w:val="none"/>
        </w:rPr>
        <w:t xml:space="preserve">（3）数据融合智慧平台</w:t>
      </w:r>
      <w:bookmarkEnd w:id="6"/>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连云港市消防救援支队消防数据服务分为数据资源门户、数据治理服务、接入管理、数据接入、数</w:t>
      </w:r>
      <w:r>
        <w:rPr>
          <w:rFonts w:hint="eastAsia" w:ascii="宋体" w:hAnsi="宋体" w:eastAsia="宋体" w:cs="宋体"/>
          <w:sz w:val="24"/>
          <w:szCs w:val="24"/>
          <w:highlight w:val="none"/>
        </w:rPr>
        <w:t xml:space="preserve">据接入备份、数据共享服务。从不同来源的异构数据到各类面向服务和应用所需数据的汇聚过程，按照统一治理的要求，建立面向不同服务对象、满足不同数据需求的数据架构。在信息资源规划下，构建统一消防大数据资源中心，实现统一的数据标准、数据接入、数据服务及深度的数据应用和全面的数据安全，提供数据共享交换、数据应用等服务，为化工专业平时监管、战时指挥救援等消防业务提供有力的数据支撑。全面提升火灾防控及灭火救援工作的统筹协调、互助协作能力，持续建立健全综合应急救援联动体系，切实创建优势互补、左右联动、全局发力的联合作战模式。</w:t>
      </w:r>
      <w:r/>
    </w:p>
    <w:p>
      <w:pPr>
        <w:pStyle w:val="847"/>
        <w:rPr>
          <w:rFonts w:ascii="宋体" w:hAnsi="宋体" w:eastAsia="宋体" w:cs="宋体"/>
          <w:sz w:val="24"/>
          <w:szCs w:val="24"/>
          <w:highlight w:val="none"/>
        </w:rPr>
      </w:pPr>
      <w:r/>
      <w:bookmarkStart w:id="7" w:name="_Toc162877729"/>
      <w:r>
        <w:rPr>
          <w:rFonts w:hint="eastAsia" w:ascii="宋体" w:hAnsi="宋体" w:eastAsia="宋体" w:cs="宋体"/>
          <w:sz w:val="24"/>
          <w:szCs w:val="24"/>
          <w:highlight w:val="none"/>
        </w:rPr>
        <w:t xml:space="preserve">（4）消防一体化作战指挥平台</w:t>
      </w:r>
      <w:bookmarkEnd w:id="7"/>
      <w:r/>
      <w:r/>
    </w:p>
    <w:p>
      <w:pPr>
        <w:pStyle w:val="876"/>
        <w:spacing w:before="156" w:after="156"/>
        <w:rPr>
          <w:rFonts w:eastAsia="宋体" w:cs="宋体"/>
          <w:sz w:val="24"/>
          <w:szCs w:val="24"/>
          <w:highlight w:val="none"/>
        </w:rPr>
      </w:pPr>
      <w:r>
        <w:rPr>
          <w:rFonts w:hint="eastAsia" w:eastAsia="宋体" w:cs="宋体"/>
          <w:sz w:val="24"/>
          <w:szCs w:val="24"/>
          <w:highlight w:val="none"/>
        </w:rPr>
        <w:t xml:space="preserve">本次项目建设基于化工事故救援实战需求，构建面向指挥中心指挥人员及值班人员从平时、接警、调派、侦查、到场、展开、战评总结的消防一体化作战指挥平台。通过接入企业信息、物</w:t>
      </w:r>
      <w:r>
        <w:rPr>
          <w:rFonts w:hint="eastAsia" w:eastAsia="宋体" w:cs="宋体"/>
          <w:sz w:val="24"/>
          <w:szCs w:val="24"/>
          <w:highlight w:val="none"/>
        </w:rPr>
        <w:t xml:space="preserve">联监控、值班值守信息进行统计分析展示，提供日常管理能力，通过训练考核推进消防训练体系与实战体系深度融合，实现“训、考、评”一体化；通过接入危化品车、DCS、GDS、智能消火栓、烟雾监测等告警信息，提供化工类事故的主动感知能力，实现风险预警告警；通过综合态势实现灾害现场气象信息、危化品车辆、作战车辆、人员位置、企业设施、生产存储、消防设施、图纸资料、融媒体等各类消防数据资源的统一汇聚展现；通过辅助决策工具、智能分析模型等，实现专家会商、地理测量、标绘管理、受灾标记、灭火剂用量分析等，提供指挥作战辅助支撑能力。</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ind w:firstLine="482"/>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本项目需配置项目团队成员不低于10人，包括项目经理1人，技术负责人1人，项目组成员不低于8人。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投标人一经中标，项目经理不得随意更换，如有特殊原因需更换，须提前10天通知，经采购人同意后，方可更换。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在整个项目开发实施全过程中，项目经理与采购人单位管理人员做好对接工作，并制定详细实施计划，包括任务目标、实施周期、人员安排等（信息系统项目管理师证书）。项目经理要全流程跟进项目，优化IT服务交付流程，提升客户满意度。项目经理应确保项目遵循严格的信息安全标准，保护数据与系统的安全。此外，项目经理能够设计并实施有效的安全策略与措施，防范潜在的信息安全威胁，全面保障项目的信息安全与业务连续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软件开发技术负责人：</w:t>
      </w:r>
      <w:r>
        <w:rPr>
          <w:rFonts w:hint="eastAsia" w:ascii="宋体" w:hAnsi="宋体" w:eastAsia="宋体" w:cs="宋体"/>
          <w:sz w:val="24"/>
          <w:szCs w:val="24"/>
          <w:highlight w:val="none"/>
          <w:lang w:val="en-US" w:eastAsia="zh-CN"/>
        </w:rPr>
        <w:t xml:space="preserve">负责整个信息系统的高效规划、设计、实施、运维和优化，制定信息系统长期发展规划，包括技术选型、架构设计和资源分配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同时软件开发负责人应负责根据业务需求和技术要求，完成系统的整体架构设计，包括技术选型、中间件应用等，确保系统具备良好的可扩展性、稳定性、安全性和性能。</w:t>
      </w:r>
      <w:r>
        <w:rPr>
          <w:rFonts w:hint="eastAsia" w:ascii="宋体" w:hAnsi="宋体" w:eastAsia="宋体" w:cs="宋体"/>
          <w:sz w:val="24"/>
          <w:szCs w:val="24"/>
          <w:highlight w:val="none"/>
        </w:rPr>
        <w:t xml:space="preserve">此外，软件开发负责人应确保软件开发过程中严格遵守数据安全与合规性，防止潜在的安全漏洞。</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系统分析师：负责系统需求分析、架构设计，确保系统满足业务需求并高效运行。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系统架构设计师：规划并设计系统的整体架构，确保系统的可扩展性、稳定性和安全性。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数据库系统工程师：管理数据库系统，包括设计、开发、运维及优化，保障数据安全与高效访问。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软件设计师：设计并实现软件系统，确保软件质量，满足用户需求。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注册信息安全专业人员(CISP)：提供信息安全保障，制定安全策略，预防并应对信息安全威胁。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信息安全保障人员：负责信息安全保障工作，提升组织信息安全水平。</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IT服务工程师：为用户提供IT技术支持与服务，解决技术问题，确保IT系统顺畅运行。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网络工程师：设计、配置、维护网络系统，确保网络稳定、安全、高效运行。</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四、服务期限与项目进度安排</w:t>
      </w:r>
      <w:r/>
    </w:p>
    <w:p>
      <w:pPr>
        <w:ind w:firstLine="482"/>
        <w:spacing w:line="360" w:lineRule="auto"/>
        <w:rPr>
          <w:rFonts w:ascii="宋体" w:hAnsi="宋体" w:eastAsia="宋体" w:cs="宋体"/>
          <w:b/>
          <w:i/>
          <w:iCs/>
          <w:color w:val="000000"/>
          <w:sz w:val="24"/>
          <w:szCs w:val="24"/>
          <w:highlight w:val="none"/>
        </w:rPr>
        <w:outlineLvl w:val="1"/>
      </w:pPr>
      <w:r>
        <w:rPr>
          <w:rFonts w:hint="eastAsia" w:ascii="宋体" w:hAnsi="宋体" w:eastAsia="宋体" w:cs="宋体"/>
          <w:b/>
          <w:i/>
          <w:iCs/>
          <w:color w:val="000000"/>
          <w:sz w:val="24"/>
          <w:szCs w:val="24"/>
          <w:highlight w:val="none"/>
          <w:u w:val="single"/>
        </w:rPr>
        <w:t xml:space="preserve">（1）服务期限：自合同签订之日起4个月内完成平台搭建部署并申请初步验收，初步验收后，进入试运行3个月，试运行期满后进行最终验收。</w:t>
      </w:r>
      <w:r/>
    </w:p>
    <w:p>
      <w:pPr>
        <w:pStyle w:val="875"/>
        <w:ind w:firstLine="480"/>
        <w:rPr>
          <w:rFonts w:ascii="宋体" w:hAnsi="宋体" w:cs="宋体"/>
          <w:sz w:val="24"/>
          <w:szCs w:val="24"/>
          <w:highlight w:val="none"/>
        </w:rPr>
      </w:pPr>
      <w:r>
        <w:rPr>
          <w:rFonts w:hint="eastAsia" w:ascii="宋体" w:hAnsi="宋体" w:cs="宋体"/>
          <w:sz w:val="24"/>
          <w:szCs w:val="24"/>
          <w:highlight w:val="none"/>
        </w:rPr>
        <w:t xml:space="preserve">（2）项目进度安排</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自合同签订之日起1个月内需完成详细设计，3个月内完成平台部署，中标人应在完成平台部署后2周内向采购人申请初步验收。初步验收后，项目进入试运行阶段，试运行周期为3个月，试运行期满后，中标人应在2周内向采购人申请最终验收。</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五、服务标准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1.主要工作包含软件安装调试和软件开发，网络调试，与采购人的沟通协调，运行维护期的技术服务等。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2.本项目涉及到相关系统的设计、安装、调试及维护，相关项目组成员需要具备相关能力，以保证项目实施、系统规划质量及解决系统的突发事件，包括系统出故障之后的维修工作。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3.现场进行安装调试，直至验收合格，验收时配合采购单位做好验收工作。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4.能够组织项目实施和管理能力，对项目的软件、设备、进度和质量等进行管理，并能根据实际情况及时做出调整，系统监督项目实施过程的绩效，保证项目在一定的约束条件下达到既定的项目目标。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5.安全保障要求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5.1具备统一完善的多级安全机制设置，符合国家安全保密的机制、用户验证、访问控制等规定，拒绝非法用户和合法用户越权操作，避免系统数据遭到破坏，防止系统数据被窃取和篡改，确保涉密信息的安全传输、存储、访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5.2中标人需与采购人签订保密协议，并签订安全责任书，所有参与项目人员需签订保密协议、安全责任书。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5.3未经采购人授权严禁对消防数据进行拷贝、拍照、录像、复制等，严禁将项目中涉及数据在非本项目场合运用或展示。</w:t>
      </w:r>
      <w:r/>
    </w:p>
    <w:p>
      <w:pPr>
        <w:ind w:firstLine="48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6.服务的质量标准应按照中国电子工业标准化技术协会信息技术服务分会制定的信息技术服务标准。</w:t>
      </w:r>
      <w:r/>
    </w:p>
    <w:p>
      <w:pPr>
        <w:ind w:firstLine="48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7.服务的安全标准应按照国际标准的信息安全管理体系进行提供。</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六、培训要求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1.培训要求：制定完善的培训计划和培训课程，提供现场培训、集中培训。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2.培训对象：各级领导、项目中各系统的使用人员、系统管理人员。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3.培训内容：对平台相关受训人员进行全方位和多层次的技术培训，在培训当中，需要对所有接受培训人员进行监督、考核，并提供培训报告，以检验培训效果。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4.培训方式：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现场培训：对系统操作员和系统维护人员就有关系统操作、使用和维护等方面进行技术培训，使受训人员能熟练掌握所有的日常维护方法以及操作命令的使用；了解系统的体系结构和工作原理；熟悉应用系统，掌握应用软件的维护，直至能熟练地独立操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集中培训：针对项目中所涉及的软件，提供专门的集中培训。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培训次数：项目终验前中标人需要针对项目中涉及软件提供不少于2次培训。</w:t>
      </w:r>
      <w:r/>
    </w:p>
    <w:p>
      <w:pPr>
        <w:ind w:firstLine="482"/>
        <w:spacing w:line="360" w:lineRule="auto"/>
        <w:rPr>
          <w:rFonts w:ascii="宋体" w:hAnsi="宋体" w:eastAsia="宋体" w:cs="宋体"/>
          <w:b/>
          <w:sz w:val="24"/>
          <w:szCs w:val="24"/>
          <w:highlight w:val="none"/>
        </w:rPr>
      </w:pPr>
      <w:r/>
      <w:bookmarkStart w:id="8" w:name="_Toc155796360"/>
      <w:r>
        <w:rPr>
          <w:rFonts w:hint="eastAsia" w:ascii="宋体" w:hAnsi="宋体" w:eastAsia="宋体" w:cs="宋体"/>
          <w:b/>
          <w:sz w:val="24"/>
          <w:szCs w:val="24"/>
          <w:highlight w:val="none"/>
        </w:rPr>
        <w:t xml:space="preserve">七、运行维护要求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提供7*24小时技术支持服务（包括故障排除、性能调优、技术咨询等，并负责处理、协调）。发生系统问题或出现其他模块功能故障，接到采购人通知后，中标人负责在1小时内响应，无法远程解决的，需在12小时内提供现场服务。一般故障2小时内解决，复杂故障8小时内解决，需现场解决的24小时内解决。</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八、售后服务要求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售后</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期</w:t>
      </w:r>
      <w:r>
        <w:rPr>
          <w:rFonts w:hint="eastAsia" w:ascii="宋体" w:hAnsi="宋体" w:eastAsia="宋体" w:cs="宋体"/>
          <w:color w:val="000000"/>
          <w:sz w:val="24"/>
          <w:szCs w:val="24"/>
          <w:highlight w:val="none"/>
        </w:rPr>
        <w:t xml:space="preserve">3年，自项目终验之日起开始计算。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售后服务包括培训、回访、维护、故障处理等。</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在采购人</w:t>
      </w:r>
      <w:r>
        <w:rPr>
          <w:rFonts w:hint="eastAsia" w:ascii="宋体" w:hAnsi="宋体" w:eastAsia="宋体" w:cs="宋体"/>
          <w:color w:val="000000"/>
          <w:sz w:val="24"/>
          <w:szCs w:val="24"/>
          <w:highlight w:val="none"/>
        </w:rPr>
        <w:t xml:space="preserve">需要时,配合</w:t>
      </w:r>
      <w:r>
        <w:rPr>
          <w:rFonts w:hint="eastAsia" w:ascii="宋体" w:hAnsi="宋体" w:eastAsia="宋体" w:cs="宋体"/>
          <w:color w:val="000000"/>
          <w:sz w:val="24"/>
          <w:szCs w:val="24"/>
          <w:highlight w:val="none"/>
          <w:lang w:eastAsia="zh-CN"/>
        </w:rPr>
        <w:t xml:space="preserve">并指导采购人</w:t>
      </w:r>
      <w:r>
        <w:rPr>
          <w:rFonts w:hint="eastAsia" w:ascii="宋体" w:hAnsi="宋体" w:eastAsia="宋体" w:cs="宋体"/>
          <w:color w:val="000000"/>
          <w:sz w:val="24"/>
          <w:szCs w:val="24"/>
          <w:highlight w:val="none"/>
        </w:rPr>
        <w:t xml:space="preserve">完成平台部署兼容主流国产化的操作系统中间件和数据库等工作</w:t>
      </w:r>
      <w:r>
        <w:rPr>
          <w:rFonts w:hint="eastAsia" w:ascii="宋体" w:hAnsi="宋体" w:eastAsia="宋体" w:cs="宋体"/>
          <w:color w:val="000000"/>
          <w:sz w:val="24"/>
          <w:szCs w:val="24"/>
          <w:highlight w:val="none"/>
          <w:lang w:eastAsia="zh-CN"/>
        </w:rPr>
        <w:t xml:space="preserve">。</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九、知识产权归属和处理方式</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1.中标人应保证采购人在使用、接受本项目中产品和服务或其任何一部分时不受第三方提出侵犯其专利权、版权、商标权和工业设计权等知识产权的起诉。一旦出现侵权，由中标人负全部责任。</w:t>
      </w:r>
      <w:r/>
    </w:p>
    <w:p>
      <w:pPr>
        <w:ind w:firstLine="480"/>
        <w:spacing w:line="360" w:lineRule="auto"/>
        <w:rPr>
          <w:rFonts w:ascii="宋体" w:hAnsi="宋体" w:eastAsia="宋体" w:cs="宋体"/>
          <w:b/>
          <w:sz w:val="24"/>
          <w:szCs w:val="24"/>
          <w:highlight w:val="none"/>
        </w:rPr>
      </w:pPr>
      <w:r>
        <w:rPr>
          <w:rFonts w:hint="eastAsia" w:ascii="宋体" w:hAnsi="宋体" w:eastAsia="宋体" w:cs="宋体"/>
          <w:bCs/>
          <w:sz w:val="24"/>
          <w:szCs w:val="24"/>
          <w:highlight w:val="none"/>
        </w:rPr>
        <w:t xml:space="preserve">2.在本项目签订合同前已存在的著作权及其他知识产权应属在本项目签订合同前拥有该等权利的一方所有。任何一方均不可凭借本项目取得另一方所拥有的著作权、专利、商业秘密、商标或任何其他知识产权。在本项目签订合同之后至服务期止，因该项目取得的著作权、专利等归采购人所有。</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十、履约验收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中标人按照项目需求</w:t>
      </w:r>
      <w:r>
        <w:rPr>
          <w:rFonts w:hint="eastAsia" w:ascii="宋体" w:hAnsi="宋体" w:eastAsia="宋体" w:cs="宋体"/>
          <w:sz w:val="24"/>
          <w:szCs w:val="24"/>
          <w:highlight w:val="none"/>
          <w:lang w:eastAsia="zh-CN"/>
        </w:rPr>
        <w:t xml:space="preserve">自</w:t>
      </w:r>
      <w:r>
        <w:rPr>
          <w:rFonts w:hint="eastAsia" w:ascii="宋体" w:hAnsi="宋体" w:eastAsia="宋体" w:cs="宋体"/>
          <w:sz w:val="24"/>
          <w:szCs w:val="24"/>
          <w:highlight w:val="none"/>
        </w:rPr>
        <w:t xml:space="preserve">签订合同4个月内完成平台搭建部署并申请初步验收，初验合格后开始试运行，试运行期为3个月，试运行期满2周内提交终验申请，进行项目终验。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项目验收由采购人统一组织进行验收并签字。具体验收要求如下：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1）初验要求：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项目应交付的所有过程性文档（包括但不限于软件开发类文档、系统维护类文档、项目验收类文档等）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2）终验要求：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2.1项目应交付的所有过程性文档（包括但不限于软件开发类文档、系统维护类文档、项目验收类文档等）。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2.2所有验收书面材料准备完毕。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3）验收内容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3.1项目验收小组由采购人邀请的专家组成，依据采购人对重大建设项目和信息化项目相关管理办法，对项目开展综合评价验收。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3.2评价验收主要围绕软件功能设计与详细业务需求是否一致，系统是否达到规定的性能指标等，如果验收发现软件功能、性能指标不符合要求，采购人有权要求整改并按合同规定提出索赔。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3.3中标人负责承担项目验收产生的所有费用。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十一、付款方式与履约保证金</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ind w:firstLine="482"/>
        <w:jc w:val="left"/>
        <w:spacing w:line="360" w:lineRule="auto"/>
        <w:rPr>
          <w:rFonts w:ascii="宋体" w:hAnsi="宋体" w:eastAsia="宋体" w:cs="宋体"/>
          <w:i/>
          <w:iCs/>
          <w:sz w:val="24"/>
          <w:szCs w:val="24"/>
          <w:highlight w:val="none"/>
          <w:u w:val="single"/>
        </w:rPr>
      </w:pPr>
      <w:r>
        <w:rPr>
          <w:rFonts w:hint="eastAsia" w:ascii="宋体" w:hAnsi="宋体" w:eastAsia="宋体" w:cs="宋体"/>
          <w:b/>
          <w:bCs/>
          <w:i/>
          <w:iCs/>
          <w:sz w:val="24"/>
          <w:szCs w:val="24"/>
          <w:highlight w:val="none"/>
          <w:u w:val="single"/>
        </w:rPr>
        <w:t xml:space="preserve">合同签订后10个工作日内付至合同总额的30%；完成初步验收后支付至合同总额的60%；通过最终验收并经审计审核后支付至审定金额的100%。</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本项目不收取履约保证金。</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十二、报价要求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报价币种为人民币。投标报价包括开发、测试、验收、培训、保险、人工费用、管理、质保、税费、利润、完成合同所需的一切本身和不可或缺的所有工作开支，政策性文件规定及合同包含的所有风险、责任和管理等各项全部费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十三、其他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本项目报价不得超过预算价（最高限价）。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特别提醒投标人：应根据国家收费标准并结合市场实际进行报价，总价包干。</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845"/>
        <w:jc w:val="center"/>
        <w:spacing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8"/>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投标报价得分=（评标基准价／投标报价）×10分</w:t>
      </w:r>
      <w:r/>
    </w:p>
    <w:p>
      <w:pPr>
        <w:ind w:firstLine="480"/>
        <w:jc w:val="left"/>
        <w:spacing w:line="500" w:lineRule="exact"/>
        <w:rPr>
          <w:sz w:val="24"/>
          <w:szCs w:val="24"/>
          <w:highlight w:val="none"/>
        </w:rPr>
      </w:pPr>
      <w:r>
        <w:rPr>
          <w:rFonts w:hint="eastAsia"/>
          <w:sz w:val="24"/>
          <w:szCs w:val="24"/>
          <w:highlight w:val="none"/>
        </w:rPr>
        <w:t xml:space="preserve">因落实政府采购政策进行价格扣除的，用扣除后的价格参加评审。</w:t>
      </w:r>
      <w:r/>
    </w:p>
    <w:p>
      <w:pPr>
        <w:ind w:firstLine="480"/>
        <w:jc w:val="left"/>
        <w:spacing w:line="500" w:lineRule="exact"/>
        <w:rPr>
          <w:sz w:val="24"/>
          <w:szCs w:val="24"/>
          <w:highlight w:val="none"/>
        </w:rPr>
      </w:pPr>
      <w:r>
        <w:rPr>
          <w:rFonts w:hint="eastAsia"/>
          <w:sz w:val="24"/>
          <w:szCs w:val="24"/>
          <w:highlight w:val="none"/>
        </w:rPr>
        <w:t xml:space="preserve">（2）技术分（</w:t>
      </w:r>
      <w:r>
        <w:rPr>
          <w:rFonts w:hint="eastAsia"/>
          <w:sz w:val="24"/>
          <w:szCs w:val="24"/>
          <w:highlight w:val="none"/>
          <w:lang w:val="en-US" w:eastAsia="zh-CN"/>
        </w:rPr>
        <w:t xml:space="preserve">47</w:t>
      </w:r>
      <w:r>
        <w:rPr>
          <w:rFonts w:hint="eastAsia"/>
          <w:sz w:val="24"/>
          <w:szCs w:val="24"/>
          <w:highlight w:val="none"/>
        </w:rPr>
        <w:t xml:space="preserve">分）</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0"/>
        <w:gridCol w:w="6695"/>
      </w:tblGrid>
      <w:tr>
        <w:trPr>
          <w:jc w:val="center"/>
          <w:trHeight w:val="621"/>
        </w:trPr>
        <w:tc>
          <w:tcPr>
            <w:tcW w:w="181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p>
        </w:tc>
        <w:tc>
          <w:tcPr>
            <w:tcW w:w="669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p>
        </w:tc>
      </w:tr>
      <w:tr>
        <w:trPr>
          <w:jc w:val="center"/>
          <w:trHeight w:val="621"/>
        </w:trPr>
        <w:tc>
          <w:tcPr>
            <w:tcW w:w="181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技术参数响应</w:t>
            </w:r>
            <w:r/>
          </w:p>
          <w:p>
            <w:pPr>
              <w:jc w:val="center"/>
              <w:spacing w:line="360" w:lineRule="auto"/>
              <w:rPr>
                <w:rFonts w:ascii="宋体" w:hAnsi="宋体" w:eastAsia="宋体" w:cs="宋体"/>
                <w:b/>
                <w:sz w:val="24"/>
                <w:szCs w:val="24"/>
                <w:highlight w:val="none"/>
              </w:rPr>
            </w:pPr>
            <w:r>
              <w:rPr>
                <w:rFonts w:hint="eastAsia" w:ascii="宋体" w:hAnsi="宋体" w:eastAsia="宋体" w:cs="宋体"/>
                <w:bCs/>
                <w:sz w:val="24"/>
                <w:szCs w:val="24"/>
                <w:highlight w:val="none"/>
              </w:rPr>
              <w:t xml:space="preserve">（5分）</w:t>
            </w:r>
            <w:r/>
          </w:p>
        </w:tc>
        <w:tc>
          <w:tcPr>
            <w:tcW w:w="6695" w:type="dxa"/>
            <w:vAlign w:val="center"/>
            <w:textDirection w:val="lrTb"/>
            <w:noWrap w:val="false"/>
          </w:tcPr>
          <w:p>
            <w:pPr>
              <w:pStyle w:val="872"/>
              <w:spacing w:line="360" w:lineRule="auto"/>
              <w:rPr>
                <w:rFonts w:ascii="宋体" w:hAnsi="宋体" w:cs="宋体"/>
                <w:color w:val="auto"/>
                <w:sz w:val="24"/>
                <w:highlight w:val="none"/>
              </w:rPr>
            </w:pPr>
            <w:r>
              <w:rPr>
                <w:rFonts w:hint="eastAsia" w:ascii="宋体" w:hAnsi="宋体" w:cs="宋体"/>
                <w:sz w:val="24"/>
                <w:highlight w:val="none"/>
              </w:rPr>
              <w:t xml:space="preserve">技术参数响应评审基准分</w:t>
            </w:r>
            <w:r>
              <w:rPr>
                <w:rFonts w:hint="eastAsia" w:ascii="宋体" w:hAnsi="宋体" w:cs="宋体"/>
                <w:b/>
                <w:bCs/>
                <w:sz w:val="24"/>
                <w:highlight w:val="none"/>
              </w:rPr>
              <w:t xml:space="preserve">5分</w:t>
            </w:r>
            <w:r>
              <w:rPr>
                <w:rFonts w:hint="eastAsia" w:ascii="宋体" w:hAnsi="宋体" w:cs="宋体"/>
                <w:sz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sz w:val="24"/>
                <w:szCs w:val="24"/>
                <w:highlight w:val="none"/>
                <w:lang w:val="zh-CN"/>
              </w:rPr>
              <w:t xml:space="preserve">投标文件中</w:t>
            </w:r>
            <w:r>
              <w:rPr>
                <w:rFonts w:hint="eastAsia" w:ascii="宋体" w:hAnsi="宋体" w:cs="宋体"/>
                <w:b/>
                <w:sz w:val="24"/>
                <w:szCs w:val="24"/>
                <w:highlight w:val="none"/>
                <w:lang w:val="en-US" w:eastAsia="zh-CN"/>
              </w:rPr>
              <w:t xml:space="preserve">逐条</w:t>
            </w:r>
            <w:r>
              <w:rPr>
                <w:rFonts w:hint="eastAsia" w:ascii="宋体" w:hAnsi="宋体" w:cs="宋体"/>
                <w:b/>
                <w:sz w:val="24"/>
                <w:szCs w:val="24"/>
                <w:highlight w:val="none"/>
                <w:lang w:val="zh-CN"/>
              </w:rPr>
              <w:t xml:space="preserve">详细填写技术要求响应及偏离表。</w:t>
            </w:r>
            <w:r>
              <w:rPr>
                <w:rFonts w:hint="eastAsia" w:ascii="宋体" w:hAnsi="宋体" w:cs="宋体"/>
                <w:b/>
                <w:sz w:val="24"/>
                <w:szCs w:val="24"/>
                <w:highlight w:val="none"/>
                <w:lang w:val="en-US" w:eastAsia="zh-CN"/>
              </w:rPr>
              <w:t xml:space="preserve">每有一项</w:t>
            </w:r>
            <w:r>
              <w:rPr>
                <w:rFonts w:hint="eastAsia" w:ascii="宋体" w:hAnsi="宋体" w:eastAsia="宋体" w:cs="宋体"/>
                <w:b/>
                <w:bCs/>
                <w:sz w:val="24"/>
                <w:szCs w:val="24"/>
                <w:highlight w:val="none"/>
              </w:rPr>
              <w:t xml:space="preserve">负偏离</w:t>
            </w:r>
            <w:r>
              <w:rPr>
                <w:rFonts w:hint="eastAsia" w:ascii="宋体" w:hAnsi="宋体" w:eastAsia="宋体" w:cs="宋体"/>
                <w:b/>
                <w:bCs/>
                <w:sz w:val="24"/>
                <w:szCs w:val="24"/>
                <w:highlight w:val="none"/>
                <w:lang w:val="en-US" w:eastAsia="zh-CN"/>
              </w:rPr>
              <w:t xml:space="preserve">扣1分，扣完为止</w:t>
            </w:r>
            <w:r>
              <w:rPr>
                <w:rFonts w:hint="eastAsia" w:ascii="宋体" w:hAnsi="宋体" w:eastAsia="宋体" w:cs="宋体"/>
                <w:b/>
                <w:bCs/>
                <w:sz w:val="24"/>
                <w:szCs w:val="24"/>
                <w:highlight w:val="none"/>
              </w:rPr>
              <w:t xml:space="preserve">）</w:t>
            </w:r>
            <w:r/>
          </w:p>
        </w:tc>
      </w:tr>
      <w:tr>
        <w:trPr>
          <w:jc w:val="center"/>
          <w:trHeight w:val="621"/>
        </w:trPr>
        <w:tc>
          <w:tcPr>
            <w:tcW w:w="1810" w:type="dxa"/>
            <w:vAlign w:val="center"/>
            <w:textDirection w:val="lrTb"/>
            <w:noWrap w:val="false"/>
          </w:tcPr>
          <w:p>
            <w:pPr>
              <w:ind w:right="-105"/>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业务流程设计方案</w:t>
            </w:r>
            <w:r/>
          </w:p>
          <w:p>
            <w:pPr>
              <w:ind w:right="-105"/>
              <w:jc w:val="center"/>
              <w:spacing w:line="360" w:lineRule="auto"/>
              <w:widowControl/>
              <w:rPr>
                <w:rFonts w:ascii="宋体" w:hAnsi="宋体" w:eastAsia="宋体" w:cs="宋体"/>
                <w:strike/>
                <w:sz w:val="24"/>
                <w:szCs w:val="24"/>
                <w:highlight w:val="none"/>
              </w:rPr>
            </w:pPr>
            <w:r>
              <w:rPr>
                <w:rFonts w:hint="eastAsia" w:ascii="宋体" w:hAnsi="宋体" w:eastAsia="宋体" w:cs="宋体"/>
                <w:sz w:val="24"/>
                <w:szCs w:val="24"/>
                <w:highlight w:val="none"/>
              </w:rPr>
              <w:t xml:space="preserve">（20分）</w:t>
            </w:r>
            <w:r/>
          </w:p>
        </w:tc>
        <w:tc>
          <w:tcPr>
            <w:tcW w:w="6695" w:type="dxa"/>
            <w:vAlign w:val="center"/>
            <w:textDirection w:val="lrTb"/>
            <w:noWrap w:val="false"/>
          </w:tcPr>
          <w:p>
            <w:pP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投标文件中针对</w:t>
            </w:r>
            <w:r>
              <w:rPr>
                <w:rFonts w:hint="eastAsia" w:ascii="宋体" w:hAnsi="宋体" w:cs="宋体"/>
                <w:sz w:val="24"/>
                <w:szCs w:val="24"/>
                <w:highlight w:val="none"/>
              </w:rPr>
              <w:t xml:space="preserve">标注“▲”项的功能模块</w:t>
            </w:r>
            <w:r>
              <w:rPr>
                <w:rFonts w:hint="eastAsia" w:ascii="宋体" w:hAnsi="宋体" w:cs="宋体"/>
                <w:sz w:val="24"/>
                <w:szCs w:val="24"/>
                <w:highlight w:val="none"/>
                <w:lang w:val="en-US" w:eastAsia="zh-CN"/>
              </w:rPr>
              <w:t xml:space="preserve">依据项目需求</w:t>
            </w:r>
            <w:r>
              <w:rPr>
                <w:rFonts w:hint="eastAsia" w:ascii="宋体" w:hAnsi="宋体" w:eastAsia="宋体" w:cs="宋体"/>
                <w:sz w:val="24"/>
                <w:szCs w:val="24"/>
                <w:highlight w:val="none"/>
              </w:rPr>
              <w:t xml:space="preserve">提供</w:t>
            </w:r>
            <w:r>
              <w:rPr>
                <w:rFonts w:hint="eastAsia" w:ascii="宋体" w:hAnsi="宋体" w:cs="宋体"/>
                <w:sz w:val="24"/>
                <w:szCs w:val="24"/>
                <w:highlight w:val="none"/>
              </w:rPr>
              <w:t xml:space="preserve">流程设计方案，内容包括但不限于</w:t>
            </w:r>
            <w:r>
              <w:rPr>
                <w:rFonts w:hint="eastAsia" w:ascii="宋体" w:hAnsi="宋体" w:eastAsia="宋体" w:cs="宋体"/>
                <w:sz w:val="24"/>
                <w:szCs w:val="24"/>
                <w:highlight w:val="none"/>
              </w:rPr>
              <w:t xml:space="preserve">功能</w:t>
            </w:r>
            <w:r>
              <w:rPr>
                <w:rFonts w:ascii="宋体" w:hAnsi="宋体" w:eastAsia="宋体" w:cs="宋体"/>
                <w:sz w:val="24"/>
                <w:szCs w:val="24"/>
                <w:highlight w:val="none"/>
              </w:rPr>
              <w:t xml:space="preserve">设计方案或原型设计界面截图（配文字说明）或功能流程图（配文字说明）及设计思路，</w:t>
            </w:r>
            <w:r>
              <w:rPr>
                <w:rFonts w:hint="eastAsia" w:ascii="宋体" w:hAnsi="宋体" w:cs="宋体"/>
                <w:sz w:val="24"/>
                <w:szCs w:val="24"/>
                <w:highlight w:val="none"/>
              </w:rPr>
              <w:t xml:space="preserve">编制系统业务流程，</w:t>
            </w:r>
            <w:r>
              <w:rPr>
                <w:rFonts w:ascii="宋体" w:hAnsi="宋体" w:eastAsia="宋体" w:cs="宋体"/>
                <w:sz w:val="24"/>
                <w:szCs w:val="24"/>
                <w:highlight w:val="none"/>
              </w:rPr>
              <w:t xml:space="preserve">以证明其具有相关项目经验和技术基础</w:t>
            </w:r>
            <w:r>
              <w:rPr>
                <w:rFonts w:hint="eastAsia" w:ascii="宋体" w:hAnsi="宋体" w:cs="宋体"/>
                <w:sz w:val="24"/>
                <w:szCs w:val="24"/>
                <w:highlight w:val="none"/>
              </w:rPr>
              <w:t xml:space="preserve">：</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每个模块:</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方案设计流程清晰，系统功能详细，</w:t>
            </w:r>
            <w:r>
              <w:rPr>
                <w:rFonts w:ascii="宋体" w:hAnsi="宋体" w:eastAsia="宋体" w:cs="宋体"/>
                <w:sz w:val="24"/>
                <w:szCs w:val="24"/>
                <w:highlight w:val="none"/>
              </w:rPr>
              <w:t xml:space="preserve">能够贴合采购需求</w:t>
            </w:r>
            <w:r>
              <w:rPr>
                <w:rFonts w:hint="eastAsia" w:ascii="宋体" w:hAnsi="宋体" w:eastAsia="宋体" w:cs="宋体"/>
                <w:sz w:val="24"/>
                <w:szCs w:val="24"/>
                <w:highlight w:val="none"/>
              </w:rPr>
              <w:t xml:space="preserve">的</w:t>
            </w:r>
            <w:r>
              <w:rPr>
                <w:rFonts w:hint="eastAsia" w:ascii="宋体" w:hAnsi="宋体" w:eastAsia="宋体" w:cs="宋体"/>
                <w:b/>
                <w:bCs/>
                <w:sz w:val="24"/>
                <w:szCs w:val="24"/>
                <w:highlight w:val="none"/>
              </w:rPr>
              <w:t xml:space="preserve">得2分</w:t>
            </w:r>
            <w:r>
              <w:rPr>
                <w:rFonts w:hint="eastAsia" w:ascii="宋体" w:hAnsi="宋体" w:eastAsia="宋体" w:cs="宋体"/>
                <w:sz w:val="24"/>
                <w:szCs w:val="24"/>
                <w:highlight w:val="none"/>
              </w:rPr>
              <w:t xml:space="preserve">；</w:t>
            </w:r>
            <w:r/>
          </w:p>
          <w:p>
            <w:pPr>
              <w:jc w:val="left"/>
              <w:spacing w:line="360" w:lineRule="auto"/>
              <w:rPr>
                <w:rFonts w:eastAsia="宋体"/>
                <w:highlight w:val="none"/>
              </w:rPr>
            </w:pPr>
            <w:r>
              <w:rPr>
                <w:rFonts w:hint="eastAsia" w:ascii="宋体" w:hAnsi="宋体" w:eastAsia="宋体" w:cs="宋体"/>
                <w:sz w:val="24"/>
                <w:szCs w:val="24"/>
                <w:highlight w:val="none"/>
              </w:rPr>
              <w:t xml:space="preserve">方案设计流程较清晰，系统功能较详细，</w:t>
            </w:r>
            <w:r>
              <w:rPr>
                <w:rFonts w:ascii="宋体" w:hAnsi="宋体" w:eastAsia="宋体" w:cs="宋体"/>
                <w:sz w:val="24"/>
                <w:szCs w:val="24"/>
                <w:highlight w:val="none"/>
              </w:rPr>
              <w:t xml:space="preserve">基本能够贴合采购需求</w:t>
            </w:r>
            <w:r>
              <w:rPr>
                <w:rFonts w:hint="eastAsia" w:ascii="宋体" w:hAnsi="宋体" w:eastAsia="宋体" w:cs="宋体"/>
                <w:sz w:val="24"/>
                <w:szCs w:val="24"/>
                <w:highlight w:val="none"/>
              </w:rPr>
              <w:t xml:space="preserve">的</w:t>
            </w:r>
            <w:r>
              <w:rPr>
                <w:rFonts w:hint="eastAsia" w:ascii="宋体" w:hAnsi="宋体" w:eastAsia="宋体" w:cs="宋体"/>
                <w:b/>
                <w:bCs/>
                <w:sz w:val="24"/>
                <w:szCs w:val="24"/>
                <w:highlight w:val="none"/>
              </w:rPr>
              <w:t xml:space="preserve">得1分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方案描设计流程、系统功能简单，</w:t>
            </w:r>
            <w:r>
              <w:rPr>
                <w:rFonts w:ascii="宋体" w:hAnsi="宋体" w:eastAsia="宋体" w:cs="宋体"/>
                <w:sz w:val="24"/>
                <w:szCs w:val="24"/>
                <w:highlight w:val="none"/>
              </w:rPr>
              <w:t xml:space="preserve">与采购需求有偏差</w:t>
            </w:r>
            <w:r>
              <w:rPr>
                <w:rFonts w:hint="eastAsia" w:ascii="宋体" w:hAnsi="宋体" w:eastAsia="宋体" w:cs="宋体"/>
                <w:sz w:val="24"/>
                <w:szCs w:val="24"/>
                <w:highlight w:val="none"/>
              </w:rPr>
              <w:t xml:space="preserve">的</w:t>
            </w:r>
            <w:r>
              <w:rPr>
                <w:rFonts w:hint="eastAsia" w:ascii="宋体" w:hAnsi="宋体" w:eastAsia="宋体" w:cs="宋体"/>
                <w:b/>
                <w:bCs/>
                <w:sz w:val="24"/>
                <w:szCs w:val="24"/>
                <w:highlight w:val="none"/>
              </w:rPr>
              <w:t xml:space="preserve">得0.5分</w:t>
            </w:r>
            <w:r>
              <w:rPr>
                <w:rFonts w:hint="eastAsia" w:ascii="宋体" w:hAnsi="宋体" w:eastAsia="宋体" w:cs="宋体"/>
                <w:sz w:val="24"/>
                <w:szCs w:val="24"/>
                <w:highlight w:val="none"/>
              </w:rPr>
              <w:t xml:space="preserve">；</w:t>
            </w:r>
            <w:r/>
          </w:p>
          <w:p>
            <w:pPr>
              <w:rPr>
                <w:highlight w:val="none"/>
              </w:rPr>
            </w:pPr>
            <w:r>
              <w:rPr>
                <w:rFonts w:hint="eastAsia" w:ascii="宋体" w:hAnsi="宋体" w:eastAsia="宋体" w:cs="宋体"/>
                <w:b/>
                <w:bCs/>
                <w:sz w:val="24"/>
                <w:szCs w:val="24"/>
                <w:highlight w:val="none"/>
              </w:rPr>
              <w:t xml:space="preserve">未见阐述不得分。</w:t>
            </w:r>
            <w:r/>
          </w:p>
          <w:p>
            <w:pPr>
              <w:spacing w:line="360" w:lineRule="auto"/>
              <w:widowControl/>
              <w:rPr>
                <w:highlight w:val="none"/>
              </w:rPr>
            </w:pPr>
            <w:r>
              <w:rPr>
                <w:rFonts w:hint="eastAsia" w:ascii="宋体" w:hAnsi="宋体" w:eastAsia="宋体" w:cs="宋体"/>
                <w:b/>
                <w:bCs/>
                <w:sz w:val="24"/>
                <w:szCs w:val="24"/>
                <w:highlight w:val="none"/>
              </w:rPr>
              <w:t xml:space="preserve">（投标文件中投标人须根据对应模块提供上述方案）</w:t>
            </w:r>
            <w:r/>
          </w:p>
        </w:tc>
      </w:tr>
      <w:tr>
        <w:trPr>
          <w:jc w:val="center"/>
          <w:trHeight w:val="621"/>
        </w:trPr>
        <w:tc>
          <w:tcPr>
            <w:tcW w:w="1810"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重点难点分析(6分)</w:t>
            </w:r>
            <w:r/>
          </w:p>
        </w:tc>
        <w:tc>
          <w:tcPr>
            <w:tcW w:w="669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投标文件提供针对</w:t>
            </w:r>
            <w:r>
              <w:rPr>
                <w:rFonts w:hint="eastAsia" w:ascii="宋体" w:hAnsi="宋体" w:eastAsia="宋体" w:cs="宋体"/>
                <w:color w:val="000000"/>
                <w:sz w:val="24"/>
                <w:szCs w:val="24"/>
                <w:highlight w:val="none"/>
              </w:rPr>
              <w:t xml:space="preserve">化工处置力量、化工安全、危化品运输、监控视频、调派力量、灭火剂分析、战例复盘推演、预案管理、企业信息、警情描述等模块的</w:t>
            </w:r>
            <w:r>
              <w:rPr>
                <w:rFonts w:hint="eastAsia" w:ascii="宋体" w:hAnsi="宋体" w:eastAsia="宋体" w:cs="宋体"/>
                <w:sz w:val="24"/>
                <w:szCs w:val="24"/>
                <w:highlight w:val="none"/>
              </w:rPr>
              <w:t xml:space="preserve">重点难点分析：</w:t>
            </w: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重难点理解准确、分析透彻、科学合理的</w:t>
            </w:r>
            <w:r>
              <w:rPr>
                <w:rFonts w:hint="eastAsia" w:ascii="宋体" w:hAnsi="宋体" w:eastAsia="宋体" w:cs="宋体"/>
                <w:b/>
                <w:bCs/>
                <w:sz w:val="24"/>
                <w:szCs w:val="24"/>
                <w:highlight w:val="none"/>
              </w:rPr>
              <w:t xml:space="preserve">得6分</w:t>
            </w:r>
            <w:r>
              <w:rPr>
                <w:rFonts w:hint="eastAsia" w:ascii="宋体" w:hAnsi="宋体" w:eastAsia="宋体" w:cs="宋体"/>
                <w:sz w:val="24"/>
                <w:szCs w:val="24"/>
                <w:highlight w:val="none"/>
              </w:rPr>
              <w:t xml:space="preserve">；</w:t>
            </w: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重难点理解较准确、分析较透彻、较科学合理的</w:t>
            </w:r>
            <w:r>
              <w:rPr>
                <w:rFonts w:hint="eastAsia" w:ascii="宋体" w:hAnsi="宋体" w:eastAsia="宋体" w:cs="宋体"/>
                <w:b/>
                <w:bCs/>
                <w:sz w:val="24"/>
                <w:szCs w:val="24"/>
                <w:highlight w:val="none"/>
              </w:rPr>
              <w:t xml:space="preserve">得4分</w:t>
            </w:r>
            <w:r>
              <w:rPr>
                <w:rFonts w:hint="eastAsia" w:ascii="宋体" w:hAnsi="宋体" w:eastAsia="宋体" w:cs="宋体"/>
                <w:sz w:val="24"/>
                <w:szCs w:val="24"/>
                <w:highlight w:val="none"/>
              </w:rPr>
              <w:t xml:space="preserve">；</w:t>
            </w: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重难点理解一般、分析不透彻、合理性一般的</w:t>
            </w:r>
            <w:r>
              <w:rPr>
                <w:rFonts w:hint="eastAsia" w:ascii="宋体" w:hAnsi="宋体" w:eastAsia="宋体" w:cs="宋体"/>
                <w:b/>
                <w:bCs/>
                <w:sz w:val="24"/>
                <w:szCs w:val="24"/>
                <w:highlight w:val="none"/>
              </w:rPr>
              <w:t xml:space="preserve">得2分</w:t>
            </w:r>
            <w:r>
              <w:rPr>
                <w:rFonts w:hint="eastAsia" w:ascii="宋体" w:hAnsi="宋体" w:eastAsia="宋体" w:cs="宋体"/>
                <w:sz w:val="24"/>
                <w:szCs w:val="24"/>
                <w:highlight w:val="none"/>
              </w:rPr>
              <w:t xml:space="preserve">；</w:t>
            </w:r>
            <w:r/>
          </w:p>
          <w:p>
            <w:pPr>
              <w:spacing w:line="360" w:lineRule="auto"/>
              <w:widowControl/>
              <w:rPr>
                <w:highlight w:val="none"/>
              </w:rPr>
            </w:pPr>
            <w:r>
              <w:rPr>
                <w:rFonts w:hint="eastAsia" w:ascii="宋体" w:hAnsi="宋体" w:eastAsia="宋体" w:cs="宋体"/>
                <w:b/>
                <w:bCs/>
                <w:sz w:val="24"/>
                <w:szCs w:val="24"/>
                <w:highlight w:val="none"/>
              </w:rPr>
              <w:t xml:space="preserve">未见阐述不得分。</w:t>
            </w:r>
            <w:r/>
          </w:p>
        </w:tc>
      </w:tr>
      <w:tr>
        <w:trPr>
          <w:jc w:val="center"/>
          <w:trHeight w:val="621"/>
        </w:trPr>
        <w:tc>
          <w:tcPr>
            <w:tcW w:w="1810"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实施方案</w:t>
            </w:r>
            <w:r/>
          </w:p>
          <w:p>
            <w:pPr>
              <w:jc w:val="center"/>
              <w:spacing w:line="360" w:lineRule="auto"/>
              <w:rPr>
                <w:rFonts w:ascii="宋体" w:hAnsi="宋体" w:eastAsia="宋体" w:cs="宋体"/>
                <w:spacing w:val="-10"/>
                <w:sz w:val="24"/>
                <w:szCs w:val="24"/>
                <w:highlight w:val="none"/>
              </w:rPr>
            </w:pPr>
            <w:r>
              <w:rPr>
                <w:rFonts w:hint="eastAsia" w:ascii="宋体" w:hAnsi="宋体" w:eastAsia="宋体" w:cs="宋体"/>
                <w:sz w:val="24"/>
                <w:szCs w:val="24"/>
                <w:highlight w:val="none"/>
              </w:rPr>
              <w:t xml:space="preserve">（5分）</w:t>
            </w:r>
            <w:r/>
          </w:p>
        </w:tc>
        <w:tc>
          <w:tcPr>
            <w:tcW w:w="669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投标文件提供项目实施方案，包含建设实施全过程、项目进度计划、实施风险分析和控制、文档管理措施等：</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全过程方案科学、进度计划安排合理、风险分析和控制措施合理、文档管理措施可行的，</w:t>
            </w:r>
            <w:r>
              <w:rPr>
                <w:rFonts w:hint="eastAsia" w:ascii="宋体" w:hAnsi="宋体" w:eastAsia="宋体" w:cs="宋体"/>
                <w:b/>
                <w:bCs/>
                <w:sz w:val="24"/>
                <w:szCs w:val="24"/>
                <w:highlight w:val="none"/>
              </w:rPr>
              <w:t xml:space="preserve">得5分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全过程方案较为科学、进度计划安排较为合理、风险分析和控制措施较为合理、文档管理措施较可行的，</w:t>
            </w:r>
            <w:r>
              <w:rPr>
                <w:rFonts w:hint="eastAsia" w:ascii="宋体" w:hAnsi="宋体" w:eastAsia="宋体" w:cs="宋体"/>
                <w:b/>
                <w:bCs/>
                <w:sz w:val="24"/>
                <w:szCs w:val="24"/>
                <w:highlight w:val="none"/>
              </w:rPr>
              <w:t xml:space="preserve">得3分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全过程方案一般、进度计划安排一般、风险分析和控制措施一般、文档管理措施一般的，</w:t>
            </w:r>
            <w:r>
              <w:rPr>
                <w:rFonts w:hint="eastAsia" w:ascii="宋体" w:hAnsi="宋体" w:eastAsia="宋体" w:cs="宋体"/>
                <w:b/>
                <w:bCs/>
                <w:sz w:val="24"/>
                <w:szCs w:val="24"/>
                <w:highlight w:val="none"/>
              </w:rPr>
              <w:t xml:space="preserve">得2分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未见阐述不得分。</w:t>
            </w:r>
            <w:r/>
          </w:p>
        </w:tc>
      </w:tr>
      <w:tr>
        <w:trPr>
          <w:jc w:val="center"/>
          <w:trHeight w:val="621"/>
        </w:trPr>
        <w:tc>
          <w:tcPr>
            <w:tcW w:w="181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售后服务及培训方案</w:t>
            </w:r>
            <w:r/>
          </w:p>
          <w:p>
            <w:pPr>
              <w:jc w:val="center"/>
              <w:rPr>
                <w:rFonts w:ascii="宋体" w:hAnsi="宋体" w:eastAsia="宋体" w:cs="宋体"/>
                <w:color w:val="auto"/>
                <w:spacing w:val="-10"/>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695"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投标文件提供的售后服务及培训方案进行评分，包括技术培训、回访措施、维护措施、维保人员配置、接到通知到达现场处理故障时间、一般故障承诺解决时间、故障无法排除时的解决方案等：</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培训安排合理，售后服务体系完善，技术人员充足，售后服务响应时间及时的，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培训安排较合理，售后服务体系较完善，有技术人员，售后服务响应时间较及时的，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培训安排合理性一般，售后服务体系一般，技术人员配备及售后服务响应时间一般的，</w:t>
            </w:r>
            <w:r>
              <w:rPr>
                <w:rFonts w:hint="eastAsia" w:ascii="宋体" w:hAnsi="宋体" w:eastAsia="宋体" w:cs="宋体"/>
                <w:b/>
                <w:bCs/>
                <w:color w:val="auto"/>
                <w:sz w:val="24"/>
                <w:szCs w:val="24"/>
                <w:highlight w:val="none"/>
              </w:rPr>
              <w:t xml:space="preserve">得1分</w:t>
            </w:r>
            <w:r>
              <w:rPr>
                <w:rFonts w:hint="eastAsia" w:ascii="宋体" w:hAnsi="宋体" w:eastAsia="宋体" w:cs="宋体"/>
                <w:color w:val="auto"/>
                <w:sz w:val="24"/>
                <w:szCs w:val="24"/>
                <w:highlight w:val="none"/>
              </w:rPr>
              <w:t xml:space="preserve">；</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未见阐述不得分。</w:t>
            </w:r>
            <w:r/>
          </w:p>
        </w:tc>
      </w:tr>
      <w:tr>
        <w:trPr>
          <w:jc w:val="center"/>
          <w:trHeight w:val="621"/>
        </w:trPr>
        <w:tc>
          <w:tcPr>
            <w:tcW w:w="1810" w:type="dxa"/>
            <w:vAlign w:val="center"/>
            <w:textDirection w:val="lrTb"/>
            <w:noWrap w:val="false"/>
          </w:tcPr>
          <w:p>
            <w:pPr>
              <w:ind w:right="-105"/>
              <w:jc w:val="center"/>
              <w:spacing w:line="360" w:lineRule="auto"/>
              <w:widowControl/>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服务承诺</w:t>
            </w:r>
            <w:r/>
          </w:p>
          <w:p>
            <w:pPr>
              <w:ind w:right="-105"/>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10"/>
                <w:sz w:val="24"/>
                <w:szCs w:val="24"/>
                <w:highlight w:val="none"/>
                <w:lang w:val="en-US" w:eastAsia="zh-CN"/>
              </w:rPr>
              <w:t xml:space="preserve">6</w:t>
            </w:r>
            <w:r>
              <w:rPr>
                <w:rFonts w:hint="eastAsia" w:ascii="宋体" w:hAnsi="宋体" w:eastAsia="宋体" w:cs="宋体"/>
                <w:color w:val="auto"/>
                <w:spacing w:val="-10"/>
                <w:sz w:val="24"/>
                <w:szCs w:val="24"/>
                <w:highlight w:val="none"/>
              </w:rPr>
              <w:t xml:space="preserve">分）</w:t>
            </w:r>
            <w:r/>
          </w:p>
        </w:tc>
        <w:tc>
          <w:tcPr>
            <w:tcW w:w="6695" w:type="dxa"/>
            <w:vAlign w:val="center"/>
            <w:textDirection w:val="lrTb"/>
            <w:noWrap w:val="false"/>
          </w:tcPr>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投标人承诺在售后服务期内遇重大节假日、重大活动或采购人要求的时间段，投标人提供技术人员到场保障的，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pStyle w:val="859"/>
              <w:ind w:firstLine="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（投标文件需提供承诺函，并加盖投标人公章，否则不得分。承诺函格式自拟）</w:t>
            </w:r>
            <w:r/>
          </w:p>
        </w:tc>
      </w:tr>
    </w:tbl>
    <w:p>
      <w:pPr>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43</w:t>
      </w:r>
      <w:r>
        <w:rPr>
          <w:rFonts w:hint="eastAsia"/>
          <w:sz w:val="24"/>
          <w:szCs w:val="24"/>
          <w:highlight w:val="none"/>
        </w:rPr>
        <w:t xml:space="preserve">分）</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企业综合能力</w:t>
            </w:r>
            <w:r/>
          </w:p>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6845" w:type="dxa"/>
            <w:vAlign w:val="center"/>
            <w:textDirection w:val="lrTb"/>
            <w:noWrap w:val="false"/>
          </w:tcPr>
          <w:p>
            <w:pPr>
              <w:numPr>
                <w:ilvl w:val="0"/>
                <w:numId w:val="1"/>
              </w:numPr>
              <w:spacing w:line="360" w:lineRule="auto"/>
              <w:widowControl/>
              <w:rPr>
                <w:rFonts w:ascii="宋体" w:hAnsi="宋体" w:eastAsia="宋体" w:cs="宋体"/>
                <w:color w:val="auto"/>
                <w:sz w:val="24"/>
                <w:szCs w:val="24"/>
                <w:highlight w:val="none"/>
              </w:rPr>
            </w:pPr>
            <w:r>
              <w:rPr>
                <w:rFonts w:hint="eastAsia" w:ascii="宋体" w:hAnsi="宋体" w:eastAsia="宋体" w:cs="宋体"/>
                <w:sz w:val="24"/>
                <w:szCs w:val="24"/>
                <w:highlight w:val="none"/>
              </w:rPr>
              <w:t xml:space="preserve">投标人具有</w:t>
            </w:r>
            <w:r>
              <w:rPr>
                <w:rFonts w:hint="eastAsia" w:ascii="宋体" w:hAnsi="宋体" w:eastAsia="宋体" w:cs="宋体"/>
                <w:sz w:val="24"/>
                <w:szCs w:val="24"/>
                <w:highlight w:val="none"/>
                <w:lang w:eastAsia="zh-CN"/>
              </w:rPr>
              <w:t xml:space="preserve">质量</w:t>
            </w:r>
            <w:r>
              <w:rPr>
                <w:rFonts w:hint="eastAsia" w:ascii="宋体" w:hAnsi="宋体" w:eastAsia="宋体" w:cs="宋体"/>
                <w:sz w:val="24"/>
                <w:szCs w:val="24"/>
                <w:highlight w:val="none"/>
              </w:rPr>
              <w:t xml:space="preserve">管理体系认证证书</w:t>
            </w:r>
            <w:r>
              <w:rPr>
                <w:rFonts w:hint="eastAsia" w:ascii="宋体" w:hAnsi="宋体" w:eastAsia="宋体" w:cs="宋体"/>
                <w:color w:val="auto"/>
                <w:sz w:val="24"/>
                <w:szCs w:val="24"/>
                <w:highlight w:val="none"/>
              </w:rPr>
              <w:t xml:space="preserve">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numPr>
                <w:ilvl w:val="0"/>
                <w:numId w:val="1"/>
              </w:num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信息安全管理体系认证证书的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spacing w:line="360" w:lineRule="auto"/>
              <w:widowControl/>
              <w:rPr>
                <w:rFonts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、信息</w:t>
            </w: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服务管理体系认证证书的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（上述1-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项需</w:t>
            </w:r>
            <w:r>
              <w:rPr>
                <w:rFonts w:cs="宋体" w:asciiTheme="minorEastAsia" w:hAnsiTheme="minorEastAsia"/>
                <w:b/>
                <w:color w:val="000000"/>
                <w:sz w:val="24"/>
                <w:szCs w:val="24"/>
                <w:highlight w:val="none"/>
              </w:rPr>
              <w:t xml:space="preserve">提供有效证书扫描件并加盖投标人公章，否则不得分</w:t>
            </w:r>
            <w:r>
              <w:rPr>
                <w:rFonts w:hint="eastAsia" w:ascii="宋体" w:hAnsi="宋体" w:eastAsia="宋体" w:cs="宋体"/>
                <w:b/>
                <w:bCs/>
                <w:sz w:val="24"/>
                <w:szCs w:val="24"/>
                <w:highlight w:val="none"/>
              </w:rPr>
              <w:t xml:space="preserve">）</w:t>
            </w:r>
            <w:r/>
          </w:p>
        </w:tc>
      </w:tr>
      <w:tr>
        <w:trPr>
          <w:jc w:val="center"/>
          <w:trHeight w:val="621"/>
        </w:trPr>
        <w:tc>
          <w:tcPr>
            <w:tcW w:w="1660" w:type="dxa"/>
            <w:vAlign w:val="center"/>
            <w:textDirection w:val="lrTb"/>
            <w:noWrap w:val="false"/>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软件著作权</w:t>
            </w:r>
            <w:r/>
          </w:p>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845"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投标人具有含“数据融合”或“一体化作战指挥”或“数据仓库”或“监测预警”或“应急指挥”或“指挥调度”或“数据治理”</w:t>
            </w:r>
            <w:r>
              <w:rPr>
                <w:rFonts w:hint="eastAsia" w:ascii="宋体" w:hAnsi="宋体" w:eastAsia="宋体" w:cs="宋体"/>
                <w:color w:val="auto"/>
                <w:sz w:val="24"/>
                <w:szCs w:val="24"/>
                <w:highlight w:val="none"/>
              </w:rPr>
              <w:t xml:space="preserve">等</w:t>
            </w:r>
            <w:r>
              <w:rPr>
                <w:rFonts w:hint="eastAsia"/>
                <w:color w:val="auto"/>
                <w:sz w:val="24"/>
                <w:szCs w:val="28"/>
                <w:highlight w:val="none"/>
              </w:rPr>
              <w:t xml:space="preserve">近似关键词</w:t>
            </w:r>
            <w:r>
              <w:rPr>
                <w:rFonts w:hint="eastAsia" w:ascii="宋体" w:hAnsi="宋体" w:eastAsia="宋体" w:cs="宋体"/>
                <w:color w:val="auto"/>
                <w:sz w:val="24"/>
                <w:szCs w:val="24"/>
                <w:highlight w:val="none"/>
              </w:rPr>
              <w:t xml:space="preserve">的软件著作权证书。每提供一个得2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sz w:val="24"/>
                <w:szCs w:val="24"/>
                <w:highlight w:val="none"/>
              </w:rPr>
              <w:t xml:space="preserve">分。</w:t>
            </w:r>
            <w:r/>
          </w:p>
          <w:p>
            <w:pPr>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（提供著作权证书原件扫描件并加盖投标人公章，否则不得分。</w:t>
            </w:r>
            <w:r>
              <w:rPr>
                <w:rFonts w:hint="eastAsia" w:ascii="宋体" w:hAnsi="宋体"/>
                <w:b/>
                <w:bCs/>
                <w:sz w:val="24"/>
                <w:highlight w:val="none"/>
              </w:rPr>
              <w:t xml:space="preserve">如提供的著作权名称与招标文件描述的关键字样不完全一致，但功能相近的，由评审委员会统一认定后给予得分</w:t>
            </w:r>
            <w:r>
              <w:rPr>
                <w:rFonts w:hint="eastAsia" w:ascii="宋体" w:hAnsi="宋体" w:eastAsia="宋体" w:cs="宋体"/>
                <w:b/>
                <w:bCs/>
                <w:sz w:val="24"/>
                <w:szCs w:val="24"/>
                <w:highlight w:val="none"/>
              </w:rPr>
              <w:t xml:space="preserve">）</w:t>
            </w:r>
            <w:r/>
          </w:p>
        </w:tc>
      </w:tr>
      <w:tr>
        <w:trPr>
          <w:jc w:val="center"/>
          <w:trHeight w:val="621"/>
        </w:trPr>
        <w:tc>
          <w:tcPr>
            <w:tcW w:w="1660"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业绩证明</w:t>
            </w:r>
            <w:r/>
          </w:p>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（6分）</w:t>
            </w:r>
            <w:r/>
          </w:p>
        </w:tc>
        <w:tc>
          <w:tcPr>
            <w:tcW w:w="6845"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投标人自2020年1月1日以来（以合同签订日期为准），具有类似项目业绩的，每有一个得2分，</w:t>
            </w:r>
            <w:r>
              <w:rPr>
                <w:rFonts w:hint="eastAsia" w:ascii="宋体" w:hAnsi="宋体" w:eastAsia="宋体" w:cs="宋体"/>
                <w:b/>
                <w:bCs/>
                <w:sz w:val="24"/>
                <w:szCs w:val="24"/>
                <w:highlight w:val="none"/>
              </w:rPr>
              <w:t xml:space="preserve">最高6分。</w:t>
            </w:r>
            <w:r/>
          </w:p>
          <w:p>
            <w:pPr>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（投标文件中同时提供合同（至少体现首页、盖章页、合同签订时间页及关键页并标注出能判定类似业绩内容的位置）以及与合同对应的发票扫描件加盖投标人公章，否则不得分）</w:t>
            </w:r>
            <w:r/>
          </w:p>
        </w:tc>
      </w:tr>
      <w:tr>
        <w:trPr>
          <w:jc w:val="center"/>
          <w:trHeight w:val="621"/>
        </w:trPr>
        <w:tc>
          <w:tcPr>
            <w:tcW w:w="1660" w:type="dxa"/>
            <w:vAlign w:val="center"/>
            <w:textDirection w:val="lrTb"/>
            <w:noWrap w:val="false"/>
          </w:tcPr>
          <w:p>
            <w:pPr>
              <w:ind w:right="-105"/>
              <w:jc w:val="center"/>
              <w:spacing w:line="360" w:lineRule="auto"/>
              <w:widowControl/>
              <w:rPr>
                <w:rFonts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项目团队成员</w:t>
            </w:r>
            <w:r/>
          </w:p>
          <w:p>
            <w:pPr>
              <w:ind w:right="-105"/>
              <w:jc w:val="center"/>
              <w:spacing w:line="360" w:lineRule="auto"/>
              <w:widowControl/>
              <w:rPr>
                <w:rFonts w:ascii="宋体" w:hAnsi="宋体" w:eastAsia="宋体" w:cs="宋体"/>
                <w:sz w:val="24"/>
                <w:szCs w:val="24"/>
                <w:highlight w:val="none"/>
              </w:rPr>
            </w:pPr>
            <w:r>
              <w:rPr>
                <w:rFonts w:hint="eastAsia" w:ascii="宋体" w:hAnsi="宋体" w:eastAsia="宋体" w:cs="宋体"/>
                <w:spacing w:val="-10"/>
                <w:sz w:val="24"/>
                <w:szCs w:val="24"/>
                <w:highlight w:val="none"/>
              </w:rPr>
              <w:t xml:space="preserve">（15分）</w:t>
            </w:r>
            <w:r/>
          </w:p>
        </w:tc>
        <w:tc>
          <w:tcPr>
            <w:tcW w:w="6845" w:type="dxa"/>
            <w:vAlign w:val="center"/>
            <w:textDirection w:val="lrTb"/>
            <w:noWrap w:val="false"/>
          </w:tcPr>
          <w:p>
            <w:pPr>
              <w:jc w:val="left"/>
              <w:spacing w:line="360" w:lineRule="auto"/>
              <w:rPr>
                <w:rFonts w:ascii="宋体" w:hAnsi="宋体" w:eastAsia="宋体" w:cs="宋体"/>
                <w:b/>
                <w:bCs/>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项目经理要求</w:t>
            </w:r>
            <w:r>
              <w:rPr>
                <w:rFonts w:hint="eastAsia" w:ascii="宋体" w:hAnsi="宋体" w:eastAsia="宋体" w:cs="宋体"/>
                <w:sz w:val="24"/>
                <w:szCs w:val="24"/>
                <w:highlight w:val="none"/>
              </w:rPr>
              <w:t xml:space="preserve">：项目经理具有信息系统项目管理师证书、</w:t>
            </w:r>
            <w:r>
              <w:rPr>
                <w:rFonts w:ascii="宋体" w:hAnsi="宋体" w:eastAsia="宋体" w:cs="宋体"/>
                <w:sz w:val="24"/>
                <w:szCs w:val="24"/>
                <w:highlight w:val="none"/>
              </w:rPr>
              <w:t xml:space="preserve">IT</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eastAsia="zh-CN"/>
              </w:rPr>
              <w:t xml:space="preserve">工程师</w:t>
            </w:r>
            <w:r>
              <w:rPr>
                <w:rFonts w:hint="eastAsia" w:ascii="宋体" w:hAnsi="宋体" w:eastAsia="宋体" w:cs="宋体"/>
                <w:sz w:val="24"/>
                <w:szCs w:val="24"/>
                <w:highlight w:val="none"/>
              </w:rPr>
              <w:t xml:space="preserve">证书、注册信息安全专业人员证书、信息安全保障人员认证证书，每有一个得1分，</w:t>
            </w:r>
            <w:r>
              <w:rPr>
                <w:rFonts w:hint="eastAsia" w:ascii="宋体" w:hAnsi="宋体" w:eastAsia="宋体" w:cs="宋体"/>
                <w:b/>
                <w:bCs/>
                <w:sz w:val="24"/>
                <w:szCs w:val="24"/>
                <w:highlight w:val="none"/>
              </w:rPr>
              <w:t xml:space="preserve">最高得4分；</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技术负责人要求</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技术负责人具有</w:t>
            </w:r>
            <w:r>
              <w:rPr>
                <w:rFonts w:hint="eastAsia" w:ascii="宋体" w:hAnsi="宋体" w:eastAsia="宋体" w:cs="宋体"/>
                <w:sz w:val="24"/>
                <w:szCs w:val="24"/>
                <w:highlight w:val="none"/>
                <w:lang w:val="en-US" w:eastAsia="zh-CN"/>
              </w:rPr>
              <w:t xml:space="preserve">系统规划与管理师</w:t>
            </w:r>
            <w:r>
              <w:rPr>
                <w:rFonts w:hint="eastAsia" w:ascii="宋体" w:hAnsi="宋体" w:eastAsia="宋体" w:cs="宋体"/>
                <w:sz w:val="24"/>
                <w:szCs w:val="24"/>
                <w:highlight w:val="none"/>
              </w:rPr>
              <w:t xml:space="preserve">证书、</w:t>
            </w:r>
            <w:r>
              <w:rPr>
                <w:rFonts w:hint="eastAsia" w:ascii="宋体" w:hAnsi="宋体" w:eastAsia="宋体" w:cs="宋体"/>
                <w:sz w:val="24"/>
                <w:szCs w:val="24"/>
                <w:highlight w:val="none"/>
                <w:lang w:val="en-US" w:eastAsia="zh-CN"/>
              </w:rPr>
              <w:t xml:space="preserve">系统架构设计师证书</w:t>
            </w:r>
            <w:r>
              <w:rPr>
                <w:rFonts w:hint="eastAsia" w:ascii="宋体" w:hAnsi="宋体" w:eastAsia="宋体" w:cs="宋体"/>
                <w:sz w:val="24"/>
                <w:szCs w:val="24"/>
                <w:highlight w:val="none"/>
              </w:rPr>
              <w:t xml:space="preserve">、注册信息安全专业人员证书，每有一个得1分，最高</w:t>
            </w:r>
            <w:r>
              <w:rPr>
                <w:rFonts w:hint="eastAsia" w:ascii="宋体" w:hAnsi="宋体" w:eastAsia="宋体" w:cs="宋体"/>
                <w:b/>
                <w:bCs/>
                <w:sz w:val="24"/>
                <w:szCs w:val="24"/>
                <w:highlight w:val="none"/>
              </w:rPr>
              <w:t xml:space="preserve">得3分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项目团队要求</w:t>
            </w:r>
            <w:r>
              <w:rPr>
                <w:rFonts w:hint="eastAsia" w:ascii="宋体" w:hAnsi="宋体" w:eastAsia="宋体" w:cs="宋体"/>
                <w:sz w:val="24"/>
                <w:szCs w:val="24"/>
                <w:highlight w:val="none"/>
              </w:rPr>
              <w:t xml:space="preserve">：具有系统分析师、系统架构设计师、数据库系统工程师、软件设计师、注册信息安全专业人员（</w:t>
            </w:r>
            <w:r>
              <w:rPr>
                <w:rFonts w:ascii="宋体" w:hAnsi="宋体" w:eastAsia="宋体" w:cs="宋体"/>
                <w:sz w:val="24"/>
                <w:szCs w:val="24"/>
                <w:highlight w:val="none"/>
              </w:rPr>
              <w:t xml:space="preserve">CISP</w:t>
            </w:r>
            <w:r>
              <w:rPr>
                <w:rFonts w:hint="eastAsia" w:ascii="宋体" w:hAnsi="宋体" w:eastAsia="宋体" w:cs="宋体"/>
                <w:sz w:val="24"/>
                <w:szCs w:val="24"/>
                <w:highlight w:val="none"/>
              </w:rPr>
              <w:t xml:space="preserve">）、信息安全保障人员认证证书、</w:t>
            </w:r>
            <w:r>
              <w:rPr>
                <w:rFonts w:ascii="宋体" w:hAnsi="宋体" w:eastAsia="宋体" w:cs="宋体"/>
                <w:sz w:val="24"/>
                <w:szCs w:val="24"/>
                <w:highlight w:val="none"/>
              </w:rPr>
              <w:t xml:space="preserve">IT</w:t>
            </w:r>
            <w:r>
              <w:rPr>
                <w:rFonts w:hint="eastAsia" w:ascii="宋体" w:hAnsi="宋体" w:eastAsia="宋体" w:cs="宋体"/>
                <w:sz w:val="24"/>
                <w:szCs w:val="24"/>
                <w:highlight w:val="none"/>
              </w:rPr>
              <w:t xml:space="preserve">服务工程师、网络工程师证书的，每有一个得1分，</w:t>
            </w:r>
            <w:r>
              <w:rPr>
                <w:rFonts w:hint="eastAsia" w:ascii="宋体" w:hAnsi="宋体" w:eastAsia="宋体" w:cs="宋体"/>
                <w:b/>
                <w:bCs/>
                <w:sz w:val="24"/>
                <w:szCs w:val="24"/>
                <w:highlight w:val="none"/>
              </w:rPr>
              <w:t xml:space="preserve">最高得8分</w:t>
            </w:r>
            <w:r>
              <w:rPr>
                <w:rFonts w:hint="eastAsia" w:ascii="宋体" w:hAnsi="宋体" w:eastAsia="宋体" w:cs="宋体"/>
                <w:sz w:val="24"/>
                <w:szCs w:val="24"/>
                <w:highlight w:val="none"/>
              </w:rPr>
              <w:t xml:space="preserve">。</w:t>
            </w:r>
            <w:r/>
          </w:p>
          <w:p>
            <w:pPr>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（上述1-3项提供人员相关证书原件扫描件及</w:t>
            </w:r>
            <w:r>
              <w:rPr>
                <w:rFonts w:ascii="宋体" w:hAnsi="宋体" w:eastAsia="宋体" w:cs="宋体"/>
                <w:b/>
                <w:bCs/>
                <w:sz w:val="24"/>
                <w:szCs w:val="24"/>
                <w:highlight w:val="none"/>
              </w:rPr>
              <w:t xml:space="preserve">2024</w:t>
            </w:r>
            <w:r>
              <w:rPr>
                <w:rFonts w:hint="eastAsia" w:ascii="宋体" w:hAnsi="宋体" w:eastAsia="宋体" w:cs="宋体"/>
                <w:b/>
                <w:bCs/>
                <w:sz w:val="24"/>
                <w:szCs w:val="24"/>
                <w:highlight w:val="none"/>
              </w:rPr>
              <w:t xml:space="preserve">年1月以来任意一个月由投标人为其人员缴纳的社保证明材料并加盖投标人公章，未提供不得分。人员和证书不可重复计分。）</w:t>
            </w:r>
            <w:r/>
          </w:p>
        </w:tc>
      </w:tr>
    </w:tbl>
    <w:p>
      <w:pPr>
        <w:jc w:val="left"/>
        <w:widowControl/>
        <w:rPr>
          <w:sz w:val="24"/>
          <w:szCs w:val="24"/>
          <w:highlight w:val="none"/>
        </w:rPr>
      </w:pPr>
      <w:r>
        <w:rPr>
          <w:sz w:val="24"/>
          <w:szCs w:val="24"/>
          <w:highlight w:val="none"/>
        </w:rPr>
        <w:br w:type="page" w:clear="all"/>
      </w:r>
      <w:r/>
    </w:p>
    <w:p>
      <w:pPr>
        <w:pStyle w:val="845"/>
        <w:jc w:val="center"/>
        <w:spacing w:line="360" w:lineRule="auto"/>
        <w:rPr>
          <w:rFonts w:ascii="黑体" w:hAnsi="黑体" w:eastAsia="黑体"/>
          <w:b w:val="0"/>
          <w:highlight w:val="none"/>
        </w:rPr>
      </w:pPr>
      <w:r/>
      <w:bookmarkStart w:id="9" w:name="_Toc155796361"/>
      <w:r>
        <w:rPr>
          <w:rFonts w:hint="eastAsia" w:ascii="黑体" w:hAnsi="黑体" w:eastAsia="黑体"/>
          <w:b w:val="0"/>
          <w:highlight w:val="none"/>
        </w:rPr>
        <w:t xml:space="preserve">第六章  投标文件格式</w:t>
      </w:r>
      <w:bookmarkEnd w:id="9"/>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cs="Arial"/>
          <w:i/>
          <w:iCs/>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致：连云港市公共资源交易中心</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8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bookmarkStart w:id="10" w:name="_Hlt26955054"/>
      <w:r/>
      <w:bookmarkEnd w:id="10"/>
      <w:r>
        <w:rPr>
          <w:rFonts w:hint="eastAsia" w:ascii="Arial" w:hAnsi="Arial" w:eastAsia="宋体"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none"/>
              </w:rPr>
            </w:pPr>
            <w:r/>
            <w:bookmarkStart w:id="11" w:name="_Hlt26671343"/>
            <w:r/>
            <w:bookmarkEnd w:id="11"/>
            <w:r/>
            <w:bookmarkStart w:id="12" w:name="_Hlt26671372"/>
            <w:r/>
            <w:bookmarkEnd w:id="12"/>
            <w:r/>
            <w:bookmarkStart w:id="13" w:name="_Hlt26955056"/>
            <w:r/>
            <w:bookmarkEnd w:id="13"/>
            <w:r/>
            <w:bookmarkStart w:id="14" w:name="_Hlt26580838"/>
            <w:r/>
            <w:bookmarkEnd w:id="14"/>
            <w:r/>
            <w:bookmarkStart w:id="15" w:name="_Hlt24879081"/>
            <w:r/>
            <w:bookmarkEnd w:id="15"/>
            <w:r/>
            <w:bookmarkStart w:id="16" w:name="_Hlt26955064"/>
            <w:r/>
            <w:bookmarkEnd w:id="16"/>
            <w:r/>
            <w:bookmarkStart w:id="17" w:name="_Hlt26609391"/>
            <w:r/>
            <w:bookmarkEnd w:id="17"/>
            <w:r/>
            <w:bookmarkStart w:id="18" w:name="_Hlt26782999"/>
            <w:r/>
            <w:bookmarkEnd w:id="18"/>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19" w:name="_格式2__法定代表人授权书"/>
      <w:r/>
      <w:bookmarkEnd w:id="19"/>
      <w:r/>
      <w:bookmarkStart w:id="20" w:name="_Hlt26609389"/>
      <w:r/>
      <w:bookmarkEnd w:id="20"/>
      <w:r/>
      <w:bookmarkStart w:id="21" w:name="_Hlt26671374"/>
      <w:r/>
      <w:bookmarkEnd w:id="21"/>
      <w:r/>
      <w:bookmarkStart w:id="22" w:name="_Hlt26955066"/>
      <w:r/>
      <w:bookmarkEnd w:id="22"/>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49"/>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942"/>
        <w:gridCol w:w="3008"/>
        <w:gridCol w:w="2151"/>
      </w:tblGrid>
      <w:tr>
        <w:trPr>
          <w:cantSplit/>
          <w:jc w:val="center"/>
          <w:trHeight w:val="1084"/>
        </w:trPr>
        <w:tc>
          <w:tcPr>
            <w:tcW w:w="127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94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300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21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744"/>
        </w:trPr>
        <w:tc>
          <w:tcPr>
            <w:tcW w:w="127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08"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744"/>
        </w:trPr>
        <w:tc>
          <w:tcPr>
            <w:tcW w:w="127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08"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744"/>
        </w:trPr>
        <w:tc>
          <w:tcPr>
            <w:tcW w:w="127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08"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756"/>
        </w:trPr>
        <w:tc>
          <w:tcPr>
            <w:tcW w:w="127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08"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十九、开标一览表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货币单位：人民币元</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MS Mincho">
    <w:panose1 w:val="020206030504050903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6"/>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5"/>
    <w:uiPriority w:val="9"/>
    <w:rPr>
      <w:rFonts w:ascii="Arial" w:hAnsi="Arial" w:eastAsia="Arial" w:cs="Arial"/>
      <w:sz w:val="40"/>
      <w:szCs w:val="40"/>
    </w:rPr>
  </w:style>
  <w:style w:type="character" w:styleId="675">
    <w:name w:val="Heading 2 Char"/>
    <w:basedOn w:val="848"/>
    <w:link w:val="846"/>
    <w:uiPriority w:val="9"/>
    <w:rPr>
      <w:rFonts w:ascii="Arial" w:hAnsi="Arial" w:eastAsia="Arial" w:cs="Arial"/>
      <w:sz w:val="34"/>
    </w:rPr>
  </w:style>
  <w:style w:type="character" w:styleId="676">
    <w:name w:val="Heading 3 Char"/>
    <w:basedOn w:val="848"/>
    <w:link w:val="847"/>
    <w:uiPriority w:val="9"/>
    <w:rPr>
      <w:rFonts w:ascii="Arial" w:hAnsi="Arial" w:eastAsia="Arial" w:cs="Arial"/>
      <w:sz w:val="30"/>
      <w:szCs w:val="30"/>
    </w:rPr>
  </w:style>
  <w:style w:type="paragraph" w:styleId="677">
    <w:name w:val="Heading 4"/>
    <w:basedOn w:val="844"/>
    <w:next w:val="844"/>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8"/>
    <w:link w:val="677"/>
    <w:uiPriority w:val="9"/>
    <w:rPr>
      <w:rFonts w:ascii="Arial" w:hAnsi="Arial" w:eastAsia="Arial" w:cs="Arial"/>
      <w:b/>
      <w:bCs/>
      <w:sz w:val="26"/>
      <w:szCs w:val="26"/>
    </w:rPr>
  </w:style>
  <w:style w:type="paragraph" w:styleId="679">
    <w:name w:val="Heading 5"/>
    <w:basedOn w:val="844"/>
    <w:next w:val="844"/>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8"/>
    <w:link w:val="679"/>
    <w:uiPriority w:val="9"/>
    <w:rPr>
      <w:rFonts w:ascii="Arial" w:hAnsi="Arial" w:eastAsia="Arial" w:cs="Arial"/>
      <w:b/>
      <w:bCs/>
      <w:sz w:val="24"/>
      <w:szCs w:val="24"/>
    </w:rPr>
  </w:style>
  <w:style w:type="paragraph" w:styleId="681">
    <w:name w:val="Heading 6"/>
    <w:basedOn w:val="844"/>
    <w:next w:val="844"/>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8"/>
    <w:link w:val="681"/>
    <w:uiPriority w:val="9"/>
    <w:rPr>
      <w:rFonts w:ascii="Arial" w:hAnsi="Arial" w:eastAsia="Arial" w:cs="Arial"/>
      <w:b/>
      <w:bCs/>
      <w:sz w:val="22"/>
      <w:szCs w:val="22"/>
    </w:rPr>
  </w:style>
  <w:style w:type="paragraph" w:styleId="683">
    <w:name w:val="Heading 7"/>
    <w:basedOn w:val="844"/>
    <w:next w:val="844"/>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8"/>
    <w:link w:val="683"/>
    <w:uiPriority w:val="9"/>
    <w:rPr>
      <w:rFonts w:ascii="Arial" w:hAnsi="Arial" w:eastAsia="Arial" w:cs="Arial"/>
      <w:b/>
      <w:bCs/>
      <w:i/>
      <w:iCs/>
      <w:sz w:val="22"/>
      <w:szCs w:val="22"/>
    </w:rPr>
  </w:style>
  <w:style w:type="paragraph" w:styleId="685">
    <w:name w:val="Heading 8"/>
    <w:basedOn w:val="844"/>
    <w:next w:val="844"/>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8"/>
    <w:link w:val="685"/>
    <w:uiPriority w:val="9"/>
    <w:rPr>
      <w:rFonts w:ascii="Arial" w:hAnsi="Arial" w:eastAsia="Arial" w:cs="Arial"/>
      <w:i/>
      <w:iCs/>
      <w:sz w:val="22"/>
      <w:szCs w:val="22"/>
    </w:rPr>
  </w:style>
  <w:style w:type="paragraph" w:styleId="687">
    <w:name w:val="Heading 9"/>
    <w:basedOn w:val="844"/>
    <w:next w:val="844"/>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8"/>
    <w:link w:val="687"/>
    <w:uiPriority w:val="9"/>
    <w:rPr>
      <w:rFonts w:ascii="Arial" w:hAnsi="Arial" w:eastAsia="Arial" w:cs="Arial"/>
      <w:i/>
      <w:iCs/>
      <w:sz w:val="21"/>
      <w:szCs w:val="21"/>
    </w:rPr>
  </w:style>
  <w:style w:type="paragraph" w:styleId="689">
    <w:name w:val="List Paragraph"/>
    <w:basedOn w:val="844"/>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4"/>
    <w:next w:val="844"/>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4"/>
    <w:next w:val="844"/>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4"/>
    <w:next w:val="844"/>
    <w:link w:val="696"/>
    <w:uiPriority w:val="29"/>
    <w:qFormat/>
    <w:pPr>
      <w:ind w:left="720" w:right="720"/>
    </w:pPr>
    <w:rPr>
      <w:i/>
    </w:rPr>
  </w:style>
  <w:style w:type="character" w:styleId="696">
    <w:name w:val="Quote Char"/>
    <w:link w:val="695"/>
    <w:uiPriority w:val="29"/>
    <w:rPr>
      <w:i/>
    </w:rPr>
  </w:style>
  <w:style w:type="paragraph" w:styleId="697">
    <w:name w:val="Intense Quote"/>
    <w:basedOn w:val="844"/>
    <w:next w:val="844"/>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7"/>
    <w:uiPriority w:val="99"/>
  </w:style>
  <w:style w:type="character" w:styleId="700">
    <w:name w:val="Footer Char"/>
    <w:basedOn w:val="848"/>
    <w:link w:val="856"/>
    <w:uiPriority w:val="99"/>
  </w:style>
  <w:style w:type="paragraph" w:styleId="701">
    <w:name w:val="Caption"/>
    <w:basedOn w:val="844"/>
    <w:next w:val="844"/>
    <w:uiPriority w:val="35"/>
    <w:semiHidden/>
    <w:unhideWhenUsed/>
    <w:qFormat/>
    <w:pPr>
      <w:spacing w:line="276" w:lineRule="auto"/>
    </w:pPr>
    <w:rPr>
      <w:b/>
      <w:bCs/>
      <w:color w:val="4f81bd" w:themeColor="accent1"/>
      <w:sz w:val="18"/>
      <w:szCs w:val="18"/>
    </w:rPr>
  </w:style>
  <w:style w:type="character" w:styleId="702">
    <w:name w:val="Caption Char"/>
    <w:basedOn w:val="701"/>
    <w:link w:val="856"/>
    <w:uiPriority w:val="99"/>
  </w:style>
  <w:style w:type="table" w:styleId="703">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44"/>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8"/>
    <w:uiPriority w:val="99"/>
    <w:unhideWhenUsed/>
    <w:rPr>
      <w:vertAlign w:val="superscript"/>
    </w:rPr>
  </w:style>
  <w:style w:type="paragraph" w:styleId="831">
    <w:name w:val="endnote text"/>
    <w:basedOn w:val="844"/>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8"/>
    <w:uiPriority w:val="99"/>
    <w:semiHidden/>
    <w:unhideWhenUsed/>
    <w:rPr>
      <w:vertAlign w:val="superscript"/>
    </w:r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5">
    <w:name w:val="Heading 1"/>
    <w:basedOn w:val="844"/>
    <w:next w:val="844"/>
    <w:link w:val="865"/>
    <w:uiPriority w:val="9"/>
    <w:qFormat/>
    <w:pPr>
      <w:keepLines/>
      <w:keepNext/>
      <w:spacing w:before="340" w:after="330" w:line="578" w:lineRule="auto"/>
      <w:outlineLvl w:val="0"/>
    </w:pPr>
    <w:rPr>
      <w:b/>
      <w:bCs/>
      <w:sz w:val="44"/>
      <w:szCs w:val="44"/>
    </w:rPr>
  </w:style>
  <w:style w:type="paragraph" w:styleId="846">
    <w:name w:val="Heading 2"/>
    <w:basedOn w:val="844"/>
    <w:next w:val="844"/>
    <w:link w:val="86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7">
    <w:name w:val="Heading 3"/>
    <w:basedOn w:val="844"/>
    <w:next w:val="844"/>
    <w:link w:val="868"/>
    <w:uiPriority w:val="9"/>
    <w:unhideWhenUsed/>
    <w:qFormat/>
    <w:pPr>
      <w:keepLines/>
      <w:keepNext/>
      <w:spacing w:before="260" w:after="260" w:line="416" w:lineRule="auto"/>
      <w:outlineLvl w:val="2"/>
    </w:pPr>
    <w:rPr>
      <w:b/>
      <w:bCs/>
      <w:sz w:val="32"/>
      <w:szCs w:val="32"/>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Document Map"/>
    <w:basedOn w:val="844"/>
    <w:link w:val="866"/>
    <w:uiPriority w:val="99"/>
    <w:semiHidden/>
    <w:unhideWhenUsed/>
    <w:qFormat/>
    <w:rPr>
      <w:rFonts w:ascii="宋体" w:eastAsia="宋体"/>
      <w:sz w:val="18"/>
      <w:szCs w:val="18"/>
    </w:rPr>
  </w:style>
  <w:style w:type="paragraph" w:styleId="851">
    <w:name w:val="annotation text"/>
    <w:basedOn w:val="844"/>
    <w:link w:val="870"/>
    <w:uiPriority w:val="0"/>
    <w:qFormat/>
    <w:pPr>
      <w:ind w:firstLine="922"/>
      <w:jc w:val="left"/>
      <w:spacing w:line="360" w:lineRule="auto"/>
    </w:pPr>
    <w:rPr>
      <w:rFonts w:ascii="Times New Roman" w:hAnsi="Times New Roman" w:eastAsia="宋体" w:cs="Times New Roman"/>
      <w:szCs w:val="24"/>
    </w:rPr>
  </w:style>
  <w:style w:type="paragraph" w:styleId="852">
    <w:name w:val="Body Text"/>
    <w:basedOn w:val="844"/>
    <w:uiPriority w:val="99"/>
    <w:qFormat/>
    <w:rPr>
      <w:rFonts w:eastAsia="楷体_GB2312"/>
      <w:b/>
      <w:bCs/>
      <w:color w:val="ff0000"/>
      <w:sz w:val="32"/>
      <w:szCs w:val="32"/>
      <w:lang w:val="zh-CN"/>
    </w:rPr>
  </w:style>
  <w:style w:type="paragraph" w:styleId="853">
    <w:name w:val="Plain Text"/>
    <w:basedOn w:val="844"/>
    <w:link w:val="874"/>
    <w:uiPriority w:val="0"/>
    <w:qFormat/>
    <w:rPr>
      <w:rFonts w:ascii="宋体" w:hAnsi="Courier New" w:eastAsia="宋体" w:cs="Times New Roman"/>
      <w:szCs w:val="20"/>
    </w:rPr>
  </w:style>
  <w:style w:type="paragraph" w:styleId="854">
    <w:name w:val="Date"/>
    <w:basedOn w:val="844"/>
    <w:next w:val="844"/>
    <w:link w:val="869"/>
    <w:uiPriority w:val="99"/>
    <w:semiHidden/>
    <w:unhideWhenUsed/>
    <w:qFormat/>
    <w:pPr>
      <w:ind w:left="100"/>
    </w:pPr>
  </w:style>
  <w:style w:type="paragraph" w:styleId="855">
    <w:name w:val="Balloon Text"/>
    <w:basedOn w:val="844"/>
    <w:link w:val="871"/>
    <w:uiPriority w:val="99"/>
    <w:semiHidden/>
    <w:unhideWhenUsed/>
    <w:qFormat/>
    <w:rPr>
      <w:sz w:val="18"/>
      <w:szCs w:val="18"/>
    </w:rPr>
  </w:style>
  <w:style w:type="paragraph" w:styleId="856">
    <w:name w:val="Footer"/>
    <w:basedOn w:val="844"/>
    <w:link w:val="864"/>
    <w:uiPriority w:val="99"/>
    <w:unhideWhenUsed/>
    <w:qFormat/>
    <w:pPr>
      <w:jc w:val="left"/>
      <w:tabs>
        <w:tab w:val="center" w:pos="4153" w:leader="none"/>
        <w:tab w:val="right" w:pos="8306" w:leader="none"/>
      </w:tabs>
    </w:pPr>
    <w:rPr>
      <w:sz w:val="18"/>
      <w:szCs w:val="18"/>
    </w:rPr>
  </w:style>
  <w:style w:type="paragraph" w:styleId="857">
    <w:name w:val="Header"/>
    <w:basedOn w:val="844"/>
    <w:link w:val="86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44"/>
    <w:next w:val="844"/>
    <w:uiPriority w:val="39"/>
    <w:unhideWhenUsed/>
    <w:qFormat/>
  </w:style>
  <w:style w:type="paragraph" w:styleId="859">
    <w:name w:val="Body Text First Indent"/>
    <w:basedOn w:val="852"/>
    <w:uiPriority w:val="99"/>
    <w:qFormat/>
    <w:pPr>
      <w:ind w:firstLine="420"/>
    </w:pPr>
    <w:rPr>
      <w:rFonts w:ascii="Calibri" w:hAnsi="Calibri" w:eastAsia="宋体"/>
      <w:szCs w:val="24"/>
    </w:rPr>
  </w:style>
  <w:style w:type="table" w:styleId="860">
    <w:name w:val="Table Grid"/>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Hyperlink"/>
    <w:uiPriority w:val="99"/>
    <w:qFormat/>
    <w:rPr>
      <w:color w:val="0000ff"/>
      <w:u w:val="none"/>
    </w:rPr>
  </w:style>
  <w:style w:type="character" w:styleId="862">
    <w:name w:val="annotation reference"/>
    <w:uiPriority w:val="0"/>
    <w:qFormat/>
    <w:rPr>
      <w:sz w:val="21"/>
      <w:szCs w:val="21"/>
    </w:rPr>
  </w:style>
  <w:style w:type="character" w:styleId="863" w:customStyle="1">
    <w:name w:val="页眉 Char"/>
    <w:basedOn w:val="848"/>
    <w:link w:val="857"/>
    <w:uiPriority w:val="99"/>
    <w:semiHidden/>
    <w:qFormat/>
    <w:rPr>
      <w:sz w:val="18"/>
      <w:szCs w:val="18"/>
    </w:rPr>
  </w:style>
  <w:style w:type="character" w:styleId="864" w:customStyle="1">
    <w:name w:val="页脚 Char"/>
    <w:basedOn w:val="848"/>
    <w:link w:val="856"/>
    <w:uiPriority w:val="99"/>
    <w:qFormat/>
    <w:rPr>
      <w:sz w:val="18"/>
      <w:szCs w:val="18"/>
    </w:rPr>
  </w:style>
  <w:style w:type="character" w:styleId="865" w:customStyle="1">
    <w:name w:val="标题 1 Char"/>
    <w:basedOn w:val="848"/>
    <w:link w:val="845"/>
    <w:uiPriority w:val="9"/>
    <w:qFormat/>
    <w:rPr>
      <w:b/>
      <w:bCs/>
      <w:sz w:val="44"/>
      <w:szCs w:val="44"/>
    </w:rPr>
  </w:style>
  <w:style w:type="character" w:styleId="866" w:customStyle="1">
    <w:name w:val="文档结构图 Char"/>
    <w:basedOn w:val="848"/>
    <w:link w:val="850"/>
    <w:uiPriority w:val="99"/>
    <w:semiHidden/>
    <w:qFormat/>
    <w:rPr>
      <w:rFonts w:ascii="宋体" w:eastAsia="宋体"/>
      <w:sz w:val="18"/>
      <w:szCs w:val="18"/>
    </w:rPr>
  </w:style>
  <w:style w:type="character" w:styleId="867" w:customStyle="1">
    <w:name w:val="标题 2 Char"/>
    <w:basedOn w:val="848"/>
    <w:link w:val="846"/>
    <w:uiPriority w:val="9"/>
    <w:qFormat/>
    <w:rPr>
      <w:rFonts w:asciiTheme="majorHAnsi" w:hAnsiTheme="majorHAnsi" w:eastAsiaTheme="majorEastAsia" w:cstheme="majorBidi"/>
      <w:b/>
      <w:bCs/>
      <w:sz w:val="32"/>
      <w:szCs w:val="32"/>
    </w:rPr>
  </w:style>
  <w:style w:type="character" w:styleId="868" w:customStyle="1">
    <w:name w:val="标题 3 Char"/>
    <w:basedOn w:val="848"/>
    <w:link w:val="847"/>
    <w:uiPriority w:val="9"/>
    <w:qFormat/>
    <w:rPr>
      <w:b/>
      <w:bCs/>
      <w:sz w:val="32"/>
      <w:szCs w:val="32"/>
    </w:rPr>
  </w:style>
  <w:style w:type="character" w:styleId="869" w:customStyle="1">
    <w:name w:val="日期 Char"/>
    <w:basedOn w:val="848"/>
    <w:link w:val="854"/>
    <w:uiPriority w:val="99"/>
    <w:semiHidden/>
    <w:qFormat/>
  </w:style>
  <w:style w:type="character" w:styleId="870" w:customStyle="1">
    <w:name w:val="批注文字 Char"/>
    <w:basedOn w:val="848"/>
    <w:link w:val="851"/>
    <w:uiPriority w:val="0"/>
    <w:qFormat/>
    <w:rPr>
      <w:rFonts w:ascii="Times New Roman" w:hAnsi="Times New Roman" w:eastAsia="宋体" w:cs="Times New Roman"/>
      <w:szCs w:val="24"/>
    </w:rPr>
  </w:style>
  <w:style w:type="character" w:styleId="871" w:customStyle="1">
    <w:name w:val="批注框文本 Char"/>
    <w:basedOn w:val="848"/>
    <w:link w:val="855"/>
    <w:uiPriority w:val="99"/>
    <w:semiHidden/>
    <w:qFormat/>
    <w:rPr>
      <w:sz w:val="18"/>
      <w:szCs w:val="18"/>
    </w:rPr>
  </w:style>
  <w:style w:type="paragraph" w:styleId="872" w:customStyle="1">
    <w:name w:val="Default"/>
    <w:link w:val="873"/>
    <w:uiPriority w:val="99"/>
    <w:qFormat/>
    <w:pPr>
      <w:widowControl w:val="off"/>
    </w:pPr>
    <w:rPr>
      <w:rFonts w:ascii="MS Mincho" w:hAnsi="Calibri" w:eastAsia="宋体" w:cs="Times New Roman"/>
      <w:color w:val="000000"/>
      <w:sz w:val="21"/>
      <w:szCs w:val="24"/>
      <w:lang w:val="en-US" w:eastAsia="zh-CN" w:bidi="ar-SA"/>
    </w:rPr>
  </w:style>
  <w:style w:type="character" w:styleId="873" w:customStyle="1">
    <w:name w:val="Default Char"/>
    <w:link w:val="872"/>
    <w:uiPriority w:val="99"/>
    <w:qFormat/>
    <w:rPr>
      <w:rFonts w:ascii="MS Mincho" w:hAnsi="Calibri" w:eastAsia="宋体" w:cs="Times New Roman"/>
      <w:color w:val="000000"/>
      <w:szCs w:val="24"/>
    </w:rPr>
  </w:style>
  <w:style w:type="character" w:styleId="874" w:customStyle="1">
    <w:name w:val="纯文本 Char"/>
    <w:basedOn w:val="848"/>
    <w:link w:val="853"/>
    <w:uiPriority w:val="0"/>
    <w:qFormat/>
    <w:rPr>
      <w:rFonts w:ascii="宋体" w:hAnsi="Courier New" w:eastAsia="宋体" w:cs="Times New Roman"/>
      <w:szCs w:val="20"/>
    </w:rPr>
  </w:style>
  <w:style w:type="paragraph" w:styleId="875" w:customStyle="1">
    <w:name w:val="正文1"/>
    <w:next w:val="844"/>
    <w:uiPriority w:val="0"/>
    <w:qFormat/>
    <w:pPr>
      <w:jc w:val="both"/>
      <w:widowControl w:val="off"/>
    </w:pPr>
    <w:rPr>
      <w:rFonts w:ascii="Calibri" w:hAnsi="Calibri" w:eastAsia="宋体" w:cs="Times New Roman"/>
      <w:lang w:val="en-US" w:eastAsia="zh-CN" w:bidi="ar-SA"/>
    </w:rPr>
  </w:style>
  <w:style w:type="paragraph" w:styleId="876" w:customStyle="1">
    <w:name w:val="*正文"/>
    <w:basedOn w:val="844"/>
    <w:uiPriority w:val="0"/>
    <w:qFormat/>
    <w:pPr>
      <w:ind w:firstLine="480"/>
      <w:spacing w:line="360" w:lineRule="auto"/>
      <w:shd w:val="clear" w:color="auto" w:fill="ffffff"/>
      <w:widowControl/>
    </w:pPr>
    <w:rPr>
      <w:rFonts w:ascii="宋体" w:hAnsi="宋体"/>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D6BA-937E-4F06-8966-68C3584AF17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王一峰</cp:lastModifiedBy>
  <cp:revision>9</cp:revision>
  <dcterms:created xsi:type="dcterms:W3CDTF">2024-07-12T10:34:00Z</dcterms:created>
  <dcterms:modified xsi:type="dcterms:W3CDTF">2024-08-23T08:49:24Z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8FC0160F07384CB9902C022736CDD220_13</vt:lpwstr>
  </property>
</Properties>
</file>