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B14A" w14:textId="3884D72D" w:rsidR="00220D38" w:rsidRDefault="00914938">
      <w:pPr>
        <w:spacing w:line="360" w:lineRule="auto"/>
        <w:ind w:left="20"/>
        <w:jc w:val="center"/>
        <w:rPr>
          <w:rFonts w:hint="eastAsia"/>
          <w:b/>
          <w:sz w:val="32"/>
        </w:rPr>
      </w:pPr>
      <w:r>
        <w:rPr>
          <w:rFonts w:hint="eastAsia"/>
          <w:b/>
          <w:sz w:val="32"/>
        </w:rPr>
        <w:t>梁溪区扬名街道扬名花园一期至五期消防设施改造工程项目</w:t>
      </w:r>
    </w:p>
    <w:p w14:paraId="6DD4449D" w14:textId="77777777" w:rsidR="00220D38" w:rsidRDefault="00000000">
      <w:pPr>
        <w:spacing w:line="360" w:lineRule="auto"/>
        <w:ind w:left="20"/>
        <w:jc w:val="center"/>
        <w:rPr>
          <w:rFonts w:hint="eastAsia"/>
          <w:b/>
          <w:sz w:val="28"/>
        </w:rPr>
      </w:pPr>
      <w:r>
        <w:rPr>
          <w:rFonts w:hint="eastAsia"/>
          <w:b/>
          <w:sz w:val="32"/>
        </w:rPr>
        <w:t>工程量清单编制说明</w:t>
      </w:r>
    </w:p>
    <w:p w14:paraId="035927FC" w14:textId="77777777" w:rsidR="00220D38" w:rsidRDefault="00000000">
      <w:pPr>
        <w:numPr>
          <w:ilvl w:val="0"/>
          <w:numId w:val="1"/>
        </w:numPr>
        <w:spacing w:line="280" w:lineRule="exact"/>
        <w:ind w:left="20"/>
        <w:rPr>
          <w:rFonts w:hint="eastAsia"/>
          <w:b/>
          <w:w w:val="99"/>
          <w:sz w:val="24"/>
        </w:rPr>
      </w:pPr>
      <w:r>
        <w:rPr>
          <w:b/>
          <w:sz w:val="24"/>
        </w:rPr>
        <w:t>总说明</w:t>
      </w:r>
      <w:r>
        <w:rPr>
          <w:b/>
          <w:w w:val="99"/>
          <w:sz w:val="24"/>
        </w:rPr>
        <w:t xml:space="preserve"> </w:t>
      </w:r>
    </w:p>
    <w:p w14:paraId="0E5FA639" w14:textId="3A63B615" w:rsidR="00220D38" w:rsidRDefault="00000000">
      <w:pPr>
        <w:pStyle w:val="a4"/>
        <w:spacing w:before="1" w:line="360" w:lineRule="auto"/>
        <w:ind w:right="35" w:firstLineChars="200" w:firstLine="480"/>
        <w:rPr>
          <w:rFonts w:hint="eastAsia"/>
          <w:lang w:val="en-US"/>
        </w:rPr>
      </w:pPr>
      <w:r>
        <w:rPr>
          <w:rFonts w:hint="eastAsia"/>
        </w:rPr>
        <w:t>1、本工程为</w:t>
      </w:r>
      <w:r w:rsidR="00914938">
        <w:rPr>
          <w:rFonts w:hint="eastAsia"/>
        </w:rPr>
        <w:t>梁溪区扬名街道扬名花园一期至五期消防设施改造工程项目</w:t>
      </w:r>
      <w:r>
        <w:rPr>
          <w:rFonts w:hint="eastAsia"/>
        </w:rPr>
        <w:t>由</w:t>
      </w:r>
      <w:r w:rsidR="00914938">
        <w:rPr>
          <w:rFonts w:hint="eastAsia"/>
        </w:rPr>
        <w:t>无锡市梁溪区扬名街道办事处</w:t>
      </w:r>
      <w:r>
        <w:rPr>
          <w:rFonts w:hint="eastAsia"/>
        </w:rPr>
        <w:t>投资建设。本次工程范围主要包括</w:t>
      </w:r>
      <w:r w:rsidR="00914938">
        <w:rPr>
          <w:rFonts w:hint="eastAsia"/>
        </w:rPr>
        <w:t>消火栓系统、喷淋系统、应急照明系统、火灾报警系统、防排烟系统等</w:t>
      </w:r>
      <w:r>
        <w:rPr>
          <w:rFonts w:hint="eastAsia"/>
        </w:rPr>
        <w:t>工程</w:t>
      </w:r>
      <w:r w:rsidR="00914938">
        <w:rPr>
          <w:rFonts w:hint="eastAsia"/>
        </w:rPr>
        <w:t>的维修改造</w:t>
      </w:r>
      <w:r>
        <w:rPr>
          <w:rFonts w:hint="eastAsia"/>
        </w:rPr>
        <w:t>。</w:t>
      </w:r>
    </w:p>
    <w:p w14:paraId="06788A9D" w14:textId="71B4E4CE" w:rsidR="00220D38" w:rsidRDefault="00000000">
      <w:pPr>
        <w:pStyle w:val="a4"/>
        <w:spacing w:before="1" w:line="360" w:lineRule="auto"/>
        <w:ind w:right="35" w:firstLineChars="200" w:firstLine="480"/>
        <w:rPr>
          <w:rFonts w:hint="eastAsia"/>
          <w:lang w:val="en-US"/>
        </w:rPr>
      </w:pPr>
      <w:r>
        <w:rPr>
          <w:rFonts w:hint="eastAsia"/>
          <w:lang w:val="en-US"/>
        </w:rPr>
        <w:t>2、建设地点：江苏省</w:t>
      </w:r>
      <w:r>
        <w:rPr>
          <w:rFonts w:hint="eastAsia"/>
        </w:rPr>
        <w:t>无锡市</w:t>
      </w:r>
      <w:r w:rsidR="00914938" w:rsidRPr="00914938">
        <w:rPr>
          <w:rFonts w:hint="eastAsia"/>
        </w:rPr>
        <w:t>扬名街道扬名花园</w:t>
      </w:r>
      <w:r>
        <w:rPr>
          <w:rFonts w:hint="eastAsia"/>
          <w:lang w:val="en-US"/>
        </w:rPr>
        <w:t>。</w:t>
      </w:r>
    </w:p>
    <w:p w14:paraId="596A5B76" w14:textId="43BA9538" w:rsidR="00220D38" w:rsidRDefault="00000000">
      <w:pPr>
        <w:spacing w:line="360" w:lineRule="auto"/>
        <w:ind w:firstLineChars="200" w:firstLine="480"/>
        <w:rPr>
          <w:rFonts w:hint="eastAsia"/>
          <w:sz w:val="24"/>
          <w:szCs w:val="24"/>
          <w:lang w:val="en-US"/>
        </w:rPr>
      </w:pPr>
      <w:r>
        <w:rPr>
          <w:rFonts w:hint="eastAsia"/>
          <w:sz w:val="24"/>
          <w:szCs w:val="24"/>
          <w:lang w:val="en-US"/>
        </w:rPr>
        <w:t>3、本工程招标范围：工程量清单范围内</w:t>
      </w:r>
      <w:r w:rsidR="00914938" w:rsidRPr="00914938">
        <w:rPr>
          <w:rFonts w:hint="eastAsia"/>
          <w:sz w:val="24"/>
          <w:szCs w:val="24"/>
          <w:lang w:val="en-US"/>
        </w:rPr>
        <w:t>梁溪区扬名街道扬名花园一期至五期消防设施改造工程项目</w:t>
      </w:r>
      <w:r>
        <w:rPr>
          <w:rFonts w:hint="eastAsia"/>
          <w:sz w:val="24"/>
          <w:szCs w:val="24"/>
          <w:lang w:val="en-US"/>
        </w:rPr>
        <w:t>，承包内容包含但不限于本工程施工区域所有指定供应设备、材料的场内运输、二次倒运、仓储、看管、成品保护及安全防护，并包括但不限于为完成本交钥匙工程所必须的工程及施工内容。</w:t>
      </w:r>
    </w:p>
    <w:p w14:paraId="6043A112" w14:textId="77777777" w:rsidR="00220D38" w:rsidRDefault="00000000">
      <w:pPr>
        <w:spacing w:line="360" w:lineRule="auto"/>
        <w:ind w:firstLineChars="200" w:firstLine="480"/>
        <w:rPr>
          <w:rFonts w:hint="eastAsia"/>
          <w:sz w:val="24"/>
          <w:szCs w:val="24"/>
          <w:lang w:val="en-US"/>
        </w:rPr>
      </w:pPr>
      <w:r>
        <w:rPr>
          <w:rFonts w:hint="eastAsia"/>
          <w:sz w:val="24"/>
          <w:szCs w:val="24"/>
          <w:lang w:val="en-US"/>
        </w:rPr>
        <w:t>4、工程施工部分包含但不限于以下项目：</w:t>
      </w:r>
    </w:p>
    <w:p w14:paraId="1D871C43" w14:textId="31C98352" w:rsidR="00220D38" w:rsidRDefault="00914938">
      <w:pPr>
        <w:spacing w:line="360" w:lineRule="auto"/>
        <w:ind w:firstLineChars="200" w:firstLine="480"/>
        <w:rPr>
          <w:rFonts w:hint="eastAsia"/>
          <w:sz w:val="24"/>
          <w:szCs w:val="24"/>
          <w:lang w:val="en-US"/>
        </w:rPr>
      </w:pPr>
      <w:r w:rsidRPr="00914938">
        <w:rPr>
          <w:rFonts w:hint="eastAsia"/>
          <w:sz w:val="24"/>
          <w:szCs w:val="24"/>
          <w:lang w:val="en-US"/>
        </w:rPr>
        <w:t>消火栓系统、喷淋系统、应急照明系统、火灾报警系统、防排烟系统等工程的维修改造</w:t>
      </w:r>
      <w:r>
        <w:rPr>
          <w:rFonts w:hint="eastAsia"/>
          <w:sz w:val="24"/>
          <w:szCs w:val="24"/>
          <w:lang w:val="en-US"/>
        </w:rPr>
        <w:t>。</w:t>
      </w:r>
    </w:p>
    <w:p w14:paraId="62A510F0" w14:textId="4195E0EF" w:rsidR="00220D38" w:rsidRDefault="00000000">
      <w:pPr>
        <w:pStyle w:val="ab"/>
        <w:widowControl/>
        <w:spacing w:beforeAutospacing="0" w:afterAutospacing="0" w:line="360" w:lineRule="auto"/>
        <w:ind w:firstLineChars="200" w:firstLine="404"/>
        <w:rPr>
          <w:rFonts w:hint="eastAsia"/>
        </w:rPr>
      </w:pPr>
      <w:r>
        <w:rPr>
          <w:rFonts w:cs="宋体" w:hint="eastAsia"/>
          <w:spacing w:val="-19"/>
          <w:szCs w:val="24"/>
          <w:lang w:bidi="zh-CN"/>
        </w:rPr>
        <w:t>5、</w:t>
      </w:r>
      <w:r>
        <w:rPr>
          <w:rFonts w:cs="宋体"/>
          <w:szCs w:val="24"/>
          <w:lang w:val="zh-CN" w:bidi="zh-CN"/>
        </w:rPr>
        <w:t>本工程量清单编制依据：</w:t>
      </w:r>
      <w:r w:rsidR="00914938">
        <w:rPr>
          <w:rFonts w:cs="宋体" w:hint="eastAsia"/>
          <w:szCs w:val="24"/>
          <w:lang w:bidi="zh-CN"/>
        </w:rPr>
        <w:t>现场踏勘</w:t>
      </w:r>
      <w:r>
        <w:rPr>
          <w:rFonts w:cs="宋体"/>
          <w:szCs w:val="24"/>
          <w:lang w:val="zh-CN" w:bidi="zh-CN"/>
        </w:rPr>
        <w:t>、《建设工程工程量清单计价规范》(GB50500-2013)、《房屋建筑与装饰工程工程量计算规范》（GB50854-2013）、《通用安装工程工程量计算规范》（GB50856-2013）、《市政工程工程量计算规范》（GB50857-2013）</w:t>
      </w:r>
      <w:r>
        <w:rPr>
          <w:rFonts w:cs="宋体" w:hint="eastAsia"/>
          <w:szCs w:val="24"/>
          <w:lang w:val="zh-CN" w:bidi="zh-CN"/>
        </w:rPr>
        <w:t>、</w:t>
      </w:r>
      <w:r>
        <w:rPr>
          <w:rFonts w:cs="宋体"/>
          <w:szCs w:val="24"/>
          <w:lang w:val="zh-CN" w:bidi="zh-CN"/>
        </w:rPr>
        <w:t>2014 版《江苏省建设工程费用定额》（营改增后）、苏建函价2019_178号文、省住建厅[2019]第 19号文</w:t>
      </w:r>
      <w:r>
        <w:rPr>
          <w:rFonts w:cs="宋体" w:hint="eastAsia"/>
          <w:szCs w:val="24"/>
          <w:lang w:bidi="zh-CN"/>
        </w:rPr>
        <w:t>等本工程招标文件。</w:t>
      </w:r>
    </w:p>
    <w:p w14:paraId="006F1F36" w14:textId="77777777" w:rsidR="00220D38" w:rsidRDefault="00000000">
      <w:pPr>
        <w:pStyle w:val="a4"/>
        <w:spacing w:line="360" w:lineRule="auto"/>
        <w:ind w:left="0" w:firstLineChars="200" w:firstLine="480"/>
        <w:rPr>
          <w:rFonts w:hint="eastAsia"/>
        </w:rPr>
      </w:pPr>
      <w:r>
        <w:rPr>
          <w:rFonts w:hint="eastAsia"/>
          <w:lang w:val="en-US"/>
        </w:rPr>
        <w:t>6</w:t>
      </w:r>
      <w:r>
        <w:t xml:space="preserve">、工程量清单计价格式中列明的所有需要填报的单价和合价，投标人均应填报，未填报的单价和合价，视为此项费用已包含在工程量清单的其他单价和合价中。 </w:t>
      </w:r>
    </w:p>
    <w:p w14:paraId="420D13CA" w14:textId="77777777" w:rsidR="00220D38" w:rsidRDefault="00000000">
      <w:pPr>
        <w:pStyle w:val="a4"/>
        <w:spacing w:line="360" w:lineRule="auto"/>
        <w:ind w:firstLineChars="200" w:firstLine="480"/>
        <w:rPr>
          <w:rFonts w:hint="eastAsia"/>
        </w:rPr>
      </w:pPr>
      <w:r>
        <w:rPr>
          <w:rFonts w:hint="eastAsia"/>
          <w:lang w:val="en-US"/>
        </w:rPr>
        <w:t>7</w:t>
      </w:r>
      <w:r>
        <w:t>、本工程质量、材料、施工等的特殊要求：详见招标文件</w:t>
      </w:r>
      <w:r>
        <w:rPr>
          <w:rFonts w:hint="eastAsia"/>
        </w:rPr>
        <w:t>。</w:t>
      </w:r>
    </w:p>
    <w:p w14:paraId="0ABCF691" w14:textId="77777777" w:rsidR="00220D38" w:rsidRDefault="00000000">
      <w:pPr>
        <w:pStyle w:val="a4"/>
        <w:spacing w:line="360" w:lineRule="auto"/>
        <w:ind w:firstLineChars="200" w:firstLine="480"/>
        <w:rPr>
          <w:rFonts w:hint="eastAsia"/>
        </w:rPr>
      </w:pPr>
      <w:r>
        <w:rPr>
          <w:rFonts w:hint="eastAsia"/>
          <w:lang w:val="en-US"/>
        </w:rPr>
        <w:t>8</w:t>
      </w:r>
      <w:r>
        <w:t>、招标人自行采购材料的名称、规格型号：无。</w:t>
      </w:r>
    </w:p>
    <w:p w14:paraId="0E4BD0E0" w14:textId="77777777" w:rsidR="00220D38" w:rsidRDefault="00000000">
      <w:pPr>
        <w:pStyle w:val="a4"/>
        <w:spacing w:line="360" w:lineRule="auto"/>
        <w:ind w:firstLineChars="200" w:firstLine="480"/>
        <w:rPr>
          <w:rFonts w:hint="eastAsia"/>
        </w:rPr>
      </w:pPr>
      <w:r>
        <w:rPr>
          <w:rFonts w:hint="eastAsia"/>
          <w:lang w:val="en-US"/>
        </w:rPr>
        <w:t>9、</w:t>
      </w:r>
      <w:r>
        <w:t>招标人另行发包的专业工程：无。</w:t>
      </w:r>
    </w:p>
    <w:p w14:paraId="0D98DDB2" w14:textId="7A8A2883" w:rsidR="00220D38" w:rsidRDefault="00000000">
      <w:pPr>
        <w:pStyle w:val="a4"/>
        <w:spacing w:line="360" w:lineRule="auto"/>
        <w:ind w:firstLineChars="200" w:firstLine="480"/>
        <w:rPr>
          <w:rFonts w:hint="eastAsia"/>
        </w:rPr>
      </w:pPr>
      <w:r>
        <w:rPr>
          <w:rFonts w:hint="eastAsia"/>
          <w:lang w:val="en-US"/>
        </w:rPr>
        <w:t>10</w:t>
      </w:r>
      <w:r>
        <w:t>、暂列金额：</w:t>
      </w:r>
      <w:r w:rsidR="00914938" w:rsidRPr="00914938">
        <w:rPr>
          <w:rFonts w:hint="eastAsia"/>
          <w:u w:val="single"/>
          <w:lang w:val="en-US"/>
        </w:rPr>
        <w:t>无</w:t>
      </w:r>
      <w:r>
        <w:t>。</w:t>
      </w:r>
    </w:p>
    <w:p w14:paraId="3C7DB19B" w14:textId="77777777" w:rsidR="00220D38" w:rsidRDefault="00000000">
      <w:pPr>
        <w:pStyle w:val="a4"/>
        <w:spacing w:line="360" w:lineRule="auto"/>
        <w:ind w:firstLineChars="200" w:firstLine="480"/>
        <w:rPr>
          <w:rFonts w:hint="eastAsia"/>
        </w:rPr>
      </w:pPr>
      <w:r>
        <w:t>1</w:t>
      </w:r>
      <w:r>
        <w:rPr>
          <w:rFonts w:hint="eastAsia"/>
          <w:lang w:val="en-US"/>
        </w:rPr>
        <w:t>1</w:t>
      </w:r>
      <w:r>
        <w:t>、专业工程暂估价：</w:t>
      </w:r>
      <w:r>
        <w:rPr>
          <w:rFonts w:hint="eastAsia"/>
        </w:rPr>
        <w:t>无。</w:t>
      </w:r>
    </w:p>
    <w:p w14:paraId="3D136D23" w14:textId="77777777" w:rsidR="00220D38" w:rsidRDefault="00000000">
      <w:pPr>
        <w:pStyle w:val="a4"/>
        <w:spacing w:line="360" w:lineRule="auto"/>
        <w:ind w:firstLineChars="200" w:firstLine="480"/>
        <w:rPr>
          <w:rFonts w:hint="eastAsia"/>
          <w:highlight w:val="green"/>
          <w:lang w:val="en-US"/>
        </w:rPr>
      </w:pPr>
      <w:r>
        <w:rPr>
          <w:rFonts w:hint="eastAsia"/>
          <w:lang w:val="en-US"/>
        </w:rPr>
        <w:t>12、计入分部分项的暂定价如下：无。</w:t>
      </w:r>
    </w:p>
    <w:p w14:paraId="2D4EABC9" w14:textId="77777777" w:rsidR="00220D38" w:rsidRDefault="00000000">
      <w:pPr>
        <w:pStyle w:val="a4"/>
        <w:spacing w:line="360" w:lineRule="auto"/>
        <w:ind w:firstLineChars="200" w:firstLine="480"/>
        <w:rPr>
          <w:rFonts w:hint="eastAsia"/>
        </w:rPr>
      </w:pPr>
      <w:r>
        <w:t>1</w:t>
      </w:r>
      <w:r>
        <w:rPr>
          <w:rFonts w:hint="eastAsia"/>
          <w:lang w:val="en-US"/>
        </w:rPr>
        <w:t>3</w:t>
      </w:r>
      <w:r>
        <w:t>、材料暂估价：无。</w:t>
      </w:r>
    </w:p>
    <w:p w14:paraId="3E211037" w14:textId="77777777" w:rsidR="00220D38" w:rsidRDefault="00000000">
      <w:pPr>
        <w:adjustRightInd w:val="0"/>
        <w:snapToGrid w:val="0"/>
        <w:spacing w:line="360" w:lineRule="auto"/>
        <w:ind w:firstLineChars="200" w:firstLine="480"/>
        <w:rPr>
          <w:rFonts w:hint="eastAsia"/>
          <w:sz w:val="24"/>
          <w:szCs w:val="24"/>
        </w:rPr>
      </w:pPr>
      <w:r>
        <w:rPr>
          <w:rFonts w:hint="eastAsia"/>
          <w:sz w:val="24"/>
          <w:szCs w:val="24"/>
        </w:rPr>
        <w:lastRenderedPageBreak/>
        <w:t>1</w:t>
      </w:r>
      <w:r>
        <w:rPr>
          <w:rFonts w:hint="eastAsia"/>
          <w:sz w:val="24"/>
          <w:szCs w:val="24"/>
          <w:lang w:val="en-US"/>
        </w:rPr>
        <w:t>4</w:t>
      </w:r>
      <w:r>
        <w:rPr>
          <w:rFonts w:hint="eastAsia"/>
          <w:sz w:val="24"/>
          <w:szCs w:val="24"/>
        </w:rPr>
        <w:t>、本工程不可竞争费设置如下（单位：%）：</w:t>
      </w:r>
    </w:p>
    <w:tbl>
      <w:tblPr>
        <w:tblW w:w="9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1105"/>
        <w:gridCol w:w="988"/>
        <w:gridCol w:w="988"/>
        <w:gridCol w:w="949"/>
        <w:gridCol w:w="896"/>
        <w:gridCol w:w="841"/>
        <w:gridCol w:w="822"/>
        <w:gridCol w:w="1063"/>
        <w:gridCol w:w="944"/>
      </w:tblGrid>
      <w:tr w:rsidR="00220D38" w14:paraId="485222AE" w14:textId="77777777">
        <w:trPr>
          <w:trHeight w:val="490"/>
          <w:jc w:val="center"/>
        </w:trPr>
        <w:tc>
          <w:tcPr>
            <w:tcW w:w="1005" w:type="dxa"/>
            <w:vMerge w:val="restart"/>
            <w:vAlign w:val="center"/>
          </w:tcPr>
          <w:p w14:paraId="1577F1CA" w14:textId="77777777" w:rsidR="00220D38" w:rsidRDefault="00000000">
            <w:pPr>
              <w:adjustRightInd w:val="0"/>
              <w:snapToGrid w:val="0"/>
              <w:spacing w:line="360" w:lineRule="auto"/>
              <w:jc w:val="center"/>
              <w:rPr>
                <w:rFonts w:hint="eastAsia"/>
              </w:rPr>
            </w:pPr>
            <w:r>
              <w:rPr>
                <w:rFonts w:hint="eastAsia"/>
              </w:rPr>
              <w:t>序号</w:t>
            </w:r>
          </w:p>
        </w:tc>
        <w:tc>
          <w:tcPr>
            <w:tcW w:w="1105" w:type="dxa"/>
            <w:vMerge w:val="restart"/>
            <w:vAlign w:val="center"/>
          </w:tcPr>
          <w:p w14:paraId="358383C3" w14:textId="77777777" w:rsidR="00220D38" w:rsidRDefault="00000000">
            <w:pPr>
              <w:adjustRightInd w:val="0"/>
              <w:snapToGrid w:val="0"/>
              <w:spacing w:line="360" w:lineRule="auto"/>
              <w:rPr>
                <w:rFonts w:hint="eastAsia"/>
              </w:rPr>
            </w:pPr>
            <w:r>
              <w:rPr>
                <w:rFonts w:hint="eastAsia"/>
              </w:rPr>
              <w:t>项目名称</w:t>
            </w:r>
          </w:p>
        </w:tc>
        <w:tc>
          <w:tcPr>
            <w:tcW w:w="2925" w:type="dxa"/>
            <w:gridSpan w:val="3"/>
            <w:vAlign w:val="center"/>
          </w:tcPr>
          <w:p w14:paraId="11629E38" w14:textId="77777777" w:rsidR="00220D38" w:rsidRDefault="00000000">
            <w:pPr>
              <w:adjustRightInd w:val="0"/>
              <w:snapToGrid w:val="0"/>
              <w:spacing w:line="360" w:lineRule="auto"/>
              <w:ind w:firstLineChars="200" w:firstLine="440"/>
              <w:jc w:val="center"/>
              <w:rPr>
                <w:rFonts w:hint="eastAsia"/>
              </w:rPr>
            </w:pPr>
            <w:r>
              <w:rPr>
                <w:rFonts w:hint="eastAsia"/>
              </w:rPr>
              <w:t>安全文明施工费用</w:t>
            </w:r>
          </w:p>
        </w:tc>
        <w:tc>
          <w:tcPr>
            <w:tcW w:w="896" w:type="dxa"/>
            <w:vMerge w:val="restart"/>
            <w:vAlign w:val="center"/>
          </w:tcPr>
          <w:p w14:paraId="0F5C7DAC" w14:textId="77777777" w:rsidR="00220D38" w:rsidRDefault="00000000">
            <w:pPr>
              <w:adjustRightInd w:val="0"/>
              <w:snapToGrid w:val="0"/>
              <w:spacing w:line="360" w:lineRule="auto"/>
              <w:rPr>
                <w:rFonts w:hint="eastAsia"/>
              </w:rPr>
            </w:pPr>
            <w:r>
              <w:rPr>
                <w:rFonts w:hint="eastAsia"/>
              </w:rPr>
              <w:t>工程按质论价费用</w:t>
            </w:r>
          </w:p>
        </w:tc>
        <w:tc>
          <w:tcPr>
            <w:tcW w:w="841" w:type="dxa"/>
            <w:vMerge w:val="restart"/>
            <w:vAlign w:val="center"/>
          </w:tcPr>
          <w:p w14:paraId="6A4DF338" w14:textId="77777777" w:rsidR="00220D38" w:rsidRDefault="00000000">
            <w:pPr>
              <w:adjustRightInd w:val="0"/>
              <w:snapToGrid w:val="0"/>
              <w:spacing w:line="360" w:lineRule="auto"/>
              <w:rPr>
                <w:rFonts w:hint="eastAsia"/>
              </w:rPr>
            </w:pPr>
            <w:r>
              <w:rPr>
                <w:rFonts w:hint="eastAsia"/>
              </w:rPr>
              <w:t>社会保险费</w:t>
            </w:r>
          </w:p>
        </w:tc>
        <w:tc>
          <w:tcPr>
            <w:tcW w:w="822" w:type="dxa"/>
            <w:vMerge w:val="restart"/>
            <w:vAlign w:val="center"/>
          </w:tcPr>
          <w:p w14:paraId="4B788CFA" w14:textId="77777777" w:rsidR="00220D38" w:rsidRDefault="00000000">
            <w:pPr>
              <w:adjustRightInd w:val="0"/>
              <w:snapToGrid w:val="0"/>
              <w:spacing w:line="360" w:lineRule="auto"/>
              <w:rPr>
                <w:rFonts w:hint="eastAsia"/>
              </w:rPr>
            </w:pPr>
            <w:r>
              <w:rPr>
                <w:rFonts w:hint="eastAsia"/>
              </w:rPr>
              <w:t>住房公积金</w:t>
            </w:r>
          </w:p>
        </w:tc>
        <w:tc>
          <w:tcPr>
            <w:tcW w:w="1063" w:type="dxa"/>
            <w:vMerge w:val="restart"/>
            <w:vAlign w:val="center"/>
          </w:tcPr>
          <w:p w14:paraId="6AC5204B" w14:textId="77777777" w:rsidR="00220D38" w:rsidRDefault="00000000">
            <w:pPr>
              <w:adjustRightInd w:val="0"/>
              <w:snapToGrid w:val="0"/>
              <w:spacing w:line="360" w:lineRule="auto"/>
              <w:rPr>
                <w:rFonts w:hint="eastAsia"/>
              </w:rPr>
            </w:pPr>
            <w:r>
              <w:rPr>
                <w:rFonts w:hint="eastAsia"/>
              </w:rPr>
              <w:t>环境保护税</w:t>
            </w:r>
          </w:p>
        </w:tc>
        <w:tc>
          <w:tcPr>
            <w:tcW w:w="944" w:type="dxa"/>
            <w:vMerge w:val="restart"/>
            <w:vAlign w:val="center"/>
          </w:tcPr>
          <w:p w14:paraId="2774D668" w14:textId="77777777" w:rsidR="00220D38" w:rsidRDefault="00000000">
            <w:pPr>
              <w:adjustRightInd w:val="0"/>
              <w:snapToGrid w:val="0"/>
              <w:spacing w:line="360" w:lineRule="auto"/>
              <w:jc w:val="center"/>
              <w:rPr>
                <w:rFonts w:hint="eastAsia"/>
              </w:rPr>
            </w:pPr>
            <w:r>
              <w:rPr>
                <w:rFonts w:hint="eastAsia"/>
              </w:rPr>
              <w:t>税金</w:t>
            </w:r>
          </w:p>
        </w:tc>
      </w:tr>
      <w:tr w:rsidR="00220D38" w14:paraId="06156804" w14:textId="77777777">
        <w:trPr>
          <w:trHeight w:val="1546"/>
          <w:jc w:val="center"/>
        </w:trPr>
        <w:tc>
          <w:tcPr>
            <w:tcW w:w="1005" w:type="dxa"/>
            <w:vMerge/>
            <w:vAlign w:val="center"/>
          </w:tcPr>
          <w:p w14:paraId="12095151" w14:textId="77777777" w:rsidR="00220D38" w:rsidRDefault="00220D38">
            <w:pPr>
              <w:adjustRightInd w:val="0"/>
              <w:snapToGrid w:val="0"/>
              <w:spacing w:line="360" w:lineRule="auto"/>
              <w:ind w:firstLineChars="200" w:firstLine="440"/>
              <w:jc w:val="center"/>
              <w:rPr>
                <w:rFonts w:hint="eastAsia"/>
              </w:rPr>
            </w:pPr>
          </w:p>
        </w:tc>
        <w:tc>
          <w:tcPr>
            <w:tcW w:w="1105" w:type="dxa"/>
            <w:vMerge/>
            <w:vAlign w:val="center"/>
          </w:tcPr>
          <w:p w14:paraId="0A815DAE" w14:textId="77777777" w:rsidR="00220D38" w:rsidRDefault="00220D38">
            <w:pPr>
              <w:adjustRightInd w:val="0"/>
              <w:snapToGrid w:val="0"/>
              <w:spacing w:line="360" w:lineRule="auto"/>
              <w:ind w:firstLineChars="200" w:firstLine="440"/>
              <w:jc w:val="center"/>
              <w:rPr>
                <w:rFonts w:hint="eastAsia"/>
              </w:rPr>
            </w:pPr>
          </w:p>
        </w:tc>
        <w:tc>
          <w:tcPr>
            <w:tcW w:w="988" w:type="dxa"/>
            <w:vAlign w:val="center"/>
          </w:tcPr>
          <w:p w14:paraId="1FF39A1B" w14:textId="77777777" w:rsidR="00220D38" w:rsidRDefault="00000000">
            <w:pPr>
              <w:adjustRightInd w:val="0"/>
              <w:snapToGrid w:val="0"/>
              <w:spacing w:line="360" w:lineRule="auto"/>
              <w:rPr>
                <w:rFonts w:hint="eastAsia"/>
              </w:rPr>
            </w:pPr>
            <w:r>
              <w:rPr>
                <w:rFonts w:hint="eastAsia"/>
              </w:rPr>
              <w:t>基本费</w:t>
            </w:r>
          </w:p>
        </w:tc>
        <w:tc>
          <w:tcPr>
            <w:tcW w:w="988" w:type="dxa"/>
            <w:vAlign w:val="center"/>
          </w:tcPr>
          <w:p w14:paraId="5F6BB2A2" w14:textId="77777777" w:rsidR="00220D38" w:rsidRDefault="00000000">
            <w:pPr>
              <w:adjustRightInd w:val="0"/>
              <w:snapToGrid w:val="0"/>
              <w:spacing w:line="360" w:lineRule="auto"/>
              <w:rPr>
                <w:rFonts w:hint="eastAsia"/>
              </w:rPr>
            </w:pPr>
            <w:r>
              <w:rPr>
                <w:rFonts w:hint="eastAsia"/>
              </w:rPr>
              <w:t>标化工地增加费</w:t>
            </w:r>
          </w:p>
        </w:tc>
        <w:tc>
          <w:tcPr>
            <w:tcW w:w="949" w:type="dxa"/>
            <w:vAlign w:val="center"/>
          </w:tcPr>
          <w:p w14:paraId="41B0CCDD" w14:textId="77777777" w:rsidR="00220D38" w:rsidRDefault="00000000">
            <w:pPr>
              <w:adjustRightInd w:val="0"/>
              <w:snapToGrid w:val="0"/>
              <w:spacing w:line="360" w:lineRule="auto"/>
              <w:rPr>
                <w:rFonts w:hint="eastAsia"/>
              </w:rPr>
            </w:pPr>
            <w:r>
              <w:rPr>
                <w:rFonts w:hint="eastAsia"/>
              </w:rPr>
              <w:t>扬尘污染防治增加费</w:t>
            </w:r>
          </w:p>
        </w:tc>
        <w:tc>
          <w:tcPr>
            <w:tcW w:w="896" w:type="dxa"/>
            <w:vMerge/>
            <w:vAlign w:val="center"/>
          </w:tcPr>
          <w:p w14:paraId="36B01639" w14:textId="77777777" w:rsidR="00220D38" w:rsidRDefault="00220D38">
            <w:pPr>
              <w:adjustRightInd w:val="0"/>
              <w:snapToGrid w:val="0"/>
              <w:spacing w:line="360" w:lineRule="auto"/>
              <w:ind w:firstLineChars="200" w:firstLine="440"/>
              <w:jc w:val="center"/>
              <w:rPr>
                <w:rFonts w:hint="eastAsia"/>
              </w:rPr>
            </w:pPr>
          </w:p>
        </w:tc>
        <w:tc>
          <w:tcPr>
            <w:tcW w:w="841" w:type="dxa"/>
            <w:vMerge/>
            <w:vAlign w:val="center"/>
          </w:tcPr>
          <w:p w14:paraId="1C515DAE" w14:textId="77777777" w:rsidR="00220D38" w:rsidRDefault="00220D38">
            <w:pPr>
              <w:adjustRightInd w:val="0"/>
              <w:snapToGrid w:val="0"/>
              <w:spacing w:line="360" w:lineRule="auto"/>
              <w:ind w:firstLineChars="200" w:firstLine="440"/>
              <w:jc w:val="center"/>
              <w:rPr>
                <w:rFonts w:hint="eastAsia"/>
              </w:rPr>
            </w:pPr>
          </w:p>
        </w:tc>
        <w:tc>
          <w:tcPr>
            <w:tcW w:w="822" w:type="dxa"/>
            <w:vMerge/>
            <w:vAlign w:val="center"/>
          </w:tcPr>
          <w:p w14:paraId="78838EEF" w14:textId="77777777" w:rsidR="00220D38" w:rsidRDefault="00220D38">
            <w:pPr>
              <w:adjustRightInd w:val="0"/>
              <w:snapToGrid w:val="0"/>
              <w:spacing w:line="360" w:lineRule="auto"/>
              <w:ind w:firstLineChars="200" w:firstLine="440"/>
              <w:jc w:val="center"/>
              <w:rPr>
                <w:rFonts w:hint="eastAsia"/>
              </w:rPr>
            </w:pPr>
          </w:p>
        </w:tc>
        <w:tc>
          <w:tcPr>
            <w:tcW w:w="1063" w:type="dxa"/>
            <w:vMerge/>
            <w:vAlign w:val="center"/>
          </w:tcPr>
          <w:p w14:paraId="6A0F65E6" w14:textId="77777777" w:rsidR="00220D38" w:rsidRDefault="00220D38">
            <w:pPr>
              <w:adjustRightInd w:val="0"/>
              <w:snapToGrid w:val="0"/>
              <w:spacing w:line="360" w:lineRule="auto"/>
              <w:ind w:firstLineChars="200" w:firstLine="440"/>
              <w:jc w:val="center"/>
              <w:rPr>
                <w:rFonts w:hint="eastAsia"/>
              </w:rPr>
            </w:pPr>
          </w:p>
        </w:tc>
        <w:tc>
          <w:tcPr>
            <w:tcW w:w="944" w:type="dxa"/>
            <w:vMerge/>
            <w:vAlign w:val="center"/>
          </w:tcPr>
          <w:p w14:paraId="6BC52B27" w14:textId="77777777" w:rsidR="00220D38" w:rsidRDefault="00220D38">
            <w:pPr>
              <w:adjustRightInd w:val="0"/>
              <w:snapToGrid w:val="0"/>
              <w:spacing w:line="360" w:lineRule="auto"/>
              <w:ind w:firstLineChars="200" w:firstLine="440"/>
              <w:jc w:val="center"/>
              <w:rPr>
                <w:rFonts w:hint="eastAsia"/>
              </w:rPr>
            </w:pPr>
          </w:p>
        </w:tc>
      </w:tr>
      <w:tr w:rsidR="00220D38" w14:paraId="6F0FBB20" w14:textId="77777777">
        <w:trPr>
          <w:trHeight w:val="349"/>
          <w:jc w:val="center"/>
        </w:trPr>
        <w:tc>
          <w:tcPr>
            <w:tcW w:w="1005" w:type="dxa"/>
            <w:vAlign w:val="center"/>
          </w:tcPr>
          <w:p w14:paraId="7E4403D7" w14:textId="77777777" w:rsidR="00220D38" w:rsidRDefault="00000000">
            <w:pPr>
              <w:adjustRightInd w:val="0"/>
              <w:snapToGrid w:val="0"/>
              <w:spacing w:line="360" w:lineRule="auto"/>
              <w:jc w:val="center"/>
              <w:rPr>
                <w:rFonts w:hint="eastAsia"/>
              </w:rPr>
            </w:pPr>
            <w:r>
              <w:rPr>
                <w:rFonts w:hint="eastAsia"/>
                <w:lang w:val="en-US"/>
              </w:rPr>
              <w:t>1</w:t>
            </w:r>
          </w:p>
        </w:tc>
        <w:tc>
          <w:tcPr>
            <w:tcW w:w="1105" w:type="dxa"/>
            <w:vAlign w:val="center"/>
          </w:tcPr>
          <w:p w14:paraId="12545D9F" w14:textId="7F5F99D8" w:rsidR="00220D38" w:rsidRDefault="00914938">
            <w:pPr>
              <w:adjustRightInd w:val="0"/>
              <w:snapToGrid w:val="0"/>
              <w:spacing w:line="360" w:lineRule="auto"/>
              <w:jc w:val="center"/>
              <w:rPr>
                <w:rFonts w:hint="eastAsia"/>
              </w:rPr>
            </w:pPr>
            <w:r>
              <w:rPr>
                <w:rFonts w:hint="eastAsia"/>
              </w:rPr>
              <w:t>安装</w:t>
            </w:r>
          </w:p>
        </w:tc>
        <w:tc>
          <w:tcPr>
            <w:tcW w:w="988" w:type="dxa"/>
            <w:vAlign w:val="center"/>
          </w:tcPr>
          <w:p w14:paraId="499862D2" w14:textId="77777777" w:rsidR="00220D38" w:rsidRDefault="00000000">
            <w:pPr>
              <w:adjustRightInd w:val="0"/>
              <w:snapToGrid w:val="0"/>
              <w:spacing w:line="360" w:lineRule="auto"/>
              <w:jc w:val="center"/>
              <w:rPr>
                <w:rFonts w:hint="eastAsia"/>
                <w:lang w:val="en-US"/>
              </w:rPr>
            </w:pPr>
            <w:r>
              <w:rPr>
                <w:rFonts w:hint="eastAsia"/>
                <w:lang w:val="en-US"/>
              </w:rPr>
              <w:t>1.5%</w:t>
            </w:r>
          </w:p>
        </w:tc>
        <w:tc>
          <w:tcPr>
            <w:tcW w:w="988" w:type="dxa"/>
            <w:vAlign w:val="center"/>
          </w:tcPr>
          <w:p w14:paraId="7613E5C2" w14:textId="77777777" w:rsidR="00220D38" w:rsidRDefault="00000000">
            <w:pPr>
              <w:adjustRightInd w:val="0"/>
              <w:snapToGrid w:val="0"/>
              <w:spacing w:line="360" w:lineRule="auto"/>
              <w:jc w:val="center"/>
              <w:rPr>
                <w:rFonts w:hint="eastAsia"/>
              </w:rPr>
            </w:pPr>
            <w:r>
              <w:rPr>
                <w:rFonts w:hint="eastAsia"/>
              </w:rPr>
              <w:t>0</w:t>
            </w:r>
          </w:p>
        </w:tc>
        <w:tc>
          <w:tcPr>
            <w:tcW w:w="949" w:type="dxa"/>
            <w:vAlign w:val="center"/>
          </w:tcPr>
          <w:p w14:paraId="74622AA6" w14:textId="77777777" w:rsidR="00220D38" w:rsidRDefault="00000000">
            <w:pPr>
              <w:adjustRightInd w:val="0"/>
              <w:snapToGrid w:val="0"/>
              <w:spacing w:line="360" w:lineRule="auto"/>
              <w:jc w:val="center"/>
              <w:rPr>
                <w:rFonts w:hint="eastAsia"/>
                <w:lang w:val="en-US"/>
              </w:rPr>
            </w:pPr>
            <w:r>
              <w:rPr>
                <w:rFonts w:hint="eastAsia"/>
                <w:lang w:val="en-US"/>
              </w:rPr>
              <w:t>0.21%</w:t>
            </w:r>
          </w:p>
        </w:tc>
        <w:tc>
          <w:tcPr>
            <w:tcW w:w="896" w:type="dxa"/>
            <w:vAlign w:val="center"/>
          </w:tcPr>
          <w:p w14:paraId="750B2726" w14:textId="77777777" w:rsidR="00220D38" w:rsidRDefault="00000000">
            <w:pPr>
              <w:adjustRightInd w:val="0"/>
              <w:snapToGrid w:val="0"/>
              <w:spacing w:line="360" w:lineRule="auto"/>
              <w:jc w:val="center"/>
              <w:rPr>
                <w:rFonts w:hint="eastAsia"/>
              </w:rPr>
            </w:pPr>
            <w:r>
              <w:rPr>
                <w:rFonts w:hint="eastAsia"/>
              </w:rPr>
              <w:t>0</w:t>
            </w:r>
          </w:p>
        </w:tc>
        <w:tc>
          <w:tcPr>
            <w:tcW w:w="841" w:type="dxa"/>
            <w:vAlign w:val="center"/>
          </w:tcPr>
          <w:p w14:paraId="47E9DEF4" w14:textId="5FC29560" w:rsidR="00220D38" w:rsidRDefault="00914938">
            <w:pPr>
              <w:adjustRightInd w:val="0"/>
              <w:snapToGrid w:val="0"/>
              <w:spacing w:line="360" w:lineRule="auto"/>
              <w:jc w:val="center"/>
              <w:rPr>
                <w:rFonts w:hint="eastAsia"/>
                <w:lang w:val="en-US"/>
              </w:rPr>
            </w:pPr>
            <w:r>
              <w:rPr>
                <w:rFonts w:hint="eastAsia"/>
                <w:lang w:val="en-US"/>
              </w:rPr>
              <w:t>2.4%</w:t>
            </w:r>
          </w:p>
        </w:tc>
        <w:tc>
          <w:tcPr>
            <w:tcW w:w="822" w:type="dxa"/>
            <w:vAlign w:val="center"/>
          </w:tcPr>
          <w:p w14:paraId="721B241C" w14:textId="3547F577" w:rsidR="00220D38" w:rsidRDefault="00000000">
            <w:pPr>
              <w:adjustRightInd w:val="0"/>
              <w:snapToGrid w:val="0"/>
              <w:spacing w:line="360" w:lineRule="auto"/>
              <w:jc w:val="center"/>
              <w:rPr>
                <w:rFonts w:hint="eastAsia"/>
                <w:lang w:val="en-US"/>
              </w:rPr>
            </w:pPr>
            <w:r>
              <w:rPr>
                <w:rFonts w:hint="eastAsia"/>
                <w:lang w:val="en-US"/>
              </w:rPr>
              <w:t>0.</w:t>
            </w:r>
            <w:r w:rsidR="00914938">
              <w:rPr>
                <w:rFonts w:hint="eastAsia"/>
                <w:lang w:val="en-US"/>
              </w:rPr>
              <w:t>42</w:t>
            </w:r>
            <w:r>
              <w:rPr>
                <w:rFonts w:hint="eastAsia"/>
                <w:lang w:val="en-US"/>
              </w:rPr>
              <w:t>%</w:t>
            </w:r>
          </w:p>
        </w:tc>
        <w:tc>
          <w:tcPr>
            <w:tcW w:w="1063" w:type="dxa"/>
            <w:vAlign w:val="center"/>
          </w:tcPr>
          <w:p w14:paraId="16452E7A" w14:textId="77777777" w:rsidR="00220D38" w:rsidRDefault="00000000">
            <w:pPr>
              <w:adjustRightInd w:val="0"/>
              <w:snapToGrid w:val="0"/>
              <w:spacing w:line="360" w:lineRule="auto"/>
              <w:jc w:val="center"/>
              <w:rPr>
                <w:rFonts w:hint="eastAsia"/>
              </w:rPr>
            </w:pPr>
            <w:r>
              <w:rPr>
                <w:rFonts w:hint="eastAsia"/>
              </w:rPr>
              <w:t>0</w:t>
            </w:r>
          </w:p>
        </w:tc>
        <w:tc>
          <w:tcPr>
            <w:tcW w:w="944" w:type="dxa"/>
            <w:vAlign w:val="center"/>
          </w:tcPr>
          <w:p w14:paraId="7714ABCC" w14:textId="77777777" w:rsidR="00220D38" w:rsidRDefault="00000000">
            <w:pPr>
              <w:adjustRightInd w:val="0"/>
              <w:snapToGrid w:val="0"/>
              <w:spacing w:line="360" w:lineRule="auto"/>
              <w:jc w:val="center"/>
              <w:rPr>
                <w:rFonts w:hint="eastAsia"/>
                <w:lang w:val="en-US"/>
              </w:rPr>
            </w:pPr>
            <w:r>
              <w:rPr>
                <w:rFonts w:hint="eastAsia"/>
              </w:rPr>
              <w:t>9</w:t>
            </w:r>
            <w:r>
              <w:rPr>
                <w:rFonts w:hint="eastAsia"/>
                <w:lang w:val="en-US"/>
              </w:rPr>
              <w:t>%</w:t>
            </w:r>
          </w:p>
        </w:tc>
      </w:tr>
    </w:tbl>
    <w:p w14:paraId="01A2535B" w14:textId="77777777" w:rsidR="00914938" w:rsidRDefault="00914938">
      <w:pPr>
        <w:adjustRightInd w:val="0"/>
        <w:snapToGrid w:val="0"/>
        <w:spacing w:line="360" w:lineRule="auto"/>
        <w:ind w:firstLineChars="200" w:firstLine="482"/>
        <w:rPr>
          <w:rFonts w:hint="eastAsia"/>
          <w:b/>
          <w:sz w:val="24"/>
          <w:szCs w:val="24"/>
        </w:rPr>
      </w:pPr>
    </w:p>
    <w:p w14:paraId="6323A1F0" w14:textId="40C9327A" w:rsidR="00220D38" w:rsidRDefault="00000000">
      <w:pPr>
        <w:adjustRightInd w:val="0"/>
        <w:snapToGrid w:val="0"/>
        <w:spacing w:line="360" w:lineRule="auto"/>
        <w:ind w:firstLineChars="200" w:firstLine="482"/>
        <w:rPr>
          <w:rFonts w:hint="eastAsia"/>
          <w:b/>
          <w:sz w:val="24"/>
          <w:szCs w:val="24"/>
        </w:rPr>
      </w:pPr>
      <w:r>
        <w:rPr>
          <w:rFonts w:hint="eastAsia"/>
          <w:b/>
          <w:sz w:val="24"/>
          <w:szCs w:val="24"/>
        </w:rPr>
        <w:t>二</w:t>
      </w:r>
      <w:r>
        <w:rPr>
          <w:b/>
          <w:sz w:val="24"/>
          <w:szCs w:val="24"/>
        </w:rPr>
        <w:t>、其他须说明的问题</w:t>
      </w:r>
    </w:p>
    <w:p w14:paraId="53E5556E" w14:textId="77777777" w:rsidR="00220D38" w:rsidRDefault="00000000">
      <w:pPr>
        <w:adjustRightInd w:val="0"/>
        <w:snapToGrid w:val="0"/>
        <w:spacing w:line="360" w:lineRule="auto"/>
        <w:ind w:firstLineChars="200" w:firstLine="480"/>
        <w:rPr>
          <w:rFonts w:hint="eastAsia"/>
          <w:sz w:val="24"/>
          <w:szCs w:val="24"/>
        </w:rPr>
      </w:pPr>
      <w:r>
        <w:rPr>
          <w:rFonts w:hint="eastAsia"/>
          <w:sz w:val="24"/>
          <w:szCs w:val="24"/>
        </w:rPr>
        <w:t>1、各投标单位的最终报价必须包括完成本工程施工的所有费用在内。</w:t>
      </w:r>
    </w:p>
    <w:p w14:paraId="00A61C36" w14:textId="6F286340" w:rsidR="00220D38" w:rsidRDefault="00000000">
      <w:pPr>
        <w:adjustRightInd w:val="0"/>
        <w:snapToGrid w:val="0"/>
        <w:spacing w:line="360" w:lineRule="auto"/>
        <w:ind w:firstLineChars="200" w:firstLine="480"/>
        <w:rPr>
          <w:rFonts w:hint="eastAsia"/>
          <w:sz w:val="24"/>
          <w:szCs w:val="24"/>
        </w:rPr>
      </w:pPr>
      <w:r>
        <w:rPr>
          <w:rFonts w:hint="eastAsia"/>
          <w:sz w:val="24"/>
          <w:szCs w:val="24"/>
          <w:lang w:val="en-US"/>
        </w:rPr>
        <w:t>2</w:t>
      </w:r>
      <w:r>
        <w:rPr>
          <w:rFonts w:hint="eastAsia"/>
          <w:sz w:val="24"/>
          <w:szCs w:val="24"/>
        </w:rPr>
        <w:t>、</w:t>
      </w:r>
      <w:bookmarkStart w:id="0" w:name="_Hlk141079023"/>
      <w:r>
        <w:rPr>
          <w:rFonts w:hint="eastAsia"/>
          <w:sz w:val="24"/>
          <w:szCs w:val="24"/>
        </w:rPr>
        <w:t>本项目招标范围内的各管道穿墙或穿防火区等所需防火封堵及密闭处理等所需一切费用，投标单位根据实际情况报价综合考虑。</w:t>
      </w:r>
      <w:bookmarkEnd w:id="0"/>
    </w:p>
    <w:p w14:paraId="7F95015B" w14:textId="44082EC7" w:rsidR="00220D38" w:rsidRDefault="00000000">
      <w:pPr>
        <w:adjustRightInd w:val="0"/>
        <w:snapToGrid w:val="0"/>
        <w:spacing w:line="360" w:lineRule="auto"/>
        <w:ind w:firstLineChars="200" w:firstLine="480"/>
        <w:rPr>
          <w:rFonts w:hint="eastAsia"/>
          <w:sz w:val="24"/>
          <w:szCs w:val="24"/>
        </w:rPr>
      </w:pPr>
      <w:r>
        <w:rPr>
          <w:rFonts w:hint="eastAsia"/>
          <w:sz w:val="24"/>
        </w:rPr>
        <w:t>3、投标人应咨询勘查现场，计算可能产生的水平、垂直运输费、脚手费等，</w:t>
      </w:r>
      <w:r>
        <w:rPr>
          <w:rFonts w:hint="eastAsia"/>
          <w:sz w:val="24"/>
          <w:szCs w:val="24"/>
        </w:rPr>
        <w:t>请投标人综合考虑，中标后不得以清单未列项提出索赔。</w:t>
      </w:r>
    </w:p>
    <w:p w14:paraId="5E541D16" w14:textId="77777777" w:rsidR="00220D38" w:rsidRDefault="00000000">
      <w:pPr>
        <w:spacing w:line="440" w:lineRule="atLeast"/>
        <w:ind w:firstLine="465"/>
        <w:rPr>
          <w:rFonts w:hint="eastAsia"/>
          <w:sz w:val="24"/>
        </w:rPr>
      </w:pPr>
      <w:r>
        <w:rPr>
          <w:rFonts w:hint="eastAsia"/>
          <w:sz w:val="24"/>
          <w:lang w:val="en-US"/>
        </w:rPr>
        <w:t>4</w:t>
      </w:r>
      <w:r>
        <w:rPr>
          <w:rFonts w:hint="eastAsia"/>
          <w:sz w:val="24"/>
        </w:rPr>
        <w:t>、中标人应负责做好施工场地周围地下管线和邻近建筑物、构筑物（含文物保护建筑）、古树名木的保护工作，并将预计可能发生的费用列入投标报价。</w:t>
      </w:r>
    </w:p>
    <w:p w14:paraId="204AEB54" w14:textId="77777777" w:rsidR="00220D38" w:rsidRDefault="00000000">
      <w:pPr>
        <w:spacing w:line="440" w:lineRule="atLeast"/>
        <w:ind w:firstLine="465"/>
        <w:rPr>
          <w:rFonts w:hint="eastAsia"/>
          <w:sz w:val="24"/>
        </w:rPr>
      </w:pPr>
      <w:r>
        <w:rPr>
          <w:rFonts w:hint="eastAsia"/>
          <w:sz w:val="24"/>
          <w:lang w:val="en-US"/>
        </w:rPr>
        <w:t>5</w:t>
      </w:r>
      <w:r>
        <w:rPr>
          <w:rFonts w:hint="eastAsia"/>
          <w:sz w:val="24"/>
        </w:rPr>
        <w:t>、投标人需充分考虑施工范围内可能发生的既有公用管线防护费用,该费用在相关措施项目清单中报价。未将管线防护费纳入报价的，视为已包括在其他项目清单和总价中。若施工期间发生公用管线保护不力导致损坏、影响管线正常运行的情况，无论是否中标人自身行为所致，管线恢复及停运损失费用概由中标人承担（中标人当场查获责任人且责任人确认无误的，可由责任人承担），并视情节轻重及有关规定进行罚款。</w:t>
      </w:r>
    </w:p>
    <w:p w14:paraId="6618C10D" w14:textId="77777777" w:rsidR="00220D38" w:rsidRDefault="00000000">
      <w:pPr>
        <w:spacing w:line="440" w:lineRule="atLeast"/>
        <w:ind w:firstLine="465"/>
        <w:rPr>
          <w:rFonts w:hint="eastAsia"/>
          <w:sz w:val="24"/>
        </w:rPr>
      </w:pPr>
      <w:r>
        <w:rPr>
          <w:rFonts w:hint="eastAsia"/>
          <w:sz w:val="24"/>
          <w:lang w:val="en-US"/>
        </w:rPr>
        <w:t>6</w:t>
      </w:r>
      <w:r>
        <w:rPr>
          <w:rFonts w:hint="eastAsia"/>
          <w:sz w:val="24"/>
        </w:rPr>
        <w:t>、投标人需充分考虑临时设施的费用，报价中必须考虑满足标准化施工现场和规范化施工作业的现场管理要求，</w:t>
      </w:r>
      <w:r>
        <w:rPr>
          <w:rFonts w:hint="eastAsia"/>
          <w:sz w:val="24"/>
          <w:lang w:val="en-US"/>
        </w:rPr>
        <w:t>围挡设置需满足政府主管部门关于文明施工要求</w:t>
      </w:r>
      <w:r>
        <w:rPr>
          <w:rFonts w:hint="eastAsia"/>
          <w:sz w:val="24"/>
        </w:rPr>
        <w:t>。投标人应对本工程的临时设施费进行合理估算后按费率报价，若中标后该项费用不足，视为含在投标报价中不再调整。</w:t>
      </w:r>
    </w:p>
    <w:p w14:paraId="170C0AB9" w14:textId="77777777" w:rsidR="00220D38" w:rsidRDefault="00000000">
      <w:pPr>
        <w:spacing w:line="440" w:lineRule="atLeast"/>
        <w:ind w:firstLine="465"/>
        <w:rPr>
          <w:rFonts w:hint="eastAsia"/>
          <w:sz w:val="24"/>
        </w:rPr>
      </w:pPr>
      <w:r>
        <w:rPr>
          <w:rFonts w:hint="eastAsia"/>
          <w:sz w:val="24"/>
          <w:lang w:val="en-US"/>
        </w:rPr>
        <w:t>7</w:t>
      </w:r>
      <w:r>
        <w:rPr>
          <w:rFonts w:hint="eastAsia"/>
          <w:sz w:val="24"/>
        </w:rPr>
        <w:t>、投标人进场后应立即进行本工程原始地形复测确认 ，之后投标人有责任和义务保管好工地，如再发生由他人倾倒建筑、生活垃圾、渣土等情况，清运处置费由投标人自行承担。</w:t>
      </w:r>
    </w:p>
    <w:p w14:paraId="50691DC2" w14:textId="7B74896E" w:rsidR="00220D38" w:rsidRDefault="00000000">
      <w:pPr>
        <w:spacing w:line="440" w:lineRule="atLeast"/>
        <w:ind w:firstLine="465"/>
        <w:rPr>
          <w:rFonts w:hint="eastAsia"/>
          <w:sz w:val="24"/>
        </w:rPr>
      </w:pPr>
      <w:r>
        <w:rPr>
          <w:rFonts w:hint="eastAsia"/>
          <w:sz w:val="24"/>
          <w:lang w:val="en-US"/>
        </w:rPr>
        <w:t>8</w:t>
      </w:r>
      <w:r>
        <w:rPr>
          <w:rFonts w:hint="eastAsia"/>
          <w:sz w:val="24"/>
        </w:rPr>
        <w:t>、工程施工时应符合环保政策要求，报价中自行在投标价中考虑弃运过程中相关部门的管理规范要求而发生的环境保护费、堆放场地费（消纳费）以及掩埋等处</w:t>
      </w:r>
      <w:r>
        <w:rPr>
          <w:rFonts w:hint="eastAsia"/>
          <w:sz w:val="24"/>
        </w:rPr>
        <w:lastRenderedPageBreak/>
        <w:t>置费用。</w:t>
      </w:r>
    </w:p>
    <w:p w14:paraId="1261F3AD" w14:textId="77777777" w:rsidR="00220D38" w:rsidRDefault="00000000">
      <w:pPr>
        <w:pStyle w:val="a3"/>
        <w:spacing w:line="360" w:lineRule="auto"/>
        <w:ind w:firstLine="480"/>
        <w:rPr>
          <w:rFonts w:hint="eastAsia"/>
          <w:bCs/>
          <w:sz w:val="24"/>
        </w:rPr>
      </w:pPr>
      <w:r>
        <w:rPr>
          <w:rFonts w:hint="eastAsia"/>
          <w:bCs/>
          <w:sz w:val="24"/>
          <w:lang w:val="en-US"/>
        </w:rPr>
        <w:t>9</w:t>
      </w:r>
      <w:r>
        <w:rPr>
          <w:rFonts w:hint="eastAsia"/>
          <w:bCs/>
          <w:sz w:val="24"/>
        </w:rPr>
        <w:t>、工程量清单及其计价格式中所有要求签字、盖章的地方，必须由规定的单位和人员签字、盖章。</w:t>
      </w:r>
    </w:p>
    <w:p w14:paraId="52CDFD5A" w14:textId="77777777" w:rsidR="00220D38" w:rsidRDefault="00000000">
      <w:pPr>
        <w:spacing w:line="360" w:lineRule="auto"/>
        <w:ind w:firstLineChars="200" w:firstLine="480"/>
        <w:rPr>
          <w:rFonts w:hint="eastAsia"/>
          <w:bCs/>
          <w:sz w:val="24"/>
        </w:rPr>
      </w:pPr>
      <w:r>
        <w:rPr>
          <w:rFonts w:hint="eastAsia"/>
          <w:bCs/>
          <w:sz w:val="24"/>
          <w:lang w:val="en-US"/>
        </w:rPr>
        <w:t>10</w:t>
      </w:r>
      <w:r>
        <w:rPr>
          <w:rFonts w:hint="eastAsia"/>
          <w:bCs/>
          <w:sz w:val="24"/>
        </w:rPr>
        <w:t>、工程量清单及其计价格式中的任何内容不得随意删除或涂改。</w:t>
      </w:r>
    </w:p>
    <w:p w14:paraId="30423030" w14:textId="77777777" w:rsidR="00220D38" w:rsidRDefault="00000000">
      <w:pPr>
        <w:adjustRightInd w:val="0"/>
        <w:snapToGrid w:val="0"/>
        <w:spacing w:line="360" w:lineRule="auto"/>
        <w:ind w:firstLineChars="200" w:firstLine="480"/>
        <w:rPr>
          <w:rFonts w:hint="eastAsia"/>
        </w:rPr>
      </w:pPr>
      <w:r>
        <w:rPr>
          <w:rFonts w:hint="eastAsia"/>
          <w:bCs/>
          <w:sz w:val="24"/>
          <w:lang w:val="en-US"/>
        </w:rPr>
        <w:t>11</w:t>
      </w:r>
      <w:r>
        <w:rPr>
          <w:rFonts w:hint="eastAsia"/>
          <w:bCs/>
          <w:sz w:val="24"/>
        </w:rPr>
        <w:t xml:space="preserve">、金额（价格）均应以 </w:t>
      </w:r>
      <w:r>
        <w:rPr>
          <w:rFonts w:hint="eastAsia"/>
          <w:bCs/>
          <w:sz w:val="24"/>
          <w:u w:val="single"/>
        </w:rPr>
        <w:t xml:space="preserve">人民币 </w:t>
      </w:r>
      <w:r>
        <w:rPr>
          <w:rFonts w:hint="eastAsia"/>
          <w:bCs/>
          <w:sz w:val="24"/>
        </w:rPr>
        <w:t>表示。</w:t>
      </w:r>
    </w:p>
    <w:sectPr w:rsidR="00220D38">
      <w:pgSz w:w="11906" w:h="16838"/>
      <w:pgMar w:top="1474" w:right="1587" w:bottom="1474" w:left="1587" w:header="851" w:footer="992" w:gutter="0"/>
      <w:cols w:space="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AD46" w14:textId="77777777" w:rsidR="003E6416" w:rsidRDefault="003E6416" w:rsidP="00FF6E05">
      <w:pPr>
        <w:rPr>
          <w:rFonts w:hint="eastAsia"/>
        </w:rPr>
      </w:pPr>
      <w:r>
        <w:separator/>
      </w:r>
    </w:p>
  </w:endnote>
  <w:endnote w:type="continuationSeparator" w:id="0">
    <w:p w14:paraId="6CF38C44" w14:textId="77777777" w:rsidR="003E6416" w:rsidRDefault="003E6416" w:rsidP="00FF6E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BE497" w14:textId="77777777" w:rsidR="003E6416" w:rsidRDefault="003E6416" w:rsidP="00FF6E05">
      <w:pPr>
        <w:rPr>
          <w:rFonts w:hint="eastAsia"/>
        </w:rPr>
      </w:pPr>
      <w:r>
        <w:separator/>
      </w:r>
    </w:p>
  </w:footnote>
  <w:footnote w:type="continuationSeparator" w:id="0">
    <w:p w14:paraId="193C8E0F" w14:textId="77777777" w:rsidR="003E6416" w:rsidRDefault="003E6416" w:rsidP="00FF6E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7AB35"/>
    <w:multiLevelType w:val="singleLevel"/>
    <w:tmpl w:val="5A97AB35"/>
    <w:lvl w:ilvl="0">
      <w:start w:val="1"/>
      <w:numFmt w:val="chineseCounting"/>
      <w:suff w:val="nothing"/>
      <w:lvlText w:val="%1、"/>
      <w:lvlJc w:val="left"/>
      <w:rPr>
        <w:rFonts w:hint="eastAsia"/>
      </w:rPr>
    </w:lvl>
  </w:abstractNum>
  <w:num w:numId="1" w16cid:durableId="43378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61"/>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wMGJjNmIxYTQ2YzE1ZDhkNWRkODg3Zjk5ODdkMmEifQ=="/>
  </w:docVars>
  <w:rsids>
    <w:rsidRoot w:val="00CF19B3"/>
    <w:rsid w:val="0001334E"/>
    <w:rsid w:val="00013D4D"/>
    <w:rsid w:val="000149CA"/>
    <w:rsid w:val="00017E8C"/>
    <w:rsid w:val="000A5D9C"/>
    <w:rsid w:val="000A602A"/>
    <w:rsid w:val="00105D0D"/>
    <w:rsid w:val="001330FC"/>
    <w:rsid w:val="0014314D"/>
    <w:rsid w:val="00152136"/>
    <w:rsid w:val="00163211"/>
    <w:rsid w:val="00183BA3"/>
    <w:rsid w:val="001B2CA7"/>
    <w:rsid w:val="00207D51"/>
    <w:rsid w:val="00214326"/>
    <w:rsid w:val="00215EE6"/>
    <w:rsid w:val="00220D38"/>
    <w:rsid w:val="00231E1E"/>
    <w:rsid w:val="002475B5"/>
    <w:rsid w:val="002943EA"/>
    <w:rsid w:val="002E5D01"/>
    <w:rsid w:val="0030520A"/>
    <w:rsid w:val="00315443"/>
    <w:rsid w:val="00317D0F"/>
    <w:rsid w:val="00337596"/>
    <w:rsid w:val="00337939"/>
    <w:rsid w:val="003673A7"/>
    <w:rsid w:val="00371D9F"/>
    <w:rsid w:val="003721DA"/>
    <w:rsid w:val="0038625A"/>
    <w:rsid w:val="00386462"/>
    <w:rsid w:val="00386F3A"/>
    <w:rsid w:val="00392ECA"/>
    <w:rsid w:val="00395E04"/>
    <w:rsid w:val="003A6ED3"/>
    <w:rsid w:val="003E6416"/>
    <w:rsid w:val="0040551B"/>
    <w:rsid w:val="0042145B"/>
    <w:rsid w:val="00427321"/>
    <w:rsid w:val="004626E7"/>
    <w:rsid w:val="00473255"/>
    <w:rsid w:val="004A24C7"/>
    <w:rsid w:val="004C5C92"/>
    <w:rsid w:val="004D4CB4"/>
    <w:rsid w:val="00521B30"/>
    <w:rsid w:val="00535BAB"/>
    <w:rsid w:val="00540522"/>
    <w:rsid w:val="0057326F"/>
    <w:rsid w:val="00577F4E"/>
    <w:rsid w:val="005859A6"/>
    <w:rsid w:val="005B1E7E"/>
    <w:rsid w:val="005B711B"/>
    <w:rsid w:val="005E15B3"/>
    <w:rsid w:val="005F6D69"/>
    <w:rsid w:val="00600195"/>
    <w:rsid w:val="006020D0"/>
    <w:rsid w:val="006F3F73"/>
    <w:rsid w:val="00705233"/>
    <w:rsid w:val="00710F59"/>
    <w:rsid w:val="007300A1"/>
    <w:rsid w:val="00733C48"/>
    <w:rsid w:val="00761407"/>
    <w:rsid w:val="0077103C"/>
    <w:rsid w:val="00771362"/>
    <w:rsid w:val="00794159"/>
    <w:rsid w:val="00794AE9"/>
    <w:rsid w:val="007A58C6"/>
    <w:rsid w:val="007B13C2"/>
    <w:rsid w:val="007B5C0E"/>
    <w:rsid w:val="007C2948"/>
    <w:rsid w:val="007C3738"/>
    <w:rsid w:val="007E6178"/>
    <w:rsid w:val="007F20FC"/>
    <w:rsid w:val="008174F5"/>
    <w:rsid w:val="008372AF"/>
    <w:rsid w:val="00847308"/>
    <w:rsid w:val="008816D7"/>
    <w:rsid w:val="008E7C5B"/>
    <w:rsid w:val="00911B0C"/>
    <w:rsid w:val="00914938"/>
    <w:rsid w:val="009239B1"/>
    <w:rsid w:val="00931A31"/>
    <w:rsid w:val="00935A5B"/>
    <w:rsid w:val="0093756E"/>
    <w:rsid w:val="00956123"/>
    <w:rsid w:val="00960300"/>
    <w:rsid w:val="009A6059"/>
    <w:rsid w:val="009C5D8C"/>
    <w:rsid w:val="009C62E0"/>
    <w:rsid w:val="009D167F"/>
    <w:rsid w:val="009D73A2"/>
    <w:rsid w:val="009F6E1A"/>
    <w:rsid w:val="00A13C7D"/>
    <w:rsid w:val="00A629A0"/>
    <w:rsid w:val="00A7207F"/>
    <w:rsid w:val="00AB25B1"/>
    <w:rsid w:val="00AC5000"/>
    <w:rsid w:val="00AC5649"/>
    <w:rsid w:val="00AC58F9"/>
    <w:rsid w:val="00AD0875"/>
    <w:rsid w:val="00AF1D99"/>
    <w:rsid w:val="00AF2F02"/>
    <w:rsid w:val="00B04555"/>
    <w:rsid w:val="00B10B4B"/>
    <w:rsid w:val="00B206C4"/>
    <w:rsid w:val="00B37F43"/>
    <w:rsid w:val="00B4145E"/>
    <w:rsid w:val="00B5232A"/>
    <w:rsid w:val="00B52A2A"/>
    <w:rsid w:val="00B53E4A"/>
    <w:rsid w:val="00B8733D"/>
    <w:rsid w:val="00B90B5D"/>
    <w:rsid w:val="00BB209B"/>
    <w:rsid w:val="00BB2F65"/>
    <w:rsid w:val="00BB6538"/>
    <w:rsid w:val="00C72A3E"/>
    <w:rsid w:val="00C74523"/>
    <w:rsid w:val="00C97120"/>
    <w:rsid w:val="00CA629A"/>
    <w:rsid w:val="00CB766E"/>
    <w:rsid w:val="00CD1B06"/>
    <w:rsid w:val="00CD7AEE"/>
    <w:rsid w:val="00CE0AA9"/>
    <w:rsid w:val="00CE29B3"/>
    <w:rsid w:val="00CF19B3"/>
    <w:rsid w:val="00CF1C1D"/>
    <w:rsid w:val="00D02F19"/>
    <w:rsid w:val="00D43AAC"/>
    <w:rsid w:val="00D455C3"/>
    <w:rsid w:val="00D93C38"/>
    <w:rsid w:val="00DA0D69"/>
    <w:rsid w:val="00DC3BAC"/>
    <w:rsid w:val="00DC50F4"/>
    <w:rsid w:val="00DC79C6"/>
    <w:rsid w:val="00DD4124"/>
    <w:rsid w:val="00DF1F4D"/>
    <w:rsid w:val="00DF20B3"/>
    <w:rsid w:val="00DF6BD4"/>
    <w:rsid w:val="00E032CB"/>
    <w:rsid w:val="00E07C1B"/>
    <w:rsid w:val="00E16B7D"/>
    <w:rsid w:val="00E2417D"/>
    <w:rsid w:val="00E32488"/>
    <w:rsid w:val="00E60167"/>
    <w:rsid w:val="00E64803"/>
    <w:rsid w:val="00E7112D"/>
    <w:rsid w:val="00EA1C70"/>
    <w:rsid w:val="00EA6F29"/>
    <w:rsid w:val="00EB2954"/>
    <w:rsid w:val="00ED6208"/>
    <w:rsid w:val="00EE3A85"/>
    <w:rsid w:val="00F002D3"/>
    <w:rsid w:val="00F10F66"/>
    <w:rsid w:val="00F2686F"/>
    <w:rsid w:val="00F622E2"/>
    <w:rsid w:val="00F80260"/>
    <w:rsid w:val="00FC033E"/>
    <w:rsid w:val="00FF6E05"/>
    <w:rsid w:val="06471D45"/>
    <w:rsid w:val="070651EB"/>
    <w:rsid w:val="08FB7124"/>
    <w:rsid w:val="0A594E4C"/>
    <w:rsid w:val="0E6A4288"/>
    <w:rsid w:val="0EE91042"/>
    <w:rsid w:val="0F6D0B17"/>
    <w:rsid w:val="0FDF23DB"/>
    <w:rsid w:val="12400FB7"/>
    <w:rsid w:val="19163ACE"/>
    <w:rsid w:val="1EAC099E"/>
    <w:rsid w:val="1F1B207A"/>
    <w:rsid w:val="22A108F3"/>
    <w:rsid w:val="22EA358B"/>
    <w:rsid w:val="27A57FD3"/>
    <w:rsid w:val="35A03A23"/>
    <w:rsid w:val="35CD32F7"/>
    <w:rsid w:val="374E2983"/>
    <w:rsid w:val="37A76BFB"/>
    <w:rsid w:val="3AE4062E"/>
    <w:rsid w:val="3D3377EE"/>
    <w:rsid w:val="4693348C"/>
    <w:rsid w:val="4B1A0D6F"/>
    <w:rsid w:val="4C630604"/>
    <w:rsid w:val="4D33763C"/>
    <w:rsid w:val="52825310"/>
    <w:rsid w:val="58845DDB"/>
    <w:rsid w:val="59056443"/>
    <w:rsid w:val="60DB50A1"/>
    <w:rsid w:val="636E71C3"/>
    <w:rsid w:val="661E6E95"/>
    <w:rsid w:val="6EF41AAE"/>
    <w:rsid w:val="70CC70A5"/>
    <w:rsid w:val="770E4889"/>
    <w:rsid w:val="773D6129"/>
    <w:rsid w:val="7A5E1C1F"/>
    <w:rsid w:val="7DEA4CD7"/>
    <w:rsid w:val="7F75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62BF8"/>
  <w15:docId w15:val="{AB323B5A-6294-4AF2-B51D-637D2E36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Body Text"/>
    <w:basedOn w:val="a"/>
    <w:uiPriority w:val="1"/>
    <w:qFormat/>
    <w:pPr>
      <w:ind w:left="20"/>
    </w:pPr>
    <w:rPr>
      <w:sz w:val="24"/>
      <w:szCs w:val="24"/>
    </w:rPr>
  </w:style>
  <w:style w:type="paragraph" w:styleId="a5">
    <w:name w:val="Body Text Indent"/>
    <w:basedOn w:val="a"/>
    <w:link w:val="a6"/>
    <w:qFormat/>
    <w:pPr>
      <w:spacing w:after="120"/>
      <w:ind w:leftChars="200" w:left="420"/>
    </w:pPr>
  </w:style>
  <w:style w:type="paragraph" w:styleId="a7">
    <w:name w:val="Date"/>
    <w:basedOn w:val="a"/>
    <w:next w:val="a"/>
    <w:link w:val="a8"/>
    <w:qFormat/>
    <w:pPr>
      <w:ind w:leftChars="2500" w:left="100"/>
    </w:pPr>
  </w:style>
  <w:style w:type="paragraph" w:styleId="a9">
    <w:name w:val="footer"/>
    <w:basedOn w:val="a"/>
    <w:uiPriority w:val="99"/>
    <w:qFormat/>
    <w:pPr>
      <w:tabs>
        <w:tab w:val="center" w:pos="4153"/>
        <w:tab w:val="right" w:pos="8306"/>
      </w:tabs>
      <w:snapToGrid w:val="0"/>
    </w:pPr>
    <w:rPr>
      <w:sz w:val="18"/>
      <w:szCs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pPr>
    <w:rPr>
      <w:rFonts w:cs="Times New Roman"/>
      <w:sz w:val="24"/>
      <w:lang w:val="en-US" w:bidi="ar-SA"/>
    </w:rPr>
  </w:style>
  <w:style w:type="paragraph" w:styleId="2">
    <w:name w:val="Body Text First Indent 2"/>
    <w:basedOn w:val="a5"/>
    <w:link w:val="20"/>
    <w:qFormat/>
    <w:pPr>
      <w:ind w:firstLineChars="200" w:firstLine="420"/>
    </w:pPr>
  </w:style>
  <w:style w:type="paragraph" w:customStyle="1" w:styleId="TableParagraph">
    <w:name w:val="Table Paragraph"/>
    <w:basedOn w:val="a"/>
    <w:uiPriority w:val="1"/>
    <w:qFormat/>
  </w:style>
  <w:style w:type="paragraph" w:customStyle="1" w:styleId="1">
    <w:name w:val="列表段落1"/>
    <w:basedOn w:val="a"/>
    <w:uiPriority w:val="99"/>
    <w:qFormat/>
    <w:pPr>
      <w:ind w:firstLineChars="200" w:firstLine="420"/>
    </w:pPr>
  </w:style>
  <w:style w:type="character" w:customStyle="1" w:styleId="a6">
    <w:name w:val="正文文本缩进 字符"/>
    <w:basedOn w:val="a0"/>
    <w:link w:val="a5"/>
    <w:qFormat/>
    <w:rPr>
      <w:rFonts w:ascii="宋体" w:hAnsi="宋体" w:cs="宋体"/>
      <w:sz w:val="22"/>
      <w:szCs w:val="22"/>
      <w:lang w:val="zh-CN" w:bidi="zh-CN"/>
    </w:rPr>
  </w:style>
  <w:style w:type="character" w:customStyle="1" w:styleId="20">
    <w:name w:val="正文文本首行缩进 2 字符"/>
    <w:basedOn w:val="a6"/>
    <w:link w:val="2"/>
    <w:qFormat/>
    <w:rPr>
      <w:rFonts w:ascii="宋体" w:hAnsi="宋体" w:cs="宋体"/>
      <w:sz w:val="22"/>
      <w:szCs w:val="22"/>
      <w:lang w:val="zh-CN" w:bidi="zh-CN"/>
    </w:rPr>
  </w:style>
  <w:style w:type="character" w:customStyle="1" w:styleId="a8">
    <w:name w:val="日期 字符"/>
    <w:basedOn w:val="a0"/>
    <w:link w:val="a7"/>
    <w:qFormat/>
    <w:rPr>
      <w:rFonts w:ascii="宋体" w:hAnsi="宋体" w:cs="宋体"/>
      <w:sz w:val="22"/>
      <w:szCs w:val="22"/>
      <w:lang w:val="zh-CN" w:bidi="zh-CN"/>
    </w:rPr>
  </w:style>
  <w:style w:type="paragraph" w:customStyle="1" w:styleId="21">
    <w:name w:val="列表段落2"/>
    <w:basedOn w:val="a"/>
    <w:uiPriority w:val="34"/>
    <w:qFormat/>
    <w:pPr>
      <w:autoSpaceDE/>
      <w:autoSpaceDN/>
      <w:ind w:firstLineChars="200" w:firstLine="42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陈后升</dc:creator>
  <cp:lastModifiedBy>敏 李</cp:lastModifiedBy>
  <cp:revision>93</cp:revision>
  <dcterms:created xsi:type="dcterms:W3CDTF">2022-09-18T03:07:00Z</dcterms:created>
  <dcterms:modified xsi:type="dcterms:W3CDTF">2025-06-29T03:32:00Z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E8D8FA23BFED441C8E0C214C22996411</vt:lpwstr>
  </property>
  <property fmtid="{D5CDD505-2E9C-101B-9397-08002B2CF9AE}" pid="4" name="KSOTemplateDocerSaveRecord">
    <vt:lpwstr>eyJoZGlkIjoiM2IxZWQ1YjBkYzQxODVmZTU3ZjVkMGNmMmJiMjI0YmUiLCJ1c2VySWQiOiI0NzI5MDM5NDUifQ==</vt:lpwstr>
  </property>
</Properties>
</file>