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ind w:firstLine="0"/>
        <w:rPr>
          <w:rFonts w:hint="default" w:eastAsia="黑体"/>
          <w:b/>
          <w:bCs/>
          <w:sz w:val="84"/>
          <w:lang w:val="en-US" w:eastAsia="zh-CN"/>
        </w:rPr>
      </w:pPr>
      <w:r>
        <w:rPr>
          <w:rFonts w:hint="eastAsia" w:eastAsia="黑体"/>
          <w:b/>
          <w:bCs/>
          <w:sz w:val="84"/>
          <w:lang w:val="en-US" w:eastAsia="zh-CN"/>
        </w:rPr>
        <w:t xml:space="preserve">           </w:t>
      </w:r>
      <w:r/>
    </w:p>
    <w:p>
      <w:pPr>
        <w:pStyle w:val="1055"/>
        <w:ind w:firstLine="0"/>
        <w:jc w:val="center"/>
        <w:rPr>
          <w:rFonts w:eastAsia="黑体"/>
          <w:b/>
          <w:bCs/>
          <w:sz w:val="84"/>
        </w:rPr>
      </w:pPr>
      <w:r>
        <w:rPr>
          <w:rFonts w:hint="eastAsia" w:eastAsia="黑体"/>
          <w:b/>
          <w:bCs/>
          <w:sz w:val="84"/>
        </w:rPr>
        <w:t xml:space="preserve">招　标　文　件</w:t>
      </w:r>
      <w:r/>
    </w:p>
    <w:p>
      <w:pPr>
        <w:pStyle w:val="1055"/>
        <w:ind w:firstLine="2249"/>
        <w:rPr>
          <w:b/>
          <w:bCs/>
          <w:sz w:val="32"/>
        </w:rPr>
      </w:pPr>
      <w:r>
        <w:rPr>
          <w:b/>
          <w:bCs/>
          <w:sz w:val="32"/>
        </w:rPr>
      </w:r>
      <w:r/>
    </w:p>
    <w:p>
      <w:pPr>
        <w:pStyle w:val="1055"/>
        <w:ind w:firstLine="2249"/>
        <w:rPr>
          <w:b/>
          <w:bCs/>
          <w:spacing w:val="-20"/>
          <w:sz w:val="32"/>
        </w:rPr>
      </w:pPr>
      <w:r>
        <w:rPr>
          <w:b/>
          <w:bCs/>
          <w:spacing w:val="-20"/>
          <w:sz w:val="32"/>
        </w:rPr>
      </w:r>
      <w:r/>
    </w:p>
    <w:p>
      <w:pPr>
        <w:ind w:left="2244" w:hanging="1606"/>
        <w:spacing w:line="560" w:lineRule="exact"/>
        <w:rPr>
          <w:rFonts w:ascii="仿宋_GB2312" w:hAnsi="仿宋_GB2312" w:eastAsia="仿宋_GB2312" w:cs="仿宋_GB2312"/>
          <w:sz w:val="32"/>
          <w:szCs w:val="32"/>
        </w:rPr>
      </w:pPr>
      <w:r>
        <w:rPr>
          <w:rFonts w:hint="eastAsia"/>
          <w:b/>
          <w:bCs/>
          <w:sz w:val="32"/>
        </w:rPr>
        <w:t xml:space="preserve">项目名称：</w:t>
      </w:r>
      <w:r>
        <w:rPr>
          <w:rFonts w:hint="eastAsia" w:ascii="仿宋_GB2312" w:hAnsi="仿宋_GB2312" w:eastAsia="仿宋_GB2312" w:cs="仿宋_GB2312"/>
          <w:sz w:val="32"/>
          <w:szCs w:val="32"/>
        </w:rPr>
        <w:t xml:space="preserve">扬州市公安局交通指挥中心和车管所业务技术用房信息化建设项目</w:t>
      </w:r>
      <w:r/>
    </w:p>
    <w:p>
      <w:pPr>
        <w:pStyle w:val="1055"/>
        <w:ind w:firstLine="643"/>
        <w:rPr>
          <w:rFonts w:hint="eastAsia"/>
          <w:b/>
          <w:bCs/>
          <w:sz w:val="32"/>
        </w:rPr>
      </w:pPr>
      <w:r>
        <w:rPr>
          <w:rFonts w:hint="eastAsia"/>
          <w:b/>
          <w:bCs/>
          <w:sz w:val="32"/>
        </w:rPr>
      </w:r>
      <w:r/>
    </w:p>
    <w:p>
      <w:pPr>
        <w:ind w:firstLine="643"/>
        <w:rPr>
          <w:rFonts w:hint="eastAsia" w:ascii="Arial" w:hAnsi="Arial"/>
          <w:b/>
          <w:bCs/>
          <w:sz w:val="32"/>
          <w:szCs w:val="24"/>
        </w:rPr>
      </w:pPr>
      <w:r>
        <w:rPr>
          <w:rFonts w:hint="eastAsia" w:ascii="Arial" w:hAnsi="Arial"/>
          <w:b/>
          <w:bCs/>
          <w:sz w:val="32"/>
          <w:szCs w:val="24"/>
        </w:rPr>
        <w:t xml:space="preserve">项目编号：JSZC-321000-JZCG-G2024-0187</w:t>
      </w:r>
      <w:r/>
    </w:p>
    <w:p>
      <w:pPr>
        <w:pStyle w:val="1055"/>
        <w:ind w:firstLine="0"/>
        <w:spacing w:before="0" w:after="0"/>
        <w:rPr>
          <w:rFonts w:ascii="宋体" w:hAnsi="宋体"/>
        </w:rPr>
      </w:pPr>
      <w:r>
        <w:rPr>
          <w:rFonts w:ascii="宋体" w:hAnsi="宋体"/>
        </w:rPr>
      </w:r>
      <w:r/>
    </w:p>
    <w:p>
      <w:pPr>
        <w:pStyle w:val="1055"/>
        <w:ind w:firstLine="0"/>
        <w:spacing w:before="0" w:after="0"/>
        <w:rPr>
          <w:rFonts w:ascii="宋体" w:hAnsi="宋体"/>
        </w:rPr>
      </w:pPr>
      <w:r>
        <w:rPr>
          <w:rFonts w:ascii="宋体" w:hAnsi="宋体"/>
        </w:rPr>
      </w:r>
      <w:r/>
    </w:p>
    <w:p>
      <w:pPr>
        <w:pStyle w:val="1055"/>
        <w:ind w:firstLine="0"/>
        <w:spacing w:before="0" w:after="0"/>
        <w:rPr>
          <w:rFonts w:ascii="宋体" w:hAnsi="宋体"/>
        </w:rPr>
      </w:pPr>
      <w:r>
        <w:rPr>
          <w:rFonts w:ascii="宋体" w:hAnsi="宋体"/>
        </w:rPr>
      </w:r>
      <w:r/>
    </w:p>
    <w:p>
      <w:pPr>
        <w:pStyle w:val="1055"/>
        <w:ind w:firstLine="0"/>
        <w:spacing w:before="0" w:after="0"/>
        <w:rPr>
          <w:rFonts w:ascii="宋体" w:hAnsi="宋体"/>
        </w:rPr>
      </w:pPr>
      <w:r>
        <w:rPr>
          <w:rFonts w:ascii="宋体" w:hAnsi="宋体"/>
        </w:rPr>
      </w:r>
      <w:r/>
    </w:p>
    <w:p>
      <w:pPr>
        <w:pStyle w:val="1055"/>
        <w:ind w:firstLine="0"/>
        <w:spacing w:before="0" w:after="0"/>
        <w:rPr>
          <w:rFonts w:ascii="宋体" w:hAnsi="宋体"/>
        </w:rPr>
      </w:pPr>
      <w:r>
        <w:rPr>
          <w:rFonts w:ascii="宋体" w:hAnsi="宋体"/>
        </w:rPr>
      </w:r>
      <w:r/>
    </w:p>
    <w:p>
      <w:pPr>
        <w:pStyle w:val="1055"/>
        <w:ind w:firstLine="0"/>
        <w:spacing w:before="0" w:after="0"/>
        <w:rPr>
          <w:rFonts w:ascii="宋体" w:hAnsi="宋体"/>
        </w:rPr>
      </w:pPr>
      <w:r>
        <w:rPr>
          <w:rFonts w:ascii="宋体" w:hAnsi="宋体"/>
        </w:rPr>
      </w:r>
      <w:r/>
    </w:p>
    <w:p>
      <w:pPr>
        <w:pStyle w:val="1055"/>
        <w:ind w:firstLine="0"/>
        <w:jc w:val="center"/>
        <w:rPr>
          <w:b/>
          <w:bCs/>
          <w:sz w:val="32"/>
        </w:rPr>
      </w:pPr>
      <w:r>
        <w:rPr>
          <w:rFonts w:hint="eastAsia"/>
          <w:b/>
          <w:bCs/>
          <w:sz w:val="32"/>
        </w:rPr>
        <w:t xml:space="preserve">扬州市公共资源交易中心</w:t>
      </w:r>
      <w:r/>
    </w:p>
    <w:p>
      <w:pPr>
        <w:pStyle w:val="1055"/>
        <w:ind w:firstLine="0"/>
        <w:jc w:val="center"/>
        <w:rPr>
          <w:b/>
          <w:bCs/>
          <w:sz w:val="32"/>
        </w:rPr>
      </w:pPr>
      <w:r>
        <w:rPr>
          <w:rFonts w:hint="eastAsia"/>
          <w:b/>
          <w:bCs/>
          <w:sz w:val="32"/>
        </w:rPr>
        <w:t xml:space="preserve">2024年</w:t>
      </w:r>
      <w:r>
        <w:rPr>
          <w:rFonts w:hint="eastAsia"/>
          <w:b/>
          <w:bCs/>
          <w:sz w:val="32"/>
          <w:lang w:val="en-US" w:eastAsia="zh-CN"/>
        </w:rPr>
        <w:t xml:space="preserve">12</w:t>
      </w:r>
      <w:r>
        <w:rPr>
          <w:rFonts w:hint="eastAsia"/>
          <w:b/>
          <w:bCs/>
          <w:sz w:val="32"/>
        </w:rPr>
        <w:t xml:space="preserve">月</w:t>
      </w:r>
      <w:r/>
    </w:p>
    <w:p>
      <w:pPr>
        <w:pStyle w:val="1055"/>
        <w:ind w:firstLine="0"/>
        <w:rPr>
          <w:u w:val="single"/>
        </w:rPr>
      </w:pPr>
      <w:r>
        <w:rPr>
          <w:rFonts w:hint="eastAsia"/>
        </w:rPr>
        <w:t xml:space="preserve">                        </w:t>
      </w:r>
      <w:r/>
    </w:p>
    <w:p>
      <w:pPr>
        <w:pStyle w:val="1055"/>
        <w:ind w:firstLine="0"/>
        <w:jc w:val="center"/>
      </w:pPr>
      <w:r/>
      <w:r/>
    </w:p>
    <w:p>
      <w:pPr>
        <w:jc w:val="center"/>
        <w:rPr>
          <w:rFonts w:ascii="黑体" w:hAnsi="Arial" w:eastAsia="黑体"/>
          <w:b/>
          <w:sz w:val="44"/>
        </w:rPr>
      </w:pPr>
      <w: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Arial" w:hAnsi="Arial"/>
          <w:b/>
          <w:bCs/>
          <w:sz w:val="40"/>
          <w:szCs w:val="40"/>
        </w:rPr>
        <w:t xml:space="preserve"> 总  目  录</w:t>
      </w:r>
      <w:r/>
    </w:p>
    <w:p>
      <w:pPr>
        <w:spacing w:line="480" w:lineRule="auto"/>
        <w:rPr>
          <w:rFonts w:ascii="仿宋_GB2312" w:hAnsi="Arial" w:eastAsia="仿宋_GB2312"/>
          <w:b/>
          <w:sz w:val="28"/>
        </w:rPr>
      </w:pPr>
      <w:r>
        <w:rPr>
          <w:rFonts w:ascii="仿宋_GB2312" w:hAnsi="Arial" w:eastAsia="仿宋_GB2312"/>
          <w:b/>
          <w:sz w:val="28"/>
        </w:rPr>
      </w:r>
      <w:r/>
    </w:p>
    <w:p>
      <w:pPr>
        <w:pStyle w:val="758"/>
        <w:tabs>
          <w:tab w:val="right" w:pos="8943" w:leader="dot"/>
        </w:tabs>
        <w:rPr>
          <w:rFonts w:asciiTheme="minorHAnsi" w:hAnsiTheme="minorHAnsi" w:eastAsiaTheme="minorEastAsia" w:cstheme="minorBidi"/>
          <w:szCs w:val="22"/>
        </w:rPr>
      </w:pPr>
      <w:r>
        <w:fldChar w:fldCharType="begin"/>
      </w:r>
      <w:r>
        <w:instrText xml:space="preserve">TOC \o "1-1" \h \u </w:instrText>
      </w:r>
      <w:r>
        <w:fldChar w:fldCharType="separate"/>
      </w:r>
      <w:r>
        <w:fldChar w:fldCharType="begin"/>
      </w:r>
      <w:r>
        <w:instrText xml:space="preserve"> HYPERLINK \l "_Toc176441260" \o "#_Toc176441260" </w:instrText>
      </w:r>
      <w:r>
        <w:fldChar w:fldCharType="separate"/>
      </w:r>
      <w:r>
        <w:rPr>
          <w:rStyle w:val="769"/>
          <w:rFonts w:hint="eastAsia"/>
        </w:rPr>
        <w:t xml:space="preserve">第一章</w:t>
      </w:r>
      <w:r>
        <w:rPr>
          <w:rStyle w:val="769"/>
        </w:rPr>
        <w:t xml:space="preserve">  </w:t>
      </w:r>
      <w:r>
        <w:rPr>
          <w:rStyle w:val="769"/>
          <w:rFonts w:hint="eastAsia"/>
        </w:rPr>
        <w:t xml:space="preserve">投标邀请</w:t>
      </w:r>
      <w:r>
        <w:tab/>
      </w:r>
      <w:r>
        <w:rPr>
          <w:rFonts w:hint="eastAsia"/>
          <w:lang w:val="en-US" w:eastAsia="zh-CN"/>
        </w:rPr>
        <w:t xml:space="preserve">1</w:t>
      </w:r>
      <w:r>
        <w:fldChar w:fldCharType="end"/>
      </w:r>
      <w:r/>
    </w:p>
    <w:p>
      <w:pPr>
        <w:pStyle w:val="758"/>
        <w:tabs>
          <w:tab w:val="right" w:pos="8943" w:leader="dot"/>
        </w:tabs>
        <w:rPr>
          <w:rFonts w:asciiTheme="minorHAnsi" w:hAnsiTheme="minorHAnsi" w:eastAsiaTheme="minorEastAsia" w:cstheme="minorBidi"/>
          <w:szCs w:val="22"/>
        </w:rPr>
      </w:pPr>
      <w:r>
        <w:fldChar w:fldCharType="begin"/>
      </w:r>
      <w:r>
        <w:instrText xml:space="preserve"> HYPERLINK \l "_Toc176441261" \o "#_Toc176441261" </w:instrText>
      </w:r>
      <w:r>
        <w:fldChar w:fldCharType="separate"/>
      </w:r>
      <w:r>
        <w:rPr>
          <w:rStyle w:val="769"/>
          <w:rFonts w:hint="eastAsia"/>
        </w:rPr>
        <w:t xml:space="preserve">第二章</w:t>
      </w:r>
      <w:r>
        <w:rPr>
          <w:rStyle w:val="769"/>
        </w:rPr>
        <w:t xml:space="preserve">  </w:t>
      </w:r>
      <w:r>
        <w:rPr>
          <w:rStyle w:val="769"/>
          <w:rFonts w:hint="eastAsia"/>
        </w:rPr>
        <w:t xml:space="preserve">投标人须知</w:t>
      </w:r>
      <w:r>
        <w:tab/>
      </w:r>
      <w:r>
        <w:rPr>
          <w:rFonts w:hint="eastAsia"/>
          <w:lang w:val="en-US" w:eastAsia="zh-CN"/>
        </w:rPr>
        <w:t xml:space="preserve">4</w:t>
      </w:r>
      <w:r>
        <w:fldChar w:fldCharType="end"/>
      </w:r>
      <w:r/>
    </w:p>
    <w:p>
      <w:pPr>
        <w:pStyle w:val="758"/>
        <w:tabs>
          <w:tab w:val="right" w:pos="8943" w:leader="dot"/>
        </w:tabs>
        <w:rPr>
          <w:rFonts w:hint="eastAsia" w:eastAsia="宋体" w:asciiTheme="minorHAnsi" w:hAnsiTheme="minorHAnsi" w:cstheme="minorBidi"/>
          <w:szCs w:val="22"/>
          <w:lang w:val="en-US" w:eastAsia="zh-CN"/>
        </w:rPr>
      </w:pPr>
      <w:r>
        <w:fldChar w:fldCharType="begin"/>
      </w:r>
      <w:r>
        <w:instrText xml:space="preserve"> HYPERLINK \l "_Toc176441262" \o "#_Toc176441262" </w:instrText>
      </w:r>
      <w:r>
        <w:fldChar w:fldCharType="separate"/>
      </w:r>
      <w:r>
        <w:rPr>
          <w:rStyle w:val="769"/>
          <w:rFonts w:hint="eastAsia"/>
        </w:rPr>
        <w:t xml:space="preserve">第三章</w:t>
      </w:r>
      <w:r>
        <w:rPr>
          <w:rStyle w:val="769"/>
        </w:rPr>
        <w:t xml:space="preserve">  </w:t>
      </w:r>
      <w:r>
        <w:rPr>
          <w:rStyle w:val="769"/>
          <w:rFonts w:hint="eastAsia"/>
        </w:rPr>
        <w:t xml:space="preserve">合同文本</w:t>
      </w:r>
      <w:r>
        <w:tab/>
      </w:r>
      <w:r>
        <w:rPr>
          <w:rFonts w:hint="eastAsia"/>
          <w:lang w:val="en-US" w:eastAsia="zh-CN"/>
        </w:rPr>
        <w:t xml:space="preserve">1</w:t>
      </w:r>
      <w:r>
        <w:fldChar w:fldCharType="end"/>
      </w:r>
      <w:r>
        <w:rPr>
          <w:rFonts w:hint="eastAsia"/>
          <w:lang w:val="en-US" w:eastAsia="zh-CN"/>
        </w:rPr>
        <w:t xml:space="preserve">5</w:t>
      </w:r>
      <w:r/>
    </w:p>
    <w:p>
      <w:pPr>
        <w:pStyle w:val="758"/>
        <w:tabs>
          <w:tab w:val="right" w:pos="8943" w:leader="dot"/>
        </w:tabs>
        <w:rPr>
          <w:rFonts w:hint="eastAsia" w:eastAsia="宋体" w:asciiTheme="minorHAnsi" w:hAnsiTheme="minorHAnsi" w:cstheme="minorBidi"/>
          <w:szCs w:val="22"/>
          <w:lang w:val="en-US" w:eastAsia="zh-CN"/>
        </w:rPr>
      </w:pPr>
      <w:r>
        <w:fldChar w:fldCharType="begin"/>
      </w:r>
      <w:r>
        <w:instrText xml:space="preserve"> HYPERLINK \l "_Toc176441263" \o "#_Toc176441263" </w:instrText>
      </w:r>
      <w:r>
        <w:fldChar w:fldCharType="separate"/>
      </w:r>
      <w:r>
        <w:rPr>
          <w:rStyle w:val="769"/>
          <w:rFonts w:hint="eastAsia" w:ascii="Arial" w:hAnsi="Arial" w:cs="Arial"/>
        </w:rPr>
        <w:t xml:space="preserve">第四章</w:t>
      </w:r>
      <w:r>
        <w:rPr>
          <w:rStyle w:val="769"/>
          <w:rFonts w:ascii="Arial" w:hAnsi="Arial" w:cs="Arial"/>
        </w:rPr>
        <w:t xml:space="preserve">  </w:t>
      </w:r>
      <w:r>
        <w:rPr>
          <w:rStyle w:val="769"/>
          <w:rFonts w:hint="eastAsia" w:ascii="Arial" w:hAnsi="Arial" w:cs="Arial"/>
        </w:rPr>
        <w:t xml:space="preserve">采购需求</w:t>
      </w:r>
      <w:r>
        <w:tab/>
      </w:r>
      <w:r>
        <w:rPr>
          <w:rFonts w:hint="eastAsia"/>
          <w:lang w:val="en-US" w:eastAsia="zh-CN"/>
        </w:rPr>
        <w:t xml:space="preserve">2</w:t>
      </w:r>
      <w:r>
        <w:fldChar w:fldCharType="end"/>
      </w:r>
      <w:r>
        <w:rPr>
          <w:rFonts w:hint="eastAsia"/>
          <w:lang w:val="en-US" w:eastAsia="zh-CN"/>
        </w:rPr>
        <w:t xml:space="preserve">2</w:t>
      </w:r>
      <w:r/>
    </w:p>
    <w:p>
      <w:pPr>
        <w:pStyle w:val="758"/>
        <w:tabs>
          <w:tab w:val="right" w:pos="8943" w:leader="dot"/>
        </w:tabs>
        <w:rPr>
          <w:rFonts w:hint="default" w:eastAsia="宋体" w:asciiTheme="minorHAnsi" w:hAnsiTheme="minorHAnsi" w:cstheme="minorBidi"/>
          <w:szCs w:val="22"/>
          <w:lang w:val="en-US" w:eastAsia="zh-CN"/>
        </w:rPr>
      </w:pPr>
      <w:r>
        <w:fldChar w:fldCharType="begin"/>
      </w:r>
      <w:r>
        <w:instrText xml:space="preserve"> HYPERLINK \l "_Toc176441264" \o "#_Toc176441264" </w:instrText>
      </w:r>
      <w:r>
        <w:fldChar w:fldCharType="separate"/>
      </w:r>
      <w:r>
        <w:rPr>
          <w:rStyle w:val="769"/>
          <w:rFonts w:hint="eastAsia" w:ascii="Arial" w:hAnsi="Arial" w:cs="Arial"/>
        </w:rPr>
        <w:t xml:space="preserve">第五章</w:t>
      </w:r>
      <w:r>
        <w:rPr>
          <w:rStyle w:val="769"/>
          <w:rFonts w:ascii="Arial" w:hAnsi="Arial" w:cs="Arial"/>
        </w:rPr>
        <w:t xml:space="preserve">  </w:t>
      </w:r>
      <w:r>
        <w:rPr>
          <w:rStyle w:val="769"/>
          <w:rFonts w:hint="eastAsia" w:ascii="Arial" w:hAnsi="Arial" w:cs="Arial"/>
        </w:rPr>
        <w:t xml:space="preserve">评标方法与评标标准</w:t>
      </w:r>
      <w:r>
        <w:tab/>
      </w:r>
      <w:r>
        <w:rPr>
          <w:rFonts w:hint="eastAsia"/>
          <w:lang w:val="en-US" w:eastAsia="zh-CN"/>
        </w:rPr>
        <w:t xml:space="preserve">1</w:t>
      </w:r>
      <w:r>
        <w:fldChar w:fldCharType="end"/>
      </w:r>
      <w:r>
        <w:rPr>
          <w:rFonts w:hint="eastAsia"/>
          <w:lang w:val="en-US" w:eastAsia="zh-CN"/>
        </w:rPr>
        <w:t xml:space="preserve">26</w:t>
      </w:r>
      <w:r/>
    </w:p>
    <w:p>
      <w:pPr>
        <w:pStyle w:val="758"/>
        <w:tabs>
          <w:tab w:val="right" w:pos="8943" w:leader="dot"/>
        </w:tabs>
        <w:rPr>
          <w:rFonts w:hint="eastAsia" w:eastAsia="宋体" w:asciiTheme="minorHAnsi" w:hAnsiTheme="minorHAnsi" w:cstheme="minorBidi"/>
          <w:szCs w:val="22"/>
          <w:lang w:val="en-US" w:eastAsia="zh-CN"/>
        </w:rPr>
      </w:pPr>
      <w:r>
        <w:fldChar w:fldCharType="begin"/>
      </w:r>
      <w:r>
        <w:instrText xml:space="preserve"> HYPERLINK \l "_Toc176441265" \o "#_Toc176441265" </w:instrText>
      </w:r>
      <w:r>
        <w:fldChar w:fldCharType="separate"/>
      </w:r>
      <w:r>
        <w:rPr>
          <w:rStyle w:val="769"/>
          <w:rFonts w:hint="eastAsia"/>
        </w:rPr>
        <w:t xml:space="preserve">第六章</w:t>
      </w:r>
      <w:r>
        <w:rPr>
          <w:rStyle w:val="769"/>
        </w:rPr>
        <w:t xml:space="preserve">  </w:t>
      </w:r>
      <w:r>
        <w:rPr>
          <w:rStyle w:val="769"/>
          <w:rFonts w:hint="eastAsia"/>
        </w:rPr>
        <w:t xml:space="preserve">投标文件格式</w:t>
      </w:r>
      <w:r>
        <w:tab/>
      </w:r>
      <w:r>
        <w:rPr>
          <w:rFonts w:hint="eastAsia"/>
          <w:lang w:val="en-US" w:eastAsia="zh-CN"/>
        </w:rPr>
        <w:t xml:space="preserve">13</w:t>
      </w:r>
      <w:r>
        <w:fldChar w:fldCharType="end"/>
      </w:r>
      <w:r>
        <w:rPr>
          <w:rFonts w:hint="eastAsia"/>
          <w:lang w:val="en-US" w:eastAsia="zh-CN"/>
        </w:rPr>
        <w:t xml:space="preserve">2</w:t>
      </w:r>
      <w:r/>
    </w:p>
    <w:p>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9"/>
        <w:jc w:val="center"/>
        <w:rPr>
          <w:rFonts w:hint="eastAsia"/>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bookmarkStart w:id="6" w:name="_Toc176441260"/>
      <w:r/>
      <w:r/>
    </w:p>
    <w:p>
      <w:pPr>
        <w:pStyle w:val="729"/>
        <w:jc w:val="center"/>
      </w:pPr>
      <w:r>
        <w:rPr>
          <w:rFonts w:hint="eastAsia"/>
        </w:rPr>
        <w:t xml:space="preserve">第一章  </w:t>
      </w:r>
      <w:bookmarkEnd w:id="0"/>
      <w:r>
        <w:rPr>
          <w:rFonts w:hint="eastAsia"/>
        </w:rPr>
        <w:t xml:space="preserve">投标邀请</w:t>
      </w:r>
      <w:bookmarkEnd w:id="6"/>
      <w:r/>
      <w:r/>
    </w:p>
    <w:p>
      <w:pPr>
        <w:pStyle w:val="1055"/>
        <w:ind w:firstLine="643"/>
      </w:pPr>
      <w:r>
        <w:rPr>
          <w:rFonts w:hint="eastAsia"/>
        </w:rPr>
        <w:t xml:space="preserve">受[扬州市</w:t>
      </w:r>
      <w:r>
        <w:rPr>
          <w:rFonts w:hint="eastAsia"/>
          <w:lang w:val="en-US" w:eastAsia="zh-CN"/>
        </w:rPr>
        <w:t xml:space="preserve">公安局</w:t>
      </w:r>
      <w:r>
        <w:rPr>
          <w:rFonts w:hint="eastAsia"/>
        </w:rPr>
        <w:t xml:space="preserve">本级]的委托，扬州市公共资源交易中心就[扬州市公安局交通指挥中心和车管所业务技术用房信息化建设项目]( </w:t>
      </w:r>
      <w:r>
        <w:rPr>
          <w:rFonts w:hint="default" w:ascii="Times New Roman" w:hAnsi="Times New Roman" w:eastAsia="Segoe UI" w:cs="Times New Roman"/>
          <w:i w:val="0"/>
          <w:iCs w:val="0"/>
          <w:caps w:val="0"/>
          <w:spacing w:val="0"/>
          <w:sz w:val="24"/>
          <w:szCs w:val="24"/>
          <w:shd w:val="clear" w:color="auto" w:fill="ffffff"/>
        </w:rPr>
        <w:t xml:space="preserve">JSZC-321000-JZCG-G2024-0187</w:t>
      </w:r>
      <w:r>
        <w:rPr>
          <w:rFonts w:hint="eastAsia"/>
        </w:rPr>
        <w:t xml:space="preserve">)项目进行公开招标采购，欢迎符合条件的供应商投标。</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w:t>
      </w:r>
      <w:r>
        <w:rPr>
          <w:rFonts w:hint="eastAsia" w:ascii="Arial" w:hAnsi="Arial" w:eastAsia="宋体" w:cs="Times New Roman"/>
          <w:sz w:val="24"/>
          <w:szCs w:val="24"/>
        </w:rPr>
        <w:t xml:space="preserve">扬州市公安局交通指挥中心和车管所业务技术用房信息化建设项目</w:t>
      </w:r>
      <w:r>
        <w:rPr>
          <w:rFonts w:ascii="宋体" w:hAnsi="宋体"/>
          <w:sz w:val="24"/>
          <w:szCs w:val="24"/>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   </w:t>
      </w:r>
      <w:r>
        <w:rPr>
          <w:rFonts w:hint="eastAsia" w:ascii="宋体" w:hAnsi="宋体"/>
          <w:color w:val="ff0000"/>
          <w:sz w:val="24"/>
          <w:szCs w:val="24"/>
          <w:u w:val="single"/>
        </w:rPr>
        <w:t xml:space="preserve">2024</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12</w:t>
      </w:r>
      <w:r>
        <w:rPr>
          <w:rFonts w:hint="eastAsia" w:ascii="宋体" w:hAnsi="宋体"/>
          <w:bCs/>
          <w:color w:val="ff0000"/>
          <w:sz w:val="24"/>
          <w:szCs w:val="24"/>
          <w:u w:val="single"/>
        </w:rPr>
        <w:t xml:space="preserve">月27</w:t>
      </w:r>
      <w:r>
        <w:rPr>
          <w:rFonts w:hint="eastAsia" w:ascii="宋体" w:hAnsi="宋体"/>
          <w:bCs/>
          <w:color w:val="ff0000"/>
          <w:sz w:val="24"/>
          <w:szCs w:val="24"/>
          <w:u w:val="single"/>
        </w:rPr>
        <w:t xml:space="preserve">日10点00分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61"/>
        <w:ind w:firstLine="498"/>
        <w:spacing w:before="145" w:after="145" w:line="360" w:lineRule="auto"/>
      </w:pPr>
      <w:r/>
      <w:bookmarkStart w:id="7" w:name="_Toc28359079"/>
      <w:r/>
      <w:bookmarkStart w:id="8" w:name="_Toc38985263"/>
      <w:r/>
      <w:bookmarkStart w:id="9" w:name="_Toc28359002"/>
      <w:r/>
      <w:bookmarkStart w:id="10" w:name="_Toc35393790"/>
      <w:r/>
      <w:bookmarkStart w:id="11" w:name="_Toc35393621"/>
      <w:r/>
      <w:bookmarkStart w:id="12" w:name="_Hlk24379207"/>
      <w:r>
        <w:rPr>
          <w:rFonts w:hint="eastAsia"/>
        </w:rPr>
        <w:t xml:space="preserve">一、项目基本情况</w:t>
      </w:r>
      <w:bookmarkEnd w:id="7"/>
      <w:r/>
      <w:bookmarkEnd w:id="8"/>
      <w:r/>
      <w:bookmarkEnd w:id="9"/>
      <w:r/>
      <w:bookmarkEnd w:id="10"/>
      <w:r/>
      <w:bookmarkEnd w:id="11"/>
      <w:r/>
      <w:r/>
    </w:p>
    <w:p>
      <w:pPr>
        <w:ind w:firstLine="480"/>
        <w:rPr>
          <w:rFonts w:hint="eastAsia" w:ascii="Arial" w:hAnsi="Arial" w:eastAsia="宋体" w:cs="Times New Roman"/>
          <w:sz w:val="24"/>
          <w:szCs w:val="24"/>
        </w:rPr>
      </w:pPr>
      <w:r>
        <w:rPr>
          <w:rFonts w:hint="eastAsia" w:ascii="宋体" w:hAnsi="宋体"/>
          <w:sz w:val="24"/>
          <w:szCs w:val="24"/>
        </w:rPr>
        <w:t xml:space="preserve">1.项目编号：</w:t>
      </w:r>
      <w:r>
        <w:rPr>
          <w:rFonts w:hint="eastAsia" w:ascii="Arial" w:hAnsi="Arial" w:eastAsia="宋体" w:cs="Times New Roman"/>
          <w:sz w:val="24"/>
          <w:szCs w:val="24"/>
        </w:rPr>
        <w:t xml:space="preserve">JSZC-321000-JZCG-G2024-0187</w:t>
      </w:r>
      <w:r/>
    </w:p>
    <w:p>
      <w:pPr>
        <w:ind w:left="479" w:firstLine="0"/>
        <w:rPr>
          <w:rFonts w:hint="eastAsia" w:ascii="Arial" w:hAnsi="Arial" w:eastAsia="宋体" w:cs="Times New Roman"/>
          <w:sz w:val="24"/>
          <w:szCs w:val="24"/>
          <w:lang w:val="en-US" w:eastAsia="zh-CN"/>
        </w:rPr>
      </w:pPr>
      <w:r>
        <w:rPr>
          <w:rFonts w:hint="eastAsia" w:ascii="宋体" w:hAnsi="宋体"/>
          <w:sz w:val="24"/>
          <w:szCs w:val="24"/>
        </w:rPr>
        <w:t xml:space="preserve">2.项目名称：</w:t>
      </w:r>
      <w:bookmarkEnd w:id="12"/>
      <w:r>
        <w:rPr>
          <w:rFonts w:hint="eastAsia" w:ascii="Arial" w:hAnsi="Arial" w:eastAsia="宋体" w:cs="Times New Roman"/>
          <w:sz w:val="24"/>
          <w:szCs w:val="24"/>
        </w:rPr>
        <w:t xml:space="preserve">扬州市公安局交通指挥中心和车管所业务技术用房信息化建设项</w:t>
      </w:r>
      <w:r>
        <w:rPr>
          <w:rFonts w:hint="eastAsia" w:ascii="Arial" w:hAnsi="Arial" w:cs="Times New Roman"/>
          <w:sz w:val="24"/>
          <w:szCs w:val="24"/>
          <w:lang w:val="en-US" w:eastAsia="zh-CN"/>
        </w:rPr>
        <w:t xml:space="preserve">目</w:t>
      </w:r>
      <w:r/>
    </w:p>
    <w:p>
      <w:pPr>
        <w:ind w:firstLine="480"/>
        <w:rPr>
          <w:rFonts w:hint="eastAsia" w:ascii="宋体" w:hAnsi="宋体" w:eastAsia="宋体"/>
          <w:color w:val="000000"/>
          <w:sz w:val="24"/>
          <w:szCs w:val="24"/>
          <w:lang w:eastAsia="zh-CN"/>
        </w:rPr>
      </w:pPr>
      <w:r>
        <w:rPr>
          <w:rFonts w:hint="eastAsia" w:ascii="宋体" w:hAnsi="宋体"/>
          <w:sz w:val="24"/>
          <w:szCs w:val="24"/>
        </w:rPr>
        <w:t xml:space="preserve">3.预算金额：</w:t>
      </w:r>
      <w:r>
        <w:rPr>
          <w:rFonts w:hint="eastAsia" w:ascii="宋体" w:hAnsi="宋体"/>
          <w:color w:val="auto"/>
          <w:sz w:val="24"/>
          <w:szCs w:val="24"/>
          <w:lang w:val="en-US" w:eastAsia="zh-CN"/>
        </w:rPr>
        <w:t xml:space="preserve">1642.58</w:t>
      </w:r>
      <w:r>
        <w:rPr>
          <w:rFonts w:hint="eastAsia" w:ascii="宋体" w:hAnsi="宋体"/>
          <w:sz w:val="24"/>
          <w:szCs w:val="24"/>
        </w:rPr>
        <w:t xml:space="preserve">万元</w:t>
      </w:r>
      <w:r>
        <w:rPr>
          <w:rFonts w:hint="eastAsia" w:ascii="宋体" w:hAnsi="宋体"/>
          <w:sz w:val="24"/>
          <w:szCs w:val="24"/>
          <w:lang w:eastAsia="zh-CN"/>
        </w:rPr>
        <w:t xml:space="preserve">。其中，包一</w:t>
      </w:r>
      <w:r>
        <w:rPr>
          <w:rFonts w:hint="eastAsia" w:ascii="宋体" w:hAnsi="宋体"/>
          <w:sz w:val="24"/>
          <w:szCs w:val="24"/>
          <w:lang w:val="en-US" w:eastAsia="zh-CN"/>
        </w:rPr>
        <w:t xml:space="preserve">为</w:t>
      </w:r>
      <w:r>
        <w:rPr>
          <w:rFonts w:hint="eastAsia" w:ascii="宋体" w:hAnsi="宋体"/>
          <w:sz w:val="24"/>
          <w:szCs w:val="24"/>
          <w:lang w:eastAsia="zh-CN"/>
        </w:rPr>
        <w:t xml:space="preserve">859.35万元，包二</w:t>
      </w:r>
      <w:r>
        <w:rPr>
          <w:rFonts w:hint="eastAsia" w:ascii="宋体" w:hAnsi="宋体"/>
          <w:sz w:val="24"/>
          <w:szCs w:val="24"/>
          <w:lang w:val="en-US" w:eastAsia="zh-CN"/>
        </w:rPr>
        <w:t xml:space="preserve">为</w:t>
      </w:r>
      <w:r>
        <w:rPr>
          <w:rFonts w:hint="eastAsia" w:ascii="宋体" w:hAnsi="宋体"/>
          <w:sz w:val="24"/>
          <w:szCs w:val="24"/>
          <w:lang w:eastAsia="zh-CN"/>
        </w:rPr>
        <w:t xml:space="preserve">751.76万元、包三</w:t>
      </w:r>
      <w:r>
        <w:rPr>
          <w:rFonts w:hint="eastAsia" w:ascii="宋体" w:hAnsi="宋体"/>
          <w:sz w:val="24"/>
          <w:szCs w:val="24"/>
          <w:lang w:val="en-US" w:eastAsia="zh-CN"/>
        </w:rPr>
        <w:t xml:space="preserve">为</w:t>
      </w:r>
      <w:r>
        <w:rPr>
          <w:rFonts w:hint="eastAsia" w:ascii="宋体" w:hAnsi="宋体"/>
          <w:sz w:val="24"/>
          <w:szCs w:val="24"/>
          <w:lang w:eastAsia="zh-CN"/>
        </w:rPr>
        <w:t xml:space="preserve">15.735万元，包四</w:t>
      </w:r>
      <w:r>
        <w:rPr>
          <w:rFonts w:hint="eastAsia" w:ascii="宋体" w:hAnsi="宋体"/>
          <w:sz w:val="24"/>
          <w:szCs w:val="24"/>
          <w:lang w:val="en-US" w:eastAsia="zh-CN"/>
        </w:rPr>
        <w:t xml:space="preserve">为</w:t>
      </w:r>
      <w:r>
        <w:rPr>
          <w:rFonts w:hint="eastAsia" w:ascii="宋体" w:hAnsi="宋体"/>
          <w:sz w:val="24"/>
          <w:szCs w:val="24"/>
          <w:lang w:eastAsia="zh-CN"/>
        </w:rPr>
        <w:t xml:space="preserve">15.735万元。</w:t>
      </w:r>
      <w:r/>
    </w:p>
    <w:p>
      <w:pPr>
        <w:ind w:firstLine="480"/>
        <w:rPr>
          <w:rFonts w:hint="eastAsia" w:ascii="宋体" w:hAnsi="宋体"/>
          <w:sz w:val="24"/>
          <w:szCs w:val="24"/>
          <w:lang w:eastAsia="zh-CN"/>
        </w:rPr>
      </w:pPr>
      <w:r>
        <w:rPr>
          <w:rFonts w:hint="eastAsia" w:ascii="宋体" w:hAnsi="宋体"/>
          <w:sz w:val="24"/>
          <w:szCs w:val="24"/>
        </w:rPr>
        <w:t xml:space="preserve">4.本项目设定最高限价，最高限价为</w:t>
      </w:r>
      <w:r>
        <w:rPr>
          <w:rFonts w:hint="eastAsia" w:ascii="宋体" w:hAnsi="宋体"/>
          <w:color w:val="auto"/>
          <w:sz w:val="24"/>
          <w:szCs w:val="24"/>
          <w:lang w:val="en-US" w:eastAsia="zh-CN"/>
        </w:rPr>
        <w:t xml:space="preserve">1642.58</w:t>
      </w:r>
      <w:r>
        <w:rPr>
          <w:rFonts w:hint="eastAsia" w:ascii="宋体" w:hAnsi="宋体"/>
          <w:sz w:val="24"/>
          <w:szCs w:val="24"/>
        </w:rPr>
        <w:t xml:space="preserve">万元。</w:t>
      </w:r>
      <w:r>
        <w:rPr>
          <w:rFonts w:hint="eastAsia" w:ascii="宋体" w:hAnsi="宋体"/>
          <w:sz w:val="24"/>
          <w:szCs w:val="24"/>
          <w:lang w:val="en-US" w:eastAsia="zh-CN"/>
        </w:rPr>
        <w:t xml:space="preserve">其中，</w:t>
      </w:r>
      <w:r>
        <w:rPr>
          <w:rFonts w:hint="eastAsia" w:ascii="宋体" w:hAnsi="宋体"/>
          <w:sz w:val="24"/>
          <w:szCs w:val="24"/>
        </w:rPr>
        <w:t xml:space="preserve">包一</w:t>
      </w:r>
      <w:r>
        <w:rPr>
          <w:rFonts w:hint="eastAsia" w:ascii="宋体" w:hAnsi="宋体"/>
          <w:sz w:val="24"/>
          <w:szCs w:val="24"/>
          <w:lang w:val="en-US" w:eastAsia="zh-CN"/>
        </w:rPr>
        <w:t xml:space="preserve">为</w:t>
      </w:r>
      <w:r>
        <w:rPr>
          <w:rFonts w:hint="eastAsia" w:ascii="宋体" w:hAnsi="宋体"/>
          <w:sz w:val="24"/>
          <w:szCs w:val="24"/>
        </w:rPr>
        <w:t xml:space="preserve">859.35万元</w:t>
      </w:r>
      <w:r>
        <w:rPr>
          <w:rFonts w:hint="eastAsia" w:ascii="宋体" w:hAnsi="宋体"/>
          <w:sz w:val="24"/>
          <w:szCs w:val="24"/>
          <w:lang w:eastAsia="zh-CN"/>
        </w:rPr>
        <w:t xml:space="preserve">，</w:t>
      </w:r>
      <w:r>
        <w:rPr>
          <w:rFonts w:hint="eastAsia" w:ascii="宋体" w:hAnsi="宋体"/>
          <w:sz w:val="24"/>
          <w:szCs w:val="24"/>
        </w:rPr>
        <w:t xml:space="preserve">包二</w:t>
      </w:r>
      <w:r>
        <w:rPr>
          <w:rFonts w:hint="eastAsia" w:ascii="宋体" w:hAnsi="宋体"/>
          <w:sz w:val="24"/>
          <w:szCs w:val="24"/>
          <w:lang w:val="en-US" w:eastAsia="zh-CN"/>
        </w:rPr>
        <w:t xml:space="preserve">为</w:t>
      </w:r>
      <w:r>
        <w:rPr>
          <w:rFonts w:hint="eastAsia" w:ascii="宋体" w:hAnsi="宋体"/>
          <w:sz w:val="24"/>
          <w:szCs w:val="24"/>
        </w:rPr>
        <w:t xml:space="preserve">751.76万元</w:t>
      </w:r>
      <w:r>
        <w:rPr>
          <w:rFonts w:hint="eastAsia" w:ascii="宋体" w:hAnsi="宋体"/>
          <w:sz w:val="24"/>
          <w:szCs w:val="24"/>
          <w:lang w:eastAsia="zh-CN"/>
        </w:rPr>
        <w:t xml:space="preserve">，</w:t>
      </w:r>
      <w:r>
        <w:rPr>
          <w:rFonts w:hint="eastAsia" w:ascii="宋体" w:hAnsi="宋体"/>
          <w:sz w:val="24"/>
          <w:szCs w:val="24"/>
        </w:rPr>
        <w:t xml:space="preserve">包三</w:t>
      </w:r>
      <w:r>
        <w:rPr>
          <w:rFonts w:hint="eastAsia" w:ascii="宋体" w:hAnsi="宋体"/>
          <w:sz w:val="24"/>
          <w:szCs w:val="24"/>
          <w:lang w:val="en-US" w:eastAsia="zh-CN"/>
        </w:rPr>
        <w:t xml:space="preserve">为</w:t>
      </w:r>
      <w:r>
        <w:rPr>
          <w:rFonts w:hint="eastAsia" w:ascii="宋体" w:hAnsi="宋体"/>
          <w:sz w:val="24"/>
          <w:szCs w:val="24"/>
        </w:rPr>
        <w:t xml:space="preserve">15.735万元</w:t>
      </w:r>
      <w:r>
        <w:rPr>
          <w:rFonts w:hint="eastAsia" w:ascii="宋体" w:hAnsi="宋体"/>
          <w:sz w:val="24"/>
          <w:szCs w:val="24"/>
          <w:lang w:eastAsia="zh-CN"/>
        </w:rPr>
        <w:t xml:space="preserve">，</w:t>
      </w:r>
      <w:r>
        <w:rPr>
          <w:rFonts w:hint="eastAsia" w:ascii="宋体" w:hAnsi="宋体"/>
          <w:sz w:val="24"/>
          <w:szCs w:val="24"/>
        </w:rPr>
        <w:t xml:space="preserve">包四</w:t>
      </w:r>
      <w:r>
        <w:rPr>
          <w:rFonts w:hint="eastAsia" w:ascii="宋体" w:hAnsi="宋体"/>
          <w:sz w:val="24"/>
          <w:szCs w:val="24"/>
          <w:lang w:val="en-US" w:eastAsia="zh-CN"/>
        </w:rPr>
        <w:t xml:space="preserve">为</w:t>
      </w:r>
      <w:r>
        <w:rPr>
          <w:rFonts w:hint="eastAsia" w:ascii="宋体" w:hAnsi="宋体"/>
          <w:sz w:val="24"/>
          <w:szCs w:val="24"/>
        </w:rPr>
        <w:t xml:space="preserve">15.735万元</w:t>
      </w:r>
      <w:r>
        <w:rPr>
          <w:rFonts w:hint="eastAsia" w:ascii="宋体" w:hAnsi="宋体"/>
          <w:sz w:val="24"/>
          <w:szCs w:val="24"/>
          <w:lang w:eastAsia="zh-CN"/>
        </w:rPr>
        <w:t xml:space="preserve">。</w:t>
      </w:r>
      <w:r/>
    </w:p>
    <w:p>
      <w:pPr>
        <w:pStyle w:val="740"/>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投标人包</w:t>
      </w:r>
      <w:r>
        <w:rPr>
          <w:rFonts w:hint="eastAsia" w:ascii="宋体" w:hAnsi="宋体" w:cs="Times New Roman"/>
          <w:sz w:val="24"/>
          <w:szCs w:val="24"/>
          <w:lang w:val="en-US" w:eastAsia="zh-CN"/>
        </w:rPr>
        <w:t xml:space="preserve">一</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包</w:t>
      </w:r>
      <w:r>
        <w:rPr>
          <w:rFonts w:hint="eastAsia" w:ascii="宋体" w:hAnsi="宋体" w:cs="Times New Roman"/>
          <w:sz w:val="24"/>
          <w:szCs w:val="24"/>
          <w:lang w:val="en-US" w:eastAsia="zh-CN"/>
        </w:rPr>
        <w:t xml:space="preserve">二</w:t>
      </w:r>
      <w:r>
        <w:rPr>
          <w:rFonts w:hint="eastAsia" w:ascii="宋体" w:hAnsi="宋体" w:eastAsia="宋体" w:cs="Times New Roman"/>
          <w:sz w:val="24"/>
          <w:szCs w:val="24"/>
        </w:rPr>
        <w:t xml:space="preserve">可以兼投，但最多只能中标1个包；包</w:t>
      </w:r>
      <w:r>
        <w:rPr>
          <w:rFonts w:hint="eastAsia" w:ascii="宋体" w:hAnsi="宋体" w:cs="Times New Roman"/>
          <w:sz w:val="24"/>
          <w:szCs w:val="24"/>
          <w:lang w:val="en-US" w:eastAsia="zh-CN"/>
        </w:rPr>
        <w:t xml:space="preserve">三和</w:t>
      </w:r>
      <w:r>
        <w:rPr>
          <w:rFonts w:hint="eastAsia" w:ascii="宋体" w:hAnsi="宋体" w:eastAsia="宋体" w:cs="Times New Roman"/>
          <w:sz w:val="24"/>
          <w:szCs w:val="24"/>
        </w:rPr>
        <w:t xml:space="preserve">包</w:t>
      </w:r>
      <w:r>
        <w:rPr>
          <w:rFonts w:hint="eastAsia" w:ascii="宋体" w:hAnsi="宋体" w:cs="Times New Roman"/>
          <w:sz w:val="24"/>
          <w:szCs w:val="24"/>
          <w:lang w:val="en-US" w:eastAsia="zh-CN"/>
        </w:rPr>
        <w:t xml:space="preserve">四</w:t>
      </w:r>
      <w:r>
        <w:rPr>
          <w:rFonts w:hint="eastAsia" w:ascii="宋体" w:hAnsi="宋体" w:eastAsia="宋体" w:cs="Times New Roman"/>
          <w:sz w:val="24"/>
          <w:szCs w:val="24"/>
        </w:rPr>
        <w:t xml:space="preserve">不可兼投。开标、评标顺序包</w:t>
      </w:r>
      <w:r>
        <w:rPr>
          <w:rFonts w:hint="eastAsia" w:ascii="宋体" w:hAnsi="宋体" w:cs="Times New Roman"/>
          <w:sz w:val="24"/>
          <w:szCs w:val="24"/>
          <w:lang w:val="en-US" w:eastAsia="zh-CN"/>
        </w:rPr>
        <w:t xml:space="preserve">一</w:t>
      </w:r>
      <w:r>
        <w:rPr>
          <w:rFonts w:hint="eastAsia" w:ascii="宋体" w:hAnsi="宋体" w:eastAsia="宋体" w:cs="Times New Roman"/>
          <w:sz w:val="24"/>
          <w:szCs w:val="24"/>
        </w:rPr>
        <w:t xml:space="preserve">至包</w:t>
      </w:r>
      <w:r>
        <w:rPr>
          <w:rFonts w:hint="eastAsia" w:ascii="宋体" w:hAnsi="宋体" w:cs="Times New Roman"/>
          <w:sz w:val="24"/>
          <w:szCs w:val="24"/>
          <w:lang w:val="en-US" w:eastAsia="zh-CN"/>
        </w:rPr>
        <w:t xml:space="preserve">四</w:t>
      </w:r>
      <w:r>
        <w:rPr>
          <w:rFonts w:hint="eastAsia" w:ascii="宋体" w:hAnsi="宋体" w:eastAsia="宋体" w:cs="Times New Roman"/>
          <w:sz w:val="24"/>
          <w:szCs w:val="24"/>
        </w:rPr>
        <w:t xml:space="preserve">。</w:t>
      </w:r>
      <w:r/>
    </w:p>
    <w:p>
      <w:pPr>
        <w:ind w:firstLine="480"/>
        <w:rPr>
          <w:rFonts w:hint="eastAsia" w:ascii="宋体" w:hAnsi="宋体" w:eastAsia="宋体"/>
          <w:sz w:val="24"/>
          <w:szCs w:val="24"/>
          <w:lang w:eastAsia="zh-CN"/>
        </w:rPr>
      </w:pPr>
      <w:r>
        <w:rPr>
          <w:rFonts w:hint="eastAsia" w:ascii="宋体" w:hAnsi="宋体"/>
          <w:sz w:val="24"/>
          <w:szCs w:val="24"/>
        </w:rPr>
        <w:t xml:space="preserve">5.采购需求（简介）：目前，交警支队新交通指挥中心和车管所业务技术用房已经建成并装修完毕，拟开展科技信息化建设。对新建成的扬州市公安局交通指挥中心和车管所业务技术用房的信息化模块进行搬迁、升级新建设各类信息化系统，增强指挥调度和服务群众能力。</w:t>
      </w:r>
      <w:r>
        <w:rPr>
          <w:rFonts w:hint="eastAsia" w:ascii="宋体" w:hAnsi="宋体"/>
          <w:sz w:val="24"/>
          <w:szCs w:val="24"/>
          <w:lang w:eastAsia="zh-CN"/>
        </w:rPr>
        <w:t xml:space="preserve">（</w:t>
      </w:r>
      <w:r>
        <w:rPr>
          <w:rFonts w:hint="eastAsia" w:ascii="宋体" w:hAnsi="宋体"/>
          <w:sz w:val="24"/>
          <w:szCs w:val="24"/>
          <w:lang w:val="en-US" w:eastAsia="zh-CN"/>
        </w:rPr>
        <w:t xml:space="preserve">详见第四章采购需求</w:t>
      </w:r>
      <w:r>
        <w:rPr>
          <w:rFonts w:hint="eastAsia" w:ascii="宋体" w:hAnsi="宋体"/>
          <w:sz w:val="24"/>
          <w:szCs w:val="24"/>
          <w:lang w:eastAsia="zh-CN"/>
        </w:rPr>
        <w:t xml:space="preserve">）</w:t>
      </w:r>
      <w:r/>
    </w:p>
    <w:p>
      <w:pPr>
        <w:ind w:firstLine="480"/>
        <w:rPr>
          <w:rFonts w:hint="eastAsia" w:ascii="宋体" w:hAnsi="宋体"/>
          <w:sz w:val="24"/>
          <w:szCs w:val="24"/>
        </w:rPr>
      </w:pPr>
      <w:r>
        <w:rPr>
          <w:rFonts w:hint="eastAsia" w:ascii="宋体" w:hAnsi="宋体"/>
          <w:sz w:val="24"/>
          <w:szCs w:val="24"/>
        </w:rPr>
        <w:t xml:space="preserve">6.合同履行期限：自合同签订之日起，</w:t>
      </w:r>
      <w:r>
        <w:rPr>
          <w:rFonts w:hint="eastAsia" w:ascii="宋体" w:hAnsi="宋体"/>
          <w:sz w:val="24"/>
          <w:szCs w:val="24"/>
          <w:lang w:val="en-US" w:eastAsia="zh-CN"/>
        </w:rPr>
        <w:t xml:space="preserve">30</w:t>
      </w:r>
      <w:r>
        <w:rPr>
          <w:rFonts w:hint="eastAsia" w:ascii="宋体" w:hAnsi="宋体"/>
          <w:sz w:val="24"/>
          <w:szCs w:val="24"/>
        </w:rPr>
        <w:t xml:space="preserve">日内完成项目实施工作并投入试运行，试运行平稳三个月后进行项目验收。</w:t>
      </w:r>
      <w:r/>
    </w:p>
    <w:p>
      <w:pPr>
        <w:pStyle w:val="961"/>
        <w:ind w:firstLine="498"/>
        <w:spacing w:before="145" w:after="145" w:line="360" w:lineRule="auto"/>
      </w:pPr>
      <w:r/>
      <w:bookmarkStart w:id="13" w:name="_Toc38985264"/>
      <w:r/>
      <w:bookmarkStart w:id="14" w:name="_Toc35393622"/>
      <w:r/>
      <w:bookmarkStart w:id="15" w:name="_Toc28359003"/>
      <w:r/>
      <w:bookmarkStart w:id="16" w:name="_Toc35393791"/>
      <w:r/>
      <w:bookmarkStart w:id="17" w:name="_Toc28359080"/>
      <w:r>
        <w:rPr>
          <w:rFonts w:hint="eastAsia"/>
        </w:rPr>
        <w:t xml:space="preserve">二、申请人的资格要求：</w:t>
      </w:r>
      <w:bookmarkEnd w:id="13"/>
      <w:r/>
      <w:bookmarkEnd w:id="14"/>
      <w:r/>
      <w:bookmarkEnd w:id="15"/>
      <w:r/>
      <w:bookmarkEnd w:id="16"/>
      <w:r/>
      <w:bookmarkEnd w:id="17"/>
      <w:r/>
      <w:r/>
    </w:p>
    <w:p>
      <w:pPr>
        <w:ind w:firstLine="480"/>
        <w:rPr>
          <w:rFonts w:ascii="宋体" w:hAnsi="宋体"/>
          <w:sz w:val="24"/>
          <w:szCs w:val="24"/>
        </w:rPr>
      </w:pPr>
      <w:r/>
      <w:bookmarkStart w:id="18" w:name="_Toc28359004"/>
      <w:r/>
      <w:bookmarkStart w:id="19" w:name="_Toc38985265"/>
      <w:r/>
      <w:bookmarkStart w:id="20" w:name="_Toc28359081"/>
      <w:r/>
      <w:bookmarkStart w:id="21" w:name="_Toc35393623"/>
      <w:r/>
      <w:bookmarkStart w:id="22"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宋体" w:hAnsi="宋体"/>
          <w:sz w:val="24"/>
          <w:szCs w:val="24"/>
        </w:rPr>
      </w:pPr>
      <w:r>
        <w:rPr>
          <w:rFonts w:hint="eastAsia" w:ascii="宋体" w:hAnsi="宋体"/>
          <w:sz w:val="24"/>
          <w:szCs w:val="24"/>
        </w:rPr>
        <w:t xml:space="preserve">1.6供应商信用承诺函；</w:t>
      </w:r>
      <w:r/>
    </w:p>
    <w:p>
      <w:pPr>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rPr>
          <w:rFonts w:hint="eastAsia" w:ascii="宋体" w:hAnsi="宋体"/>
          <w:b w:val="0"/>
          <w:bCs w:val="0"/>
          <w:color w:val="0000ff"/>
          <w:sz w:val="24"/>
          <w:szCs w:val="24"/>
          <w:lang w:val="en-US" w:eastAsia="zh-CN"/>
        </w:rPr>
      </w:pPr>
      <w:r>
        <w:rPr>
          <w:rFonts w:hint="eastAsia" w:ascii="宋体" w:hAnsi="宋体"/>
          <w:sz w:val="24"/>
          <w:szCs w:val="24"/>
        </w:rPr>
        <w:t xml:space="preserve">3.落实政府采购政策需满足的资格要求</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ff"/>
          <w:sz w:val="24"/>
          <w:szCs w:val="24"/>
          <w:lang w:val="en-US" w:eastAsia="zh-CN"/>
        </w:rPr>
        <w:t xml:space="preserve">包三和包四</w:t>
      </w:r>
      <w:r>
        <w:rPr>
          <w:rFonts w:hint="eastAsia" w:ascii="宋体" w:hAnsi="宋体"/>
          <w:b w:val="0"/>
          <w:bCs w:val="0"/>
          <w:color w:val="0000ff"/>
          <w:sz w:val="24"/>
          <w:szCs w:val="24"/>
          <w:lang w:val="en-US" w:eastAsia="zh-CN"/>
        </w:rPr>
        <w:t xml:space="preserve">专门面向中小企业采购，供应商须提供《中小企业声明函》。</w:t>
      </w:r>
      <w:r/>
    </w:p>
    <w:p>
      <w:pPr>
        <w:ind w:firstLine="480"/>
        <w:rPr>
          <w:rFonts w:hint="default" w:ascii="宋体" w:hAnsi="宋体" w:eastAsia="宋体"/>
          <w:color w:val="0000ff"/>
          <w:sz w:val="24"/>
          <w:szCs w:val="24"/>
          <w:lang w:val="en-US" w:eastAsia="zh-CN"/>
        </w:rPr>
      </w:pPr>
      <w:r>
        <w:rPr>
          <w:rFonts w:hint="eastAsia" w:ascii="宋体" w:hAnsi="宋体"/>
          <w:sz w:val="24"/>
          <w:szCs w:val="24"/>
        </w:rPr>
        <w:t xml:space="preserve">4.本项目</w:t>
      </w:r>
      <w:r>
        <w:rPr>
          <w:rFonts w:hint="eastAsia" w:ascii="宋体" w:hAnsi="宋体"/>
          <w:sz w:val="24"/>
          <w:szCs w:val="24"/>
          <w:lang w:val="en-US" w:eastAsia="zh-CN"/>
        </w:rPr>
        <w:t xml:space="preserve">不</w:t>
      </w:r>
      <w:r>
        <w:rPr>
          <w:rFonts w:hint="eastAsia" w:ascii="宋体" w:hAnsi="宋体"/>
          <w:color w:val="auto"/>
          <w:sz w:val="24"/>
          <w:szCs w:val="24"/>
          <w:u w:val="none"/>
        </w:rPr>
        <w:t xml:space="preserve">接受</w:t>
      </w:r>
      <w:r>
        <w:rPr>
          <w:rFonts w:hint="eastAsia" w:ascii="宋体" w:hAnsi="宋体"/>
          <w:sz w:val="24"/>
          <w:szCs w:val="24"/>
        </w:rPr>
        <w:t xml:space="preserve">联合体投标</w:t>
      </w:r>
      <w:r>
        <w:rPr>
          <w:rFonts w:hint="eastAsia" w:ascii="宋体" w:hAnsi="宋体"/>
          <w:sz w:val="24"/>
          <w:szCs w:val="24"/>
          <w:lang w:eastAsia="zh-CN"/>
        </w:rPr>
        <w:t xml:space="preserve">。</w:t>
      </w:r>
      <w:r/>
    </w:p>
    <w:p>
      <w:pPr>
        <w:ind w:firstLine="480"/>
        <w:spacing w:line="360" w:lineRule="auto"/>
        <w:rPr>
          <w:rFonts w:ascii="宋体" w:hAnsi="宋体"/>
          <w:sz w:val="24"/>
          <w:szCs w:val="24"/>
        </w:rPr>
      </w:pPr>
      <w:r>
        <w:rPr>
          <w:rFonts w:hint="eastAsia" w:ascii="宋体" w:hAnsi="宋体"/>
          <w:sz w:val="24"/>
          <w:szCs w:val="24"/>
        </w:rPr>
        <w:t xml:space="preserve">5.本项目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ind w:firstLine="480"/>
        <w:rPr>
          <w:rFonts w:hint="default" w:ascii="宋体" w:hAnsi="宋体" w:eastAsia="宋体"/>
          <w:color w:val="ff0000"/>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p>
    <w:p>
      <w:pPr>
        <w:pStyle w:val="961"/>
        <w:ind w:firstLine="498"/>
        <w:spacing w:before="145" w:after="145"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default" w:ascii="宋体" w:hAnsi="宋体" w:cs="宋体"/>
          <w:sz w:val="24"/>
          <w:szCs w:val="24"/>
          <w:lang w:val="en-US" w:eastAsia="zh-CN"/>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rPr>
        <w:t xml:space="preserve">1.</w:t>
      </w:r>
      <w:r>
        <w:rPr>
          <w:rFonts w:hint="eastAsia" w:ascii="宋体" w:hAnsi="宋体" w:cs="宋体"/>
          <w:sz w:val="24"/>
          <w:szCs w:val="24"/>
          <w:lang w:val="en-US" w:eastAsia="zh-CN"/>
        </w:rPr>
        <w:t xml:space="preserve">自招标文件公告发布之日起5个工作日</w:t>
      </w:r>
      <w:r/>
    </w:p>
    <w:p>
      <w:pPr>
        <w:ind w:firstLine="540"/>
        <w:spacing w:line="360" w:lineRule="auto"/>
        <w:rPr>
          <w:rFonts w:ascii="宋体" w:hAnsi="宋体" w:cs="宋体"/>
          <w:sz w:val="24"/>
          <w:szCs w:val="24"/>
        </w:rPr>
      </w:pPr>
      <w:r>
        <w:rPr>
          <w:rFonts w:hint="eastAsia" w:ascii="宋体" w:hAnsi="宋体" w:cs="宋体"/>
          <w:sz w:val="24"/>
          <w:szCs w:val="24"/>
        </w:rPr>
        <w:t xml:space="preserve">2.地点：扬州市政府采购网，江苏省政府采购网</w:t>
      </w:r>
      <w:r/>
    </w:p>
    <w:p>
      <w:pPr>
        <w:ind w:firstLine="540"/>
        <w:spacing w:line="360" w:lineRule="auto"/>
        <w:rPr>
          <w:rFonts w:ascii="宋体" w:hAnsi="宋体" w:cs="宋体"/>
          <w:sz w:val="24"/>
          <w:szCs w:val="24"/>
        </w:rPr>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r/>
    </w:p>
    <w:p>
      <w:pPr>
        <w:pStyle w:val="961"/>
        <w:ind w:firstLine="498"/>
        <w:spacing w:before="145" w:after="145" w:line="36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1.</w:t>
      </w:r>
      <w:r>
        <w:rPr>
          <w:rFonts w:hint="eastAsia" w:ascii="宋体" w:hAnsi="宋体"/>
          <w:color w:val="ff0000"/>
          <w:sz w:val="24"/>
          <w:szCs w:val="24"/>
          <w:u w:val="single"/>
        </w:rPr>
        <w:t xml:space="preserve"> 2024</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12</w:t>
      </w:r>
      <w:r>
        <w:rPr>
          <w:rFonts w:hint="eastAsia" w:ascii="宋体" w:hAnsi="宋体"/>
          <w:bCs/>
          <w:color w:val="ff0000"/>
          <w:sz w:val="24"/>
          <w:szCs w:val="24"/>
          <w:u w:val="single"/>
        </w:rPr>
        <w:t xml:space="preserve">月27</w:t>
      </w:r>
      <w:r>
        <w:rPr>
          <w:rFonts w:hint="eastAsia" w:ascii="宋体" w:hAnsi="宋体"/>
          <w:bCs/>
          <w:color w:val="ff0000"/>
          <w:sz w:val="24"/>
          <w:szCs w:val="24"/>
          <w:u w:val="single"/>
        </w:rPr>
        <w:t xml:space="preserve">日10点00分</w:t>
      </w:r>
      <w:r>
        <w:rPr>
          <w:rFonts w:hint="eastAsia" w:ascii="宋体" w:hAnsi="宋体"/>
          <w:bCs/>
          <w:color w:val="000000" w:themeColor="text1"/>
          <w:sz w:val="24"/>
          <w:szCs w:val="24"/>
          <w14:textFill>
            <w14:solidFill>
              <w14:schemeClr w14:val="tx1"/>
            </w14:solidFill>
          </w14:textFill>
        </w:rPr>
        <w:t xml:space="preserve">（北京时间）</w:t>
      </w:r>
      <w:r/>
    </w:p>
    <w:p>
      <w:pPr>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2.地点：“苏采云”平台。</w:t>
      </w:r>
      <w:r/>
    </w:p>
    <w:p>
      <w:pPr>
        <w:pStyle w:val="961"/>
        <w:ind w:firstLine="498"/>
        <w:spacing w:before="145" w:after="145" w:line="360" w:lineRule="auto"/>
      </w:pPr>
      <w:r/>
      <w:bookmarkStart w:id="28" w:name="_Toc35393794"/>
      <w:r/>
      <w:bookmarkStart w:id="29" w:name="_Toc35393625"/>
      <w:r/>
      <w:bookmarkStart w:id="30" w:name="_Toc28359007"/>
      <w:r/>
      <w:bookmarkStart w:id="31" w:name="_Toc28359084"/>
      <w:r/>
      <w:bookmarkStart w:id="32" w:name="_Toc38985267"/>
      <w:r>
        <w:rPr>
          <w:rFonts w:hint="eastAsia"/>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自本公告发布之日起5个工作日。</w:t>
      </w:r>
      <w:r/>
    </w:p>
    <w:p>
      <w:pPr>
        <w:pStyle w:val="961"/>
        <w:ind w:firstLine="498"/>
        <w:spacing w:before="145" w:after="145" w:line="360" w:lineRule="auto"/>
      </w:pPr>
      <w:r>
        <w:rPr>
          <w:rFonts w:hint="eastAsia"/>
        </w:rPr>
        <w:t xml:space="preserve">六、其他补充事宜</w:t>
      </w:r>
      <w:bookmarkEnd w:id="33"/>
      <w:r/>
      <w:bookmarkEnd w:id="34"/>
      <w:r/>
      <w:bookmarkEnd w:id="35"/>
      <w:r/>
      <w:r/>
    </w:p>
    <w:p>
      <w:pPr>
        <w:ind w:firstLine="480"/>
        <w:rPr>
          <w:rFonts w:ascii="宋体" w:hAnsi="宋体" w:cs="宋体"/>
          <w:sz w:val="24"/>
          <w:szCs w:val="24"/>
        </w:rPr>
      </w:pPr>
      <w:r>
        <w:rPr>
          <w:rFonts w:hint="eastAsia" w:ascii="宋体" w:hAnsi="宋体" w:cs="宋体"/>
          <w:sz w:val="24"/>
          <w:szCs w:val="24"/>
        </w:rPr>
        <w:t xml:space="preserve">无</w:t>
      </w:r>
      <w:r/>
    </w:p>
    <w:p>
      <w:pPr>
        <w:pStyle w:val="961"/>
        <w:ind w:firstLine="498"/>
        <w:spacing w:before="145" w:after="145" w:line="360" w:lineRule="auto"/>
      </w:pPr>
      <w:r/>
      <w:bookmarkStart w:id="36" w:name="_Toc28359085"/>
      <w:r/>
      <w:bookmarkStart w:id="37" w:name="_Toc28359008"/>
      <w:r/>
      <w:bookmarkStart w:id="38" w:name="_Toc35393627"/>
      <w:r/>
      <w:bookmarkStart w:id="39" w:name="_Toc35393796"/>
      <w:r/>
      <w:bookmarkStart w:id="40" w:name="_Toc38985269"/>
      <w:r>
        <w:rPr>
          <w:rFonts w:hint="eastAsia"/>
        </w:rPr>
        <w:t xml:space="preserve">七、本次招标联系方式</w:t>
      </w:r>
      <w:bookmarkEnd w:id="36"/>
      <w:r/>
      <w:bookmarkEnd w:id="37"/>
      <w:r/>
      <w:bookmarkEnd w:id="38"/>
      <w:r/>
      <w:bookmarkEnd w:id="39"/>
      <w:r/>
      <w:bookmarkEnd w:id="40"/>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1.采购人信息</w:t>
      </w:r>
      <w:r/>
    </w:p>
    <w:p>
      <w:pPr>
        <w:ind w:left="1079" w:hanging="300"/>
        <w:jc w:val="left"/>
        <w:spacing w:line="360" w:lineRule="auto"/>
        <w:rPr>
          <w:rFonts w:hint="eastAsia" w:ascii="宋体" w:hAnsi="宋体" w:cs="宋体"/>
          <w:sz w:val="24"/>
          <w:szCs w:val="24"/>
          <w:lang w:val="en-US" w:eastAsia="zh-CN"/>
        </w:rPr>
      </w:pPr>
      <w:r>
        <w:rPr>
          <w:rFonts w:hint="eastAsia" w:ascii="宋体" w:hAnsi="宋体" w:cs="宋体"/>
          <w:sz w:val="24"/>
          <w:szCs w:val="24"/>
        </w:rPr>
        <w:t xml:space="preserve">名称：</w:t>
      </w:r>
      <w:r>
        <w:rPr>
          <w:rFonts w:hint="eastAsia" w:ascii="宋体" w:hAnsi="宋体" w:cs="宋体"/>
          <w:sz w:val="24"/>
          <w:szCs w:val="24"/>
          <w:lang w:val="en-US" w:eastAsia="zh-CN"/>
        </w:rPr>
        <w:t xml:space="preserve">扬州市公安局本级</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地址：扬州市邗江区润扬中路98号</w:t>
      </w:r>
      <w:r/>
    </w:p>
    <w:p>
      <w:pPr>
        <w:ind w:left="1079" w:hanging="300"/>
        <w:jc w:val="left"/>
        <w:spacing w:line="360" w:lineRule="auto"/>
        <w:rPr>
          <w:rFonts w:hint="eastAsia" w:ascii="宋体" w:hAnsi="宋体" w:cs="宋体"/>
          <w:sz w:val="24"/>
          <w:szCs w:val="24"/>
          <w:lang w:val="en-US" w:eastAsia="zh-CN"/>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徐翔</w:t>
      </w:r>
      <w:r/>
    </w:p>
    <w:p>
      <w:pPr>
        <w:ind w:left="1079" w:hanging="300"/>
        <w:jc w:val="left"/>
        <w:spacing w:line="360" w:lineRule="auto"/>
        <w:rPr>
          <w:rFonts w:hint="default" w:ascii="宋体" w:hAnsi="宋体" w:cs="宋体"/>
          <w:sz w:val="24"/>
          <w:szCs w:val="24"/>
          <w:lang w:val="en-US" w:eastAsia="zh-CN"/>
        </w:rPr>
      </w:pPr>
      <w:r>
        <w:rPr>
          <w:rFonts w:hint="eastAsia" w:ascii="宋体" w:hAnsi="宋体" w:cs="宋体"/>
          <w:sz w:val="24"/>
          <w:szCs w:val="24"/>
        </w:rPr>
        <w:t xml:space="preserve">联系方式：</w:t>
      </w:r>
      <w:bookmarkStart w:id="41" w:name="_Toc28359086"/>
      <w:r/>
      <w:bookmarkStart w:id="42" w:name="_Toc28359009"/>
      <w:r>
        <w:rPr>
          <w:rFonts w:hint="eastAsia" w:ascii="宋体" w:hAnsi="宋体" w:cs="宋体"/>
          <w:sz w:val="24"/>
          <w:szCs w:val="24"/>
          <w:lang w:val="en-US" w:eastAsia="zh-CN"/>
        </w:rPr>
        <w:t xml:space="preserve">13815801100</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2.扬州市公共资源交易中心信息</w:t>
      </w:r>
      <w:bookmarkEnd w:id="41"/>
      <w:r/>
      <w:bookmarkEnd w:id="42"/>
      <w:r/>
      <w:r/>
    </w:p>
    <w:p>
      <w:pPr>
        <w:ind w:firstLine="720"/>
        <w:spacing w:line="360" w:lineRule="auto"/>
        <w:rPr>
          <w:rFonts w:ascii="宋体" w:hAnsi="宋体"/>
          <w:sz w:val="24"/>
          <w:szCs w:val="24"/>
        </w:rPr>
      </w:pPr>
      <w:r>
        <w:rPr>
          <w:rFonts w:hint="eastAsia" w:ascii="宋体" w:hAnsi="宋体"/>
          <w:sz w:val="24"/>
          <w:szCs w:val="24"/>
        </w:rPr>
        <w:t xml:space="preserve">地　址：扬州市文昌东路9号广陵新城市民中心1号楼5楼15</w:t>
      </w:r>
      <w:r>
        <w:rPr>
          <w:rFonts w:hint="eastAsia" w:ascii="宋体" w:hAnsi="宋体"/>
          <w:sz w:val="24"/>
          <w:szCs w:val="24"/>
          <w:lang w:val="en-US" w:eastAsia="zh-CN"/>
        </w:rPr>
        <w:t xml:space="preserve">27</w:t>
      </w:r>
      <w:r>
        <w:rPr>
          <w:rFonts w:hint="eastAsia" w:ascii="宋体" w:hAnsi="宋体"/>
          <w:sz w:val="24"/>
          <w:szCs w:val="24"/>
        </w:rPr>
        <w:t xml:space="preserve">室</w:t>
      </w:r>
      <w:r/>
    </w:p>
    <w:p>
      <w:pPr>
        <w:ind w:firstLine="720"/>
        <w:spacing w:line="360" w:lineRule="auto"/>
        <w:rPr>
          <w:rFonts w:hint="eastAsia" w:ascii="宋体" w:hAnsi="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王宇昊</w:t>
      </w:r>
      <w:r/>
    </w:p>
    <w:p>
      <w:pPr>
        <w:ind w:firstLine="720"/>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514-820871</w:t>
      </w:r>
      <w:r>
        <w:rPr>
          <w:rFonts w:hint="eastAsia" w:ascii="宋体" w:hAnsi="宋体"/>
          <w:sz w:val="24"/>
          <w:szCs w:val="24"/>
          <w:lang w:val="en-US" w:eastAsia="zh-CN"/>
        </w:rPr>
        <w:t xml:space="preserve">18</w:t>
      </w:r>
      <w:r/>
    </w:p>
    <w:p>
      <w:pPr>
        <w:pStyle w:val="961"/>
        <w:numPr>
          <w:ilvl w:val="0"/>
          <w:numId w:val="5"/>
        </w:numPr>
        <w:ind w:firstLine="498"/>
        <w:spacing w:before="145" w:after="145" w:line="360" w:lineRule="auto"/>
      </w:pPr>
      <w:r>
        <w:rPr>
          <w:rFonts w:hint="eastAsia"/>
        </w:rPr>
        <w:t xml:space="preserve">其他</w:t>
      </w:r>
      <w:r/>
    </w:p>
    <w:p>
      <w:pPr>
        <w:ind w:firstLine="42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 根据省财政厅《关于更换全省政府采购交易系统CA数字证书和电</w:t>
      </w:r>
      <w:r>
        <w:rPr>
          <w:rFonts w:hint="eastAsia" w:asciiTheme="minorEastAsia" w:hAnsiTheme="minorEastAsia" w:eastAsiaTheme="minorEastAsia" w:cstheme="minorEastAsia"/>
          <w:b/>
          <w:bCs/>
          <w:sz w:val="24"/>
          <w:szCs w:val="24"/>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729"/>
        <w:jc w:val="center"/>
      </w:pPr>
      <w:r/>
      <w:bookmarkStart w:id="43" w:name="_Toc120614211"/>
      <w:r/>
      <w:bookmarkStart w:id="44" w:name="_Toc176441261"/>
      <w:r>
        <w:rPr>
          <w:rFonts w:hint="eastAsia"/>
        </w:rPr>
        <w:t xml:space="preserve">第二章  </w:t>
      </w:r>
      <w:bookmarkEnd w:id="1"/>
      <w:r/>
      <w:bookmarkEnd w:id="2"/>
      <w:r/>
      <w:bookmarkEnd w:id="3"/>
      <w:r/>
      <w:bookmarkEnd w:id="4"/>
      <w:r/>
      <w:bookmarkEnd w:id="5"/>
      <w:r/>
      <w:bookmarkEnd w:id="43"/>
      <w:r/>
      <w:bookmarkStart w:id="45" w:name="_Toc120614213"/>
      <w:r/>
      <w:bookmarkStart w:id="46" w:name="_Toc20823274"/>
      <w:r/>
      <w:bookmarkStart w:id="47" w:name="_Toc513029202"/>
      <w:r/>
      <w:bookmarkStart w:id="48" w:name="_Toc16938518"/>
      <w:r>
        <w:rPr>
          <w:rFonts w:hint="eastAsia"/>
        </w:rPr>
        <w:t xml:space="preserve">投标人须知</w:t>
      </w:r>
      <w:bookmarkEnd w:id="44"/>
      <w:r/>
      <w:bookmarkEnd w:id="45"/>
      <w:r/>
      <w:bookmarkEnd w:id="46"/>
      <w:r/>
      <w:bookmarkEnd w:id="47"/>
      <w:r/>
      <w:bookmarkEnd w:id="48"/>
      <w:r/>
      <w:r/>
    </w:p>
    <w:p>
      <w:pPr>
        <w:pStyle w:val="961"/>
        <w:ind w:firstLine="498"/>
        <w:spacing w:before="145" w:after="145" w:line="360" w:lineRule="auto"/>
      </w:pPr>
      <w:r/>
      <w:bookmarkStart w:id="49" w:name="_Toc16938558"/>
      <w:r/>
      <w:bookmarkStart w:id="50" w:name="_Toc20823314"/>
      <w:r/>
      <w:bookmarkStart w:id="51" w:name="_Toc513029242"/>
      <w:r/>
      <w:bookmarkStart w:id="52" w:name="_Toc479757207"/>
      <w:r/>
      <w:bookmarkStart w:id="53" w:name="_Toc120614221"/>
      <w:r>
        <w:rPr>
          <w:rFonts w:hint="eastAsia"/>
        </w:rPr>
        <w:t xml:space="preserve">一、总则</w:t>
      </w:r>
      <w:r/>
    </w:p>
    <w:p>
      <w:pPr>
        <w:pStyle w:val="962"/>
        <w:ind w:firstLine="420"/>
        <w:spacing w:before="0" w:after="0" w:line="240" w:lineRule="auto"/>
        <w:rPr>
          <w:b w:val="0"/>
          <w:bCs w:val="0"/>
        </w:rPr>
      </w:pPr>
      <w:r>
        <w:rPr>
          <w:rFonts w:hint="eastAsia"/>
          <w:b w:val="0"/>
          <w:bCs w:val="0"/>
        </w:rPr>
        <w:t xml:space="preserve">1、招标方式</w:t>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62"/>
        <w:ind w:firstLine="420"/>
        <w:spacing w:before="0" w:after="0" w:line="240" w:lineRule="auto"/>
        <w:rPr>
          <w:b w:val="0"/>
          <w:bCs w:val="0"/>
        </w:rPr>
      </w:pPr>
      <w:r>
        <w:rPr>
          <w:rFonts w:hint="eastAsia"/>
          <w:b w:val="0"/>
          <w:bCs w:val="0"/>
        </w:rPr>
        <w:t xml:space="preserve">2、合格的投标人</w:t>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62"/>
        <w:ind w:firstLine="420"/>
        <w:spacing w:before="0" w:after="0" w:line="240" w:lineRule="auto"/>
        <w:rPr>
          <w:b w:val="0"/>
          <w:bCs w:val="0"/>
        </w:rPr>
      </w:pPr>
      <w:r>
        <w:rPr>
          <w:rFonts w:hint="eastAsia"/>
          <w:b w:val="0"/>
          <w:bCs w:val="0"/>
        </w:rPr>
        <w:t xml:space="preserve">3、适用法律</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62"/>
        <w:ind w:firstLine="420"/>
        <w:spacing w:before="0" w:after="0" w:line="240" w:lineRule="auto"/>
        <w:rPr>
          <w:b w:val="0"/>
          <w:bCs w:val="0"/>
        </w:rPr>
      </w:pPr>
      <w:r>
        <w:rPr>
          <w:rFonts w:hint="eastAsia"/>
          <w:b w:val="0"/>
          <w:bCs w:val="0"/>
        </w:rPr>
        <w:t xml:space="preserve">4、投标费用</w:t>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962"/>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61"/>
        <w:ind w:firstLine="321"/>
        <w:spacing w:before="145" w:after="145" w:line="360" w:lineRule="auto"/>
      </w:pPr>
      <w:r>
        <w:rPr>
          <w:rFonts w:hint="eastAsia"/>
        </w:rPr>
        <w:t xml:space="preserve">二、招标文件</w:t>
      </w:r>
      <w:r/>
    </w:p>
    <w:p>
      <w:pPr>
        <w:pStyle w:val="962"/>
        <w:ind w:firstLine="420"/>
        <w:spacing w:before="0" w:after="0" w:line="240" w:lineRule="auto"/>
        <w:rPr>
          <w:b w:val="0"/>
          <w:bCs w:val="0"/>
        </w:rPr>
      </w:pPr>
      <w:r>
        <w:rPr>
          <w:rFonts w:hint="eastAsia"/>
          <w:b w:val="0"/>
          <w:bCs w:val="0"/>
        </w:rPr>
        <w:t xml:space="preserve">6、招标文件构成</w:t>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2"/>
        <w:ind w:firstLine="560"/>
        <w:spacing w:before="0" w:after="0" w:line="240" w:lineRule="auto"/>
        <w:rPr>
          <w:b w:val="0"/>
          <w:bCs w:val="0"/>
        </w:rPr>
      </w:pPr>
      <w:r>
        <w:rPr>
          <w:rFonts w:hint="eastAsia"/>
          <w:b w:val="0"/>
          <w:bCs w:val="0"/>
        </w:rPr>
        <w:t xml:space="preserve">7、招标文件的澄清</w:t>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962"/>
        <w:ind w:firstLine="560"/>
        <w:spacing w:before="0" w:after="0" w:line="240" w:lineRule="auto"/>
        <w:rPr>
          <w:b w:val="0"/>
          <w:bCs w:val="0"/>
        </w:rPr>
      </w:pPr>
      <w:r>
        <w:rPr>
          <w:rFonts w:hint="eastAsia"/>
          <w:b w:val="0"/>
          <w:bCs w:val="0"/>
        </w:rPr>
        <w:t xml:space="preserve">8、招标文件的修改</w:t>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61"/>
        <w:ind w:firstLine="482"/>
        <w:spacing w:before="145" w:after="145" w:line="360" w:lineRule="auto"/>
      </w:pPr>
      <w:r>
        <w:rPr>
          <w:rFonts w:hint="eastAsia"/>
        </w:rPr>
        <w:t xml:space="preserve">三、投标文件的编制</w:t>
      </w:r>
      <w:r/>
    </w:p>
    <w:p>
      <w:pPr>
        <w:pStyle w:val="962"/>
        <w:ind w:firstLine="560"/>
        <w:spacing w:before="0" w:after="0" w:line="240" w:lineRule="auto"/>
        <w:rPr>
          <w:bCs w:val="0"/>
        </w:rPr>
      </w:pPr>
      <w:r>
        <w:rPr>
          <w:rFonts w:hint="eastAsia"/>
          <w:b w:val="0"/>
          <w:bCs w:val="0"/>
        </w:rPr>
        <w:t xml:space="preserve">9、投标文件的语言及度量衡单位</w:t>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62"/>
        <w:ind w:firstLine="420"/>
        <w:spacing w:before="0" w:after="0" w:line="240" w:lineRule="auto"/>
        <w:rPr>
          <w:b w:val="0"/>
          <w:bCs w:val="0"/>
        </w:rPr>
      </w:pPr>
      <w:r>
        <w:rPr>
          <w:rFonts w:hint="eastAsia"/>
          <w:b w:val="0"/>
          <w:bCs w:val="0"/>
        </w:rPr>
        <w:t xml:space="preserve">10、投标文件构成</w:t>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962"/>
        <w:ind w:firstLine="420"/>
        <w:spacing w:before="0" w:after="0" w:line="240" w:lineRule="auto"/>
        <w:rPr>
          <w:b w:val="0"/>
          <w:bCs w:val="0"/>
        </w:rPr>
      </w:pPr>
      <w:r>
        <w:rPr>
          <w:rFonts w:hint="eastAsia"/>
          <w:b w:val="0"/>
          <w:bCs w:val="0"/>
        </w:rPr>
        <w:t xml:space="preserve">11、证明投标人及投标标的符合招标文件规定的文件</w:t>
      </w:r>
      <w:r/>
    </w:p>
    <w:p>
      <w:pPr>
        <w:spacing w:line="480" w:lineRule="exact"/>
        <w:rPr>
          <w:rFonts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62"/>
        <w:ind w:firstLine="420"/>
        <w:spacing w:before="0" w:after="0" w:line="240" w:lineRule="auto"/>
        <w:rPr>
          <w:b w:val="0"/>
          <w:bCs w:val="0"/>
        </w:rPr>
      </w:pPr>
      <w:r>
        <w:rPr>
          <w:rFonts w:hint="eastAsia"/>
          <w:b w:val="0"/>
          <w:bCs w:val="0"/>
        </w:rPr>
        <w:t xml:space="preserve">12、投标分项报价表</w:t>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投标人应按照招标文件规定格式填报投标分项报价表。</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62"/>
        <w:ind w:firstLine="420"/>
        <w:spacing w:before="0" w:after="0" w:line="240" w:lineRule="auto"/>
        <w:rPr>
          <w:b w:val="0"/>
          <w:bCs w:val="0"/>
        </w:rPr>
      </w:pPr>
      <w:r>
        <w:rPr>
          <w:rFonts w:hint="eastAsia"/>
          <w:b w:val="0"/>
          <w:bCs w:val="0"/>
        </w:rPr>
        <w:t xml:space="preserve">13、技术要求响应及偏离表、商务要求响应及偏离表</w:t>
      </w:r>
      <w:r/>
    </w:p>
    <w:p>
      <w:pPr>
        <w:ind w:firstLine="480"/>
        <w:spacing w:line="500" w:lineRule="exact"/>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spacing w:line="480" w:lineRule="exact"/>
      </w:pPr>
      <w:r>
        <w:rPr>
          <w:rFonts w:hint="eastAsia" w:ascii="宋体" w:hAnsi="宋体"/>
          <w:color w:val="000000"/>
          <w:sz w:val="24"/>
          <w:szCs w:val="24"/>
        </w:rPr>
        <w:t xml:space="preserve">14.3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962"/>
        <w:ind w:firstLine="420"/>
        <w:spacing w:before="0" w:after="0" w:line="240" w:lineRule="auto"/>
        <w:rPr>
          <w:b w:val="0"/>
          <w:bCs w:val="0"/>
        </w:rPr>
      </w:pPr>
      <w:r>
        <w:rPr>
          <w:rFonts w:hint="eastAsia"/>
          <w:b w:val="0"/>
          <w:bCs w:val="0"/>
        </w:rPr>
        <w:t xml:space="preserve">15、投标函和开标一览表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62"/>
        <w:ind w:firstLine="420"/>
        <w:spacing w:before="0" w:after="0" w:line="240" w:lineRule="auto"/>
        <w:rPr>
          <w:b w:val="0"/>
          <w:bCs w:val="0"/>
        </w:rPr>
      </w:pPr>
      <w:r>
        <w:rPr>
          <w:rFonts w:hint="eastAsia"/>
          <w:b w:val="0"/>
          <w:bCs w:val="0"/>
        </w:rPr>
        <w:t xml:space="preserve">16、投标有效期</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62"/>
        <w:ind w:firstLine="420"/>
        <w:spacing w:before="0" w:after="0" w:line="240" w:lineRule="auto"/>
        <w:rPr>
          <w:b w:val="0"/>
          <w:bCs w:val="0"/>
        </w:rPr>
      </w:pPr>
      <w:r>
        <w:rPr>
          <w:rFonts w:hint="eastAsia"/>
          <w:b w:val="0"/>
          <w:bCs w:val="0"/>
        </w:rPr>
        <w:t xml:space="preserve">17、投标有效期的延长</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61"/>
        <w:ind w:firstLine="482"/>
        <w:spacing w:before="145" w:after="145" w:line="360" w:lineRule="auto"/>
      </w:pPr>
      <w:r>
        <w:rPr>
          <w:rFonts w:hint="eastAsia"/>
        </w:rPr>
        <w:t xml:space="preserve">四、投标文件的递交</w:t>
      </w:r>
      <w:r/>
    </w:p>
    <w:p>
      <w:pPr>
        <w:pStyle w:val="962"/>
        <w:ind w:firstLine="560"/>
        <w:spacing w:before="0" w:after="0" w:line="240" w:lineRule="auto"/>
        <w:rPr>
          <w:rFonts w:ascii="黑体"/>
          <w:b w:val="0"/>
          <w:bCs w:val="0"/>
        </w:rPr>
      </w:pPr>
      <w:r>
        <w:rPr>
          <w:rFonts w:hint="eastAsia"/>
          <w:b w:val="0"/>
          <w:bCs w:val="0"/>
        </w:rPr>
        <w:t xml:space="preserve">18、</w:t>
      </w:r>
      <w:r>
        <w:rPr>
          <w:rFonts w:hint="eastAsia" w:ascii="黑体"/>
          <w:b w:val="0"/>
          <w:bCs w:val="0"/>
        </w:rPr>
        <w:t xml:space="preserve">投标文件的递交</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 电子投标文件的递交</w:t>
      </w:r>
      <w:r/>
    </w:p>
    <w:p>
      <w:pPr>
        <w:pStyle w:val="1030"/>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p>
    <w:p>
      <w:pPr>
        <w:pStyle w:val="962"/>
        <w:ind w:firstLine="420"/>
        <w:rPr>
          <w:b w:val="0"/>
        </w:rPr>
      </w:pPr>
      <w:r>
        <w:rPr>
          <w:rFonts w:hint="eastAsia"/>
          <w:b w:val="0"/>
        </w:rPr>
        <w:t xml:space="preserve">19、投标截止时间</w:t>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962"/>
        <w:ind w:firstLine="420"/>
        <w:spacing w:before="0" w:after="0" w:line="240" w:lineRule="auto"/>
        <w:rPr>
          <w:b w:val="0"/>
          <w:bCs w:val="0"/>
        </w:rPr>
      </w:pPr>
      <w:r>
        <w:rPr>
          <w:rFonts w:hint="eastAsia"/>
          <w:b w:val="0"/>
          <w:bCs w:val="0"/>
        </w:rPr>
        <w:t xml:space="preserve">20、投标文件的拒收</w:t>
      </w:r>
      <w:r/>
    </w:p>
    <w:p>
      <w:pPr>
        <w:ind w:firstLine="480"/>
        <w:spacing w:line="500" w:lineRule="exact"/>
        <w:rPr>
          <w:rFonts w:ascii="宋体" w:hAnsi="宋体"/>
          <w:bCs/>
          <w:sz w:val="24"/>
        </w:rPr>
      </w:pPr>
      <w:r>
        <w:rPr>
          <w:rFonts w:hint="eastAsia" w:ascii="宋体" w:hAnsi="宋体"/>
          <w:sz w:val="24"/>
        </w:rPr>
        <w:t xml:space="preserve">20.1</w:t>
      </w:r>
      <w:r>
        <w:rPr>
          <w:rFonts w:hint="eastAsia" w:ascii="宋体" w:hAnsi="宋体"/>
          <w:bCs/>
          <w:sz w:val="24"/>
        </w:rPr>
        <w:t xml:space="preserve">交易中心拒绝接收在其规定的投标截止时间后上传的任何投标文件。</w:t>
      </w:r>
      <w:r/>
    </w:p>
    <w:p>
      <w:pPr>
        <w:pStyle w:val="962"/>
        <w:ind w:firstLine="420"/>
        <w:spacing w:before="0" w:after="0" w:line="240" w:lineRule="auto"/>
        <w:rPr>
          <w:b w:val="0"/>
          <w:bCs w:val="0"/>
        </w:rPr>
      </w:pPr>
      <w:r>
        <w:rPr>
          <w:rFonts w:hint="eastAsia"/>
          <w:b w:val="0"/>
          <w:bCs w:val="0"/>
        </w:rPr>
        <w:t xml:space="preserve">21、投标文件的撤回和修改</w:t>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p>
    <w:p>
      <w:pPr>
        <w:pStyle w:val="961"/>
        <w:ind w:firstLine="482"/>
        <w:spacing w:before="145" w:after="145" w:line="360" w:lineRule="auto"/>
      </w:pPr>
      <w:r>
        <w:rPr>
          <w:rFonts w:hint="eastAsia"/>
        </w:rPr>
        <w:t xml:space="preserve">五、开标与评标</w:t>
      </w:r>
      <w:r/>
    </w:p>
    <w:p>
      <w:pPr>
        <w:pStyle w:val="962"/>
        <w:ind w:firstLine="420"/>
        <w:spacing w:before="0" w:after="0" w:line="240" w:lineRule="auto"/>
        <w:rPr>
          <w:b w:val="0"/>
          <w:bCs w:val="0"/>
        </w:rPr>
      </w:pPr>
      <w:r>
        <w:rPr>
          <w:rFonts w:hint="eastAsia"/>
          <w:b w:val="0"/>
          <w:bCs w:val="0"/>
        </w:rPr>
        <w:t xml:space="preserve">22、开标</w:t>
      </w:r>
      <w:r/>
    </w:p>
    <w:p>
      <w:pPr>
        <w:ind w:firstLine="360"/>
      </w:pPr>
      <w:r>
        <w:rPr>
          <w:rFonts w:hint="eastAsia" w:ascii="宋体" w:hAnsi="宋体"/>
          <w:sz w:val="24"/>
        </w:rPr>
        <w:t xml:space="preserve">22.1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苏采云系统中《开标记录表》宣布后5分钟内未提出的，视同认可开标结果。</w:t>
      </w:r>
      <w:r/>
    </w:p>
    <w:p>
      <w:pPr>
        <w:pStyle w:val="962"/>
        <w:ind w:firstLine="420"/>
        <w:spacing w:before="0" w:after="0" w:line="240" w:lineRule="auto"/>
        <w:rPr>
          <w:b w:val="0"/>
          <w:bCs w:val="0"/>
        </w:rPr>
      </w:pPr>
      <w:r>
        <w:rPr>
          <w:rFonts w:hint="eastAsia"/>
          <w:b w:val="0"/>
          <w:bCs w:val="0"/>
        </w:rPr>
        <w:t xml:space="preserve">23、评标委员会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23.3评委会独立工作，负责评审所有投标文件并确定中标侯选人。</w:t>
      </w:r>
      <w:r/>
    </w:p>
    <w:p>
      <w:pPr>
        <w:pStyle w:val="962"/>
        <w:ind w:firstLine="420"/>
        <w:spacing w:before="0" w:after="0" w:line="240" w:lineRule="auto"/>
        <w:rPr>
          <w:rFonts w:ascii="黑体"/>
          <w:b w:val="0"/>
          <w:bCs w:val="0"/>
        </w:rPr>
      </w:pPr>
      <w:r>
        <w:rPr>
          <w:rFonts w:hint="eastAsia" w:ascii="黑体"/>
          <w:b w:val="0"/>
          <w:bCs w:val="0"/>
        </w:rPr>
        <w:t xml:space="preserve">24、评标过程的保密与公正</w:t>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p>
    <w:p>
      <w:pPr>
        <w:pStyle w:val="962"/>
        <w:ind w:firstLine="420"/>
        <w:spacing w:before="0" w:after="0" w:line="240" w:lineRule="auto"/>
        <w:rPr>
          <w:b w:val="0"/>
          <w:bCs w:val="0"/>
        </w:rPr>
      </w:pPr>
      <w:r>
        <w:rPr>
          <w:rFonts w:hint="eastAsia"/>
          <w:b w:val="0"/>
          <w:bCs w:val="0"/>
        </w:rPr>
        <w:t xml:space="preserve">25、投标文件的澄清</w:t>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25.3 接到评委会澄清、说明和补正要求的投标人如未按规定做出澄清、说明和补正，其风险由投标人自行承担。</w:t>
      </w:r>
      <w:r/>
    </w:p>
    <w:p>
      <w:pPr>
        <w:pStyle w:val="962"/>
        <w:ind w:firstLine="420"/>
        <w:spacing w:before="0" w:after="0" w:line="240" w:lineRule="auto"/>
        <w:rPr>
          <w:b w:val="0"/>
          <w:bCs w:val="0"/>
        </w:rPr>
      </w:pPr>
      <w:r>
        <w:rPr>
          <w:rFonts w:hint="eastAsia"/>
          <w:b w:val="0"/>
          <w:bCs w:val="0"/>
        </w:rPr>
        <w:t xml:space="preserve">26、对投标文件的初审</w:t>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rPr>
          <w:rFonts w:hint="eastAsia" w:ascii="宋体" w:hAnsi="宋体"/>
          <w:sz w:val="24"/>
        </w:rPr>
        <w:t xml:space="preserve">26.6投标人在开、评标全过程中应保持通讯畅通，及时登录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962"/>
        <w:ind w:firstLine="420"/>
        <w:spacing w:before="0" w:after="0" w:line="240" w:lineRule="auto"/>
        <w:rPr>
          <w:b w:val="0"/>
          <w:bCs w:val="0"/>
        </w:rPr>
      </w:pPr>
      <w:r>
        <w:rPr>
          <w:rFonts w:hint="eastAsia"/>
          <w:b w:val="0"/>
          <w:bCs w:val="0"/>
        </w:rPr>
        <w:t xml:space="preserve">27、无效投标条款和废标条款</w:t>
      </w:r>
      <w:r/>
    </w:p>
    <w:p>
      <w:pPr>
        <w:ind w:left="479"/>
        <w:spacing w:line="440" w:lineRule="exact"/>
        <w:rPr>
          <w:rFonts w:ascii="宋体" w:hAnsi="宋体"/>
          <w:bCs/>
          <w:sz w:val="24"/>
        </w:rPr>
      </w:pPr>
      <w:r>
        <w:rPr>
          <w:rFonts w:hint="eastAsia" w:ascii="宋体" w:hAnsi="宋体"/>
          <w:bCs/>
          <w:sz w:val="24"/>
        </w:rPr>
        <w:t xml:space="preserve">27.1无效投标条款</w:t>
      </w:r>
      <w:r/>
    </w:p>
    <w:p>
      <w:pPr>
        <w:ind w:firstLine="480"/>
        <w:spacing w:line="440" w:lineRule="exact"/>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27.2废标条款</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961"/>
        <w:ind w:firstLine="482"/>
        <w:spacing w:before="145" w:after="145" w:line="360" w:lineRule="auto"/>
      </w:pPr>
      <w:r>
        <w:rPr>
          <w:rFonts w:hint="eastAsia"/>
        </w:rPr>
        <w:t xml:space="preserve">六、定标</w:t>
      </w:r>
      <w:r/>
    </w:p>
    <w:p>
      <w:pPr>
        <w:pStyle w:val="96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28、确定中标单位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28.4.5采取不正当手段诋毁、排挤其他供应商的。</w:t>
      </w:r>
      <w:r/>
    </w:p>
    <w:p>
      <w:pPr>
        <w:ind w:firstLine="480"/>
        <w:spacing w:line="480" w:lineRule="exact"/>
        <w:rPr>
          <w:rFonts w:ascii="宋体" w:hAnsi="宋体"/>
          <w:sz w:val="24"/>
          <w:szCs w:val="24"/>
        </w:rPr>
      </w:pPr>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pStyle w:val="96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29、质疑处理</w:t>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w:t>
      </w:r>
      <w:r>
        <w:rPr>
          <w:rFonts w:hint="eastAsia" w:ascii="宋体" w:hAnsi="宋体"/>
          <w:color w:val="ff0000"/>
          <w:sz w:val="24"/>
          <w:szCs w:val="24"/>
        </w:rPr>
        <w:t xml:space="preserve">（采购人和交易中心不接受未填写快递运单的快件）。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6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61"/>
        <w:spacing w:before="145" w:after="145" w:line="360" w:lineRule="auto"/>
      </w:pPr>
      <w:r>
        <w:rPr>
          <w:rFonts w:hint="eastAsia"/>
        </w:rPr>
        <w:t xml:space="preserve">七、授予合同</w:t>
      </w:r>
      <w:r/>
    </w:p>
    <w:p>
      <w:pPr>
        <w:pStyle w:val="96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6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32、政府采购履约资金扶持政策</w:t>
      </w:r>
      <w:r/>
    </w:p>
    <w:p>
      <w:pPr>
        <w:pStyle w:val="963"/>
      </w:pPr>
      <w:r>
        <w:rPr>
          <w:rFonts w:hint="eastAsia" w:ascii="宋体" w:hAnsi="宋体"/>
          <w:bCs/>
          <w:sz w:val="24"/>
        </w:rPr>
        <w:t xml:space="preserve">中标人可凭政府采购合同办理融资贷款，详情请见江苏政府采购网、扬州市政府采购网“政采贷”专栏。</w:t>
      </w:r>
      <w:r/>
    </w:p>
    <w:p>
      <w:r/>
      <w:r/>
    </w:p>
    <w:p>
      <w:r/>
      <w:r/>
    </w:p>
    <w:p>
      <w:r/>
      <w:bookmarkEnd w:id="49"/>
      <w:bookmarkEnd w:id="50"/>
      <w:bookmarkEnd w:id="51"/>
      <w:bookmarkEnd w:id="52"/>
      <w:bookmarkEnd w:id="53"/>
      <w:r/>
    </w:p>
    <w:p>
      <w:r/>
      <w:r/>
    </w:p>
    <w:p>
      <w:r/>
      <w:r/>
    </w:p>
    <w:p>
      <w:r/>
      <w:bookmarkStart w:id="54" w:name="_Hlt16619350"/>
      <w:r/>
      <w:bookmarkStart w:id="55" w:name="_Toc20823346"/>
      <w:r/>
      <w:bookmarkStart w:id="56" w:name="_Toc120614244"/>
      <w:r/>
      <w:bookmarkStart w:id="57" w:name="_Toc16938590"/>
      <w:r/>
      <w:bookmarkStart w:id="58" w:name="_Toc479757211"/>
      <w:r/>
      <w:bookmarkStart w:id="59" w:name="_Toc462564139"/>
      <w:r/>
      <w:r/>
    </w:p>
    <w:p>
      <w:r>
        <w:rPr>
          <w:rFonts w:hint="eastAsia"/>
        </w:rPr>
        <w:br w:type="page" w:clear="all"/>
      </w:r>
      <w:r/>
    </w:p>
    <w:p>
      <w:pPr>
        <w:pStyle w:val="729"/>
        <w:jc w:val="center"/>
      </w:pPr>
      <w:r/>
      <w:bookmarkStart w:id="60" w:name="_Toc176441262"/>
      <w:r>
        <w:rPr>
          <w:rFonts w:hint="eastAsia"/>
        </w:rPr>
        <w:t xml:space="preserve">第三章  合同文本</w:t>
      </w:r>
      <w:bookmarkEnd w:id="60"/>
      <w:r/>
      <w:r/>
    </w:p>
    <w:p>
      <w:pPr>
        <w:ind w:firstLine="480"/>
        <w:spacing w:line="500" w:lineRule="exact"/>
        <w:rPr>
          <w:rFonts w:ascii="宋体" w:hAnsi="宋体"/>
          <w:bCs/>
          <w:sz w:val="24"/>
          <w:szCs w:val="22"/>
        </w:rPr>
      </w:pPr>
      <w:r>
        <w:rPr>
          <w:rFonts w:hint="eastAsia" w:ascii="宋体" w:hAnsi="宋体"/>
          <w:bCs/>
          <w:sz w:val="24"/>
          <w:szCs w:val="22"/>
        </w:rPr>
        <w:t xml:space="preserve">以下为中标后签定本项目合同的通用条款，中标人不得提出实质性的修改，关于专用条款将由采购人与中标人结合本项目具体情况协商后签订。</w:t>
      </w:r>
      <w:r/>
    </w:p>
    <w:p>
      <w:pPr>
        <w:jc w:val="center"/>
        <w:rPr>
          <w:b/>
          <w:bCs/>
          <w:sz w:val="30"/>
          <w:szCs w:val="30"/>
        </w:rPr>
      </w:pPr>
      <w:r>
        <w:rPr>
          <w:b/>
          <w:bCs/>
          <w:sz w:val="30"/>
          <w:szCs w:val="30"/>
        </w:rPr>
      </w:r>
      <w:r/>
    </w:p>
    <w:p>
      <w:pPr>
        <w:jc w:val="center"/>
        <w:rPr>
          <w:b/>
          <w:bCs/>
          <w:sz w:val="30"/>
          <w:szCs w:val="30"/>
        </w:rPr>
      </w:pPr>
      <w:r>
        <w:rPr>
          <w:rFonts w:hint="eastAsia"/>
          <w:b/>
          <w:bCs/>
          <w:sz w:val="30"/>
          <w:szCs w:val="30"/>
        </w:rPr>
        <w:t xml:space="preserve">江苏省政府采购合同（货物）（合同编号）</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项目名称：</w:t>
      </w:r>
      <w:r>
        <w:rPr>
          <w:rFonts w:eastAsia="Times New Roman"/>
          <w:color w:val="000000"/>
          <w:sz w:val="24"/>
          <w:szCs w:val="22"/>
        </w:rPr>
        <w:t xml:space="preserve">_____</w:t>
      </w:r>
      <w:r>
        <w:rPr>
          <w:rFonts w:hint="eastAsia"/>
          <w:color w:val="000000"/>
          <w:sz w:val="24"/>
          <w:szCs w:val="22"/>
        </w:rPr>
        <w:t xml:space="preserve">  </w:t>
      </w:r>
      <w:r>
        <w:rPr>
          <w:rFonts w:eastAsia="Times New Roman"/>
          <w:color w:val="000000"/>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项目编号：</w:t>
      </w:r>
      <w:r>
        <w:rPr>
          <w:rFonts w:eastAsia="Times New Roman"/>
          <w:color w:val="000000"/>
          <w:sz w:val="24"/>
          <w:szCs w:val="22"/>
        </w:rPr>
        <w:t xml:space="preserve">_____</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甲方：（买方）</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乙方：（卖方）</w:t>
      </w:r>
      <w:r>
        <w:rPr>
          <w:rFonts w:eastAsia="Times New Roman"/>
          <w:color w:val="000000"/>
          <w:sz w:val="24"/>
          <w:szCs w:val="22"/>
        </w:rPr>
        <w:t xml:space="preserve">_________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甲、乙双方根据</w:t>
      </w:r>
      <w:r>
        <w:rPr>
          <w:rFonts w:hint="eastAsia" w:ascii="宋体" w:hAnsi="宋体" w:cs="宋体"/>
          <w:color w:val="000000"/>
          <w:sz w:val="24"/>
          <w:szCs w:val="22"/>
        </w:rPr>
        <w:t xml:space="preserve">扬州市公共资源交易中心</w:t>
      </w:r>
      <w:r>
        <w:rPr>
          <w:rFonts w:eastAsia="Times New Roman"/>
          <w:color w:val="000000"/>
          <w:sz w:val="24"/>
          <w:szCs w:val="22"/>
          <w:u w:val="single"/>
        </w:rPr>
        <w:t xml:space="preserve">         </w:t>
      </w:r>
      <w:r>
        <w:rPr>
          <w:rFonts w:ascii="宋体" w:hAnsi="宋体" w:cs="宋体"/>
          <w:color w:val="000000"/>
          <w:sz w:val="24"/>
          <w:szCs w:val="22"/>
        </w:rPr>
        <w:t xml:space="preserve">项目公开招标的结果，签署本合同。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一、合同内容</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 </w:t>
      </w:r>
      <w:r>
        <w:rPr>
          <w:rFonts w:ascii="宋体" w:hAnsi="宋体" w:cs="宋体"/>
          <w:color w:val="000000"/>
          <w:sz w:val="24"/>
          <w:szCs w:val="22"/>
        </w:rPr>
        <w:t xml:space="preserve">标的名称：</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 </w:t>
      </w:r>
      <w:r>
        <w:rPr>
          <w:rFonts w:ascii="宋体" w:hAnsi="宋体" w:cs="宋体"/>
          <w:color w:val="000000"/>
          <w:sz w:val="24"/>
          <w:szCs w:val="22"/>
        </w:rPr>
        <w:t xml:space="preserve">标的质量：</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 </w:t>
      </w:r>
      <w:r>
        <w:rPr>
          <w:rFonts w:ascii="宋体" w:hAnsi="宋体" w:cs="宋体"/>
          <w:color w:val="000000"/>
          <w:sz w:val="24"/>
          <w:szCs w:val="22"/>
        </w:rPr>
        <w:t xml:space="preserve">标的数量（规模）：</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 </w:t>
      </w:r>
      <w:r>
        <w:rPr>
          <w:rFonts w:ascii="宋体" w:hAnsi="宋体" w:cs="宋体"/>
          <w:color w:val="000000"/>
          <w:sz w:val="24"/>
          <w:szCs w:val="22"/>
        </w:rPr>
        <w:t xml:space="preserve">履行时间（期限）：</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 </w:t>
      </w:r>
      <w:r>
        <w:rPr>
          <w:rFonts w:ascii="宋体" w:hAnsi="宋体" w:cs="宋体"/>
          <w:color w:val="000000"/>
          <w:sz w:val="24"/>
          <w:szCs w:val="22"/>
        </w:rPr>
        <w:t xml:space="preserve">履行地点：</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 </w:t>
      </w:r>
      <w:r>
        <w:rPr>
          <w:rFonts w:ascii="宋体" w:hAnsi="宋体" w:cs="宋体"/>
          <w:color w:val="000000"/>
          <w:sz w:val="24"/>
          <w:szCs w:val="22"/>
        </w:rPr>
        <w:t xml:space="preserve">履行方式：</w:t>
      </w:r>
      <w:r>
        <w:rPr>
          <w:rFonts w:eastAsia="Times New Roman"/>
          <w:color w:val="000000"/>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 </w:t>
      </w:r>
      <w:r>
        <w:rPr>
          <w:rFonts w:ascii="宋体" w:hAnsi="宋体" w:cs="宋体"/>
          <w:color w:val="000000"/>
          <w:sz w:val="24"/>
          <w:szCs w:val="22"/>
        </w:rPr>
        <w:t xml:space="preserve">包装方式：</w:t>
      </w:r>
      <w:r>
        <w:rPr>
          <w:rFonts w:eastAsia="Times New Roman"/>
          <w:color w:val="000000"/>
          <w:sz w:val="24"/>
          <w:szCs w:val="22"/>
        </w:rPr>
        <w:t xml:space="preserve">______</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二、合同金额</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2.1 </w:t>
      </w:r>
      <w:r>
        <w:rPr>
          <w:rFonts w:ascii="宋体" w:hAnsi="宋体" w:cs="宋体"/>
          <w:color w:val="000000"/>
          <w:sz w:val="24"/>
          <w:szCs w:val="22"/>
        </w:rPr>
        <w:t xml:space="preserve">本合同金额为（大写）：</w:t>
      </w:r>
      <w:r>
        <w:rPr>
          <w:rFonts w:eastAsia="Times New Roman"/>
          <w:color w:val="000000"/>
          <w:sz w:val="24"/>
          <w:szCs w:val="22"/>
        </w:rPr>
        <w:t xml:space="preserve">_______</w:t>
      </w:r>
      <w:r>
        <w:rPr>
          <w:rFonts w:ascii="宋体" w:hAnsi="宋体" w:cs="宋体"/>
          <w:color w:val="000000"/>
          <w:sz w:val="24"/>
          <w:szCs w:val="22"/>
        </w:rPr>
        <w:t xml:space="preserve">圆（</w:t>
      </w:r>
      <w:r>
        <w:rPr>
          <w:rFonts w:eastAsia="Times New Roman"/>
          <w:color w:val="000000"/>
          <w:sz w:val="24"/>
          <w:szCs w:val="22"/>
        </w:rPr>
        <w:t xml:space="preserve">___</w:t>
      </w:r>
      <w:r>
        <w:rPr>
          <w:rFonts w:ascii="宋体" w:hAnsi="宋体" w:cs="宋体"/>
          <w:color w:val="000000"/>
          <w:sz w:val="24"/>
          <w:szCs w:val="22"/>
        </w:rPr>
        <w:t xml:space="preserve">元）人民币或其他币种。</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三、技术资料</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3.1</w:t>
      </w:r>
      <w:r>
        <w:rPr>
          <w:rFonts w:ascii="宋体" w:hAnsi="宋体" w:cs="宋体"/>
          <w:color w:val="000000"/>
          <w:sz w:val="24"/>
          <w:szCs w:val="22"/>
        </w:rPr>
        <w:t xml:space="preserve">乙方应按招标文件规定的时间向甲方提供使用货物</w:t>
      </w:r>
      <w:r>
        <w:rPr>
          <w:rFonts w:eastAsia="Times New Roman"/>
          <w:color w:val="000000"/>
          <w:sz w:val="24"/>
          <w:szCs w:val="22"/>
        </w:rPr>
        <w:t xml:space="preserve">(</w:t>
      </w:r>
      <w:r>
        <w:rPr>
          <w:rFonts w:ascii="宋体" w:hAnsi="宋体" w:cs="宋体"/>
          <w:color w:val="000000"/>
          <w:sz w:val="24"/>
          <w:szCs w:val="22"/>
        </w:rPr>
        <w:t xml:space="preserve">包含与货物相关的服务</w:t>
      </w:r>
      <w:r>
        <w:rPr>
          <w:rFonts w:eastAsia="Times New Roman"/>
          <w:color w:val="000000"/>
          <w:sz w:val="24"/>
          <w:szCs w:val="22"/>
        </w:rPr>
        <w:t xml:space="preserve">)</w:t>
      </w:r>
      <w:r>
        <w:rPr>
          <w:rFonts w:ascii="宋体" w:hAnsi="宋体" w:cs="宋体"/>
          <w:color w:val="000000"/>
          <w:sz w:val="24"/>
          <w:szCs w:val="22"/>
        </w:rPr>
        <w:t xml:space="preserve">的有关技术资料。</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3.2 </w:t>
      </w:r>
      <w:r>
        <w:rPr>
          <w:rFonts w:ascii="宋体" w:hAnsi="宋体" w:cs="宋体"/>
          <w:color w:val="000000"/>
          <w:sz w:val="24"/>
          <w:szCs w:val="22"/>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四、知识产权</w:t>
      </w:r>
      <w:r/>
    </w:p>
    <w:p>
      <w:pPr>
        <w:ind w:firstLine="480"/>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4.1</w:t>
      </w:r>
      <w:r>
        <w:rPr>
          <w:rFonts w:ascii="宋体" w:hAnsi="宋体" w:cs="宋体"/>
          <w:color w:val="000000"/>
          <w:sz w:val="24"/>
          <w:szCs w:val="22"/>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 w:val="24"/>
          <w:szCs w:val="22"/>
        </w:rPr>
        <w:t xml:space="preserve">     </w:t>
      </w:r>
      <w:r/>
    </w:p>
    <w:p>
      <w:pPr>
        <w:ind w:firstLine="24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宋体" w:hAnsi="宋体" w:cs="宋体"/>
          <w:b/>
          <w:color w:val="000000"/>
          <w:sz w:val="24"/>
          <w:szCs w:val="22"/>
        </w:rPr>
        <w:t xml:space="preserve">五、产权担保</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5.1 </w:t>
      </w:r>
      <w:r>
        <w:rPr>
          <w:rFonts w:ascii="宋体" w:hAnsi="宋体" w:cs="宋体"/>
          <w:color w:val="000000"/>
          <w:sz w:val="24"/>
          <w:szCs w:val="22"/>
        </w:rPr>
        <w:t xml:space="preserve">乙方保证所交付的货物（包含与货物相关的服务）的所有权完全属于乙方且无任何抵押、查封等产权瑕疵。</w:t>
      </w:r>
      <w:r/>
    </w:p>
    <w:p>
      <w:pPr>
        <w:ind w:firstLine="482"/>
        <w:spacing w:before="120" w:after="120" w:line="85" w:lineRule="atLeast"/>
        <w:rPr>
          <w:rFonts w:ascii="宋体" w:hAnsi="宋体" w:cs="宋体"/>
          <w:b/>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六、履约保证金</w:t>
      </w:r>
      <w:r/>
    </w:p>
    <w:p>
      <w:pPr>
        <w:ind w:firstLine="482"/>
        <w:spacing w:before="120" w:after="120" w:line="85" w:lineRule="atLeast"/>
        <w:rPr>
          <w:rFonts w:hint="eastAsia" w:ascii="宋体" w:hAnsi="宋体" w:cs="Courier New"/>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Courier New"/>
          <w:color w:val="000000"/>
          <w:sz w:val="24"/>
          <w:szCs w:val="24"/>
          <w:highlight w:val="none"/>
        </w:rPr>
        <w:t xml:space="preserve">6.1 乙方交纳人民币零元作为本合同的履约保证金。</w:t>
      </w:r>
      <w:r/>
    </w:p>
    <w:p>
      <w:pPr>
        <w:ind w:firstLine="482"/>
        <w:spacing w:before="120" w:after="120" w:line="85" w:lineRule="atLeast"/>
        <w:rPr>
          <w:rFonts w:hint="eastAsia" w:ascii="宋体" w:hAnsi="宋体" w:cs="Courier New"/>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Courier New"/>
          <w:color w:val="000000"/>
          <w:sz w:val="24"/>
          <w:szCs w:val="24"/>
          <w:highlight w:val="none"/>
        </w:rPr>
        <w:t xml:space="preserve">6.2合同履行结束后，甲方应及时退还交纳的履约保证金。</w:t>
      </w:r>
      <w:r/>
    </w:p>
    <w:p>
      <w:pPr>
        <w:ind w:firstLine="482"/>
        <w:spacing w:before="120" w:after="120" w:line="85" w:lineRule="atLeast"/>
        <w:rPr>
          <w:rFonts w:hint="eastAsia" w:ascii="宋体" w:hAnsi="宋体" w:cs="Courier New"/>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Courier New"/>
          <w:color w:val="000000"/>
          <w:sz w:val="24"/>
          <w:szCs w:val="24"/>
          <w:highlight w:val="none"/>
        </w:rPr>
        <w:t xml:space="preserve">6.2.1履约保证金退还方式：无</w:t>
      </w:r>
      <w:r/>
    </w:p>
    <w:p>
      <w:pPr>
        <w:ind w:firstLine="482"/>
        <w:spacing w:before="120" w:after="120" w:line="85" w:lineRule="atLeast"/>
        <w:rPr>
          <w:rFonts w:hint="eastAsia" w:ascii="宋体" w:hAnsi="宋体" w:cs="Courier New"/>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Courier New"/>
          <w:color w:val="000000"/>
          <w:sz w:val="24"/>
          <w:szCs w:val="24"/>
          <w:highlight w:val="none"/>
        </w:rPr>
        <w:t xml:space="preserve">6.2.2履约保证金退还时间：无</w:t>
      </w:r>
      <w:r/>
    </w:p>
    <w:p>
      <w:pPr>
        <w:ind w:firstLine="482"/>
        <w:spacing w:before="120" w:after="120" w:line="85" w:lineRule="atLeast"/>
        <w:rPr>
          <w:rFonts w:hint="eastAsia" w:ascii="宋体" w:hAnsi="宋体" w:cs="Courier New"/>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Courier New"/>
          <w:color w:val="000000"/>
          <w:sz w:val="24"/>
          <w:szCs w:val="24"/>
          <w:highlight w:val="none"/>
        </w:rPr>
        <w:t xml:space="preserve">6.2.3履约保证金退还条件：无</w:t>
      </w:r>
      <w:r/>
    </w:p>
    <w:p>
      <w:pPr>
        <w:ind w:firstLine="482"/>
        <w:spacing w:before="120" w:after="120" w:line="85" w:lineRule="atLeast"/>
        <w:rPr>
          <w:rFonts w:hint="eastAsia" w:ascii="宋体" w:hAnsi="宋体" w:cs="Courier New"/>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Courier New"/>
          <w:color w:val="000000"/>
          <w:sz w:val="24"/>
          <w:szCs w:val="24"/>
          <w:highlight w:val="none"/>
        </w:rPr>
        <w:t xml:space="preserve">6.2.4履约保证金不予退还的情形：无</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七、质保期</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质保期</w:t>
      </w:r>
      <w:r>
        <w:rPr>
          <w:rFonts w:eastAsia="Times New Roman"/>
          <w:color w:val="000000"/>
          <w:sz w:val="24"/>
          <w:szCs w:val="22"/>
          <w:u w:val="single"/>
        </w:rPr>
        <w:t xml:space="preserve">      </w:t>
      </w:r>
      <w:r>
        <w:rPr>
          <w:rFonts w:ascii="宋体" w:hAnsi="宋体" w:cs="宋体"/>
          <w:color w:val="000000"/>
          <w:sz w:val="24"/>
          <w:szCs w:val="22"/>
        </w:rPr>
        <w:t xml:space="preserve">年。（自交货验收合格之日起计）</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八、合同转包或分包</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8.1</w:t>
      </w:r>
      <w:r>
        <w:rPr>
          <w:rFonts w:ascii="宋体" w:hAnsi="宋体" w:cs="宋体"/>
          <w:color w:val="000000"/>
          <w:sz w:val="24"/>
          <w:szCs w:val="22"/>
        </w:rPr>
        <w:t xml:space="preserve">乙方不得将合同标的转包给他人履行。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8.2</w:t>
      </w:r>
      <w:r>
        <w:rPr>
          <w:rFonts w:ascii="宋体" w:hAnsi="宋体" w:cs="宋体"/>
          <w:color w:val="000000"/>
          <w:sz w:val="24"/>
          <w:szCs w:val="22"/>
        </w:rPr>
        <w:t xml:space="preserve">乙方不得将合同标的分包给他人履行。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8.3</w:t>
      </w:r>
      <w:r>
        <w:rPr>
          <w:rFonts w:ascii="宋体" w:hAnsi="宋体" w:cs="宋体"/>
          <w:color w:val="000000"/>
          <w:sz w:val="24"/>
          <w:szCs w:val="22"/>
        </w:rPr>
        <w:t xml:space="preserve">乙方如有转包或未经甲方同意的分包行为，甲方有权给予终止合同。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九、合同款项支付</w:t>
      </w:r>
      <w:r/>
    </w:p>
    <w:p>
      <w:pPr>
        <w:ind w:firstLine="482"/>
        <w:spacing w:before="120" w:after="120" w:line="85" w:lineRule="atLeast"/>
        <w:rPr>
          <w:rFonts w:hint="eastAsia" w:ascii="宋体" w:hAnsi="宋体" w:cs="宋体"/>
          <w:color w:val="0000ff"/>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4"/>
          <w:szCs w:val="22"/>
          <w:highlight w:val="none"/>
        </w:rPr>
        <w:t xml:space="preserve">包1</w:t>
      </w:r>
      <w:r>
        <w:rPr>
          <w:rFonts w:hint="eastAsia" w:ascii="宋体" w:hAnsi="宋体" w:cs="宋体"/>
          <w:color w:val="0000ff"/>
          <w:sz w:val="24"/>
          <w:szCs w:val="22"/>
          <w:highlight w:val="none"/>
          <w:lang w:eastAsia="zh-CN"/>
        </w:rPr>
        <w:t xml:space="preserve">、</w:t>
      </w:r>
      <w:r>
        <w:rPr>
          <w:rFonts w:hint="eastAsia" w:ascii="宋体" w:hAnsi="宋体" w:cs="宋体"/>
          <w:color w:val="0000ff"/>
          <w:sz w:val="24"/>
          <w:szCs w:val="22"/>
          <w:highlight w:val="none"/>
        </w:rPr>
        <w:t xml:space="preserve">包2：合同签订</w:t>
      </w:r>
      <w:r>
        <w:rPr>
          <w:rFonts w:hint="eastAsia" w:ascii="宋体" w:hAnsi="宋体" w:cs="宋体"/>
          <w:color w:val="0000ff"/>
          <w:sz w:val="24"/>
          <w:szCs w:val="22"/>
          <w:highlight w:val="none"/>
          <w:lang w:val="en-US" w:eastAsia="zh-CN"/>
        </w:rPr>
        <w:t xml:space="preserve">后</w:t>
      </w:r>
      <w:r>
        <w:rPr>
          <w:rFonts w:hint="eastAsia" w:ascii="宋体" w:hAnsi="宋体" w:cs="宋体"/>
          <w:color w:val="0000ff"/>
          <w:sz w:val="24"/>
          <w:szCs w:val="22"/>
          <w:highlight w:val="none"/>
        </w:rPr>
        <w:t xml:space="preserve">，甲方自收到发票之日起</w:t>
      </w:r>
      <w:r>
        <w:rPr>
          <w:rFonts w:hint="eastAsia" w:ascii="宋体" w:hAnsi="宋体" w:cs="宋体"/>
          <w:color w:val="0000ff"/>
          <w:sz w:val="24"/>
          <w:szCs w:val="22"/>
          <w:highlight w:val="none"/>
          <w:lang w:val="en-US" w:eastAsia="zh-CN"/>
        </w:rPr>
        <w:t xml:space="preserve">10个工作</w:t>
      </w:r>
      <w:r>
        <w:rPr>
          <w:rFonts w:hint="eastAsia" w:ascii="宋体" w:hAnsi="宋体" w:cs="宋体"/>
          <w:color w:val="0000ff"/>
          <w:sz w:val="24"/>
          <w:szCs w:val="22"/>
          <w:highlight w:val="none"/>
        </w:rPr>
        <w:t xml:space="preserve">日内，支付合同价30%的预付款；项目验收合格后，甲方自收到发票之日起</w:t>
      </w:r>
      <w:r>
        <w:rPr>
          <w:rFonts w:hint="eastAsia" w:ascii="宋体" w:hAnsi="宋体" w:cs="宋体"/>
          <w:color w:val="0000ff"/>
          <w:sz w:val="24"/>
          <w:szCs w:val="22"/>
          <w:highlight w:val="none"/>
          <w:lang w:val="en-US" w:eastAsia="zh-CN"/>
        </w:rPr>
        <w:t xml:space="preserve">10个工作</w:t>
      </w:r>
      <w:r>
        <w:rPr>
          <w:rFonts w:hint="eastAsia" w:ascii="宋体" w:hAnsi="宋体" w:cs="宋体"/>
          <w:color w:val="0000ff"/>
          <w:sz w:val="24"/>
          <w:szCs w:val="22"/>
          <w:highlight w:val="none"/>
        </w:rPr>
        <w:t xml:space="preserve">日内付清尾款。</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十、税费</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10.1</w:t>
      </w:r>
      <w:r>
        <w:rPr>
          <w:rFonts w:ascii="宋体" w:hAnsi="宋体" w:cs="宋体"/>
          <w:color w:val="000000"/>
          <w:sz w:val="24"/>
          <w:szCs w:val="22"/>
        </w:rPr>
        <w:t xml:space="preserve">本合同执行中相关的一切税费均由乙方负担。</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十一、质量保修范围和保修期及售后服务</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11.1 </w:t>
      </w:r>
      <w:r>
        <w:rPr>
          <w:rFonts w:ascii="宋体" w:hAnsi="宋体" w:cs="宋体"/>
          <w:color w:val="000000"/>
          <w:sz w:val="24"/>
          <w:szCs w:val="22"/>
        </w:rPr>
        <w:t xml:space="preserve">乙方应按招标文件规定的货物性能、技术要求、质量标准向甲方提供未经使用的全新产品。</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11.2 </w:t>
      </w:r>
      <w:r>
        <w:rPr>
          <w:rFonts w:ascii="宋体" w:hAnsi="宋体" w:cs="宋体"/>
          <w:color w:val="000000"/>
          <w:sz w:val="24"/>
          <w:szCs w:val="22"/>
        </w:rPr>
        <w:t xml:space="preserve">乙方提供的货物在质量期内因货物本身的质量问题发生故障，乙方应负责免费更换。对达不到技术要求者，根据实际情况，经双方协商，可按以下办法处理：</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⑴更换：由乙方承担所发生的全部费用。</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⑵贬值处理：由甲乙双方合议定价。</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⑶退货处理：乙方应退还甲方支付的合同款，同时应承担该货物的直接费用（运输、保险、检验、货款利息及银行手续费等）。</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11.3 </w:t>
      </w:r>
      <w:r>
        <w:rPr>
          <w:rFonts w:ascii="宋体" w:hAnsi="宋体" w:cs="宋体"/>
          <w:color w:val="000000"/>
          <w:sz w:val="24"/>
          <w:szCs w:val="22"/>
        </w:rPr>
        <w:t xml:space="preserve">如在使用过程中发生质量问题，乙方在接到甲方通知后在</w:t>
      </w:r>
      <w:r>
        <w:rPr>
          <w:rFonts w:eastAsia="Times New Roman"/>
          <w:color w:val="000000"/>
          <w:sz w:val="24"/>
          <w:szCs w:val="22"/>
        </w:rPr>
        <w:t xml:space="preserve">_________</w:t>
      </w:r>
      <w:r>
        <w:rPr>
          <w:rFonts w:ascii="宋体" w:hAnsi="宋体" w:cs="宋体"/>
          <w:color w:val="000000"/>
          <w:sz w:val="24"/>
          <w:szCs w:val="22"/>
        </w:rPr>
        <w:t xml:space="preserve">小时内到达甲方现场。</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11.4 </w:t>
      </w:r>
      <w:r>
        <w:rPr>
          <w:rFonts w:ascii="宋体" w:hAnsi="宋体" w:cs="宋体"/>
          <w:color w:val="000000"/>
          <w:sz w:val="24"/>
          <w:szCs w:val="22"/>
        </w:rPr>
        <w:t xml:space="preserve">在质保期内，乙方应对货物出现的质量及安全问题负责处理解决并承担一切费用。</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11.5</w:t>
      </w:r>
      <w:r>
        <w:rPr>
          <w:rFonts w:ascii="宋体" w:hAnsi="宋体" w:cs="宋体"/>
          <w:color w:val="000000"/>
          <w:sz w:val="24"/>
          <w:szCs w:val="22"/>
        </w:rPr>
        <w:t xml:space="preserve">上述的货物免费保修期为</w:t>
      </w:r>
      <w:r>
        <w:rPr>
          <w:rFonts w:eastAsia="Times New Roman"/>
          <w:color w:val="000000"/>
          <w:sz w:val="24"/>
          <w:szCs w:val="22"/>
          <w:u w:val="single"/>
        </w:rPr>
        <w:t xml:space="preserve">     </w:t>
      </w:r>
      <w:r>
        <w:rPr>
          <w:rFonts w:ascii="宋体" w:hAnsi="宋体" w:cs="宋体"/>
          <w:color w:val="000000"/>
          <w:sz w:val="24"/>
          <w:szCs w:val="22"/>
        </w:rPr>
        <w:t xml:space="preserve">年（自交货验收合格之日起计），因人为因素出现的故障不在免费保修范围内。超过保修期的机器设备，终生维修，维修时只收部件成本费。</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十二、项目验收</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12.1 </w:t>
      </w:r>
      <w:r>
        <w:rPr>
          <w:rFonts w:ascii="宋体" w:hAnsi="宋体" w:cs="宋体"/>
          <w:color w:val="000000"/>
          <w:sz w:val="24"/>
          <w:szCs w:val="22"/>
        </w:rPr>
        <w:t xml:space="preserve">甲方依法组织履约验收工作。</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12.2 </w:t>
      </w:r>
      <w:r>
        <w:rPr>
          <w:rFonts w:ascii="宋体" w:hAnsi="宋体" w:cs="宋体"/>
          <w:color w:val="000000"/>
          <w:sz w:val="24"/>
          <w:szCs w:val="22"/>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12.3 </w:t>
      </w:r>
      <w:r>
        <w:rPr>
          <w:rFonts w:ascii="宋体" w:hAnsi="宋体" w:cs="宋体"/>
          <w:color w:val="000000"/>
          <w:sz w:val="24"/>
          <w:szCs w:val="22"/>
        </w:rPr>
        <w:t xml:space="preserve">对于实际使用人和甲方分离的项目，甲方邀请实际使用人参与验收。</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12.4 </w:t>
      </w:r>
      <w:r>
        <w:rPr>
          <w:rFonts w:ascii="宋体" w:hAnsi="宋体" w:cs="宋体"/>
          <w:color w:val="000000"/>
          <w:sz w:val="24"/>
          <w:szCs w:val="22"/>
        </w:rPr>
        <w:t xml:space="preserve">如有必要，甲方邀请参加本项目的其他供应商或第三方专业机构及专家参与验收，相关意见将作为验收书的参考资料。</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12.5 </w:t>
      </w:r>
      <w:r>
        <w:rPr>
          <w:rFonts w:ascii="宋体" w:hAnsi="宋体" w:cs="宋体"/>
          <w:color w:val="000000"/>
          <w:sz w:val="24"/>
          <w:szCs w:val="22"/>
        </w:rPr>
        <w:t xml:space="preserve">甲方成立验收小组，按照采购合同的约定对乙方的履约情况进行验收。验收时间、验收标准见招标文件验收内容。验收时</w:t>
      </w:r>
      <w:r>
        <w:rPr>
          <w:rFonts w:eastAsia="Times New Roman"/>
          <w:color w:val="000000"/>
          <w:sz w:val="24"/>
          <w:szCs w:val="22"/>
        </w:rPr>
        <w:t xml:space="preserve">,</w:t>
      </w:r>
      <w:r>
        <w:rPr>
          <w:rFonts w:ascii="宋体" w:hAnsi="宋体" w:cs="宋体"/>
          <w:color w:val="000000"/>
          <w:sz w:val="24"/>
          <w:szCs w:val="22"/>
        </w:rPr>
        <w:t xml:space="preserve">甲方按照采购合同的约定对每一项技术、商务要求的履约情况进行确认。验收结束后</w:t>
      </w:r>
      <w:r>
        <w:rPr>
          <w:rFonts w:eastAsia="Times New Roman"/>
          <w:color w:val="000000"/>
          <w:sz w:val="24"/>
          <w:szCs w:val="22"/>
        </w:rPr>
        <w:t xml:space="preserve">,</w:t>
      </w:r>
      <w:r>
        <w:rPr>
          <w:rFonts w:ascii="宋体" w:hAnsi="宋体" w:cs="宋体"/>
          <w:color w:val="000000"/>
          <w:sz w:val="24"/>
          <w:szCs w:val="22"/>
        </w:rPr>
        <w:t xml:space="preserve">验收小组出具验收书</w:t>
      </w:r>
      <w:r>
        <w:rPr>
          <w:rFonts w:eastAsia="Times New Roman"/>
          <w:color w:val="000000"/>
          <w:sz w:val="24"/>
          <w:szCs w:val="22"/>
        </w:rPr>
        <w:t xml:space="preserve">,</w:t>
      </w:r>
      <w:r>
        <w:rPr>
          <w:rFonts w:ascii="宋体" w:hAnsi="宋体" w:cs="宋体"/>
          <w:color w:val="000000"/>
          <w:sz w:val="24"/>
          <w:szCs w:val="22"/>
        </w:rPr>
        <w:t xml:space="preserve">列明各项标准的验收情况及项目总体评价</w:t>
      </w:r>
      <w:r>
        <w:rPr>
          <w:rFonts w:eastAsia="Times New Roman"/>
          <w:color w:val="000000"/>
          <w:sz w:val="24"/>
          <w:szCs w:val="22"/>
        </w:rPr>
        <w:t xml:space="preserve">,</w:t>
      </w:r>
      <w:r>
        <w:rPr>
          <w:rFonts w:ascii="宋体" w:hAnsi="宋体" w:cs="宋体"/>
          <w:color w:val="000000"/>
          <w:sz w:val="24"/>
          <w:szCs w:val="22"/>
        </w:rPr>
        <w:t xml:space="preserve">由验收双方共同签署。验收结果与采购合同约定的资金支付及履约保证金返还条件挂钩。履约验收的各项资料存档备查。</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12.6 </w:t>
      </w:r>
      <w:r>
        <w:rPr>
          <w:rFonts w:ascii="宋体" w:hAnsi="宋体" w:cs="宋体"/>
          <w:color w:val="000000"/>
          <w:sz w:val="24"/>
          <w:szCs w:val="22"/>
        </w:rPr>
        <w:t xml:space="preserve">验收合格的项目</w:t>
      </w:r>
      <w:r>
        <w:rPr>
          <w:rFonts w:eastAsia="Times New Roman"/>
          <w:color w:val="000000"/>
          <w:sz w:val="24"/>
          <w:szCs w:val="22"/>
        </w:rPr>
        <w:t xml:space="preserve">,</w:t>
      </w:r>
      <w:r>
        <w:rPr>
          <w:rFonts w:ascii="宋体" w:hAnsi="宋体" w:cs="宋体"/>
          <w:color w:val="000000"/>
          <w:sz w:val="24"/>
          <w:szCs w:val="22"/>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szCs w:val="22"/>
        </w:rPr>
        <w:t xml:space="preserve">,</w:t>
      </w:r>
      <w:r>
        <w:rPr>
          <w:rFonts w:ascii="宋体" w:hAnsi="宋体" w:cs="宋体"/>
          <w:color w:val="000000"/>
          <w:sz w:val="24"/>
          <w:szCs w:val="22"/>
        </w:rPr>
        <w:t xml:space="preserve">甲方将及时报告本级财政部门。</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十三、货物的包装、发运及运输</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13.1 </w:t>
      </w:r>
      <w:r>
        <w:rPr>
          <w:rFonts w:ascii="宋体" w:hAnsi="宋体" w:cs="宋体"/>
          <w:color w:val="000000"/>
          <w:sz w:val="24"/>
          <w:szCs w:val="22"/>
        </w:rPr>
        <w:t xml:space="preserve">乙方应在货物发运前对其进行满足运输距离、防潮、防震、防锈和防破损装卸等要求包装，以保证货物安全运达甲方指定地点。</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13.2 </w:t>
      </w:r>
      <w:r>
        <w:rPr>
          <w:rFonts w:ascii="宋体" w:hAnsi="宋体" w:cs="宋体"/>
          <w:color w:val="000000"/>
          <w:sz w:val="24"/>
          <w:szCs w:val="22"/>
        </w:rPr>
        <w:t xml:space="preserve">使用说明书、质量检验证明书、随配附件和工具以及清单一并附于货物内。</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13.3 </w:t>
      </w:r>
      <w:r>
        <w:rPr>
          <w:rFonts w:ascii="宋体" w:hAnsi="宋体" w:cs="宋体"/>
          <w:color w:val="000000"/>
          <w:sz w:val="24"/>
          <w:szCs w:val="22"/>
        </w:rPr>
        <w:t xml:space="preserve">乙方在货物发运手续办理完毕后</w:t>
      </w:r>
      <w:r>
        <w:rPr>
          <w:rFonts w:eastAsia="Times New Roman"/>
          <w:color w:val="000000"/>
          <w:sz w:val="24"/>
          <w:szCs w:val="22"/>
        </w:rPr>
        <w:t xml:space="preserve">24</w:t>
      </w:r>
      <w:r>
        <w:rPr>
          <w:rFonts w:ascii="宋体" w:hAnsi="宋体" w:cs="宋体"/>
          <w:color w:val="000000"/>
          <w:sz w:val="24"/>
          <w:szCs w:val="22"/>
        </w:rPr>
        <w:t xml:space="preserve">小时内或货到甲方</w:t>
      </w:r>
      <w:r>
        <w:rPr>
          <w:rFonts w:eastAsia="Times New Roman"/>
          <w:color w:val="000000"/>
          <w:sz w:val="24"/>
          <w:szCs w:val="22"/>
        </w:rPr>
        <w:t xml:space="preserve">48</w:t>
      </w:r>
      <w:r>
        <w:rPr>
          <w:rFonts w:ascii="宋体" w:hAnsi="宋体" w:cs="宋体"/>
          <w:color w:val="000000"/>
          <w:sz w:val="24"/>
          <w:szCs w:val="22"/>
        </w:rPr>
        <w:t xml:space="preserve">小时前通知甲方，以准备接货。</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13.4 </w:t>
      </w:r>
      <w:r>
        <w:rPr>
          <w:rFonts w:ascii="宋体" w:hAnsi="宋体" w:cs="宋体"/>
          <w:color w:val="000000"/>
          <w:sz w:val="24"/>
          <w:szCs w:val="22"/>
        </w:rPr>
        <w:t xml:space="preserve">货物在交付甲方前发生的风险均由乙方负责。</w:t>
      </w:r>
      <w:r/>
    </w:p>
    <w:p>
      <w:pPr>
        <w:ind w:firstLine="480"/>
        <w:spacing w:before="156" w:after="156"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13.5 </w:t>
      </w:r>
      <w:r>
        <w:rPr>
          <w:rFonts w:ascii="宋体" w:hAnsi="宋体" w:cs="宋体"/>
          <w:color w:val="000000"/>
          <w:sz w:val="24"/>
          <w:szCs w:val="22"/>
        </w:rPr>
        <w:t xml:space="preserve">货物在规定的交付期限内由乙方送达甲方指定的地点视为交付，乙方同时需通知甲方货物已送达。</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十四、违约责任</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14.1 </w:t>
      </w:r>
      <w:r>
        <w:rPr>
          <w:rFonts w:ascii="宋体" w:hAnsi="宋体" w:cs="宋体"/>
          <w:color w:val="000000"/>
          <w:sz w:val="24"/>
          <w:szCs w:val="22"/>
        </w:rPr>
        <w:t xml:space="preserve">甲方无正当理由拒收货物的，甲方向乙方偿付拒收货款总值</w:t>
      </w:r>
      <w:r>
        <w:rPr>
          <w:rFonts w:eastAsia="Times New Roman"/>
          <w:color w:val="000000"/>
          <w:sz w:val="24"/>
          <w:szCs w:val="22"/>
          <w:u w:val="single"/>
        </w:rPr>
        <w:t xml:space="preserve">     </w:t>
      </w:r>
      <w:r>
        <w:rPr>
          <w:rFonts w:ascii="宋体" w:hAnsi="宋体" w:cs="宋体"/>
          <w:color w:val="000000"/>
          <w:sz w:val="24"/>
          <w:szCs w:val="22"/>
        </w:rPr>
        <w:t xml:space="preserve">的违约金。</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14.2 </w:t>
      </w:r>
      <w:r>
        <w:rPr>
          <w:rFonts w:ascii="宋体" w:hAnsi="宋体" w:cs="宋体"/>
          <w:color w:val="000000"/>
          <w:sz w:val="24"/>
          <w:szCs w:val="22"/>
        </w:rPr>
        <w:t xml:space="preserve">甲方无故逾期验收和办理货款支付手续的</w:t>
      </w:r>
      <w:r>
        <w:rPr>
          <w:rFonts w:eastAsia="Times New Roman"/>
          <w:color w:val="000000"/>
          <w:sz w:val="24"/>
          <w:szCs w:val="22"/>
        </w:rPr>
        <w:t xml:space="preserve">,</w:t>
      </w:r>
      <w:r>
        <w:rPr>
          <w:rFonts w:ascii="宋体" w:hAnsi="宋体" w:cs="宋体"/>
          <w:color w:val="000000"/>
          <w:sz w:val="24"/>
          <w:szCs w:val="22"/>
        </w:rPr>
        <w:t xml:space="preserve">甲方应按逾期付款总额每日</w:t>
      </w:r>
      <w:r>
        <w:rPr>
          <w:rFonts w:eastAsia="Times New Roman"/>
          <w:color w:val="000000"/>
          <w:sz w:val="24"/>
          <w:szCs w:val="22"/>
        </w:rPr>
        <w:t xml:space="preserve">       </w:t>
      </w:r>
      <w:r>
        <w:rPr>
          <w:rFonts w:ascii="宋体" w:hAnsi="宋体" w:cs="宋体"/>
          <w:color w:val="000000"/>
          <w:sz w:val="24"/>
          <w:szCs w:val="22"/>
        </w:rPr>
        <w:t xml:space="preserve">向乙方支付违约金。</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14.3 </w:t>
      </w:r>
      <w:r>
        <w:rPr>
          <w:rFonts w:ascii="宋体" w:hAnsi="宋体" w:cs="宋体"/>
          <w:color w:val="000000"/>
          <w:sz w:val="24"/>
          <w:szCs w:val="22"/>
        </w:rPr>
        <w:t xml:space="preserve">乙方逾期交付货物的，乙方应按逾期交货总额每日</w:t>
      </w:r>
      <w:r>
        <w:rPr>
          <w:rFonts w:eastAsia="Times New Roman"/>
          <w:color w:val="000000"/>
          <w:sz w:val="24"/>
          <w:szCs w:val="22"/>
          <w:u w:val="single"/>
        </w:rPr>
        <w:t xml:space="preserve">     </w:t>
      </w:r>
      <w:r>
        <w:rPr>
          <w:rFonts w:hint="eastAsia"/>
          <w:color w:val="000000"/>
          <w:sz w:val="24"/>
          <w:szCs w:val="22"/>
          <w:u w:val="single"/>
        </w:rPr>
        <w:t xml:space="preserve"> </w:t>
      </w:r>
      <w:r>
        <w:rPr>
          <w:rFonts w:ascii="宋体" w:hAnsi="宋体" w:cs="宋体"/>
          <w:color w:val="000000"/>
          <w:sz w:val="24"/>
          <w:szCs w:val="22"/>
        </w:rPr>
        <w:t xml:space="preserve">向甲方支付违约金，由甲方从待付货款中扣除。逾期超过约定日期</w:t>
      </w:r>
      <w:r>
        <w:rPr>
          <w:rFonts w:eastAsia="Times New Roman"/>
          <w:color w:val="000000"/>
          <w:sz w:val="24"/>
          <w:szCs w:val="22"/>
        </w:rPr>
        <w:t xml:space="preserve">10</w:t>
      </w:r>
      <w:r>
        <w:rPr>
          <w:rFonts w:ascii="宋体" w:hAnsi="宋体" w:cs="宋体"/>
          <w:color w:val="000000"/>
          <w:sz w:val="24"/>
          <w:szCs w:val="22"/>
        </w:rPr>
        <w:t xml:space="preserve">个工作日不能交货的，甲方可解除本合同。乙方因逾期交货或因其他违约行为导致甲方解除合同的，乙方应向甲方支付合同总值</w:t>
      </w:r>
      <w:r>
        <w:rPr>
          <w:rFonts w:eastAsia="Times New Roman"/>
          <w:color w:val="000000"/>
          <w:sz w:val="24"/>
          <w:szCs w:val="22"/>
          <w:u w:val="single"/>
        </w:rPr>
        <w:t xml:space="preserve">    </w:t>
      </w:r>
      <w:r>
        <w:rPr>
          <w:rFonts w:ascii="宋体" w:hAnsi="宋体" w:cs="宋体"/>
          <w:color w:val="000000"/>
          <w:sz w:val="24"/>
          <w:szCs w:val="22"/>
        </w:rPr>
        <w:t xml:space="preserve">的违约金，如造成甲方损失超过违约金的，超出部分由乙方继续承担赔偿责任。</w:t>
      </w:r>
      <w:r>
        <w:rPr>
          <w:rFonts w:eastAsia="Times New Roman"/>
          <w:color w:val="000000"/>
          <w:sz w:val="24"/>
          <w:szCs w:val="22"/>
        </w:rPr>
        <w:t xml:space="preserve"> </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14.4 </w:t>
      </w:r>
      <w:r>
        <w:rPr>
          <w:rFonts w:ascii="宋体" w:hAnsi="宋体" w:cs="宋体"/>
          <w:color w:val="000000"/>
          <w:sz w:val="24"/>
          <w:szCs w:val="22"/>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十五、不可抗力事件处理</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15.1 </w:t>
      </w:r>
      <w:r>
        <w:rPr>
          <w:rFonts w:ascii="宋体" w:hAnsi="宋体" w:cs="宋体"/>
          <w:color w:val="000000"/>
          <w:sz w:val="24"/>
          <w:szCs w:val="22"/>
        </w:rPr>
        <w:t xml:space="preserve">在合同有效期内，任何一方因不可抗力事件导致不能履行合同，则合同履行期可延长，其延长期与不可抗力影响期相同。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15.2 </w:t>
      </w:r>
      <w:r>
        <w:rPr>
          <w:rFonts w:ascii="宋体" w:hAnsi="宋体" w:cs="宋体"/>
          <w:color w:val="000000"/>
          <w:sz w:val="24"/>
          <w:szCs w:val="22"/>
        </w:rPr>
        <w:t xml:space="preserve">不可抗力事件发生后，应立即通知对方，并寄送有关权威机构出具的证明。</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15.3 </w:t>
      </w:r>
      <w:r>
        <w:rPr>
          <w:rFonts w:ascii="宋体" w:hAnsi="宋体" w:cs="宋体"/>
          <w:color w:val="000000"/>
          <w:sz w:val="24"/>
          <w:szCs w:val="22"/>
        </w:rPr>
        <w:t xml:space="preserve">不可抗力事件延续</w:t>
      </w:r>
      <w:r>
        <w:rPr>
          <w:rFonts w:eastAsia="Times New Roman"/>
          <w:color w:val="000000"/>
          <w:sz w:val="24"/>
          <w:szCs w:val="22"/>
        </w:rPr>
        <w:t xml:space="preserve">120</w:t>
      </w:r>
      <w:r>
        <w:rPr>
          <w:rFonts w:ascii="宋体" w:hAnsi="宋体" w:cs="宋体"/>
          <w:color w:val="000000"/>
          <w:sz w:val="24"/>
          <w:szCs w:val="22"/>
        </w:rPr>
        <w:t xml:space="preserve">天以上，双方应通过友好协商，确定是否继续履行合同。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十六、解决争议的方法</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16.1</w:t>
      </w:r>
      <w:r>
        <w:rPr>
          <w:rFonts w:ascii="宋体" w:hAnsi="宋体" w:cs="宋体"/>
          <w:color w:val="000000"/>
          <w:sz w:val="24"/>
          <w:szCs w:val="22"/>
        </w:rPr>
        <w:t xml:space="preserve">甲乙双方因合同签订、履行而发生的一切争议，应通过友好协商解决。如协商不成由甲方住所地人民法院管辖。</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十七、合同生效及其它</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17.1 </w:t>
      </w:r>
      <w:r>
        <w:rPr>
          <w:rFonts w:ascii="宋体" w:hAnsi="宋体" w:cs="宋体"/>
          <w:color w:val="000000"/>
          <w:sz w:val="24"/>
          <w:szCs w:val="22"/>
        </w:rPr>
        <w:t xml:space="preserve">合同经双方法定代表人或授权委托代表人签字并加盖单位公章后生效。</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17.2</w:t>
      </w:r>
      <w:r>
        <w:rPr>
          <w:rFonts w:ascii="宋体" w:hAnsi="宋体" w:cs="宋体"/>
          <w:color w:val="000000"/>
          <w:sz w:val="24"/>
          <w:szCs w:val="22"/>
        </w:rPr>
        <w:t xml:space="preserve">本合同未尽事宜，遵照《中华人民共和国民法典》《中华人民共和国政府采购法》有关条文执行。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17.3 </w:t>
      </w:r>
      <w:r>
        <w:rPr>
          <w:rFonts w:ascii="宋体" w:hAnsi="宋体" w:cs="宋体"/>
          <w:color w:val="000000"/>
          <w:sz w:val="24"/>
          <w:szCs w:val="22"/>
        </w:rPr>
        <w:t xml:space="preserve">本合同正本一式</w:t>
      </w:r>
      <w:r>
        <w:rPr>
          <w:rFonts w:eastAsia="Times New Roman"/>
          <w:color w:val="000000"/>
          <w:sz w:val="24"/>
          <w:szCs w:val="22"/>
        </w:rPr>
        <w:t xml:space="preserve">___</w:t>
      </w:r>
      <w:r>
        <w:rPr>
          <w:rFonts w:ascii="宋体" w:hAnsi="宋体" w:cs="宋体"/>
          <w:color w:val="000000"/>
          <w:sz w:val="24"/>
          <w:szCs w:val="22"/>
        </w:rPr>
        <w:t xml:space="preserve">份，具有同等法律效力，甲方、乙方各执一份。</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甲方（盖章）：</w:t>
      </w:r>
      <w:r>
        <w:rPr>
          <w:rFonts w:hint="eastAsia" w:ascii="宋体" w:hAnsi="宋体" w:cs="宋体"/>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乙方（盖章）：</w:t>
      </w:r>
      <w:r>
        <w:rPr>
          <w:rFonts w:eastAsia="Times New Roman"/>
          <w:color w:val="000000"/>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地址：</w:t>
      </w:r>
      <w:r>
        <w:rPr>
          <w:rFonts w:hint="eastAsia" w:ascii="宋体" w:hAnsi="宋体" w:cs="宋体"/>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 xml:space="preserve">地址：</w:t>
      </w:r>
      <w:r>
        <w:rPr>
          <w:rFonts w:eastAsia="Times New Roman"/>
          <w:color w:val="000000"/>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法定代表人或授权代表：</w:t>
      </w:r>
      <w:r>
        <w:rPr>
          <w:rFonts w:eastAsia="Times New Roman"/>
          <w:color w:val="000000"/>
          <w:sz w:val="24"/>
          <w:szCs w:val="22"/>
        </w:rPr>
        <w:t xml:space="preserve">                  </w:t>
      </w:r>
      <w:r>
        <w:rPr>
          <w:rFonts w:ascii="宋体" w:hAnsi="宋体" w:cs="宋体"/>
          <w:color w:val="000000"/>
          <w:sz w:val="24"/>
          <w:szCs w:val="22"/>
        </w:rPr>
        <w:t xml:space="preserve">法定代表人或授权代表：</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联系电话：</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联系电话：</w:t>
      </w:r>
      <w:r>
        <w:rPr>
          <w:rFonts w:eastAsia="Times New Roman"/>
          <w:color w:val="000000"/>
          <w:sz w:val="24"/>
          <w:szCs w:val="22"/>
        </w:rPr>
        <w:t xml:space="preserve">          </w:t>
      </w:r>
      <w:r/>
    </w:p>
    <w:p>
      <w:pPr>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p>
    <w:p>
      <w:pPr>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p>
    <w:p>
      <w:pPr>
        <w:rPr>
          <w:rFonts w:ascii="Calibri" w:hAnsi="宋体"/>
          <w:sz w:val="24"/>
          <w:szCs w:val="24"/>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hint="eastAsia"/>
          <w:color w:val="000000"/>
          <w:sz w:val="24"/>
          <w:szCs w:val="22"/>
          <w:lang w:val="en-US" w:eastAsia="zh-CN"/>
        </w:rPr>
        <w:t xml:space="preserve">                         </w:t>
      </w:r>
      <w:r>
        <w:rPr>
          <w:rFonts w:hint="eastAsia"/>
          <w:color w:val="000000"/>
          <w:sz w:val="24"/>
          <w:szCs w:val="22"/>
        </w:rPr>
        <w:t xml:space="preserve">  </w:t>
      </w:r>
      <w:r>
        <w:rPr>
          <w:rFonts w:ascii="宋体" w:hAnsi="宋体" w:cs="宋体"/>
          <w:color w:val="000000"/>
          <w:sz w:val="24"/>
          <w:szCs w:val="22"/>
        </w:rPr>
        <w:t xml:space="preserve">签订日期：</w:t>
      </w:r>
      <w:r>
        <w:rPr>
          <w:rFonts w:eastAsia="Times New Roman"/>
          <w:color w:val="000000"/>
          <w:sz w:val="24"/>
          <w:szCs w:val="22"/>
        </w:rPr>
        <w:t xml:space="preserve">      </w:t>
      </w:r>
      <w:r>
        <w:rPr>
          <w:rFonts w:ascii="宋体" w:hAnsi="宋体" w:cs="宋体"/>
          <w:color w:val="000000"/>
          <w:sz w:val="24"/>
          <w:szCs w:val="22"/>
        </w:rPr>
        <w:t xml:space="preserve">年</w:t>
      </w:r>
      <w:r>
        <w:rPr>
          <w:rFonts w:eastAsia="Times New Roman"/>
          <w:color w:val="000000"/>
          <w:sz w:val="24"/>
          <w:szCs w:val="22"/>
        </w:rPr>
        <w:t xml:space="preserve">    </w:t>
      </w:r>
      <w:r>
        <w:rPr>
          <w:rFonts w:ascii="宋体" w:hAnsi="宋体" w:cs="宋体"/>
          <w:color w:val="000000"/>
          <w:sz w:val="24"/>
          <w:szCs w:val="22"/>
        </w:rPr>
        <w:t xml:space="preserve">月</w:t>
      </w:r>
      <w:r>
        <w:rPr>
          <w:rFonts w:eastAsia="Times New Roman"/>
          <w:color w:val="000000"/>
          <w:sz w:val="24"/>
          <w:szCs w:val="22"/>
        </w:rPr>
        <w:t xml:space="preserve">   </w:t>
      </w:r>
      <w:r>
        <w:rPr>
          <w:rFonts w:ascii="宋体" w:hAnsi="宋体" w:cs="宋体"/>
          <w:color w:val="000000"/>
          <w:sz w:val="24"/>
          <w:szCs w:val="22"/>
        </w:rPr>
        <w:t xml:space="preserve">日</w:t>
      </w:r>
      <w:r/>
    </w:p>
    <w:p>
      <w:pPr>
        <w:ind w:firstLine="640"/>
        <w:spacing w:line="500" w:lineRule="exact"/>
        <w:rPr>
          <w:rFonts w:ascii="宋体" w:hAnsi="宋体"/>
          <w:bCs/>
          <w:sz w:val="32"/>
          <w:szCs w:val="32"/>
          <w:highlight w:val="yellow"/>
        </w:rPr>
      </w:pPr>
      <w:r>
        <w:rPr>
          <w:rFonts w:ascii="宋体" w:hAnsi="宋体"/>
          <w:bCs/>
          <w:sz w:val="32"/>
          <w:szCs w:val="32"/>
          <w:highlight w:val="yellow"/>
        </w:rPr>
      </w:r>
      <w:r/>
    </w:p>
    <w:p>
      <w:pPr>
        <w:jc w:val="center"/>
        <w:rPr>
          <w:b/>
          <w:bCs/>
          <w:sz w:val="30"/>
          <w:szCs w:val="30"/>
        </w:rPr>
      </w:pPr>
      <w:r>
        <w:rPr>
          <w:rFonts w:hint="eastAsia"/>
          <w:b/>
          <w:bCs/>
          <w:sz w:val="30"/>
          <w:szCs w:val="30"/>
        </w:rPr>
        <w:t xml:space="preserve">江苏省政府采购合同（服务）（合同编号）</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项目名称：                                       项目编号：</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甲方：（买方）_________</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乙方：（卖方）_________</w:t>
      </w:r>
      <w:r/>
    </w:p>
    <w:p>
      <w:pPr>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   </w:t>
      </w:r>
      <w:r>
        <w:rPr>
          <w:rFonts w:hint="default" w:ascii="宋体" w:hAnsi="宋体" w:eastAsia="宋体" w:cs="Courier New"/>
          <w:sz w:val="24"/>
          <w:szCs w:val="24"/>
        </w:rPr>
        <w:t xml:space="preserve">甲、乙双方根据</w:t>
      </w:r>
      <w:r>
        <w:rPr>
          <w:rFonts w:hint="eastAsia" w:ascii="宋体" w:hAnsi="宋体" w:eastAsia="宋体" w:cs="Courier New"/>
          <w:sz w:val="24"/>
          <w:szCs w:val="24"/>
        </w:rPr>
        <w:t xml:space="preserve">扬州市公共资源交易中心</w:t>
      </w:r>
      <w:r>
        <w:rPr>
          <w:rFonts w:hint="eastAsia" w:ascii="宋体" w:hAnsi="宋体" w:eastAsia="宋体" w:cs="Courier New"/>
          <w:sz w:val="24"/>
          <w:szCs w:val="24"/>
          <w:u w:val="single"/>
        </w:rPr>
        <w:t xml:space="preserve">         </w:t>
      </w:r>
      <w:r>
        <w:rPr>
          <w:rFonts w:hint="default" w:ascii="宋体" w:hAnsi="宋体" w:eastAsia="宋体" w:cs="Courier New"/>
          <w:sz w:val="24"/>
          <w:szCs w:val="24"/>
        </w:rPr>
        <w:t xml:space="preserve">项目公开招标的结果，签署本合同。</w:t>
      </w:r>
      <w:r/>
    </w:p>
    <w:p>
      <w:pPr>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hint="default" w:ascii="宋体" w:hAnsi="宋体" w:eastAsia="宋体" w:cs="Courier New"/>
          <w:b/>
          <w:sz w:val="24"/>
          <w:szCs w:val="24"/>
        </w:rPr>
        <w:t xml:space="preserve">内容</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1.1 </w:t>
      </w:r>
      <w:r>
        <w:rPr>
          <w:rFonts w:hint="eastAsia" w:ascii="宋体" w:hAnsi="宋体" w:eastAsia="宋体" w:cs="Courier New"/>
          <w:sz w:val="24"/>
          <w:szCs w:val="24"/>
        </w:rPr>
        <w:t xml:space="preserve">标的</w:t>
      </w:r>
      <w:r>
        <w:rPr>
          <w:rFonts w:hint="default" w:ascii="宋体" w:hAnsi="宋体" w:eastAsia="宋体" w:cs="Courier New"/>
          <w:sz w:val="24"/>
          <w:szCs w:val="24"/>
        </w:rPr>
        <w:t xml:space="preserve">名称：</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1.2</w:t>
      </w:r>
      <w:r>
        <w:rPr>
          <w:rFonts w:hint="eastAsia" w:ascii="宋体" w:hAnsi="宋体" w:eastAsia="宋体" w:cs="Courier New"/>
          <w:sz w:val="24"/>
          <w:szCs w:val="24"/>
        </w:rPr>
        <w:t xml:space="preserve">标的质量：</w:t>
      </w:r>
      <w:r/>
    </w:p>
    <w:p>
      <w:pPr>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1.3 标的数量（规模）：</w:t>
      </w:r>
      <w:r/>
    </w:p>
    <w:p>
      <w:pPr>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1.4 履行时间（期限）：</w:t>
      </w:r>
      <w:r/>
    </w:p>
    <w:p>
      <w:pPr>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1.5 履行地点：</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6履行方式：</w:t>
      </w:r>
      <w:r/>
    </w:p>
    <w:p>
      <w:pPr>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二、合同金额</w:t>
      </w:r>
      <w:r/>
    </w:p>
    <w:p>
      <w:pPr>
        <w:ind w:left="410" w:hanging="410"/>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2.1 本合同金额为（大写）：____________________________________</w:t>
      </w:r>
      <w:r>
        <w:rPr>
          <w:rFonts w:hint="eastAsia" w:ascii="宋体" w:hAnsi="宋体" w:eastAsia="宋体" w:cs="Courier New"/>
          <w:sz w:val="24"/>
          <w:szCs w:val="24"/>
        </w:rPr>
        <w:t xml:space="preserve">圆</w:t>
      </w:r>
      <w:r>
        <w:rPr>
          <w:rFonts w:hint="default" w:ascii="宋体" w:hAnsi="宋体" w:eastAsia="宋体" w:cs="Courier New"/>
          <w:sz w:val="24"/>
          <w:szCs w:val="24"/>
        </w:rPr>
        <w:t xml:space="preserve">（_______________元）人民币</w:t>
      </w:r>
      <w:r>
        <w:rPr>
          <w:rFonts w:hint="eastAsia" w:ascii="宋体" w:hAnsi="宋体" w:eastAsia="宋体" w:cs="Courier New"/>
          <w:sz w:val="24"/>
          <w:szCs w:val="24"/>
        </w:rPr>
        <w:t xml:space="preserve">或其他币种</w:t>
      </w:r>
      <w:r>
        <w:rPr>
          <w:rFonts w:hint="default" w:ascii="宋体" w:hAnsi="宋体" w:eastAsia="宋体" w:cs="Courier New"/>
          <w:sz w:val="24"/>
          <w:szCs w:val="24"/>
        </w:rPr>
        <w:t xml:space="preserve">。</w:t>
      </w:r>
      <w:r/>
    </w:p>
    <w:p>
      <w:pPr>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三、技术资料</w:t>
      </w:r>
      <w:r/>
    </w:p>
    <w:p>
      <w:pPr>
        <w:ind w:left="410" w:hanging="410"/>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3.1乙方应按招标文件规定的时间向甲方提供服务</w:t>
      </w:r>
      <w:r>
        <w:rPr>
          <w:rFonts w:hint="eastAsia" w:ascii="宋体" w:hAnsi="宋体" w:eastAsia="宋体" w:cs="Courier New"/>
          <w:sz w:val="24"/>
          <w:szCs w:val="24"/>
        </w:rPr>
        <w:t xml:space="preserve">（包含与服务相关的货物）</w:t>
      </w:r>
      <w:r>
        <w:rPr>
          <w:rFonts w:hint="default" w:ascii="宋体" w:hAnsi="宋体" w:eastAsia="宋体" w:cs="Courier New"/>
          <w:sz w:val="24"/>
          <w:szCs w:val="24"/>
        </w:rPr>
        <w:t xml:space="preserve">的有关技术资料。</w:t>
      </w:r>
      <w:r/>
    </w:p>
    <w:p>
      <w:pPr>
        <w:ind w:left="410" w:hanging="410"/>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四、知识产权</w:t>
      </w:r>
      <w:r/>
    </w:p>
    <w:p>
      <w:pPr>
        <w:ind w:left="408" w:hanging="408"/>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4.1乙</w:t>
      </w:r>
      <w:r>
        <w:rPr>
          <w:rFonts w:hint="eastAsia" w:ascii="宋体" w:hAnsi="宋体" w:eastAsia="宋体" w:cs="Courier New"/>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before="120" w:after="120"/>
        <w:widowControl w:val="off"/>
        <w:rPr>
          <w:rFonts w:hint="default" w:ascii="宋体" w:hAnsi="宋体" w:eastAsia="宋体" w:cs="Courier New"/>
          <w:sz w:val="24"/>
          <w:szCs w:val="24"/>
          <w:u w:val="single"/>
        </w:rPr>
      </w:pPr>
      <w:r>
        <w:rPr>
          <w:rFonts w:hint="default" w:ascii="宋体" w:hAnsi="宋体" w:eastAsia="宋体" w:cs="Courier New"/>
          <w:b/>
          <w:sz w:val="24"/>
          <w:szCs w:val="24"/>
        </w:rPr>
        <w:t xml:space="preserve">五、产权担保</w:t>
      </w:r>
      <w:r/>
    </w:p>
    <w:p>
      <w:pPr>
        <w:ind w:left="408" w:hanging="408"/>
        <w:jc w:val="both"/>
        <w:spacing w:before="120" w:after="120"/>
        <w:widowControl w:val="off"/>
        <w:rPr>
          <w:rFonts w:hint="default" w:ascii="宋体" w:hAnsi="宋体" w:eastAsia="宋体" w:cs="Courier New"/>
          <w:sz w:val="24"/>
          <w:szCs w:val="24"/>
          <w:u w:val="single"/>
        </w:rPr>
      </w:pPr>
      <w:r>
        <w:rPr>
          <w:rFonts w:hint="default" w:ascii="宋体" w:hAnsi="宋体" w:eastAsia="宋体" w:cs="Courier New"/>
          <w:sz w:val="24"/>
          <w:szCs w:val="24"/>
        </w:rPr>
        <w:t xml:space="preserve">5.1 乙方保证所交付的</w:t>
      </w:r>
      <w:r>
        <w:rPr>
          <w:rFonts w:hint="eastAsia" w:ascii="宋体" w:hAnsi="宋体" w:eastAsia="宋体" w:cs="Courier New"/>
          <w:sz w:val="24"/>
          <w:szCs w:val="24"/>
        </w:rPr>
        <w:t xml:space="preserve">服务（包含与服务相关的货物）</w:t>
      </w:r>
      <w:r>
        <w:rPr>
          <w:rFonts w:hint="default" w:ascii="宋体" w:hAnsi="宋体" w:eastAsia="宋体" w:cs="Courier New"/>
          <w:sz w:val="24"/>
          <w:szCs w:val="24"/>
        </w:rPr>
        <w:t xml:space="preserve">的所有权完全属于乙方且无任何抵押、查封等产权瑕疵。</w:t>
      </w:r>
      <w:r/>
    </w:p>
    <w:p>
      <w:pPr>
        <w:ind w:left="410" w:hanging="410"/>
        <w:jc w:val="both"/>
        <w:spacing w:before="120" w:after="120"/>
        <w:widowControl w:val="off"/>
        <w:rPr>
          <w:rFonts w:hint="default" w:ascii="宋体" w:hAnsi="宋体" w:eastAsia="宋体" w:cs="Courier New"/>
          <w:b/>
          <w:color w:val="000000" w:themeColor="text1"/>
          <w:sz w:val="24"/>
          <w:szCs w:val="24"/>
          <w14:textFill>
            <w14:solidFill>
              <w14:schemeClr w14:val="tx1"/>
            </w14:solidFill>
          </w14:textFill>
        </w:rPr>
      </w:pPr>
      <w:r>
        <w:rPr>
          <w:rFonts w:hint="default" w:ascii="宋体" w:hAnsi="宋体" w:eastAsia="宋体" w:cs="Courier New"/>
          <w:b/>
          <w:sz w:val="24"/>
          <w:szCs w:val="24"/>
        </w:rPr>
        <w:t xml:space="preserve">六、履约保证金</w:t>
      </w:r>
      <w:r/>
    </w:p>
    <w:p>
      <w:pPr>
        <w:ind w:left="408" w:hanging="408"/>
        <w:jc w:val="both"/>
        <w:spacing w:before="120" w:after="120"/>
        <w:widowControl w:val="off"/>
        <w:rPr>
          <w:rFonts w:hint="default" w:ascii="宋体" w:hAnsi="宋体" w:eastAsia="宋体" w:cs="Courier New"/>
          <w:color w:val="000000" w:themeColor="text1"/>
          <w:sz w:val="24"/>
          <w:szCs w:val="24"/>
          <w14:textFill>
            <w14:solidFill>
              <w14:schemeClr w14:val="tx1"/>
            </w14:solidFill>
          </w14:textFill>
        </w:rPr>
      </w:pPr>
      <w:r>
        <w:rPr>
          <w:rFonts w:hint="default" w:ascii="宋体" w:hAnsi="宋体" w:eastAsia="宋体" w:cs="Courier New"/>
          <w:color w:val="000000" w:themeColor="text1"/>
          <w:sz w:val="24"/>
          <w:szCs w:val="24"/>
          <w14:textFill>
            <w14:solidFill>
              <w14:schemeClr w14:val="tx1"/>
            </w14:solidFill>
          </w14:textFill>
        </w:rPr>
        <w:t xml:space="preserve">6.1 乙方交纳人民币___</w:t>
      </w:r>
      <w:r>
        <w:rPr>
          <w:rFonts w:hint="eastAsia" w:ascii="宋体" w:hAnsi="宋体" w:eastAsia="宋体" w:cs="Courier New"/>
          <w:color w:val="000000" w:themeColor="text1"/>
          <w:sz w:val="24"/>
          <w:szCs w:val="24"/>
          <w:u w:val="single"/>
          <w14:textFill>
            <w14:solidFill>
              <w14:schemeClr w14:val="tx1"/>
            </w14:solidFill>
          </w14:textFill>
        </w:rPr>
        <w:t xml:space="preserve">零</w:t>
      </w:r>
      <w:r>
        <w:rPr>
          <w:rFonts w:hint="default" w:ascii="宋体" w:hAnsi="宋体" w:eastAsia="宋体" w:cs="Courier New"/>
          <w:color w:val="000000" w:themeColor="text1"/>
          <w:sz w:val="24"/>
          <w:szCs w:val="24"/>
          <w14:textFill>
            <w14:solidFill>
              <w14:schemeClr w14:val="tx1"/>
            </w14:solidFill>
          </w14:textFill>
        </w:rPr>
        <w:t xml:space="preserve">___元作为本合同的履约保证金。</w:t>
      </w:r>
      <w:r>
        <w:rPr>
          <w:rFonts w:hint="eastAsia" w:ascii="宋体" w:hAnsi="宋体" w:eastAsia="宋体" w:cs="Courier New"/>
          <w:color w:val="000000" w:themeColor="text1"/>
          <w:sz w:val="24"/>
          <w:szCs w:val="24"/>
          <w14:textFill>
            <w14:solidFill>
              <w14:schemeClr w14:val="tx1"/>
            </w14:solidFill>
          </w14:textFill>
        </w:rPr>
        <w:t xml:space="preserve">（不得超过合同金额的10%）</w:t>
      </w:r>
      <w:r/>
    </w:p>
    <w:p>
      <w:pPr>
        <w:ind w:left="408" w:hanging="408"/>
        <w:jc w:val="both"/>
        <w:spacing w:before="120" w:after="120"/>
        <w:widowControl w:val="off"/>
        <w:rPr>
          <w:rFonts w:hint="default"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6.2合同履行结束后，甲方应及时退还交纳的履约保证金。</w:t>
      </w:r>
      <w:r/>
    </w:p>
    <w:p>
      <w:pPr>
        <w:ind w:left="408" w:hanging="408"/>
        <w:jc w:val="both"/>
        <w:spacing w:before="120" w:after="120"/>
        <w:widowControl w:val="off"/>
        <w:rPr>
          <w:rFonts w:hint="default"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6.2.1履约保证金退还方式：无</w:t>
      </w:r>
      <w:r/>
    </w:p>
    <w:p>
      <w:pPr>
        <w:ind w:left="408" w:hanging="408"/>
        <w:jc w:val="both"/>
        <w:spacing w:before="120" w:after="120"/>
        <w:widowControl w:val="off"/>
        <w:rPr>
          <w:rFonts w:hint="default"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6.2.2履约保证金退还时间：无</w:t>
      </w:r>
      <w:r/>
    </w:p>
    <w:p>
      <w:pPr>
        <w:ind w:left="408" w:hanging="408"/>
        <w:jc w:val="both"/>
        <w:spacing w:before="120" w:after="120"/>
        <w:widowControl w:val="off"/>
        <w:rPr>
          <w:rFonts w:hint="default"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6.2.3履约保证金退还条件：无</w:t>
      </w:r>
      <w:r/>
    </w:p>
    <w:p>
      <w:pPr>
        <w:ind w:left="408" w:hanging="408"/>
        <w:jc w:val="both"/>
        <w:spacing w:before="120" w:after="120"/>
        <w:widowControl w:val="off"/>
        <w:rPr>
          <w:rFonts w:hint="default"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6.2.4履约保证金不予退还的情形：无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jc w:val="both"/>
        <w:spacing w:before="120" w:after="120"/>
        <w:widowControl w:val="off"/>
        <w:rPr>
          <w:rFonts w:hint="default" w:ascii="宋体" w:hAnsi="宋体" w:eastAsia="宋体" w:cs="Courier New"/>
          <w:b/>
          <w:sz w:val="24"/>
          <w:szCs w:val="24"/>
        </w:rPr>
      </w:pPr>
      <w:r>
        <w:rPr>
          <w:rFonts w:hint="eastAsia" w:ascii="宋体" w:hAnsi="宋体" w:eastAsia="宋体" w:cs="Courier New"/>
          <w:b/>
          <w:sz w:val="24"/>
          <w:szCs w:val="24"/>
        </w:rPr>
        <w:t xml:space="preserve">八</w:t>
      </w:r>
      <w:r>
        <w:rPr>
          <w:rFonts w:hint="default"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hint="default" w:ascii="宋体" w:hAnsi="宋体" w:eastAsia="宋体" w:cs="Courier New"/>
          <w:b/>
          <w:sz w:val="24"/>
          <w:szCs w:val="24"/>
        </w:rPr>
        <w:t xml:space="preserve">支付</w:t>
      </w:r>
      <w:r/>
    </w:p>
    <w:p>
      <w:pPr>
        <w:jc w:val="both"/>
        <w:spacing w:before="120" w:after="120"/>
        <w:widowControl w:val="off"/>
        <w:rPr>
          <w:rFonts w:hint="default" w:ascii="宋体" w:hAnsi="宋体" w:eastAsia="宋体" w:cs="Courier New"/>
          <w:bCs/>
          <w:sz w:val="24"/>
          <w:szCs w:val="24"/>
        </w:rPr>
      </w:pPr>
      <w:r>
        <w:rPr>
          <w:rFonts w:hint="eastAsia" w:ascii="宋体" w:hAnsi="宋体" w:eastAsia="宋体" w:cs="Courier New"/>
          <w:bCs/>
          <w:sz w:val="24"/>
          <w:szCs w:val="24"/>
        </w:rPr>
        <w:t xml:space="preserve">8</w:t>
      </w:r>
      <w:r>
        <w:rPr>
          <w:rFonts w:hint="default"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p>
    <w:p>
      <w:pPr>
        <w:spacing w:before="145" w:after="145"/>
        <w:rPr>
          <w:rFonts w:hint="eastAsia" w:cs="宋体" w:asciiTheme="minorEastAsia" w:hAnsiTheme="minorEastAsia" w:eastAsiaTheme="minorEastAsia"/>
          <w:color w:val="0000ff"/>
          <w:sz w:val="24"/>
          <w:szCs w:val="24"/>
        </w:rPr>
      </w:pPr>
      <w:r>
        <w:rPr>
          <w:rFonts w:hint="eastAsia" w:cs="宋体" w:asciiTheme="minorEastAsia" w:hAnsiTheme="minorEastAsia" w:eastAsiaTheme="minorEastAsia"/>
          <w:color w:val="0000ff"/>
          <w:sz w:val="24"/>
          <w:szCs w:val="24"/>
        </w:rPr>
        <w:t xml:space="preserve">包3</w:t>
      </w:r>
      <w:r>
        <w:rPr>
          <w:rFonts w:hint="eastAsia" w:cs="宋体" w:asciiTheme="minorEastAsia" w:hAnsiTheme="minorEastAsia" w:eastAsiaTheme="minorEastAsia"/>
          <w:color w:val="0000ff"/>
          <w:sz w:val="24"/>
          <w:szCs w:val="24"/>
          <w:lang w:val="en-US" w:eastAsia="zh-CN"/>
        </w:rPr>
        <w:t xml:space="preserve">、</w:t>
      </w:r>
      <w:r>
        <w:rPr>
          <w:rFonts w:hint="eastAsia" w:cs="宋体" w:asciiTheme="minorEastAsia" w:hAnsiTheme="minorEastAsia" w:eastAsiaTheme="minorEastAsia"/>
          <w:color w:val="0000ff"/>
          <w:sz w:val="24"/>
          <w:szCs w:val="24"/>
        </w:rPr>
        <w:t xml:space="preserve">包4：合同签订</w:t>
      </w:r>
      <w:r>
        <w:rPr>
          <w:rFonts w:hint="eastAsia" w:cs="宋体" w:asciiTheme="minorEastAsia" w:hAnsiTheme="minorEastAsia" w:eastAsiaTheme="minorEastAsia"/>
          <w:color w:val="0000ff"/>
          <w:sz w:val="24"/>
          <w:szCs w:val="24"/>
          <w:lang w:val="en-US" w:eastAsia="zh-CN"/>
        </w:rPr>
        <w:t xml:space="preserve">后</w:t>
      </w:r>
      <w:r>
        <w:rPr>
          <w:rFonts w:hint="eastAsia" w:cs="宋体" w:asciiTheme="minorEastAsia" w:hAnsiTheme="minorEastAsia" w:eastAsiaTheme="minorEastAsia"/>
          <w:color w:val="0000ff"/>
          <w:sz w:val="24"/>
          <w:szCs w:val="24"/>
        </w:rPr>
        <w:t xml:space="preserve">，甲方自收到发票之日起</w:t>
      </w:r>
      <w:r>
        <w:rPr>
          <w:rFonts w:hint="eastAsia" w:cs="宋体" w:asciiTheme="minorEastAsia" w:hAnsiTheme="minorEastAsia" w:eastAsiaTheme="minorEastAsia"/>
          <w:color w:val="0000ff"/>
          <w:sz w:val="24"/>
          <w:szCs w:val="24"/>
          <w:lang w:val="en-US" w:eastAsia="zh-CN"/>
        </w:rPr>
        <w:t xml:space="preserve">10个工作</w:t>
      </w:r>
      <w:r>
        <w:rPr>
          <w:rFonts w:hint="eastAsia" w:cs="宋体" w:asciiTheme="minorEastAsia" w:hAnsiTheme="minorEastAsia" w:eastAsiaTheme="minorEastAsia"/>
          <w:color w:val="0000ff"/>
          <w:sz w:val="24"/>
          <w:szCs w:val="24"/>
        </w:rPr>
        <w:t xml:space="preserve">日内，支付合同价30%的预付款；项目验收合格</w:t>
      </w:r>
      <w:r>
        <w:rPr>
          <w:rFonts w:hint="eastAsia" w:cs="宋体" w:asciiTheme="minorEastAsia" w:hAnsiTheme="minorEastAsia" w:eastAsiaTheme="minorEastAsia"/>
          <w:color w:val="0000ff"/>
          <w:sz w:val="24"/>
          <w:szCs w:val="24"/>
          <w:lang w:val="en-US" w:eastAsia="zh-CN"/>
        </w:rPr>
        <w:t xml:space="preserve">后</w:t>
      </w:r>
      <w:r>
        <w:rPr>
          <w:rFonts w:hint="eastAsia" w:cs="宋体" w:asciiTheme="minorEastAsia" w:hAnsiTheme="minorEastAsia" w:eastAsiaTheme="minorEastAsia"/>
          <w:color w:val="0000ff"/>
          <w:sz w:val="24"/>
          <w:szCs w:val="24"/>
        </w:rPr>
        <w:t xml:space="preserve">，甲方自收到发票后</w:t>
      </w:r>
      <w:r>
        <w:rPr>
          <w:rFonts w:hint="eastAsia" w:cs="宋体" w:asciiTheme="minorEastAsia" w:hAnsiTheme="minorEastAsia" w:eastAsiaTheme="minorEastAsia"/>
          <w:color w:val="0000ff"/>
          <w:sz w:val="24"/>
          <w:szCs w:val="24"/>
          <w:lang w:val="en-US" w:eastAsia="zh-CN"/>
        </w:rPr>
        <w:t xml:space="preserve">10个工作</w:t>
      </w:r>
      <w:r>
        <w:rPr>
          <w:rFonts w:hint="eastAsia" w:cs="宋体" w:asciiTheme="minorEastAsia" w:hAnsiTheme="minorEastAsia" w:eastAsiaTheme="minorEastAsia"/>
          <w:color w:val="0000ff"/>
          <w:sz w:val="24"/>
          <w:szCs w:val="24"/>
        </w:rPr>
        <w:t xml:space="preserve">日内付清尾款。</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十、</w:t>
      </w:r>
      <w:r>
        <w:rPr>
          <w:rFonts w:hint="eastAsia" w:ascii="宋体" w:hAnsi="宋体" w:eastAsia="宋体" w:cs="Courier New"/>
          <w:b/>
          <w:sz w:val="24"/>
          <w:szCs w:val="24"/>
        </w:rPr>
        <w:t xml:space="preserve">项目</w:t>
      </w:r>
      <w:r>
        <w:rPr>
          <w:rFonts w:hint="default" w:ascii="宋体" w:hAnsi="宋体" w:eastAsia="宋体" w:cs="Courier New"/>
          <w:b/>
          <w:sz w:val="24"/>
          <w:szCs w:val="24"/>
        </w:rPr>
        <w:t xml:space="preserve">验收</w:t>
      </w:r>
      <w:r/>
    </w:p>
    <w:p>
      <w:pPr>
        <w:ind w:left="480" w:hanging="480"/>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10.1 甲方依法组织履约验收工作。</w:t>
      </w:r>
      <w:r/>
    </w:p>
    <w:p>
      <w:pPr>
        <w:ind w:left="480" w:hanging="480"/>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10.3 对于实际使用人和甲方分离的项目，甲方邀请实际使用人参与验收。</w:t>
      </w:r>
      <w:r/>
    </w:p>
    <w:p>
      <w:pPr>
        <w:ind w:left="480" w:hanging="480"/>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10.4 如有必要，甲方邀请参加本项目的其他供应商或第三方专业机构及专家参与验收，相关意见将作为验收书的参考资料。</w:t>
      </w:r>
      <w:r/>
    </w:p>
    <w:p>
      <w:pPr>
        <w:ind w:left="480" w:hanging="480"/>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hint="default" w:ascii="宋体" w:hAnsi="宋体" w:eastAsia="宋体" w:cs="Courier New"/>
          <w:b/>
          <w:sz w:val="24"/>
          <w:szCs w:val="24"/>
        </w:rPr>
        <w:t xml:space="preserve">、违约责任</w:t>
      </w:r>
      <w:r/>
    </w:p>
    <w:p>
      <w:pPr>
        <w:ind w:left="410" w:hanging="410"/>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1</w:t>
      </w:r>
      <w:r>
        <w:rPr>
          <w:rFonts w:hint="default" w:ascii="宋体" w:hAnsi="宋体" w:eastAsia="宋体" w:cs="Courier New"/>
          <w:sz w:val="24"/>
          <w:szCs w:val="24"/>
        </w:rPr>
        <w:t xml:space="preserve">.1 甲方无正当理由</w:t>
      </w:r>
      <w:r>
        <w:rPr>
          <w:rFonts w:hint="eastAsia" w:ascii="宋体" w:hAnsi="宋体" w:eastAsia="宋体" w:cs="Courier New"/>
          <w:sz w:val="24"/>
          <w:szCs w:val="24"/>
        </w:rPr>
        <w:t xml:space="preserve">拒绝接受乙方提供服务</w:t>
      </w:r>
      <w:r>
        <w:rPr>
          <w:rFonts w:hint="default" w:ascii="宋体" w:hAnsi="宋体" w:eastAsia="宋体" w:cs="Courier New"/>
          <w:sz w:val="24"/>
          <w:szCs w:val="24"/>
        </w:rPr>
        <w:t xml:space="preserve">的，甲方向乙方偿付</w:t>
      </w:r>
      <w:r>
        <w:rPr>
          <w:rFonts w:hint="eastAsia" w:ascii="宋体" w:hAnsi="宋体" w:eastAsia="宋体" w:cs="Courier New"/>
          <w:sz w:val="24"/>
          <w:szCs w:val="24"/>
        </w:rPr>
        <w:t xml:space="preserve">拒绝接受服务合同价款</w:t>
      </w:r>
      <w:r>
        <w:rPr>
          <w:rFonts w:hint="default" w:ascii="宋体" w:hAnsi="宋体" w:eastAsia="宋体" w:cs="Courier New"/>
          <w:sz w:val="24"/>
          <w:szCs w:val="24"/>
        </w:rPr>
        <w:t xml:space="preserve">总值</w:t>
      </w:r>
      <w:r>
        <w:rPr>
          <w:rFonts w:hint="eastAsia" w:ascii="宋体" w:hAnsi="宋体" w:eastAsia="宋体" w:cs="Courier New"/>
          <w:sz w:val="24"/>
          <w:szCs w:val="24"/>
          <w:u w:val="single"/>
        </w:rPr>
        <w:t xml:space="preserve">    </w:t>
      </w:r>
      <w:r>
        <w:rPr>
          <w:rFonts w:hint="default" w:ascii="宋体" w:hAnsi="宋体" w:eastAsia="宋体" w:cs="Courier New"/>
          <w:sz w:val="24"/>
          <w:szCs w:val="24"/>
        </w:rPr>
        <w:t xml:space="preserve">的违约金。</w:t>
      </w:r>
      <w:r/>
    </w:p>
    <w:p>
      <w:pPr>
        <w:ind w:left="410" w:hanging="410"/>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1</w:t>
      </w:r>
      <w:r>
        <w:rPr>
          <w:rFonts w:hint="default" w:ascii="宋体" w:hAnsi="宋体" w:eastAsia="宋体" w:cs="Courier New"/>
          <w:sz w:val="24"/>
          <w:szCs w:val="24"/>
        </w:rPr>
        <w:t xml:space="preserve">.2 甲方无故逾期验收和办理</w:t>
      </w:r>
      <w:r>
        <w:rPr>
          <w:rFonts w:hint="eastAsia" w:ascii="宋体" w:hAnsi="宋体" w:eastAsia="宋体" w:cs="Courier New"/>
          <w:sz w:val="24"/>
          <w:szCs w:val="24"/>
        </w:rPr>
        <w:t xml:space="preserve">合同款项</w:t>
      </w:r>
      <w:r>
        <w:rPr>
          <w:rFonts w:hint="default" w:ascii="宋体" w:hAnsi="宋体" w:eastAsia="宋体" w:cs="Courier New"/>
          <w:sz w:val="24"/>
          <w:szCs w:val="24"/>
        </w:rPr>
        <w:t xml:space="preserve">支付手续的,甲方应按逾期付款总额</w:t>
      </w:r>
      <w:r>
        <w:rPr>
          <w:rFonts w:hint="eastAsia" w:ascii="宋体" w:hAnsi="宋体" w:eastAsia="宋体" w:cs="Courier New"/>
          <w:sz w:val="24"/>
          <w:szCs w:val="24"/>
          <w:u w:val="single"/>
        </w:rPr>
        <w:t xml:space="preserve">    </w:t>
      </w:r>
      <w:r>
        <w:rPr>
          <w:rFonts w:hint="default" w:ascii="宋体" w:hAnsi="宋体" w:eastAsia="宋体" w:cs="Courier New"/>
          <w:sz w:val="24"/>
          <w:szCs w:val="24"/>
        </w:rPr>
        <w:t xml:space="preserve">每日向乙方支付违约金。</w:t>
      </w:r>
      <w:r/>
    </w:p>
    <w:p>
      <w:pPr>
        <w:ind w:left="410" w:hanging="410"/>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1</w:t>
      </w:r>
      <w:r>
        <w:rPr>
          <w:rFonts w:hint="default" w:ascii="宋体" w:hAnsi="宋体" w:eastAsia="宋体" w:cs="Courier New"/>
          <w:sz w:val="24"/>
          <w:szCs w:val="24"/>
        </w:rPr>
        <w:t xml:space="preserve">.3 乙方逾期</w:t>
      </w:r>
      <w:r>
        <w:rPr>
          <w:rFonts w:hint="eastAsia" w:ascii="宋体" w:hAnsi="宋体" w:eastAsia="宋体" w:cs="Courier New"/>
          <w:sz w:val="24"/>
          <w:szCs w:val="24"/>
        </w:rPr>
        <w:t xml:space="preserve">提供服务</w:t>
      </w:r>
      <w:r>
        <w:rPr>
          <w:rFonts w:hint="default" w:ascii="宋体" w:hAnsi="宋体" w:eastAsia="宋体" w:cs="Courier New"/>
          <w:sz w:val="24"/>
          <w:szCs w:val="24"/>
        </w:rPr>
        <w:t xml:space="preserve">的，乙方应按逾期</w:t>
      </w:r>
      <w:r>
        <w:rPr>
          <w:rFonts w:hint="eastAsia" w:ascii="宋体" w:hAnsi="宋体" w:eastAsia="宋体" w:cs="Courier New"/>
          <w:sz w:val="24"/>
          <w:szCs w:val="24"/>
        </w:rPr>
        <w:t xml:space="preserve">提供服务合同</w:t>
      </w:r>
      <w:r>
        <w:rPr>
          <w:rFonts w:hint="default" w:ascii="宋体" w:hAnsi="宋体" w:eastAsia="宋体" w:cs="Courier New"/>
          <w:sz w:val="24"/>
          <w:szCs w:val="24"/>
        </w:rPr>
        <w:t xml:space="preserve">总额每日千分之六向甲方支付违约金，由甲方从待付</w:t>
      </w:r>
      <w:r>
        <w:rPr>
          <w:rFonts w:hint="eastAsia" w:ascii="宋体" w:hAnsi="宋体" w:eastAsia="宋体" w:cs="Courier New"/>
          <w:sz w:val="24"/>
          <w:szCs w:val="24"/>
        </w:rPr>
        <w:t xml:space="preserve">合同款项</w:t>
      </w:r>
      <w:r>
        <w:rPr>
          <w:rFonts w:hint="default" w:ascii="宋体" w:hAnsi="宋体" w:eastAsia="宋体" w:cs="Courier New"/>
          <w:sz w:val="24"/>
          <w:szCs w:val="24"/>
        </w:rPr>
        <w:t xml:space="preserve">中扣除。逾期超过约定日期10个工作日不能</w:t>
      </w:r>
      <w:r>
        <w:rPr>
          <w:rFonts w:hint="eastAsia" w:ascii="宋体" w:hAnsi="宋体" w:eastAsia="宋体" w:cs="Courier New"/>
          <w:sz w:val="24"/>
          <w:szCs w:val="24"/>
        </w:rPr>
        <w:t xml:space="preserve">提供服务</w:t>
      </w:r>
      <w:r>
        <w:rPr>
          <w:rFonts w:hint="default" w:ascii="宋体" w:hAnsi="宋体" w:eastAsia="宋体" w:cs="Courier New"/>
          <w:sz w:val="24"/>
          <w:szCs w:val="24"/>
        </w:rPr>
        <w:t xml:space="preserve">的，甲方可解除本合同。乙方因逾期</w:t>
      </w:r>
      <w:r>
        <w:rPr>
          <w:rFonts w:hint="eastAsia" w:ascii="宋体" w:hAnsi="宋体" w:eastAsia="宋体" w:cs="Courier New"/>
          <w:sz w:val="24"/>
          <w:szCs w:val="24"/>
        </w:rPr>
        <w:t xml:space="preserve">提供服务</w:t>
      </w:r>
      <w:r>
        <w:rPr>
          <w:rFonts w:hint="default" w:ascii="宋体" w:hAnsi="宋体" w:eastAsia="宋体" w:cs="Courier New"/>
          <w:sz w:val="24"/>
          <w:szCs w:val="24"/>
        </w:rPr>
        <w:t xml:space="preserve">或因其他违约行为导致甲方解除合同的，乙方应向甲方支付合同</w:t>
      </w:r>
      <w:r>
        <w:rPr>
          <w:rFonts w:hint="eastAsia" w:ascii="宋体" w:hAnsi="宋体" w:eastAsia="宋体" w:cs="Courier New"/>
          <w:sz w:val="24"/>
          <w:szCs w:val="24"/>
        </w:rPr>
        <w:t xml:space="preserve">价款总额</w:t>
      </w:r>
      <w:r>
        <w:rPr>
          <w:rFonts w:hint="eastAsia" w:ascii="宋体" w:hAnsi="宋体" w:eastAsia="宋体" w:cs="Courier New"/>
          <w:sz w:val="24"/>
          <w:szCs w:val="24"/>
          <w:u w:val="single"/>
        </w:rPr>
        <w:t xml:space="preserve">     </w:t>
      </w:r>
      <w:r>
        <w:rPr>
          <w:rFonts w:hint="default" w:ascii="宋体" w:hAnsi="宋体" w:eastAsia="宋体" w:cs="Courier New"/>
          <w:sz w:val="24"/>
          <w:szCs w:val="24"/>
        </w:rPr>
        <w:t xml:space="preserve">的违约金，如造成甲方损失超过违约金的，超出部分由乙方继续承担赔偿责任。 </w:t>
      </w:r>
      <w:r/>
    </w:p>
    <w:p>
      <w:pPr>
        <w:ind w:left="410" w:hanging="410"/>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1</w:t>
      </w:r>
      <w:r>
        <w:rPr>
          <w:rFonts w:hint="default" w:ascii="宋体" w:hAnsi="宋体" w:eastAsia="宋体" w:cs="Courier New"/>
          <w:sz w:val="24"/>
          <w:szCs w:val="24"/>
        </w:rPr>
        <w:t xml:space="preserve">.4 乙方</w:t>
      </w:r>
      <w:r>
        <w:rPr>
          <w:rFonts w:hint="eastAsia" w:ascii="宋体" w:hAnsi="宋体" w:eastAsia="宋体" w:cs="Courier New"/>
          <w:sz w:val="24"/>
          <w:szCs w:val="24"/>
        </w:rPr>
        <w:t xml:space="preserve">所提供服务的标准</w:t>
      </w:r>
      <w:r>
        <w:rPr>
          <w:rFonts w:hint="default" w:ascii="宋体" w:hAnsi="宋体" w:eastAsia="宋体" w:cs="Courier New"/>
          <w:sz w:val="24"/>
          <w:szCs w:val="24"/>
        </w:rPr>
        <w:t xml:space="preserve">不符合合同规定及招标文件规定标准的，甲方有权</w:t>
      </w:r>
      <w:r>
        <w:rPr>
          <w:rFonts w:hint="eastAsia" w:ascii="宋体" w:hAnsi="宋体" w:eastAsia="宋体" w:cs="Courier New"/>
          <w:sz w:val="24"/>
          <w:szCs w:val="24"/>
        </w:rPr>
        <w:t xml:space="preserve">拒绝接受服务</w:t>
      </w:r>
      <w:r>
        <w:rPr>
          <w:rFonts w:hint="default" w:ascii="宋体" w:hAnsi="宋体" w:eastAsia="宋体" w:cs="Courier New"/>
          <w:sz w:val="24"/>
          <w:szCs w:val="24"/>
        </w:rPr>
        <w:t xml:space="preserve">，</w:t>
      </w:r>
      <w:r>
        <w:rPr>
          <w:rFonts w:hint="eastAsia" w:ascii="宋体" w:hAnsi="宋体" w:eastAsia="宋体" w:cs="Courier New"/>
          <w:sz w:val="24"/>
          <w:szCs w:val="24"/>
        </w:rPr>
        <w:t xml:space="preserve">并</w:t>
      </w:r>
      <w:r>
        <w:rPr>
          <w:rFonts w:hint="default" w:ascii="宋体" w:hAnsi="宋体" w:eastAsia="宋体" w:cs="Courier New"/>
          <w:sz w:val="24"/>
          <w:szCs w:val="24"/>
        </w:rPr>
        <w:t xml:space="preserve">可单方面解除合同。</w:t>
      </w:r>
      <w:r/>
    </w:p>
    <w:p>
      <w:pPr>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hint="default" w:ascii="宋体" w:hAnsi="宋体" w:eastAsia="宋体" w:cs="Courier New"/>
          <w:b/>
          <w:sz w:val="24"/>
          <w:szCs w:val="24"/>
        </w:rPr>
        <w:t xml:space="preserve">、不可抗力事件处理</w:t>
      </w:r>
      <w:r/>
    </w:p>
    <w:p>
      <w:pPr>
        <w:ind w:left="480" w:hanging="480"/>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2</w:t>
      </w:r>
      <w:r>
        <w:rPr>
          <w:rFonts w:hint="default" w:ascii="宋体" w:hAnsi="宋体" w:eastAsia="宋体" w:cs="Courier New"/>
          <w:sz w:val="24"/>
          <w:szCs w:val="24"/>
        </w:rPr>
        <w:t xml:space="preserve">.1 在合同有效期内，任何一方因不可抗力事件导致不能履行合同，则合同履行期可延长，其延长期与不可抗力影响</w:t>
      </w:r>
      <w:r>
        <w:rPr>
          <w:rFonts w:hint="eastAsia" w:ascii="宋体" w:hAnsi="宋体" w:eastAsia="宋体" w:cs="Courier New"/>
          <w:sz w:val="24"/>
          <w:szCs w:val="24"/>
        </w:rPr>
        <w:t xml:space="preserve"> </w:t>
      </w:r>
      <w:r>
        <w:rPr>
          <w:rFonts w:hint="default" w:ascii="宋体" w:hAnsi="宋体" w:eastAsia="宋体" w:cs="Courier New"/>
          <w:sz w:val="24"/>
          <w:szCs w:val="24"/>
        </w:rPr>
        <w:t xml:space="preserve">期相同。</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2</w:t>
      </w:r>
      <w:r>
        <w:rPr>
          <w:rFonts w:hint="default" w:ascii="宋体" w:hAnsi="宋体" w:eastAsia="宋体" w:cs="Courier New"/>
          <w:sz w:val="24"/>
          <w:szCs w:val="24"/>
        </w:rPr>
        <w:t xml:space="preserve">.2 不可抗力事件发生后，应立即通知对方，并寄送有关权威机构出具的证明。</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2</w:t>
      </w:r>
      <w:r>
        <w:rPr>
          <w:rFonts w:hint="default" w:ascii="宋体" w:hAnsi="宋体" w:eastAsia="宋体" w:cs="Courier New"/>
          <w:sz w:val="24"/>
          <w:szCs w:val="24"/>
        </w:rPr>
        <w:t xml:space="preserve">.3 不可抗力事件延续120天以上，双方应通过友好协商，确定是否继续履行合同。</w:t>
      </w:r>
      <w:r/>
    </w:p>
    <w:p>
      <w:pPr>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hint="default"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jc w:val="both"/>
        <w:spacing w:before="120" w:after="120"/>
        <w:widowControl w:val="off"/>
        <w:rPr>
          <w:rFonts w:hint="default" w:ascii="宋体" w:hAnsi="宋体" w:eastAsia="宋体" w:cs="Courier New"/>
          <w:sz w:val="24"/>
          <w:szCs w:val="24"/>
        </w:rPr>
      </w:pPr>
      <w:r>
        <w:rPr>
          <w:rFonts w:hint="eastAsia" w:ascii="宋体" w:hAnsi="宋体" w:eastAsia="宋体" w:cs="Courier New"/>
          <w:sz w:val="24"/>
          <w:szCs w:val="24"/>
        </w:rPr>
        <w:t xml:space="preserve">13.1双方在签订、履行合同中所发生的一切争议，应通过友好协商解决。如协商不成，由甲方住所地人民法院管辖。</w:t>
      </w:r>
      <w:r/>
    </w:p>
    <w:p>
      <w:pPr>
        <w:jc w:val="both"/>
        <w:spacing w:before="120" w:after="120"/>
        <w:widowControl w:val="off"/>
        <w:rPr>
          <w:rFonts w:hint="default" w:ascii="宋体" w:hAnsi="宋体" w:eastAsia="宋体" w:cs="Courier New"/>
          <w:b/>
          <w:sz w:val="24"/>
          <w:szCs w:val="24"/>
        </w:rPr>
      </w:pPr>
      <w:r>
        <w:rPr>
          <w:rFonts w:hint="default"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hint="default" w:ascii="宋体" w:hAnsi="宋体" w:eastAsia="宋体" w:cs="Courier New"/>
          <w:b/>
          <w:sz w:val="24"/>
          <w:szCs w:val="24"/>
        </w:rPr>
        <w:t xml:space="preserve">、合同生效及其它</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4</w:t>
      </w:r>
      <w:r>
        <w:rPr>
          <w:rFonts w:hint="default"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hint="default" w:ascii="宋体" w:hAnsi="宋体" w:eastAsia="宋体" w:cs="Courier New"/>
          <w:sz w:val="24"/>
          <w:szCs w:val="24"/>
        </w:rPr>
        <w:t xml:space="preserve">人签字并加盖单位公章后生效。</w:t>
      </w:r>
      <w:r/>
    </w:p>
    <w:p>
      <w:pPr>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4</w:t>
      </w:r>
      <w:r>
        <w:rPr>
          <w:rFonts w:hint="default" w:ascii="宋体" w:hAnsi="宋体" w:eastAsia="宋体" w:cs="Courier New"/>
          <w:sz w:val="24"/>
          <w:szCs w:val="24"/>
        </w:rPr>
        <w:t xml:space="preserve">.2本合同未尽事宜，遵照</w:t>
      </w:r>
      <w:r>
        <w:rPr>
          <w:rFonts w:hint="eastAsia" w:ascii="宋体" w:hAnsi="宋体" w:eastAsia="宋体" w:cs="Courier New"/>
          <w:sz w:val="24"/>
          <w:szCs w:val="24"/>
        </w:rPr>
        <w:t xml:space="preserve">《民法典》、《政府采购法》</w:t>
      </w:r>
      <w:r>
        <w:rPr>
          <w:rFonts w:hint="default" w:ascii="宋体" w:hAnsi="宋体" w:eastAsia="宋体" w:cs="Courier New"/>
          <w:sz w:val="24"/>
          <w:szCs w:val="24"/>
        </w:rPr>
        <w:t xml:space="preserve">有关条文执行。</w:t>
      </w:r>
      <w:r/>
    </w:p>
    <w:p>
      <w:pPr>
        <w:ind w:left="480" w:hanging="480"/>
        <w:jc w:val="both"/>
        <w:spacing w:before="120" w:after="120"/>
        <w:widowControl w:val="off"/>
        <w:rPr>
          <w:rFonts w:hint="default" w:ascii="宋体" w:hAnsi="宋体" w:eastAsia="宋体" w:cs="Courier New"/>
          <w:sz w:val="24"/>
          <w:szCs w:val="24"/>
        </w:rPr>
      </w:pPr>
      <w:r>
        <w:rPr>
          <w:rFonts w:hint="default" w:ascii="宋体" w:hAnsi="宋体" w:eastAsia="宋体" w:cs="Courier New"/>
          <w:sz w:val="24"/>
          <w:szCs w:val="24"/>
        </w:rPr>
        <w:t xml:space="preserve">1</w:t>
      </w:r>
      <w:r>
        <w:rPr>
          <w:rFonts w:hint="eastAsia" w:ascii="宋体" w:hAnsi="宋体" w:eastAsia="宋体" w:cs="Courier New"/>
          <w:sz w:val="24"/>
          <w:szCs w:val="24"/>
        </w:rPr>
        <w:t xml:space="preserve">4</w:t>
      </w:r>
      <w:r>
        <w:rPr>
          <w:rFonts w:hint="default" w:ascii="宋体" w:hAnsi="宋体" w:eastAsia="宋体" w:cs="Courier New"/>
          <w:sz w:val="24"/>
          <w:szCs w:val="24"/>
        </w:rPr>
        <w:t xml:space="preserve">.</w:t>
      </w:r>
      <w:r>
        <w:rPr>
          <w:rFonts w:hint="eastAsia" w:ascii="宋体" w:hAnsi="宋体" w:eastAsia="宋体" w:cs="Courier New"/>
          <w:sz w:val="24"/>
          <w:szCs w:val="24"/>
        </w:rPr>
        <w:t xml:space="preserve">3</w:t>
      </w:r>
      <w:r>
        <w:rPr>
          <w:rFonts w:hint="default"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hint="default"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hint="default" w:ascii="宋体" w:hAnsi="宋体" w:eastAsia="宋体" w:cs="Courier New"/>
          <w:sz w:val="24"/>
          <w:szCs w:val="24"/>
        </w:rPr>
        <w:t xml:space="preserve">乙方各执一份。</w:t>
      </w:r>
      <w:r/>
    </w:p>
    <w:p>
      <w:pPr>
        <w:ind w:left="480" w:hanging="480"/>
        <w:jc w:val="both"/>
        <w:spacing w:before="120" w:after="120" w:line="0" w:lineRule="atLeast"/>
        <w:widowControl w:val="off"/>
        <w:rPr>
          <w:rFonts w:hint="default" w:ascii="宋体" w:hAnsi="宋体" w:eastAsia="宋体" w:cs="Courier New"/>
          <w:sz w:val="24"/>
          <w:szCs w:val="24"/>
        </w:rPr>
      </w:pPr>
      <w:r>
        <w:rPr>
          <w:rFonts w:hint="default" w:ascii="宋体" w:hAnsi="宋体" w:eastAsia="宋体" w:cs="Courier New"/>
          <w:sz w:val="24"/>
          <w:szCs w:val="24"/>
        </w:rPr>
        <w:t xml:space="preserve">  甲方：                        乙方： </w:t>
      </w:r>
      <w:r/>
    </w:p>
    <w:p>
      <w:pPr>
        <w:jc w:val="both"/>
        <w:spacing w:before="120" w:after="120" w:line="0" w:lineRule="atLeast"/>
        <w:widowControl w:val="off"/>
        <w:rPr>
          <w:rFonts w:hint="default" w:ascii="宋体" w:hAnsi="宋体" w:eastAsia="宋体" w:cs="Courier New"/>
          <w:sz w:val="24"/>
          <w:szCs w:val="24"/>
        </w:rPr>
      </w:pPr>
      <w:r>
        <w:rPr>
          <w:rFonts w:hint="default" w:ascii="宋体" w:hAnsi="宋体" w:eastAsia="宋体" w:cs="Courier New"/>
          <w:sz w:val="24"/>
          <w:szCs w:val="24"/>
        </w:rPr>
        <w:t xml:space="preserve">  地址：                       </w:t>
      </w:r>
      <w:r>
        <w:rPr>
          <w:rFonts w:hint="eastAsia" w:ascii="宋体" w:hAnsi="宋体" w:eastAsia="宋体" w:cs="Courier New"/>
          <w:sz w:val="24"/>
          <w:szCs w:val="24"/>
        </w:rPr>
        <w:t xml:space="preserve"> </w:t>
      </w:r>
      <w:r>
        <w:rPr>
          <w:rFonts w:hint="default" w:ascii="宋体" w:hAnsi="宋体" w:eastAsia="宋体" w:cs="Courier New"/>
          <w:sz w:val="24"/>
          <w:szCs w:val="24"/>
        </w:rPr>
        <w:t xml:space="preserve">地址： </w:t>
      </w:r>
      <w:r/>
    </w:p>
    <w:p>
      <w:pPr>
        <w:jc w:val="both"/>
        <w:spacing w:before="120" w:after="120" w:line="0" w:lineRule="atLeast"/>
        <w:widowControl w:val="off"/>
        <w:rPr>
          <w:rFonts w:hint="default" w:ascii="宋体" w:hAnsi="宋体" w:eastAsia="宋体" w:cs="Courier New"/>
          <w:sz w:val="24"/>
          <w:szCs w:val="24"/>
        </w:rPr>
      </w:pPr>
      <w:r>
        <w:rPr>
          <w:rFonts w:hint="default" w:ascii="宋体" w:hAnsi="宋体" w:eastAsia="宋体" w:cs="Courier New"/>
          <w:sz w:val="24"/>
          <w:szCs w:val="24"/>
        </w:rPr>
        <w:t xml:space="preserve">  法定代表人</w:t>
      </w:r>
      <w:r>
        <w:rPr>
          <w:rFonts w:hint="eastAsia" w:ascii="宋体" w:hAnsi="宋体" w:eastAsia="宋体" w:cs="Courier New"/>
          <w:sz w:val="24"/>
          <w:szCs w:val="24"/>
        </w:rPr>
        <w:t xml:space="preserve">或授权代表</w:t>
      </w:r>
      <w:r>
        <w:rPr>
          <w:rFonts w:hint="default" w:ascii="宋体" w:hAnsi="宋体" w:eastAsia="宋体" w:cs="Courier New"/>
          <w:sz w:val="24"/>
          <w:szCs w:val="24"/>
        </w:rPr>
        <w:t xml:space="preserve">：        法定代表人</w:t>
      </w:r>
      <w:r>
        <w:rPr>
          <w:rFonts w:hint="eastAsia" w:ascii="宋体" w:hAnsi="宋体" w:eastAsia="宋体" w:cs="Courier New"/>
          <w:sz w:val="24"/>
          <w:szCs w:val="24"/>
        </w:rPr>
        <w:t xml:space="preserve">或授权代表</w:t>
      </w:r>
      <w:r>
        <w:rPr>
          <w:rFonts w:hint="default" w:ascii="宋体" w:hAnsi="宋体" w:eastAsia="宋体" w:cs="Courier New"/>
          <w:sz w:val="24"/>
          <w:szCs w:val="24"/>
        </w:rPr>
        <w:t xml:space="preserve">：</w:t>
      </w:r>
      <w:r/>
    </w:p>
    <w:p>
      <w:pPr>
        <w:ind w:firstLine="240"/>
        <w:jc w:val="both"/>
        <w:spacing w:before="120" w:after="120" w:line="0" w:lineRule="atLeast"/>
        <w:widowControl w:val="off"/>
        <w:rPr>
          <w:rFonts w:hint="default" w:ascii="宋体" w:hAnsi="Courier New" w:eastAsia="宋体" w:cs="Courier New"/>
          <w:sz w:val="21"/>
          <w:szCs w:val="21"/>
        </w:rPr>
      </w:pPr>
      <w:r>
        <w:rPr>
          <w:rFonts w:hint="eastAsia" w:ascii="宋体" w:hAnsi="宋体" w:eastAsia="宋体" w:cs="Courier New"/>
          <w:sz w:val="24"/>
          <w:szCs w:val="24"/>
        </w:rPr>
        <w:t xml:space="preserve">联系电话：                    联系电话：          </w:t>
      </w:r>
      <w:r/>
    </w:p>
    <w:p>
      <w:pPr>
        <w:jc w:val="center"/>
        <w:spacing w:before="120" w:after="120" w:line="0" w:lineRule="atLeast"/>
        <w:widowControl w:val="off"/>
        <w:rPr>
          <w:rFonts w:hint="default" w:ascii="宋体" w:hAnsi="Courier New" w:eastAsia="宋体" w:cs="Courier New"/>
          <w:sz w:val="21"/>
          <w:szCs w:val="21"/>
        </w:rPr>
      </w:pPr>
      <w:r>
        <w:rPr>
          <w:rFonts w:hint="eastAsia" w:ascii="宋体" w:hAnsi="Courier New" w:eastAsia="宋体" w:cs="Courier New"/>
          <w:sz w:val="21"/>
          <w:szCs w:val="21"/>
        </w:rPr>
        <w:t xml:space="preserve">                                          </w:t>
      </w:r>
      <w:r>
        <w:rPr>
          <w:rFonts w:hint="default" w:ascii="宋体" w:hAnsi="Courier New" w:eastAsia="宋体" w:cs="Courier New"/>
          <w:sz w:val="21"/>
          <w:szCs w:val="21"/>
        </w:rPr>
        <w:t xml:space="preserve">签订日期：      年  </w:t>
      </w:r>
      <w:r>
        <w:rPr>
          <w:rFonts w:hint="eastAsia" w:ascii="宋体" w:hAnsi="Courier New" w:eastAsia="宋体" w:cs="Courier New"/>
          <w:sz w:val="21"/>
          <w:szCs w:val="21"/>
        </w:rPr>
        <w:t xml:space="preserve">  </w:t>
      </w:r>
      <w:r>
        <w:rPr>
          <w:rFonts w:hint="default" w:ascii="宋体" w:hAnsi="Courier New" w:eastAsia="宋体" w:cs="Courier New"/>
          <w:sz w:val="21"/>
          <w:szCs w:val="21"/>
        </w:rPr>
        <w:t xml:space="preserve">月  </w:t>
      </w:r>
      <w:r>
        <w:rPr>
          <w:rFonts w:hint="eastAsia" w:ascii="宋体" w:hAnsi="Courier New" w:eastAsia="宋体" w:cs="Courier New"/>
          <w:sz w:val="21"/>
          <w:szCs w:val="21"/>
        </w:rPr>
        <w:t xml:space="preserve"> </w:t>
      </w:r>
      <w:r>
        <w:rPr>
          <w:rFonts w:hint="default" w:ascii="宋体" w:hAnsi="Courier New" w:eastAsia="宋体" w:cs="Courier New"/>
          <w:sz w:val="21"/>
          <w:szCs w:val="21"/>
        </w:rPr>
        <w:t xml:space="preserve">日</w:t>
      </w:r>
      <w:bookmarkStart w:id="61" w:name="_Hlt16619369"/>
      <w:r/>
      <w:bookmarkEnd w:id="61"/>
      <w:r/>
      <w:r/>
    </w:p>
    <w:p>
      <w:pPr>
        <w:pStyle w:val="1011"/>
        <w:spacing w:before="120" w:after="120" w:line="0" w:lineRule="atLeast"/>
        <w:rPr>
          <w:rFonts w:ascii="黑体" w:eastAsia="黑体"/>
          <w:bCs/>
          <w:sz w:val="44"/>
        </w:rPr>
      </w:pPr>
      <w:r>
        <w:rPr>
          <w:rFonts w:hint="default" w:ascii="楷体_GB2312" w:hAnsi="楷体_GB2312" w:eastAsia="黑体" w:cs="Times New Roman"/>
          <w:sz w:val="44"/>
          <w:szCs w:val="28"/>
        </w:rPr>
        <w:br w:type="page" w:clear="all"/>
      </w:r>
      <w:bookmarkEnd w:id="54"/>
      <w:bookmarkEnd w:id="55"/>
      <w:bookmarkEnd w:id="56"/>
      <w:bookmarkEnd w:id="57"/>
      <w:r/>
    </w:p>
    <w:p>
      <w:pPr>
        <w:pStyle w:val="959"/>
        <w:rPr>
          <w:rFonts w:ascii="Arial" w:hAnsi="Arial" w:cs="Arial"/>
          <w:szCs w:val="40"/>
        </w:rPr>
      </w:pPr>
      <w:r/>
      <w:bookmarkStart w:id="62" w:name="_Toc6785"/>
      <w:r/>
      <w:bookmarkStart w:id="63" w:name="_Toc176441263"/>
      <w:r/>
      <w:bookmarkStart w:id="64" w:name="_Toc24684"/>
      <w:r/>
      <w:bookmarkStart w:id="65" w:name="_Toc26554093"/>
      <w:r/>
      <w:bookmarkStart w:id="66" w:name="_Toc120614281"/>
      <w:r/>
      <w:bookmarkStart w:id="67" w:name="_Toc49090575"/>
      <w:r>
        <w:rPr>
          <w:rFonts w:hint="eastAsia" w:ascii="Arial" w:hAnsi="Arial" w:cs="Arial"/>
          <w:szCs w:val="40"/>
        </w:rPr>
        <w:t xml:space="preserve">第四章  采购需求</w:t>
      </w:r>
      <w:bookmarkEnd w:id="62"/>
      <w:r/>
      <w:bookmarkEnd w:id="63"/>
      <w:r/>
      <w:bookmarkEnd w:id="64"/>
      <w:r/>
      <w:r/>
    </w:p>
    <w:p>
      <w:pPr>
        <w:spacing w:line="0" w:lineRule="atLeast"/>
        <w:rPr>
          <w:rFonts w:ascii="宋体" w:hAnsi="宋体"/>
          <w:color w:val="000000"/>
          <w:sz w:val="24"/>
          <w:szCs w:val="24"/>
        </w:rPr>
      </w:pPr>
      <w:r>
        <w:rPr>
          <w:rFonts w:ascii="宋体" w:hAnsi="宋体"/>
          <w:color w:val="000000"/>
          <w:sz w:val="24"/>
          <w:szCs w:val="24"/>
        </w:rPr>
      </w:r>
      <w:r/>
    </w:p>
    <w:p>
      <w:pPr>
        <w:spacing w:line="360" w:lineRule="auto"/>
        <w:rPr>
          <w:rFonts w:hint="default" w:ascii="宋体" w:hAnsi="宋体" w:eastAsia="宋体"/>
          <w:bCs/>
          <w:color w:val="0000ff"/>
          <w:sz w:val="24"/>
          <w:szCs w:val="24"/>
          <w:lang w:val="en-US" w:eastAsia="zh-CN"/>
        </w:rPr>
      </w:pPr>
      <w:r/>
      <w:bookmarkStart w:id="68" w:name="_Toc136347705"/>
      <w:r/>
      <w:bookmarkStart w:id="69" w:name="_Toc47940211"/>
      <w:r>
        <w:rPr>
          <w:rFonts w:hint="eastAsia" w:ascii="宋体" w:hAnsi="宋体"/>
          <w:color w:val="0000ff"/>
          <w:sz w:val="24"/>
          <w:szCs w:val="24"/>
        </w:rPr>
        <w:t xml:space="preserve">项目属性:</w:t>
      </w:r>
      <w:r>
        <w:rPr>
          <w:rFonts w:hint="eastAsia" w:ascii="宋体" w:hAnsi="宋体"/>
          <w:color w:val="0000ff"/>
          <w:sz w:val="24"/>
          <w:szCs w:val="24"/>
          <w:lang w:val="en-US" w:eastAsia="zh-CN"/>
        </w:rPr>
        <w:t xml:space="preserve">包一和包二为</w:t>
      </w:r>
      <w:r>
        <w:rPr>
          <w:rFonts w:hint="eastAsia" w:ascii="宋体" w:hAnsi="宋体"/>
          <w:color w:val="0000ff"/>
          <w:sz w:val="24"/>
          <w:szCs w:val="24"/>
        </w:rPr>
        <w:t xml:space="preserve">货物类项目</w:t>
      </w:r>
      <w:r>
        <w:rPr>
          <w:rFonts w:hint="eastAsia" w:ascii="宋体" w:hAnsi="宋体"/>
          <w:color w:val="0000ff"/>
          <w:sz w:val="24"/>
          <w:szCs w:val="24"/>
          <w:lang w:eastAsia="zh-CN"/>
        </w:rPr>
        <w:t xml:space="preserve">，</w:t>
      </w:r>
      <w:r>
        <w:rPr>
          <w:rFonts w:hint="eastAsia" w:ascii="宋体" w:hAnsi="宋体"/>
          <w:color w:val="0000ff"/>
          <w:sz w:val="24"/>
          <w:szCs w:val="24"/>
          <w:lang w:val="en-US" w:eastAsia="zh-CN"/>
        </w:rPr>
        <w:t xml:space="preserve">包三和包四为服务类项目。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rFonts w:hint="eastAsia" w:eastAsia="宋体"/>
          <w:bCs/>
          <w:i/>
          <w:iCs w:val="0"/>
          <w:color w:val="1f497d" w:themeColor="text2"/>
          <w:sz w:val="24"/>
          <w:szCs w:val="24"/>
          <w:highlight w:val="yellow"/>
          <w:u w:val="single"/>
          <w:lang w:eastAsia="zh-CN"/>
          <w14:textFill>
            <w14:solidFill>
              <w14:schemeClr w14:val="tx2"/>
            </w14:solidFill>
          </w14:textFill>
        </w:rPr>
      </w:pPr>
      <w:r>
        <w:rPr>
          <w:rFonts w:hint="eastAsia"/>
          <w:bCs/>
          <w:iCs/>
          <w:sz w:val="24"/>
          <w:szCs w:val="24"/>
        </w:rPr>
        <w:t xml:space="preserve">1.严格执行政府采购关于支持</w:t>
      </w:r>
      <w:r>
        <w:rPr>
          <w:rFonts w:hint="eastAsia"/>
          <w:bCs/>
          <w:i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Cs/>
          <w:i/>
          <w:iCs w:val="0"/>
          <w:sz w:val="24"/>
          <w:szCs w:val="24"/>
          <w:u w:val="single"/>
          <w:lang w:eastAsia="zh-CN"/>
        </w:rPr>
        <w:t xml:space="preserve">（</w:t>
      </w:r>
      <w:r>
        <w:rPr>
          <w:rFonts w:hint="eastAsia"/>
          <w:bCs/>
          <w:i/>
          <w:iCs w:val="0"/>
          <w:color w:val="1f497d" w:themeColor="text2"/>
          <w:sz w:val="24"/>
          <w:szCs w:val="24"/>
          <w:u w:val="single"/>
          <w14:textFill>
            <w14:solidFill>
              <w14:schemeClr w14:val="tx2"/>
            </w14:solidFill>
          </w14:textFill>
        </w:rPr>
        <w:t xml:space="preserve">强制节能产品：98寸电视机</w:t>
      </w:r>
      <w:r>
        <w:rPr>
          <w:rFonts w:hint="eastAsia"/>
          <w:bCs/>
          <w:i/>
          <w:iCs w:val="0"/>
          <w:color w:val="1f497d" w:themeColor="text2"/>
          <w:sz w:val="24"/>
          <w:szCs w:val="24"/>
          <w:u w:val="single"/>
          <w:lang w:eastAsia="zh-CN"/>
          <w14:textFill>
            <w14:solidFill>
              <w14:schemeClr w14:val="tx2"/>
            </w14:solidFill>
          </w14:textFill>
        </w:rPr>
        <w:t xml:space="preserve">、</w:t>
      </w:r>
      <w:r>
        <w:rPr>
          <w:rFonts w:hint="eastAsia"/>
          <w:bCs/>
          <w:i/>
          <w:iCs w:val="0"/>
          <w:color w:val="1f497d" w:themeColor="text2"/>
          <w:sz w:val="24"/>
          <w:szCs w:val="24"/>
          <w:u w:val="single"/>
          <w:lang w:val="en-US" w:eastAsia="zh-CN"/>
          <w14:textFill>
            <w14:solidFill>
              <w14:schemeClr w14:val="tx2"/>
            </w14:solidFill>
          </w14:textFill>
        </w:rPr>
        <w:t xml:space="preserve">精密空调、空调外机、43寸电视机</w:t>
      </w:r>
      <w:r>
        <w:rPr>
          <w:rFonts w:hint="eastAsia"/>
          <w:bCs/>
          <w:i/>
          <w:iCs w:val="0"/>
          <w:color w:val="1f497d" w:themeColor="text2"/>
          <w:sz w:val="24"/>
          <w:szCs w:val="24"/>
          <w:u w:val="single"/>
          <w:lang w:eastAsia="zh-CN"/>
          <w14:textFill>
            <w14:solidFill>
              <w14:schemeClr w14:val="tx2"/>
            </w14:solidFill>
          </w14:textFill>
        </w:rPr>
        <w:t xml:space="preserve">）</w:t>
      </w:r>
      <w:r/>
    </w:p>
    <w:p>
      <w:pPr>
        <w:ind w:firstLine="480"/>
        <w:spacing w:line="360" w:lineRule="auto"/>
        <w:rPr>
          <w:rFonts w:hint="eastAsia"/>
          <w:bCs/>
          <w:iCs/>
          <w:sz w:val="24"/>
          <w:szCs w:val="24"/>
        </w:rPr>
      </w:pPr>
      <w:r>
        <w:rPr>
          <w:bCs/>
          <w:iCs/>
          <w:sz w:val="24"/>
          <w:szCs w:val="24"/>
        </w:rPr>
        <w:t xml:space="preserve">2.</w:t>
      </w:r>
      <w:r>
        <w:rPr>
          <w:rFonts w:hint="eastAsia"/>
          <w:bCs/>
          <w:iCs/>
          <w:sz w:val="24"/>
          <w:szCs w:val="24"/>
        </w:rPr>
        <w:t xml:space="preserve">供应商对于投标产品的包装应按照“财办库〔2020〕123号《关于印发《商品包装政府采购需求标准（试行）》、《快递包装政府采购需求标准（试行）》的通知》”执行。</w:t>
      </w:r>
      <w:bookmarkEnd w:id="68"/>
      <w:r/>
      <w:bookmarkEnd w:id="69"/>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spacing w:after="0"/>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1"/>
          <w:lang w:val="en-US" w:eastAsia="zh-CN"/>
        </w:rPr>
        <w:t xml:space="preserve">采购标的对应的中小企业划分标准所属行业一览表</w:t>
      </w:r>
      <w:r/>
    </w:p>
    <w:tbl>
      <w:tblPr>
        <w:tblStyle w:val="739"/>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744"/>
        <w:gridCol w:w="4164"/>
      </w:tblGrid>
      <w:tr>
        <w:trPr>
          <w:cantSplit/>
          <w:jc w:val="center"/>
          <w:trHeight w:val="368"/>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spacing w:line="0" w:lineRule="atLeas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jc w:val="center"/>
              <w:spacing w:line="0" w:lineRule="atLeas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采购标的</w:t>
            </w:r>
            <w:r/>
          </w:p>
        </w:tc>
        <w:tc>
          <w:tcPr>
            <w:tcBorders>
              <w:top w:val="single" w:color="auto" w:sz="4" w:space="0"/>
              <w:left w:val="single" w:color="auto" w:sz="4" w:space="0"/>
              <w:bottom w:val="single" w:color="auto" w:sz="4" w:space="0"/>
              <w:right w:val="single" w:color="auto" w:sz="4" w:space="0"/>
            </w:tcBorders>
            <w:tcW w:w="4164" w:type="dxa"/>
            <w:vAlign w:val="center"/>
            <w:textDirection w:val="lrTb"/>
            <w:noWrap w:val="false"/>
          </w:tcPr>
          <w:p>
            <w:pPr>
              <w:jc w:val="center"/>
              <w:spacing w:line="0" w:lineRule="atLeas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对应中小企业划分标准所属行业</w:t>
            </w:r>
            <w:r/>
          </w:p>
        </w:tc>
      </w:tr>
      <w:tr>
        <w:trPr>
          <w:cantSplit/>
          <w:jc w:val="center"/>
          <w:trHeight w:val="745"/>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eastAsia="宋体" w:cs="Times New Roman"/>
                <w:color w:val="000000"/>
                <w:sz w:val="21"/>
                <w:szCs w:val="21"/>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spacing w:line="360" w:lineRule="auto"/>
              <w:rPr>
                <w:rFonts w:hint="eastAsia" w:ascii="宋体" w:hAnsi="宋体" w:eastAsia="宋体" w:cs="Times New Roman"/>
                <w:bCs/>
                <w:iCs/>
                <w:sz w:val="21"/>
                <w:szCs w:val="21"/>
                <w:lang w:val="en-US" w:eastAsia="zh-CN" w:bidi="ar-SA"/>
              </w:rPr>
            </w:pPr>
            <w:r>
              <w:rPr>
                <w:rFonts w:hint="eastAsia" w:ascii="Times New Roman" w:hAnsi="Times New Roman" w:eastAsia="宋体" w:cs="Times New Roman"/>
                <w:sz w:val="21"/>
                <w:szCs w:val="21"/>
                <w:lang w:val="en-US" w:eastAsia="zh-CN" w:bidi="ar-SA"/>
              </w:rPr>
              <w:t xml:space="preserve">包一交通指挥中心建设</w:t>
            </w:r>
            <w:r/>
          </w:p>
        </w:tc>
        <w:tc>
          <w:tcPr>
            <w:tcBorders>
              <w:top w:val="single" w:color="auto" w:sz="4" w:space="0"/>
              <w:left w:val="single" w:color="auto" w:sz="4" w:space="0"/>
              <w:bottom w:val="single" w:color="auto" w:sz="4" w:space="0"/>
              <w:right w:val="single" w:color="auto" w:sz="4" w:space="0"/>
            </w:tcBorders>
            <w:tcW w:w="4164" w:type="dxa"/>
            <w:vAlign w:val="center"/>
            <w:textDirection w:val="lrTb"/>
            <w:noWrap w:val="false"/>
          </w:tcPr>
          <w:p>
            <w:pPr>
              <w:jc w:val="center"/>
              <w:spacing w:line="0" w:lineRule="atLeas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工业</w:t>
            </w:r>
            <w:r/>
          </w:p>
        </w:tc>
      </w:tr>
      <w:tr>
        <w:trPr>
          <w:cantSplit/>
          <w:jc w:val="center"/>
          <w:trHeight w:val="745"/>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hint="default"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spacing w:line="360" w:lineRule="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包二车管所及基础网络建设</w:t>
            </w:r>
            <w:r/>
          </w:p>
        </w:tc>
        <w:tc>
          <w:tcPr>
            <w:tcBorders>
              <w:top w:val="single" w:color="auto" w:sz="4" w:space="0"/>
              <w:left w:val="single" w:color="auto" w:sz="4" w:space="0"/>
              <w:bottom w:val="single" w:color="auto" w:sz="4" w:space="0"/>
              <w:right w:val="single" w:color="auto" w:sz="4" w:space="0"/>
            </w:tcBorders>
            <w:tcW w:w="4164" w:type="dxa"/>
            <w:vAlign w:val="center"/>
            <w:textDirection w:val="lrTb"/>
            <w:noWrap w:val="false"/>
          </w:tcPr>
          <w:p>
            <w:pPr>
              <w:jc w:val="center"/>
              <w:spacing w:line="0" w:lineRule="atLeas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工业</w:t>
            </w:r>
            <w:r/>
          </w:p>
        </w:tc>
      </w:tr>
      <w:tr>
        <w:trPr>
          <w:cantSplit/>
          <w:jc w:val="center"/>
          <w:trHeight w:val="745"/>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hint="default"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spacing w:line="360" w:lineRule="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包三</w:t>
            </w:r>
            <w:r>
              <w:rPr>
                <w:rFonts w:hint="eastAsia" w:cs="Times New Roman"/>
                <w:sz w:val="21"/>
                <w:szCs w:val="21"/>
                <w:lang w:val="en-US" w:eastAsia="zh-CN" w:bidi="ar-SA"/>
              </w:rPr>
              <w:t xml:space="preserve">监理服务</w:t>
            </w:r>
            <w:r/>
          </w:p>
        </w:tc>
        <w:tc>
          <w:tcPr>
            <w:tcBorders>
              <w:top w:val="single" w:color="auto" w:sz="4" w:space="0"/>
              <w:left w:val="single" w:color="auto" w:sz="4" w:space="0"/>
              <w:bottom w:val="single" w:color="auto" w:sz="4" w:space="0"/>
              <w:right w:val="single" w:color="auto" w:sz="4" w:space="0"/>
            </w:tcBorders>
            <w:tcW w:w="4164" w:type="dxa"/>
            <w:vAlign w:val="center"/>
            <w:textDirection w:val="lrTb"/>
            <w:noWrap w:val="false"/>
          </w:tcPr>
          <w:p>
            <w:pPr>
              <w:jc w:val="center"/>
              <w:spacing w:line="0" w:lineRule="atLeast"/>
              <w:rPr>
                <w:rFonts w:hint="eastAsia" w:ascii="宋体" w:hAnsi="宋体" w:eastAsia="宋体" w:cs="Times New Roman"/>
                <w:sz w:val="21"/>
                <w:szCs w:val="21"/>
                <w:lang w:val="en-US" w:eastAsia="zh-CN" w:bidi="ar-SA"/>
              </w:rPr>
            </w:pPr>
            <w:r>
              <w:rPr>
                <w:rFonts w:hint="eastAsia" w:ascii="宋体" w:hAnsi="宋体" w:cs="宋体"/>
                <w:color w:val="000000"/>
                <w:sz w:val="21"/>
                <w:szCs w:val="21"/>
                <w:u w:val="none"/>
              </w:rPr>
              <w:t xml:space="preserve">软件和信息技术服务业</w:t>
            </w:r>
            <w:r/>
          </w:p>
        </w:tc>
      </w:tr>
      <w:tr>
        <w:trPr>
          <w:cantSplit/>
          <w:jc w:val="center"/>
          <w:trHeight w:val="745"/>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hint="default"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spacing w:line="360" w:lineRule="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包四</w:t>
            </w:r>
            <w:r>
              <w:rPr>
                <w:rFonts w:hint="eastAsia" w:cs="Times New Roman"/>
                <w:sz w:val="21"/>
                <w:szCs w:val="21"/>
                <w:lang w:val="en-US" w:eastAsia="zh-CN" w:bidi="ar-SA"/>
              </w:rPr>
              <w:t xml:space="preserve">审计服务</w:t>
            </w:r>
            <w:r/>
          </w:p>
        </w:tc>
        <w:tc>
          <w:tcPr>
            <w:tcBorders>
              <w:top w:val="single" w:color="auto" w:sz="4" w:space="0"/>
              <w:left w:val="single" w:color="auto" w:sz="4" w:space="0"/>
              <w:bottom w:val="single" w:color="auto" w:sz="4" w:space="0"/>
              <w:right w:val="single" w:color="auto" w:sz="4" w:space="0"/>
            </w:tcBorders>
            <w:tcW w:w="4164" w:type="dxa"/>
            <w:vAlign w:val="center"/>
            <w:textDirection w:val="lrTb"/>
            <w:noWrap w:val="false"/>
          </w:tcPr>
          <w:p>
            <w:pPr>
              <w:jc w:val="center"/>
              <w:spacing w:line="0" w:lineRule="atLeast"/>
              <w:rPr>
                <w:rFonts w:hint="eastAsia" w:ascii="宋体" w:hAnsi="宋体" w:eastAsia="宋体" w:cs="Times New Roman"/>
                <w:sz w:val="21"/>
                <w:szCs w:val="21"/>
                <w:lang w:val="en-US" w:eastAsia="zh-CN" w:bidi="ar-SA"/>
              </w:rPr>
            </w:pPr>
            <w:r>
              <w:rPr>
                <w:rFonts w:hint="eastAsia" w:ascii="宋体" w:hAnsi="宋体" w:cs="宋体"/>
                <w:color w:val="000000"/>
                <w:sz w:val="21"/>
                <w:szCs w:val="21"/>
                <w:u w:val="none"/>
              </w:rPr>
              <w:t xml:space="preserve">软件和信息技术服务业</w:t>
            </w:r>
            <w:r/>
          </w:p>
        </w:tc>
      </w:tr>
    </w:tbl>
    <w:p>
      <w:pPr>
        <w:ind w:left="0" w:right="0" w:firstLine="420"/>
        <w:jc w:val="left"/>
        <w:keepLines w:val="0"/>
        <w:keepNext w:val="0"/>
        <w:spacing w:before="0" w:beforeAutospacing="0" w:after="0" w:afterAutospacing="0" w:line="360" w:lineRule="auto"/>
        <w:widowControl w:val="off"/>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cs="宋体"/>
          <w:b/>
          <w:bCs/>
          <w:sz w:val="21"/>
          <w:szCs w:val="21"/>
          <w:lang w:val="en-US" w:eastAsia="zh-CN" w:bidi="ar"/>
        </w:rPr>
        <w:t xml:space="preserve">包一</w:t>
      </w:r>
      <w:r>
        <w:rPr>
          <w:rFonts w:hint="eastAsia" w:ascii="宋体" w:hAnsi="宋体" w:eastAsia="宋体" w:cs="宋体"/>
          <w:b/>
          <w:bCs/>
          <w:sz w:val="21"/>
          <w:szCs w:val="21"/>
          <w:lang w:val="en-US" w:eastAsia="zh-CN" w:bidi="ar"/>
        </w:rPr>
        <w:t xml:space="preserve">核心产品：LED全彩显示屏；</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cs="宋体"/>
          <w:b/>
          <w:bCs/>
          <w:sz w:val="21"/>
          <w:szCs w:val="21"/>
          <w:lang w:val="en-US" w:eastAsia="zh-CN" w:bidi="ar"/>
        </w:rPr>
        <w:t xml:space="preserve">包二</w:t>
      </w:r>
      <w:r>
        <w:rPr>
          <w:rFonts w:hint="eastAsia" w:ascii="宋体" w:hAnsi="宋体" w:eastAsia="宋体" w:cs="宋体"/>
          <w:b/>
          <w:bCs/>
          <w:sz w:val="21"/>
          <w:szCs w:val="21"/>
          <w:lang w:val="en-US" w:eastAsia="zh-CN" w:bidi="ar"/>
        </w:rPr>
        <w:t xml:space="preserve">核心产品：视频网核心交换机；</w:t>
      </w:r>
      <w:r>
        <w:rPr>
          <w:rFonts w:hint="eastAsia" w:ascii="宋体" w:hAnsi="宋体" w:eastAsia="宋体" w:cs="宋体"/>
          <w:sz w:val="24"/>
          <w:szCs w:val="24"/>
          <w:lang w:val="en-US" w:eastAsia="zh-CN" w:bidi="ar-SA"/>
        </w:rPr>
        <w:br/>
      </w:r>
      <w:bookmarkStart w:id="70" w:name="_Toc27814"/>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p>
      <w:pPr>
        <w:ind w:left="420" w:right="0" w:firstLine="0"/>
        <w:jc w:val="left"/>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包一技术及服务要求</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lang w:val="en-US" w:eastAsia="zh-CN" w:bidi="ar-SA"/>
        </w:rPr>
        <w:t xml:space="preserve">一、项目背景</w:t>
      </w:r>
      <w:bookmarkEnd w:id="7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目前，交警支队新交通指挥中心和车管所业务技术用房已经建成并装修完毕，拟开展科技信息化建设。近年来，交警科技信息化建设投入不大，软硬件设施相对落后，建设应用水平不高。支队将以新交通指挥中心和车管所业务技术用房的信息化建设为契机，抢抓机遇，乘势而上，全面提升交警的科技信息化建设应用水平。根据《全省公安机关</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苏警数智</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行动工作方案》和 《江苏公安智慧交通总体规划(2020-2030)》,支队将重点围绕业务服务、道路防控、数据赋能三大主线，进一步提升交管业务管理服务水平持续，完善道路交通安全防控体系，加强数据赋能应用能力，不</w:t>
      </w:r>
      <w:r>
        <w:rPr>
          <w:rFonts w:hint="eastAsia" w:ascii="宋体" w:hAnsi="宋体" w:eastAsia="宋体" w:cs="宋体"/>
          <w:sz w:val="21"/>
          <w:szCs w:val="21"/>
          <w:lang w:val="en-US" w:eastAsia="zh-CN" w:bidi="ar"/>
        </w:rPr>
        <w:t xml:space="preserve">断提升我市交管工作的数字化、智能化、科学化水平，助推我市交管科技信息化高质量发展。以提升道路交通治理体系和治理能力现代化为总体要求，紧密围绕省厅、总队和市局构建的智慧警务新体系核心工作，结合我市公安交通管理实际需求，充分运用大数据、云计算等新技术，加强顶层设计和统筹规划，构建以公安交通管理大数据应用为核心，以“智慧监测、智慧指挥、智慧管控、智慧研判和智慧服务”等为主要业务的边界清晰、流程顺畅、运转高效的科技信息化架构，形成信息平台智能、治理手段创新、网络和信息安全、政务和出行服务渠道畅通的信息化建设新格局。</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对新建成的扬州市公安局交通指挥中心和车管所业务技术用房的信息化模块进行搬迁、建设及扩充，增强指挥调度能力。</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71" w:name="_Toc14691"/>
      <w:r>
        <w:rPr>
          <w:rFonts w:hint="eastAsia" w:ascii="宋体" w:hAnsi="宋体" w:cs="宋体"/>
          <w:b/>
          <w:bCs/>
          <w:sz w:val="21"/>
          <w:szCs w:val="21"/>
          <w:lang w:val="en-US" w:eastAsia="zh-CN" w:bidi="ar-SA"/>
        </w:rPr>
        <w:t xml:space="preserve">二、</w:t>
      </w:r>
      <w:r>
        <w:rPr>
          <w:rFonts w:hint="eastAsia" w:ascii="宋体" w:hAnsi="宋体" w:eastAsia="宋体" w:cs="宋体"/>
          <w:b/>
          <w:bCs/>
          <w:sz w:val="21"/>
          <w:szCs w:val="21"/>
          <w:lang w:val="en-US" w:eastAsia="zh-CN" w:bidi="ar-SA"/>
        </w:rPr>
        <w:t xml:space="preserve">建设依据</w:t>
      </w:r>
      <w:bookmarkEnd w:id="7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本方案依据国际、国家和本地区的有关标准和规范进行起草，引用参考了如下文件:</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cs="宋体"/>
          <w:b/>
          <w:bCs/>
          <w:sz w:val="21"/>
          <w:szCs w:val="21"/>
          <w:lang w:val="en-US" w:eastAsia="zh-CN" w:bidi="ar"/>
        </w:rPr>
        <w:t xml:space="preserve">（一）</w:t>
      </w:r>
      <w:r>
        <w:rPr>
          <w:rFonts w:hint="eastAsia" w:ascii="宋体" w:hAnsi="宋体" w:eastAsia="宋体" w:cs="宋体"/>
          <w:b/>
          <w:bCs/>
          <w:sz w:val="21"/>
          <w:szCs w:val="21"/>
          <w:lang w:val="en-US" w:eastAsia="zh-CN" w:bidi="ar"/>
        </w:rPr>
        <w:t xml:space="preserve">政策依据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《公安交通指挥模块设计规范》（GA/T515）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《关于进一步加强全省公安交警部门指挥调度工作的指导意见》（苏公交[2023]54号）》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《江苏省公安交管科技信息化（数智交管）建设指导意见》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《江苏省公安智慧交通总体规划》(2020-2030)</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cs="宋体"/>
          <w:b/>
          <w:bCs/>
          <w:sz w:val="21"/>
          <w:szCs w:val="21"/>
          <w:lang w:val="en-US" w:eastAsia="zh-CN" w:bidi="ar"/>
        </w:rPr>
        <w:t xml:space="preserve">（二）</w:t>
      </w:r>
      <w:r>
        <w:rPr>
          <w:rFonts w:hint="eastAsia" w:ascii="宋体" w:hAnsi="宋体" w:eastAsia="宋体" w:cs="宋体"/>
          <w:b/>
          <w:bCs/>
          <w:sz w:val="21"/>
          <w:szCs w:val="21"/>
          <w:lang w:val="en-US" w:eastAsia="zh-CN" w:bidi="ar"/>
        </w:rPr>
        <w:t xml:space="preserve">技术规范类依据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《智能建筑设计标准》 GB50314-2015；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《民用建筑电气设计标准》 GB51348-2019；</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《公共建筑节能设计标准》 GB50189-2015；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《建筑物防雷设计规范》 GB50057-2010；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《综合布线系统工程设计规范》 GB50311-2016；</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《安全防范工程技术标准》 GB50348-2018；</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《会议电视会场系统工程技术规范》 GB50635-2010；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《数据中心设计规范》 GB50174-2017；</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《建筑节能与可再生能源通用规范》 GB 55015- 2021；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《建筑环境通用规范》 GB 55016-2021；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《建筑电气与智能化通用规范》 GB 55024-2022；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《民用建筑通用规范》 GB 55031-2022；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《安全防范工程通用规范》GB 55029-2022；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《绿色建筑评价标准》 GB/T 50378-2019；</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参考国家标准、行业标准等修订后的最新标准作为依据。除上述规范标准以外，还须遵循国家、行业及地方现行的相关规范和标准要求。</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72" w:name="_Toc10206"/>
      <w:r>
        <w:rPr>
          <w:rFonts w:hint="eastAsia" w:ascii="宋体" w:hAnsi="宋体" w:cs="宋体"/>
          <w:b/>
          <w:bCs/>
          <w:sz w:val="21"/>
          <w:szCs w:val="21"/>
          <w:lang w:val="en-US" w:eastAsia="zh-CN" w:bidi="ar-SA"/>
        </w:rPr>
        <w:t xml:space="preserve">三、</w:t>
      </w:r>
      <w:r>
        <w:rPr>
          <w:rFonts w:hint="eastAsia" w:ascii="宋体" w:hAnsi="宋体" w:eastAsia="宋体" w:cs="宋体"/>
          <w:b/>
          <w:bCs/>
          <w:sz w:val="21"/>
          <w:szCs w:val="21"/>
          <w:lang w:val="en-US" w:eastAsia="zh-CN" w:bidi="ar-SA"/>
        </w:rPr>
        <w:t xml:space="preserve">建设原则</w:t>
      </w:r>
      <w:bookmarkEnd w:id="72"/>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cs="宋体"/>
          <w:b/>
          <w:bCs/>
          <w:sz w:val="21"/>
          <w:szCs w:val="21"/>
          <w:lang w:val="en-US" w:eastAsia="zh-CN" w:bidi="ar"/>
        </w:rPr>
        <w:t xml:space="preserve">（一）</w:t>
      </w:r>
      <w:r>
        <w:rPr>
          <w:rFonts w:hint="eastAsia" w:ascii="宋体" w:hAnsi="宋体" w:eastAsia="宋体" w:cs="宋体"/>
          <w:b/>
          <w:bCs/>
          <w:sz w:val="21"/>
          <w:szCs w:val="21"/>
          <w:lang w:val="en-US" w:eastAsia="zh-CN" w:bidi="ar"/>
        </w:rPr>
        <w:t xml:space="preserve">实战导向，强化实效</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紧密围绕交管业务转型升级和机制改革发展需求，深入推动信息技术与交通管理和服务的深度融合，将智慧应用和服务实战作为交管信息化建设的核心驱动力和出发点，确保信息化建设与交管业务应用紧密衔接，避免信息化建设与业务应用脱节。</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cs="宋体"/>
          <w:b/>
          <w:bCs/>
          <w:sz w:val="21"/>
          <w:szCs w:val="21"/>
          <w:lang w:val="en-US" w:eastAsia="zh-CN" w:bidi="ar"/>
        </w:rPr>
        <w:t xml:space="preserve">（二）</w:t>
      </w:r>
      <w:r>
        <w:rPr>
          <w:rFonts w:hint="eastAsia" w:ascii="宋体" w:hAnsi="宋体" w:eastAsia="宋体" w:cs="宋体"/>
          <w:b/>
          <w:bCs/>
          <w:sz w:val="21"/>
          <w:szCs w:val="21"/>
          <w:lang w:val="en-US" w:eastAsia="zh-CN" w:bidi="ar"/>
        </w:rPr>
        <w:t xml:space="preserve">按需建设，差异化应用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根据交警各部门的具体工作职责和任务分工，明确并细化业务需求，在总体框架的指引下，各业务条块分别进行应用建设，实现分布式开发、一体化应用，以满足不同业务场景的需求。</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cs="宋体"/>
          <w:b/>
          <w:bCs/>
          <w:sz w:val="21"/>
          <w:szCs w:val="21"/>
          <w:lang w:val="en-US" w:eastAsia="zh-CN" w:bidi="ar"/>
        </w:rPr>
        <w:t xml:space="preserve">（三）</w:t>
      </w:r>
      <w:r>
        <w:rPr>
          <w:rFonts w:hint="eastAsia" w:ascii="宋体" w:hAnsi="宋体" w:eastAsia="宋体" w:cs="宋体"/>
          <w:b/>
          <w:bCs/>
          <w:sz w:val="21"/>
          <w:szCs w:val="21"/>
          <w:lang w:val="en-US" w:eastAsia="zh-CN" w:bidi="ar"/>
        </w:rPr>
        <w:t xml:space="preserve">统筹兼顾，促进互联互通</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加强交警信息化建设的顶层设计，全面整合和利用现有系统、资源、软硬件设施，避免重复建设，降低建设成本。同时，积极推进与部局、其他警种、其他单位之间的信息资源交换与共享，实现交管重要信息系统的互联互通和协同应用，以充分发挥信息化的整体效益。</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73" w:name="_Toc31880"/>
      <w:r>
        <w:rPr>
          <w:rFonts w:hint="eastAsia" w:ascii="宋体" w:hAnsi="宋体" w:cs="宋体"/>
          <w:b/>
          <w:bCs/>
          <w:sz w:val="21"/>
          <w:szCs w:val="21"/>
          <w:lang w:val="en-US" w:eastAsia="zh-CN" w:bidi="ar-SA"/>
        </w:rPr>
        <w:t xml:space="preserve">四、</w:t>
      </w:r>
      <w:r>
        <w:rPr>
          <w:rFonts w:hint="eastAsia" w:ascii="宋体" w:hAnsi="宋体" w:eastAsia="宋体" w:cs="宋体"/>
          <w:b/>
          <w:bCs/>
          <w:sz w:val="21"/>
          <w:szCs w:val="21"/>
          <w:lang w:val="en-US" w:eastAsia="zh-CN" w:bidi="ar-SA"/>
        </w:rPr>
        <w:t xml:space="preserve">建设目标</w:t>
      </w:r>
      <w:bookmarkEnd w:id="7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以提升道路交通治理体系和治理能力现代化为总体导向，紧密围绕省厅、总队及市局所构建的智慧警务新体系的核心任务，紧密结合我市公安交通管理的实际需求。充分利用大数据、云计算等前沿技术，强化顶层设计与统筹规划，旨在构建一个以公安交通管理大数据应用为基石，涵盖“智慧监测、智慧指挥、智慧管控、智慧研判与智慧服务”等关键业务的科技信息化架构。本项目相关终端和服务器芯片等产品参照财政部最新政府采购需求标准选用相关产品，符合国家安全可靠测评要求。</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74" w:name="_Toc937"/>
      <w:r>
        <w:rPr>
          <w:rFonts w:hint="eastAsia" w:ascii="宋体" w:hAnsi="宋体" w:cs="宋体"/>
          <w:b/>
          <w:bCs/>
          <w:sz w:val="21"/>
          <w:szCs w:val="21"/>
          <w:lang w:val="en-US" w:eastAsia="zh-CN" w:bidi="ar-SA"/>
        </w:rPr>
        <w:t xml:space="preserve">五、</w:t>
      </w:r>
      <w:r>
        <w:rPr>
          <w:rFonts w:hint="eastAsia" w:ascii="宋体" w:hAnsi="宋体" w:eastAsia="宋体" w:cs="宋体"/>
          <w:b/>
          <w:bCs/>
          <w:sz w:val="21"/>
          <w:szCs w:val="21"/>
          <w:lang w:val="en-US" w:eastAsia="zh-CN" w:bidi="ar-SA"/>
        </w:rPr>
        <w:t xml:space="preserve">建设方案</w:t>
      </w:r>
      <w:bookmarkEnd w:id="74"/>
      <w:r/>
      <w:r/>
    </w:p>
    <w:p>
      <w:pPr>
        <w:ind w:firstLine="422"/>
        <w:rPr>
          <w:rFonts w:hint="eastAsia" w:ascii="宋体" w:hAnsi="宋体" w:eastAsia="宋体" w:cs="宋体"/>
          <w:b/>
          <w:bCs/>
          <w:szCs w:val="24"/>
          <w:lang w:val="en-US" w:eastAsia="zh-CN" w:bidi="ar-SA"/>
        </w:rPr>
        <w:outlineLvl w:val="2"/>
      </w:pPr>
      <w:r/>
      <w:bookmarkStart w:id="75" w:name="_Toc28311"/>
      <w:r>
        <w:rPr>
          <w:rFonts w:hint="eastAsia" w:ascii="宋体" w:hAnsi="宋体" w:cs="宋体"/>
          <w:b/>
          <w:bCs/>
          <w:szCs w:val="24"/>
          <w:lang w:val="en-US" w:eastAsia="zh-CN" w:bidi="ar-SA"/>
        </w:rPr>
        <w:t xml:space="preserve">（一）</w:t>
      </w:r>
      <w:r>
        <w:rPr>
          <w:rFonts w:hint="eastAsia" w:ascii="宋体" w:hAnsi="宋体" w:eastAsia="宋体" w:cs="宋体"/>
          <w:b/>
          <w:bCs/>
          <w:szCs w:val="24"/>
          <w:lang w:val="en-US" w:eastAsia="zh-CN" w:bidi="ar-SA"/>
        </w:rPr>
        <w:t xml:space="preserve">建设内容</w:t>
      </w:r>
      <w:bookmarkEnd w:id="75"/>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bookmarkStart w:id="76" w:name="_Toc20723"/>
      <w:r/>
      <w:bookmarkStart w:id="77" w:name="_Toc20486"/>
      <w:r/>
      <w:bookmarkStart w:id="78" w:name="_Toc11702"/>
      <w:r/>
      <w:bookmarkStart w:id="79" w:name="_Toc8610"/>
      <w:r/>
      <w:bookmarkStart w:id="80" w:name="_Toc19032"/>
      <w:r/>
      <w:bookmarkStart w:id="81" w:name="_Toc9792"/>
      <w:r>
        <w:rPr>
          <w:rFonts w:hint="eastAsia" w:ascii="宋体" w:hAnsi="宋体" w:eastAsia="宋体" w:cs="宋体"/>
          <w:b/>
          <w:bCs/>
          <w:sz w:val="21"/>
          <w:szCs w:val="21"/>
          <w:lang w:val="en-US" w:eastAsia="zh-CN" w:bidi="ar"/>
        </w:rPr>
        <w:t xml:space="preserve">1.交通指挥中心</w:t>
      </w:r>
      <w:bookmarkEnd w:id="76"/>
      <w:r/>
      <w:bookmarkEnd w:id="77"/>
      <w:r/>
      <w:bookmarkEnd w:id="78"/>
      <w:r/>
      <w:bookmarkEnd w:id="79"/>
      <w:r/>
      <w:bookmarkEnd w:id="80"/>
      <w:r/>
      <w:bookmarkEnd w:id="81"/>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（1）硬件设备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大屏显示模块</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（2）综合性集成应用平台</w:t>
      </w:r>
      <w:r/>
    </w:p>
    <w:p>
      <w:pPr>
        <w:ind w:left="0" w:right="0" w:firstLine="638"/>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A、公安交通集成指挥模块智能化升级</w:t>
      </w:r>
      <w:r/>
    </w:p>
    <w:p>
      <w:pPr>
        <w:ind w:left="0" w:right="0" w:firstLine="638"/>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B、移动执法警务模块智能化升级</w:t>
      </w:r>
      <w:r/>
    </w:p>
    <w:p>
      <w:pPr>
        <w:ind w:left="0" w:right="0" w:firstLine="638"/>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C、交通管理互联网服务模块（采购交通管理交通评价诊断和治理服务）</w:t>
      </w:r>
      <w:r/>
    </w:p>
    <w:p>
      <w:pPr>
        <w:ind w:left="0" w:right="0" w:firstLine="638"/>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D、风险防控管理模块</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2.其它费用</w:t>
      </w:r>
      <w:r/>
    </w:p>
    <w:p>
      <w:pPr>
        <w:ind w:left="0" w:right="0" w:firstLine="638"/>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（1）软件测评</w:t>
      </w:r>
      <w:r/>
    </w:p>
    <w:p>
      <w:pPr>
        <w:ind w:left="0" w:right="0" w:firstLine="638"/>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 等保测评</w:t>
      </w:r>
      <w:r/>
    </w:p>
    <w:p>
      <w:pPr>
        <w:ind w:firstLine="422"/>
        <w:rPr>
          <w:rFonts w:hint="eastAsia" w:ascii="宋体" w:hAnsi="宋体" w:eastAsia="宋体" w:cs="宋体"/>
          <w:b/>
          <w:bCs/>
          <w:szCs w:val="24"/>
          <w:lang w:val="en-US" w:eastAsia="zh-CN" w:bidi="ar-SA"/>
        </w:rPr>
        <w:outlineLvl w:val="2"/>
      </w:pPr>
      <w:r/>
      <w:bookmarkStart w:id="82" w:name="_Toc15822"/>
      <w:r>
        <w:rPr>
          <w:rFonts w:hint="eastAsia" w:ascii="宋体" w:hAnsi="宋体" w:cs="宋体"/>
          <w:b/>
          <w:bCs/>
          <w:szCs w:val="24"/>
          <w:lang w:val="en-US" w:eastAsia="zh-CN" w:bidi="ar-SA"/>
        </w:rPr>
        <w:t xml:space="preserve">（二）</w:t>
      </w:r>
      <w:r>
        <w:rPr>
          <w:rFonts w:hint="eastAsia" w:ascii="宋体" w:hAnsi="宋体" w:eastAsia="宋体" w:cs="宋体"/>
          <w:b/>
          <w:bCs/>
          <w:szCs w:val="24"/>
          <w:lang w:val="en-US" w:eastAsia="zh-CN" w:bidi="ar-SA"/>
        </w:rPr>
        <w:t xml:space="preserve">工期要求</w:t>
      </w:r>
      <w:bookmarkEnd w:id="8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自合同签订之日起，</w:t>
      </w:r>
      <w:r>
        <w:rPr>
          <w:rFonts w:hint="eastAsia" w:ascii="宋体" w:hAnsi="宋体" w:cs="宋体"/>
          <w:color w:val="000000" w:themeColor="text1"/>
          <w:sz w:val="21"/>
          <w:szCs w:val="21"/>
          <w:lang w:val="en-US" w:eastAsia="zh-CN" w:bidi="ar"/>
          <w14:textFill>
            <w14:solidFill>
              <w14:schemeClr w14:val="tx1"/>
            </w14:solidFill>
          </w14:textFill>
        </w:rPr>
        <w:t xml:space="preserve">30</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日内完成项目实施工作并投入试运行，试运行平稳三个月后进行项目验收。</w:t>
      </w:r>
      <w:r/>
    </w:p>
    <w:p>
      <w:pPr>
        <w:ind w:firstLine="422"/>
        <w:jc w:val="left"/>
        <w:spacing w:line="360" w:lineRule="auto"/>
        <w:widowControl w:val="off"/>
        <w:rPr>
          <w:rFonts w:hint="default" w:ascii="宋体" w:hAnsi="宋体" w:eastAsia="宋体" w:cs="宋体"/>
          <w:b/>
          <w:bCs/>
          <w:sz w:val="21"/>
          <w:szCs w:val="21"/>
          <w:lang w:val="en-US" w:eastAsia="zh-CN" w:bidi="ar-SA"/>
        </w:rPr>
        <w:outlineLvl w:val="0"/>
      </w:pPr>
      <w:r/>
      <w:bookmarkStart w:id="83" w:name="_Toc11604"/>
      <w:r>
        <w:rPr>
          <w:rFonts w:hint="eastAsia" w:ascii="宋体" w:hAnsi="宋体" w:cs="宋体"/>
          <w:b/>
          <w:bCs/>
          <w:sz w:val="21"/>
          <w:szCs w:val="21"/>
          <w:lang w:val="en-US" w:eastAsia="zh-CN" w:bidi="ar-SA"/>
        </w:rPr>
        <w:t xml:space="preserve">六、</w:t>
      </w:r>
      <w:r>
        <w:rPr>
          <w:rFonts w:hint="eastAsia" w:ascii="宋体" w:hAnsi="宋体" w:eastAsia="宋体" w:cs="宋体"/>
          <w:b/>
          <w:bCs/>
          <w:sz w:val="21"/>
          <w:szCs w:val="21"/>
          <w:lang w:val="en-US" w:eastAsia="zh-CN" w:bidi="ar-SA"/>
        </w:rPr>
        <w:t xml:space="preserve">建设</w:t>
      </w:r>
      <w:bookmarkEnd w:id="83"/>
      <w:r>
        <w:rPr>
          <w:rFonts w:hint="eastAsia" w:ascii="宋体" w:hAnsi="宋体" w:cs="宋体"/>
          <w:b/>
          <w:bCs/>
          <w:sz w:val="21"/>
          <w:szCs w:val="21"/>
          <w:lang w:val="en-US" w:eastAsia="zh-CN" w:bidi="ar-SA"/>
        </w:rPr>
        <w:t xml:space="preserve">要求</w:t>
      </w:r>
      <w:r/>
    </w:p>
    <w:p>
      <w:pPr>
        <w:ind w:left="210"/>
        <w:spacing w:line="360" w:lineRule="auto"/>
        <w:rPr>
          <w:rFonts w:hint="eastAsia" w:ascii="宋体" w:hAnsi="宋体" w:eastAsia="宋体" w:cs="宋体"/>
          <w:b/>
          <w:bCs/>
          <w:sz w:val="21"/>
          <w:szCs w:val="21"/>
          <w:lang w:val="en-US" w:eastAsia="zh-CN" w:bidi="ar-SA"/>
        </w:rPr>
        <w:outlineLvl w:val="2"/>
      </w:pPr>
      <w:r/>
      <w:bookmarkStart w:id="84" w:name="_Toc24497"/>
      <w:r>
        <w:rPr>
          <w:rFonts w:hint="eastAsia" w:ascii="宋体" w:hAnsi="宋体" w:cs="宋体"/>
          <w:b/>
          <w:bCs/>
          <w:sz w:val="21"/>
          <w:szCs w:val="21"/>
          <w:lang w:val="en-US" w:eastAsia="zh-CN" w:bidi="ar-SA"/>
        </w:rPr>
        <w:t xml:space="preserve">（一）</w:t>
      </w:r>
      <w:r>
        <w:rPr>
          <w:rFonts w:hint="eastAsia" w:ascii="宋体" w:hAnsi="宋体" w:eastAsia="宋体" w:cs="宋体"/>
          <w:b/>
          <w:bCs/>
          <w:sz w:val="21"/>
          <w:szCs w:val="21"/>
          <w:lang w:val="en-US" w:eastAsia="zh-CN" w:bidi="ar-SA"/>
        </w:rPr>
        <w:t xml:space="preserve">交通指挥中心</w:t>
      </w:r>
      <w:bookmarkEnd w:id="8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项目现场实际空间，本次交警支队交通指挥控制中心设计一套以小间距LED显示屏为核心的显示模块，LED显示屏幕采用单元箱体模块化组合形式搭建，单元箱体间无缝隙，并可根据不同使用环境进行自由尺寸拼接，整屏拼接大小支持自定义，可拼接出超大尺寸巨型屏幕及超高分辨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本项目显示模块要实现高分辨率、高刷新、高稳定性能等特点，结合用户业务模式、使用环境进行合理设计，实现无缝隙、大尺寸、高分辨率显示效果。</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整体坐席分布均在较好的视角范围内，后排领导席位抬高2个台阶，保证最佳观看效果。根据指挥中心环境特点，LED屏安装结构采用优质钢材定制，外框采用不锈钢拉丝包边，装饰包边可与现场装修风格保持统一。大屏显示安装钢结构依据现场环境及要求进行设计。</w:t>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硬件设备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次项目显示模块设计一块P1.25小间距LED显示屏，采用弧形屏设计，安装采用距地500mm高标准座装后维护方式。显示屏设计尺寸为宽27.6m×高5.4m，像素间距为1.25mm，由736块P1.25mmLED显示单元按46列16行拼接而成，LED显示屏的整屏物理分辨率达到22080×4320。 以小间距LED显示屏为核心，融合分布式模块、智能配电柜等设备，由控制PC统一调取视频拼接器所接入的信号至LED显示屏进行实时显示，以及控制LED显示屏开关等操作。</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屏幕基本要素如下：</w:t>
      </w:r>
      <w:r/>
    </w:p>
    <w:tbl>
      <w:tblPr>
        <w:tblStyle w:val="739"/>
        <w:tblW w:w="8058" w:type="dxa"/>
        <w:tblInd w:w="204" w:type="dxa"/>
        <w:tblLayout w:type="autofit"/>
        <w:tblCellMar>
          <w:left w:w="0" w:type="dxa"/>
          <w:top w:w="0" w:type="dxa"/>
          <w:right w:w="0" w:type="dxa"/>
          <w:bottom w:w="0" w:type="dxa"/>
        </w:tblCellMar>
        <w:tblLook w:val="04A0" w:firstRow="1" w:lastRow="0" w:firstColumn="1" w:lastColumn="0" w:noHBand="0" w:noVBand="1"/>
      </w:tblPr>
      <w:tblGrid>
        <w:gridCol w:w="2843"/>
        <w:gridCol w:w="5215"/>
      </w:tblGrid>
      <w:tr>
        <w:trPr>
          <w:trHeight w:val="231"/>
        </w:trPr>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2843"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521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显示屏</w:t>
            </w:r>
            <w:r/>
          </w:p>
        </w:tc>
      </w:tr>
      <w:tr>
        <w:trPr>
          <w:trHeight w:val="222"/>
        </w:trPr>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2843"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屏幕尺寸（宽×高）</w:t>
            </w:r>
            <w:r/>
          </w:p>
        </w:tc>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521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27.6米×5.4米=149.04平方米</w:t>
            </w:r>
            <w:r/>
          </w:p>
        </w:tc>
      </w:tr>
      <w:tr>
        <w:trPr>
          <w:trHeight w:val="206"/>
        </w:trPr>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2843"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像素间距</w:t>
            </w:r>
            <w:r/>
          </w:p>
        </w:tc>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521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1.25mm</w:t>
            </w:r>
            <w:r/>
          </w:p>
        </w:tc>
      </w:tr>
      <w:tr>
        <w:trPr>
          <w:trHeight w:val="52"/>
        </w:trPr>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2843"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物理分辨率</w:t>
            </w:r>
            <w:r/>
          </w:p>
        </w:tc>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5215" w:type="dxa"/>
            <w:vAlign w:val="center"/>
            <w:textDirection w:val="lrTb"/>
            <w:noWrap w:val="false"/>
          </w:tcPr>
          <w:p>
            <w:pPr>
              <w:jc w:val="center"/>
              <w:rPr>
                <w:rFonts w:hint="default" w:ascii="宋体" w:hAnsi="宋体" w:eastAsia="宋体" w:cs="宋体"/>
                <w:szCs w:val="24"/>
                <w:lang w:val="en-US" w:eastAsia="zh-CN" w:bidi="ar-SA"/>
              </w:rPr>
            </w:pPr>
            <w:r>
              <w:rPr>
                <w:rFonts w:hint="eastAsia" w:ascii="宋体" w:hAnsi="宋体" w:eastAsia="宋体" w:cs="宋体"/>
                <w:szCs w:val="24"/>
                <w:lang w:val="en-US" w:eastAsia="zh-CN" w:bidi="ar-SA"/>
              </w:rPr>
              <w:t xml:space="preserve">22080点（宽）X4320点（高）</w:t>
            </w:r>
            <w:r/>
          </w:p>
        </w:tc>
      </w:tr>
      <w:tr>
        <w:trPr>
          <w:trHeight w:val="255"/>
        </w:trPr>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2843"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屏幕亮度</w:t>
            </w:r>
            <w:r/>
          </w:p>
        </w:tc>
        <w:tc>
          <w:tcPr>
            <w:tcBorders>
              <w:top w:val="single" w:color="auto" w:sz="4" w:space="0"/>
              <w:left w:val="single" w:color="auto" w:sz="4" w:space="0"/>
              <w:bottom w:val="single" w:color="auto" w:sz="4" w:space="0"/>
              <w:right w:val="single" w:color="auto" w:sz="4" w:space="0"/>
            </w:tcBorders>
            <w:tcMar>
              <w:left w:w="108" w:type="dxa"/>
              <w:top w:w="15" w:type="dxa"/>
              <w:right w:w="108" w:type="dxa"/>
              <w:bottom w:w="0" w:type="dxa"/>
            </w:tcMar>
            <w:tcW w:w="521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≥800nits（校正后）</w:t>
            </w:r>
            <w:r/>
          </w:p>
        </w:tc>
      </w:tr>
    </w:tbl>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本项目显示屏功耗，设计一台100KW容量智能配电柜，含PLC控制模块配电柜内置PLC控制模块，结合PLC控制模块，可实时获取屏体内部温度，烟雾等环境数据，能进行远程开关机的操作，同时支持指令计划表，实现定时延迟启动。整个显示模块的电源管理统一由控制主机终端通过PLC调用管理；平台和设备的控制信号为网络连接，接入方便；模块平台支持拼接控制器输入信号预监功能，提高操作的准确性和灵活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供配电模块：供电电源采用三相四线制的交流380V电源输入LED配电柜，LED配电柜专为LED 产品设计，采用原则上采用不带防雷器的配电柜，采用TN-S供电模块。配电模块需要与大楼接地模块相连，防雷、接地模块及安全保护措施：配电柜电气设备的保护接地电阻阻值要求不大于1欧姆,实测不满足要求时，增设人工接地。凡正常不带电，而当绝缘破坏有可能呈现电压的一切电气设备金属外壳均应可靠接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LED显示屏产品应采用一体化驱动主板设计，通过接插件与LED灯板结合，保证信号稳定可靠，而旧式排线方式连接则易发生故障。同时将所有数据接收、处理、存储、回传等功能芯片都集成在一张主板上，工业集成度高，有利于模块化设计和后期维护操作。</w:t>
      </w:r>
      <w:bookmarkStart w:id="85" w:name="_Toc21683"/>
      <w:r/>
      <w:bookmarkStart w:id="86" w:name="_Toc7874"/>
      <w:r>
        <w:rPr>
          <w:rFonts w:hint="eastAsia" w:ascii="宋体" w:hAnsi="宋体" w:eastAsia="宋体" w:cs="宋体"/>
          <w:sz w:val="21"/>
          <w:szCs w:val="21"/>
          <w:lang w:val="en-US" w:eastAsia="zh-CN" w:bidi="ar"/>
        </w:rPr>
        <w:t xml:space="preserve">宜采用共阴LED驱动⽅式</w:t>
      </w:r>
      <w:bookmarkEnd w:id="85"/>
      <w:r/>
      <w:bookmarkEnd w:id="86"/>
      <w:r>
        <w:rPr>
          <w:rFonts w:hint="eastAsia" w:ascii="宋体" w:hAnsi="宋体" w:eastAsia="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主扩音箱采用两只500w全频音箱，辅助音箱采用12只吸顶音箱，搭配音频处理器、调音台等周边设备，发言模块设计有线手拉手会议模块。选用8只有线话筒，发言单元采用便携式手拉手安装。 </w:t>
      </w:r>
      <w:bookmarkStart w:id="87" w:name="_Toc15488"/>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SA"/>
        </w:rPr>
        <w:suppressLineNumbers w:val="0"/>
      </w:pPr>
      <w:r>
        <w:rPr>
          <w:rFonts w:hint="eastAsia" w:ascii="宋体" w:hAnsi="宋体" w:cs="宋体"/>
          <w:b/>
          <w:bCs/>
          <w:sz w:val="21"/>
          <w:szCs w:val="21"/>
          <w:lang w:val="en-US" w:eastAsia="zh-CN" w:bidi="ar-SA"/>
        </w:rPr>
        <w:t xml:space="preserve">（二）</w:t>
      </w:r>
      <w:r>
        <w:rPr>
          <w:rFonts w:hint="eastAsia" w:ascii="宋体" w:hAnsi="宋体" w:eastAsia="宋体" w:cs="宋体"/>
          <w:b/>
          <w:bCs/>
          <w:sz w:val="21"/>
          <w:szCs w:val="21"/>
          <w:lang w:val="en-US" w:eastAsia="zh-CN" w:bidi="ar-SA"/>
        </w:rPr>
        <w:t xml:space="preserve">综合性集成应用平台</w:t>
      </w:r>
      <w:bookmarkEnd w:id="87"/>
      <w:r/>
      <w:r/>
    </w:p>
    <w:p>
      <w:pPr>
        <w:ind w:firstLine="422"/>
        <w:spacing w:line="360" w:lineRule="auto"/>
        <w:rPr>
          <w:rFonts w:hint="eastAsia" w:ascii="宋体" w:hAnsi="宋体" w:eastAsia="宋体" w:cs="宋体"/>
          <w:b/>
          <w:bCs/>
          <w:sz w:val="21"/>
          <w:szCs w:val="21"/>
          <w:lang w:val="en-US" w:eastAsia="zh-CN" w:bidi="ar-SA"/>
        </w:rPr>
        <w:outlineLvl w:val="2"/>
      </w:pPr>
      <w:r/>
      <w:bookmarkStart w:id="88" w:name="_Toc9807"/>
      <w:r/>
      <w:bookmarkStart w:id="89" w:name="_Toc32336"/>
      <w:r>
        <w:rPr>
          <w:rFonts w:hint="eastAsia" w:ascii="宋体" w:hAnsi="宋体" w:eastAsia="宋体" w:cs="宋体"/>
          <w:b/>
          <w:bCs/>
          <w:sz w:val="21"/>
          <w:szCs w:val="21"/>
          <w:lang w:val="en-US" w:eastAsia="zh-CN" w:bidi="ar-SA"/>
        </w:rPr>
        <w:t xml:space="preserve">1.公安交通集成指挥模块智能化升级</w:t>
      </w:r>
      <w:bookmarkEnd w:id="88"/>
      <w:r/>
      <w:bookmarkEnd w:id="8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按照部局相关规范，扬州市公安局交警支队于2018年部署了全国统一版本的公安交通集成指挥平台，通过集成指挥平台建设，实现道路交通状态智能感知、动态交通态势研判发布、交通违法主动干预、机动车缉查布控、突发事件应急处置、警力科学部署指挥等业务管理，构建快速高效交通指挥体系、常态实战的新型勤务机制，提高交警执法能力和水平，保证道路畅通安全，规范道路行车秩序，有效防范和减少道路交通事故。</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集成指挥平台是目前非现场违法审核上传的唯一工具。根据公安部交管局要求，所有非现场违法必须实时全量上传集成指挥平台进行审核。</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集成指挥平台也是部局、总队考核支队的重点项目。2019年的“除隐患、防事故、保大庆”考核中与集成指挥平台相关的有13项，2020年“主要业务指标考核”中与集成指挥平台相关的有24项，2021年“减量控大”考核中与集成指挥平台相关的有14项，2022年“减量控大”考核中与集成指挥平台相关的有17项，2023年“减量控大”考核中与集成指挥平台相关的有17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为健全机动车布控查控体系，落实分级分类预警机制，强化对严重交通违法行为分析研判和拦截查处，全面提升执法效能，本次升级功能主要包括公路交通安全防控、交通违法分析研判、应急指挥调度等方面。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具体建设内容见公安交通集成指挥模块智能化升级项目清单。</w:t>
      </w:r>
      <w:r/>
    </w:p>
    <w:p>
      <w:pPr>
        <w:ind w:firstLine="422"/>
        <w:spacing w:line="360" w:lineRule="auto"/>
        <w:rPr>
          <w:rFonts w:hint="eastAsia" w:ascii="宋体" w:hAnsi="宋体" w:eastAsia="宋体" w:cs="宋体"/>
          <w:b/>
          <w:bCs/>
          <w:sz w:val="21"/>
          <w:szCs w:val="21"/>
          <w:lang w:val="en-US" w:eastAsia="zh-CN" w:bidi="ar-SA"/>
        </w:rPr>
        <w:outlineLvl w:val="2"/>
      </w:pPr>
      <w:r/>
      <w:bookmarkStart w:id="90" w:name="_Toc6529"/>
      <w:r/>
      <w:bookmarkStart w:id="91" w:name="_Toc5211"/>
      <w:r>
        <w:rPr>
          <w:rFonts w:hint="eastAsia" w:ascii="宋体" w:hAnsi="宋体" w:eastAsia="宋体" w:cs="宋体"/>
          <w:b/>
          <w:bCs/>
          <w:sz w:val="21"/>
          <w:szCs w:val="21"/>
          <w:lang w:val="en-US" w:eastAsia="zh-CN" w:bidi="ar-SA"/>
        </w:rPr>
        <w:t xml:space="preserve">2.移动执法警务模块智能化升级</w:t>
      </w:r>
      <w:bookmarkEnd w:id="90"/>
      <w:r/>
      <w:bookmarkEnd w:id="9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bookmarkStart w:id="92" w:name="_Toc55204181"/>
      <w:r>
        <w:rPr>
          <w:rFonts w:hint="eastAsia" w:ascii="宋体" w:hAnsi="宋体" w:eastAsia="宋体" w:cs="宋体"/>
          <w:sz w:val="21"/>
          <w:szCs w:val="21"/>
          <w:lang w:val="en-US" w:eastAsia="zh-CN" w:bidi="ar"/>
        </w:rPr>
        <w:t xml:space="preserve">本项目移动警务平台基于省厅移动警务安全接入平台建设，由警务通终端、无线传输链路、联网服务子平台、移动安全接入子平台、公安信息网服务子平台构成。</w:t>
      </w:r>
      <w:r/>
    </w:p>
    <w:p>
      <w:pPr>
        <w:ind w:firstLine="482"/>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警务通终端：警务通终端安装加密卡，通过省厅管控，实现终端的安全可信。</w:t>
      </w:r>
      <w:r/>
    </w:p>
    <w:p>
      <w:pPr>
        <w:ind w:firstLine="482"/>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无线传输链路：为了确保网络接入安全，防止非授权用户的非法接入和攻击，模块采用APN（移动）/VPDN（电信及联通）接入方式。</w:t>
      </w:r>
      <w:r/>
    </w:p>
    <w:p>
      <w:pPr>
        <w:ind w:firstLine="482"/>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联网服务子平台：为移动警务Ⅱ类模块的开展提供安全保障和应用支撑，本项目“远程双警执法音视频服务”部署在该子平台。</w:t>
      </w:r>
      <w:r/>
    </w:p>
    <w:p>
      <w:pPr>
        <w:ind w:firstLine="482"/>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移动安全接入子平台：为公安移动信息网与公安信息网的资源共享提供安全边界与数据交互通道。</w:t>
      </w:r>
      <w:r/>
    </w:p>
    <w:p>
      <w:pPr>
        <w:ind w:firstLine="482"/>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公安信息网服务子平台：为移动警务Ⅲ类模块的开展提供安全保障和应用支撑，本项目“掌上速裁模块”部署在公安信息网。</w:t>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bookmarkStart w:id="93" w:name="_Toc20417"/>
      <w:r/>
      <w:bookmarkStart w:id="94" w:name="_Toc1864"/>
      <w:r>
        <w:rPr>
          <w:rFonts w:hint="eastAsia" w:ascii="宋体" w:hAnsi="宋体" w:eastAsia="宋体" w:cs="宋体"/>
          <w:b/>
          <w:bCs/>
          <w:sz w:val="21"/>
          <w:szCs w:val="21"/>
          <w:lang w:val="en-US" w:eastAsia="zh-CN" w:bidi="ar-SA"/>
        </w:rPr>
        <w:t xml:space="preserve">（1）远程双警执法模块</w:t>
      </w:r>
      <w:bookmarkEnd w:id="93"/>
      <w:r/>
      <w:bookmarkEnd w:id="9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依托省厅警务平台搭建音视频服务，支撑公安网的远程执法服务，将“路面执法”与“中心民警视频执法”进行深度融合，实现视频协同执法，有效缓解警力不足的难题，并能规避单一民警在执法中带来的复议诉讼风险。</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视频对讲服务组件</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符合省厅安全接入要求，部署在二类区，包括群组对讲、单呼、定位、多媒体IM、视频回传、图片拍传等业务，支持一对一视频通话功能。可对视频通话进行实时录制，支持视频回放。可自动关联至现场违法处理数据，实现违法数据与视频证据的强关联关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包括：</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调度组功能：显示当前调度台用户所在的群组列表，并可查看组内成员。调度台可在此创建新的群组、以及删除群组，可以对组内成员进行添加和删除。可创建的组类型有语音对讲组、视频会议。可对组内的单个成员发起语音呼叫、双向视频、获取定位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视频监控功能：调度台可以显示正在进行的多路的视频通话、视频监控画面显示，并支持调整多种分屏方式。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通话监控功能：显示目前正在进行通话的线路，显示内容包括主叫和被叫，可进行强插、强拆操作。</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记录管理功能：提供拍照管理、录像管理。在视频通话或视频会议过程中，调度台期间可进行拍照和录像，生成的照片和录像都将保存在此处管理。点击可查看对应的照片和视频录像文件。</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模块需支持接入不同类型终端，执法记录仪、智能手机、专用终端等。</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违法处理</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包括机动车简易违法和非机动车、行人、乘车人简易违法采集与处理。提供适用于路面执勤时200元以下所有违法类型处罚录入功能，支持违法单据的实时录入与提交至后台和公安交通管理综合应用平台，对当事人、车辆等要素的报警、校验、提示模块。要求兼容现有现场双民警执法模式。</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远程视频处罚</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获取在线民警列表并根据民警的通话状态作出区分，实现现场民警和远程民警视频通话功能，并根据现场案件信息在现场民警和远程民警端提示不同的宣读内容，远程民警展示预览文书内容。</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远程执法案件查询与视频上传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根据自定义时间范围，查询当天之前的远程执法案件信息，根据视频上传状态提供视频从二类区下载，并上传到公安信息网功能。</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视频合成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每天夜间将当天远程执法视频进行合成，将现场民警与远程民警视频合成为一个视频。</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远程执法数据查询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在移动警务后台新增该功能，支持根据案件信息查询远程执法数据，并查看已经上传的视频信息。</w:t>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bookmarkStart w:id="95" w:name="_Toc11957"/>
      <w:r/>
      <w:bookmarkStart w:id="96" w:name="_Toc15872"/>
      <w:r>
        <w:rPr>
          <w:rFonts w:hint="eastAsia" w:ascii="宋体" w:hAnsi="宋体" w:eastAsia="宋体" w:cs="宋体"/>
          <w:b/>
          <w:bCs/>
          <w:sz w:val="21"/>
          <w:szCs w:val="21"/>
          <w:lang w:val="en-US" w:eastAsia="zh-CN" w:bidi="ar-SA"/>
        </w:rPr>
        <w:t xml:space="preserve">（2）掌上速裁模块</w:t>
      </w:r>
      <w:bookmarkEnd w:id="95"/>
      <w:r/>
      <w:bookmarkEnd w:id="9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将一般程序执法重心前移至路面，在执法现场取证，告知，审批，裁决，进而实现部分一般程序违法案件现场办结，全部案件现场取证的“速裁”的工作模式。</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数据核查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通过查询公安驾驶证，机动车信息以及违法行为信息来判断是否符合现场速裁情形。包括核查驾驶人信息，显示人员姓名、记分、违法未处理等情况；核查机动车信息，显示交通方式、车主、违法未处理等情况；判断新增违法是否会达到满分；支持二代身份证读卡、号牌自动识别等功能。</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告知书</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当事人若同意进行现场速裁，模块可生成《权利义务告知书》，进行打印并让当事人签字，签字、送达过程进行视频拍摄。</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违法数据采集：采集违法时间、地点、当事人联系方式、住址、违法取证照片等信息。</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询问笔录</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在移动警务模块后台新增询问笔录模板设置功能，可以针对不同违法行为设置询问笔录模板。现场民警根据采集的违法行为，自动调用后台询问笔录模板，生成询问笔录。询问过程进行视频拍摄。</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告知笔录</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模块自动生成《告知笔录》，打印后由当事人签字，签字、送达过程进行视频拍摄。</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案件审批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将已经完成信息采集、告知、询问笔录、告知笔录的案件在正式录入前推送数据给大队中队指定管理人员，管理人员在查看案件数据后可以进行审批，现场民警需等待审批完成后才可以开具行政处罚决定书。</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bookmarkStart w:id="97" w:name="_Toc161666775"/>
      <w:r>
        <w:rPr>
          <w:rFonts w:hint="eastAsia" w:ascii="宋体" w:hAnsi="宋体" w:eastAsia="宋体" w:cs="宋体"/>
          <w:b/>
          <w:bCs/>
          <w:sz w:val="21"/>
          <w:szCs w:val="21"/>
          <w:lang w:val="en-US" w:eastAsia="zh-CN" w:bidi="ar"/>
        </w:rPr>
        <w:t xml:space="preserve">处罚决定书</w:t>
      </w:r>
      <w:bookmarkEnd w:id="97"/>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打印处罚决定书，交由当事人签字，签字、送达过程进行视频拍摄。若所办案件为准驾不符或无证驾驶，还需打印《代驾记录单》；擅自改变机动车外形等情况，还需打印《责令整改通知书》。</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文书留存</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进行所有文书拍摄并上传保存。</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数据查看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在现有移动警务后台增加“掌上速裁数据查询”功能，根据案件信息查询现场速裁案件数据，并查看已经上传的视频信息、图片信息。</w:t>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bookmarkStart w:id="98" w:name="_Toc27387"/>
      <w:r/>
      <w:bookmarkStart w:id="99" w:name="_Toc32752"/>
      <w:r/>
      <w:bookmarkStart w:id="100" w:name="_Toc13007"/>
      <w:r>
        <w:rPr>
          <w:rFonts w:hint="eastAsia" w:ascii="宋体" w:hAnsi="宋体" w:eastAsia="宋体" w:cs="宋体"/>
          <w:b/>
          <w:bCs/>
          <w:sz w:val="21"/>
          <w:szCs w:val="21"/>
          <w:lang w:val="en-US" w:eastAsia="zh-CN" w:bidi="ar-SA"/>
        </w:rPr>
        <w:t xml:space="preserve">（3）专用警务通终端升级</w:t>
      </w:r>
      <w:bookmarkEnd w:id="98"/>
      <w:r/>
      <w:bookmarkEnd w:id="99"/>
      <w:r/>
      <w:bookmarkEnd w:id="10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为满足双警执法视频对讲需求，需要对现有警务通终端（信电P999-XD）进行升级改造，主要包括：</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单北斗定位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通过底层模块接口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调整，关闭现有坐标等其他定位接口，仅保留北斗定位。</w:t>
      </w:r>
      <w:r/>
    </w:p>
    <w:p>
      <w:pPr>
        <w:ind w:firstLine="422"/>
        <w:rPr>
          <w:rFonts w:hint="eastAsia" w:ascii="宋体" w:hAnsi="宋体" w:eastAsia="宋体" w:cs="宋体"/>
          <w:szCs w:val="24"/>
          <w:lang w:val="en-US" w:eastAsia="zh-CN" w:bidi="ar-SA"/>
        </w:rPr>
      </w:pPr>
      <w:r>
        <w:rPr>
          <w:rFonts w:hint="eastAsia" w:ascii="宋体" w:hAnsi="宋体" w:eastAsia="宋体" w:cs="宋体"/>
          <w:b/>
          <w:bCs/>
          <w:szCs w:val="24"/>
          <w:lang w:val="en-US" w:eastAsia="zh-CN" w:bidi="ar-SA"/>
        </w:rPr>
        <w:t xml:space="preserve">Mic改造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更换新的Mic模块，要求灵敏度达到-38dB；增加前壳上麦克风对应的收音开孔位置。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要求对支队现有323台终端进行升级，包括刷机、开孔及更换Mic模块等，确保满足远程视频对讲需求。</w:t>
      </w:r>
      <w:r/>
    </w:p>
    <w:p>
      <w:pPr>
        <w:ind w:firstLine="422"/>
        <w:jc w:val="left"/>
        <w:spacing w:line="360" w:lineRule="auto"/>
        <w:widowControl w:val="off"/>
        <w:rPr>
          <w:rFonts w:hint="eastAsia" w:ascii="宋体" w:hAnsi="宋体" w:eastAsia="宋体" w:cs="宋体"/>
          <w:b/>
          <w:bCs/>
          <w:sz w:val="21"/>
          <w:szCs w:val="21"/>
          <w:lang w:val="en-US" w:eastAsia="zh-CN" w:bidi="ar-SA"/>
        </w:rPr>
        <w:outlineLvl w:val="4"/>
      </w:pPr>
      <w:r/>
      <w:bookmarkStart w:id="101" w:name="_Toc1685"/>
      <w:r>
        <w:rPr>
          <w:rFonts w:hint="eastAsia" w:ascii="宋体" w:hAnsi="宋体" w:eastAsia="宋体" w:cs="宋体"/>
          <w:b/>
          <w:bCs/>
          <w:sz w:val="21"/>
          <w:szCs w:val="21"/>
          <w:lang w:val="en-US" w:eastAsia="zh-CN" w:bidi="ar-SA"/>
        </w:rPr>
        <w:t xml:space="preserve">（4）涉案车辆管理</w:t>
      </w:r>
      <w:bookmarkEnd w:id="101"/>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停车场用户体系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新建停车场用户体系，限制管理用户权限（PDA登记权限和管理平台权限），PDA安全控制（防止停车场设备使用民警账号）。</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车辆拖扣流程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民警开具强制措施含拖车选项时，打印文书之后再打印委托清拖单，显示车牌和停车场信息并打印二维码（二维码信息含改强制措施信息）</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车辆进入停车场时，停车场管理人员使用PDA上的涉案车辆的登记功能，扫码获取案件编号用于数据关联、记录入场时间，再采集入场照片保存后车辆进入状态。</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车辆离场流程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当事人到大队进行一般程序的处理，处理完在移动警务网页上查询相关案件信息（校验案件状态后，裁决标记）打印车辆放行通知单（PDF打印），并附带放行二维码。也可以通过PDA上查询已入场车辆的信息，打印车辆放行单。</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当事人凭借车辆放行通知单到停车场取车，停车场管理人员使用PDA上的涉案车辆的放行功能进行扫码，自动记录车辆放行时间，停车场放行车辆。</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信息同步查询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将停车场用户信息和停车场车辆信息同步至公安网平台，实现查询统计。</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涉案车辆管理功能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根据扫码时的调用接口自动登记车辆入场、出场相关信息，计算停车时长及费用，保存车辆入场的现场照片，公安内网显示车辆被扣押的关联强制措施案件信息。</w:t>
      </w:r>
      <w:bookmarkEnd w:id="92"/>
      <w:r/>
    </w:p>
    <w:p>
      <w:pPr>
        <w:ind w:left="210" w:firstLine="211"/>
        <w:spacing w:line="360" w:lineRule="auto"/>
        <w:rPr>
          <w:rFonts w:hint="eastAsia" w:ascii="宋体" w:hAnsi="宋体" w:eastAsia="宋体" w:cs="宋体"/>
          <w:b/>
          <w:bCs/>
          <w:sz w:val="21"/>
          <w:szCs w:val="21"/>
          <w:lang w:val="en-US" w:eastAsia="zh-CN" w:bidi="ar-SA"/>
        </w:rPr>
        <w:outlineLvl w:val="2"/>
      </w:pPr>
      <w:r/>
      <w:bookmarkStart w:id="102" w:name="_Toc832"/>
      <w:r/>
      <w:bookmarkStart w:id="103" w:name="_Toc14094"/>
      <w:r/>
      <w:bookmarkStart w:id="104" w:name="_Toc25142"/>
      <w:r/>
      <w:bookmarkStart w:id="105" w:name="_Toc12542"/>
      <w:r/>
      <w:bookmarkStart w:id="106" w:name="_Toc31228"/>
      <w:r/>
      <w:bookmarkStart w:id="107" w:name="_Toc11434"/>
      <w:r/>
      <w:bookmarkStart w:id="108" w:name="_Toc7972"/>
      <w:r/>
      <w:bookmarkStart w:id="109" w:name="_Toc16237"/>
      <w:r/>
      <w:bookmarkStart w:id="110" w:name="_Toc21887"/>
      <w:r/>
      <w:bookmarkStart w:id="111" w:name="_Toc32080"/>
      <w:r/>
      <w:bookmarkStart w:id="112" w:name="_Toc9667"/>
      <w:r/>
      <w:bookmarkStart w:id="113" w:name="_Toc5581"/>
      <w:r>
        <w:rPr>
          <w:rFonts w:hint="eastAsia" w:ascii="宋体" w:hAnsi="宋体" w:eastAsia="宋体" w:cs="宋体"/>
          <w:b/>
          <w:bCs/>
          <w:sz w:val="21"/>
          <w:szCs w:val="21"/>
          <w:lang w:val="en-US" w:eastAsia="zh-CN" w:bidi="ar-SA"/>
        </w:rPr>
        <w:t xml:space="preserve">3.交通管理互联网服务模块</w:t>
      </w:r>
      <w:bookmarkEnd w:id="102"/>
      <w:r/>
      <w:bookmarkEnd w:id="103"/>
      <w:r/>
      <w:bookmarkEnd w:id="104"/>
      <w:r/>
      <w:bookmarkEnd w:id="105"/>
      <w:r/>
      <w:bookmarkEnd w:id="10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bookmarkStart w:id="114" w:name="_Toc9446"/>
      <w:r/>
      <w:bookmarkStart w:id="115" w:name="_Toc16413"/>
      <w:r>
        <w:rPr>
          <w:rFonts w:hint="eastAsia" w:ascii="宋体" w:hAnsi="宋体" w:eastAsia="宋体" w:cs="宋体"/>
          <w:sz w:val="21"/>
          <w:szCs w:val="21"/>
          <w:lang w:val="en-US" w:eastAsia="zh-CN" w:bidi="ar"/>
        </w:rPr>
        <w:t xml:space="preserve">本项目建设中，在交通管理互联网服务方面仅采购交通评价诊断</w:t>
      </w:r>
      <w:r>
        <w:rPr>
          <w:rFonts w:hint="eastAsia" w:ascii="宋体" w:hAnsi="宋体" w:cs="宋体"/>
          <w:sz w:val="21"/>
          <w:szCs w:val="21"/>
          <w:lang w:val="en-US" w:eastAsia="zh-CN" w:bidi="ar"/>
        </w:rPr>
        <w:t xml:space="preserve">和</w:t>
      </w:r>
      <w:r>
        <w:rPr>
          <w:rFonts w:hint="eastAsia" w:ascii="宋体" w:hAnsi="宋体" w:eastAsia="宋体" w:cs="宋体"/>
          <w:sz w:val="21"/>
          <w:szCs w:val="21"/>
          <w:lang w:val="en-US" w:eastAsia="zh-CN" w:bidi="ar"/>
        </w:rPr>
        <w:t xml:space="preserve">治理</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重大活动监测这两项服务，不涉及基础地图采购。</w:t>
      </w:r>
      <w:bookmarkEnd w:id="114"/>
      <w:r/>
      <w:bookmarkEnd w:id="115"/>
      <w:r/>
    </w:p>
    <w:p>
      <w:pPr>
        <w:ind w:firstLine="422"/>
        <w:jc w:val="left"/>
        <w:spacing w:line="360" w:lineRule="auto"/>
        <w:widowControl w:val="off"/>
        <w:rPr>
          <w:rFonts w:hint="eastAsia" w:ascii="宋体" w:hAnsi="宋体" w:eastAsia="宋体" w:cs="宋体"/>
          <w:b/>
          <w:bCs/>
          <w:sz w:val="21"/>
          <w:szCs w:val="21"/>
          <w:lang w:val="en-US" w:eastAsia="zh-CN" w:bidi="ar-SA"/>
        </w:rPr>
        <w:outlineLvl w:val="4"/>
      </w:pPr>
      <w:r/>
      <w:bookmarkStart w:id="116" w:name="_Toc18129"/>
      <w:r>
        <w:rPr>
          <w:rFonts w:hint="eastAsia" w:ascii="宋体" w:hAnsi="宋体" w:eastAsia="宋体" w:cs="宋体"/>
          <w:b/>
          <w:bCs/>
          <w:sz w:val="21"/>
          <w:szCs w:val="21"/>
          <w:lang w:val="en-US" w:eastAsia="zh-CN" w:bidi="ar-SA"/>
        </w:rPr>
        <w:t xml:space="preserve">（1）交通评价诊断和治理</w:t>
      </w:r>
      <w:bookmarkEnd w:id="11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基于海量互联网大数据资源和超级计算资源提供互联网SAAS服务，提供道路运行态势、健康程度、改善建议的咨询服务，打造城市交通拥堵的评价、诊断一体的研判功能。平台主要包含交通健康体检、交通精细诊治、运行跟踪评价、工具组件分析四大功能模块。</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bookmarkStart w:id="117" w:name="_Toc19343"/>
      <w:r/>
      <w:bookmarkStart w:id="118" w:name="_Toc12881"/>
      <w:r/>
      <w:bookmarkStart w:id="119" w:name="_Toc29493"/>
      <w:r>
        <w:rPr>
          <w:rFonts w:hint="eastAsia" w:ascii="宋体" w:hAnsi="宋体" w:eastAsia="宋体" w:cs="宋体"/>
          <w:b/>
          <w:bCs/>
          <w:sz w:val="21"/>
          <w:szCs w:val="21"/>
          <w:lang w:val="en-US" w:eastAsia="zh-CN" w:bidi="ar"/>
        </w:rPr>
        <w:t xml:space="preserve">交通健康体检</w:t>
      </w:r>
      <w:bookmarkEnd w:id="117"/>
      <w:r/>
      <w:bookmarkEnd w:id="118"/>
      <w:r/>
      <w:bookmarkEnd w:id="11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从</w:t>
      </w:r>
      <w:r>
        <w:rPr>
          <w:rFonts w:hint="eastAsia" w:ascii="宋体" w:hAnsi="宋体" w:eastAsia="宋体" w:cs="宋体"/>
          <w:sz w:val="21"/>
          <w:szCs w:val="21"/>
          <w:lang w:val="en-US" w:eastAsia="zh-CN" w:bidi="ar"/>
        </w:rPr>
        <w:t xml:space="preserve">城市发展、交通需求、职住通勤情况、路网运行、道路设施、公交服务、安全水平等综合维度，计算多项指标全面扫描城市或所选区域综合交通发展情况，通过比对标准值、同类城市情况、分析历史演变趋势等手段，识别问题指标，形成评估诊断意见；并根据交通运行状况，扫描识别供需矛盾突出的通勤路径、强吸引AOI、拥堵路段、路口等，形成问题诊断意见，最终形成总体评估报告。系统主要从交通瓶颈点分析、交通基础问题、交通运行问题、职住通勤问题、强吸引点问题、路段交通问题、路口交通问题、公交运行问题、区域交通综合问题等方面，提出分析诊断结果。</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outlineLvl w:val="5"/>
        <w:suppressLineNumbers w:val="0"/>
      </w:pPr>
      <w:r/>
      <w:bookmarkStart w:id="120" w:name="_Toc7132"/>
      <w:r/>
      <w:bookmarkStart w:id="121" w:name="_Toc6887"/>
      <w:r/>
      <w:bookmarkStart w:id="122" w:name="_Toc23708"/>
      <w:r>
        <w:rPr>
          <w:rFonts w:hint="eastAsia" w:ascii="宋体" w:hAnsi="宋体" w:eastAsia="宋体" w:cs="宋体"/>
          <w:b/>
          <w:bCs/>
          <w:sz w:val="21"/>
          <w:szCs w:val="21"/>
          <w:lang w:val="en-US" w:eastAsia="zh-CN" w:bidi="ar"/>
        </w:rPr>
        <w:t xml:space="preserve">交通精细诊治</w:t>
      </w:r>
      <w:bookmarkEnd w:id="120"/>
      <w:r/>
      <w:bookmarkEnd w:id="121"/>
      <w:r/>
      <w:bookmarkEnd w:id="12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bCs/>
          <w:sz w:val="21"/>
          <w:szCs w:val="21"/>
          <w:lang w:val="en-US" w:eastAsia="zh-CN" w:bidi="ar"/>
        </w:rPr>
        <w:suppressLineNumbers w:val="0"/>
      </w:pPr>
      <w:r>
        <w:rPr>
          <w:rFonts w:hint="eastAsia" w:ascii="宋体" w:hAnsi="宋体" w:eastAsia="宋体" w:cs="宋体"/>
          <w:sz w:val="21"/>
          <w:szCs w:val="21"/>
          <w:lang w:val="en-US" w:eastAsia="zh-CN" w:bidi="ar"/>
        </w:rPr>
        <w:t xml:space="preserve">城市总体概况主要从宏观层面分</w:t>
      </w:r>
      <w:r>
        <w:rPr>
          <w:rFonts w:hint="eastAsia" w:ascii="宋体" w:hAnsi="宋体" w:eastAsia="宋体" w:cs="宋体"/>
          <w:bCs/>
          <w:sz w:val="21"/>
          <w:szCs w:val="21"/>
          <w:lang w:val="en-US" w:eastAsia="zh-CN" w:bidi="ar"/>
        </w:rPr>
        <w:t xml:space="preserve">析城市总体指标，包括城市核心区面积、职住人口数量及分布热力图、常住人口渗透率、汽车保有量、职住通勤绿色出行分担率等，通过横向比对或标准值比对，分析各指标是否存在异常，并提供诊断结果和建议。</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路网基础诊治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路网基础诊治主要针对全市、各区的现状道路网络，依托基础路网数据，计算各等级道路网密度，不同等级道路级配比例、信号控制交叉口比例等指标，评估道路基础设施健康程度，并提出改善建议。</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交通运行诊断</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交通运行诊治主要是对基础路网的交通运行动态指标进行诊治，主要从交通健康度、六宫格、流量配比和饱和度等方面进行诊断分析，根据交通评价诊断和治理知识图谱找到异常指标项，并进一步提出路网量分配不均下的流量诱导和匝道管控分流建议。该模块既可从宏观层面对交通问题进行诊断，亦可提供速度的溯源与流量的溯源可视化分析，帮助用户从空间与时间两个维度分析交通问题并提出诊断建议。</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通勤需求诊治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通勤需求诊治主要运用大定位、驾车导航、驾车出行规划、公交服务、交通拥堵评价等数据，结合AI算法生成的城市通勤OD分布数据，并从区域 “内-内、内-外、外-内”通勤出行三维度进行特征分析，对区域失衡状态做综合诊断，主要分析指标包括区域职住分布特征、通勤出行距离、时间等，并形成宏观诊治结论及建议。</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通勤路径诊治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通勤路径诊治基于城市通勤OD数据，自动挖掘区域通勤关键路径、自动识别路径中的拥堵节点、分析公共交通出行服务水平后，挖掘出区域驾车通勤主要路径及关键路段，并对通勤路径做详细的用户画像诊断：一是找到走廊的关键瓶颈点，针对主要通勤路径中拥堵路段、拥堵路口进行评价诊断并提出优化建议；二是针对主要驾车通勤路径，从公众需求侧评估城市公交出行的特征问题，同时与实际道路交通运行状态进行比对及研判分析，诊断主要通勤路径的公交服务存在的问题，提出改善建议。</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强吸引点诊治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医院、商圈、景区、学校是片区中交通出行需求较为集中的区域，周边往往停车困难，且因为停车难问题还会导致周边道路长时间持续拥堵。区域强吸引点诊治模块能够自动识别区域中驾车强吸引点，主要针对“</w:t>
      </w:r>
      <w:bookmarkStart w:id="123" w:name="OLE_LINK1"/>
      <w:r>
        <w:rPr>
          <w:rFonts w:hint="eastAsia" w:ascii="宋体" w:hAnsi="宋体" w:eastAsia="宋体" w:cs="宋体"/>
          <w:sz w:val="21"/>
          <w:szCs w:val="21"/>
          <w:lang w:val="en-US" w:eastAsia="zh-CN" w:bidi="ar"/>
        </w:rPr>
        <w:t xml:space="preserve">行政区</w:t>
      </w:r>
      <w:bookmarkEnd w:id="123"/>
      <w:r>
        <w:rPr>
          <w:rFonts w:hint="eastAsia" w:ascii="宋体" w:hAnsi="宋体" w:eastAsia="宋体" w:cs="宋体"/>
          <w:sz w:val="21"/>
          <w:szCs w:val="21"/>
          <w:lang w:val="en-US" w:eastAsia="zh-CN" w:bidi="ar"/>
        </w:rPr>
        <w:t xml:space="preserve">、景区、</w:t>
      </w:r>
      <w:bookmarkStart w:id="124" w:name="OLE_LINK6"/>
      <w:r>
        <w:rPr>
          <w:rFonts w:hint="eastAsia" w:ascii="宋体" w:hAnsi="宋体" w:eastAsia="宋体" w:cs="宋体"/>
          <w:sz w:val="21"/>
          <w:szCs w:val="21"/>
          <w:lang w:val="en-US" w:eastAsia="zh-CN" w:bidi="ar"/>
        </w:rPr>
        <w:t xml:space="preserve">学校</w:t>
      </w:r>
      <w:bookmarkEnd w:id="124"/>
      <w:r>
        <w:rPr>
          <w:rFonts w:hint="eastAsia" w:ascii="宋体" w:hAnsi="宋体" w:eastAsia="宋体" w:cs="宋体"/>
          <w:sz w:val="21"/>
          <w:szCs w:val="21"/>
          <w:lang w:val="en-US" w:eastAsia="zh-CN" w:bidi="ar"/>
        </w:rPr>
        <w:t xml:space="preserve">、医院、机场、火车站和商圈7个类型”区域，可按需求在后台调整展示点位，通过拥堵延时指数及其年月变化、导航量、等待排队时长、拥堵状态评价等数据分析行车难、停车难问题，精确到门的拥堵趋势和时段、车辆到达规律、停车排队时长特性等分析，并利用区域导航驾车用户OD数据回溯导航起终点分布特征及规律，提出改善建议。</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路段诊治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路段交通评价诊断和治理主要筛查片区内“常发性拥堵道路”、“早高峰拥堵道路”、 “晚高峰拥堵道路”、“平峰拥堵道路”、“向坏变度道路”、“城市高快速路”等多种异常运行的问题道路。针对每条问题路段，将结合时空拥堵评价找到路段的核心拥堵瓶颈点，并结合出行OD的分布规律找到拥堵的问题根源，同时融合公交运行效率等数据来综合判断公交的便捷程度，并自动诊断出路段分流、绕行等针对性的改善建议。</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路口诊治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信控路口服务水平低及失衡诊断分析，主要是从微观层面通过模型计算路口排队长度及停车次数，将路口服务水平分为A-F六类（E/F代表路口服务水平较差），路口服务水平评价标准参考《Synchro Studio 9 User Guide》 和《 CJJ/T141-2010建设项目交通影响评价技术标准》。根据上述标准对问题信控路口做扫描挖掘，定位所有待治理的问题路口，并给出排队长度、停车次数、上游溢出等详细诊断，根据针对结果提出解决思路。</w:t>
      </w:r>
      <w:r/>
    </w:p>
    <w:p>
      <w:pPr>
        <w:numPr>
          <w:ilvl w:val="0"/>
          <w:numId w:val="6"/>
        </w:numPr>
        <w:ind w:left="420"/>
        <w:jc w:val="left"/>
        <w:spacing w:line="360" w:lineRule="auto"/>
        <w:widowControl w:val="off"/>
        <w:rPr>
          <w:rFonts w:hint="eastAsia" w:ascii="宋体" w:hAnsi="宋体" w:eastAsia="宋体" w:cs="宋体"/>
          <w:b/>
          <w:bCs/>
          <w:sz w:val="21"/>
          <w:szCs w:val="21"/>
          <w:lang w:val="en-US" w:eastAsia="zh-CN" w:bidi="ar-SA"/>
        </w:rPr>
        <w:outlineLvl w:val="4"/>
      </w:pPr>
      <w:r/>
      <w:bookmarkStart w:id="125" w:name="_Toc11663"/>
      <w:r/>
      <w:bookmarkStart w:id="126" w:name="_Toc11166"/>
      <w:r>
        <w:rPr>
          <w:rFonts w:hint="eastAsia" w:ascii="宋体" w:hAnsi="宋体" w:eastAsia="宋体" w:cs="宋体"/>
          <w:b/>
          <w:bCs/>
          <w:sz w:val="21"/>
          <w:szCs w:val="21"/>
          <w:lang w:val="en-US" w:eastAsia="zh-CN" w:bidi="ar-SA"/>
        </w:rPr>
        <w:t xml:space="preserve">运行跟踪评价</w:t>
      </w:r>
      <w:bookmarkEnd w:id="125"/>
      <w:r/>
      <w:bookmarkEnd w:id="12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城市交通治理过程中效果监测是管理中最大的难题，主要难有量化数据同时也缺少监测的方法和手段。该功能主要提供城市任意区域内的各条道路运行状况的时空监测服务，包含道路的拥堵延时指数、环比拥堵变化程度、关注道路的跟踪监测等历史及实时的运行现状研判分析能；同时也可以自定义需要关注和监测的路段，例如当城市某条道路开通公交专用道，可以利用工具来持续监测公交道开通后道路运行效率的变化规律。为政策落地的好坏提供及时量化的参考，帮助政府及时调整治理措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在城市治理决策过程中更棘手的难题是对交通治理效果的对比评价，传统管理缺少评估的手段和方法，使得政策在落地后无法及时跟踪和有效的反馈。该功能主要提供了任意区域交通治理前后效果的评估功能，核心的效果评价指标包括“交通健康指数”、“拥堵延时指数”、“运行速度”、“拥堵里程占比”等多项指标，并提供了从时间空间层面的历史对比分析，输出时空层面量化的效果对比评价分析报告。</w:t>
      </w:r>
      <w:r/>
    </w:p>
    <w:p>
      <w:pPr>
        <w:numPr>
          <w:ilvl w:val="0"/>
          <w:numId w:val="6"/>
        </w:numPr>
        <w:ind w:left="420"/>
        <w:jc w:val="left"/>
        <w:spacing w:line="360" w:lineRule="auto"/>
        <w:widowControl w:val="off"/>
        <w:rPr>
          <w:rFonts w:hint="eastAsia" w:ascii="宋体" w:hAnsi="宋体" w:eastAsia="宋体" w:cs="宋体"/>
          <w:b/>
          <w:bCs/>
          <w:sz w:val="21"/>
          <w:szCs w:val="21"/>
          <w:lang w:val="en-US" w:eastAsia="zh-CN" w:bidi="ar-SA"/>
        </w:rPr>
        <w:outlineLvl w:val="4"/>
      </w:pPr>
      <w:r/>
      <w:bookmarkStart w:id="127" w:name="_Toc26444"/>
      <w:r/>
      <w:bookmarkStart w:id="128" w:name="_Toc18150"/>
      <w:r/>
      <w:bookmarkStart w:id="129" w:name="_Toc10682"/>
      <w:r>
        <w:rPr>
          <w:rFonts w:hint="eastAsia" w:ascii="宋体" w:hAnsi="宋体" w:eastAsia="宋体" w:cs="宋体"/>
          <w:b/>
          <w:bCs/>
          <w:sz w:val="21"/>
          <w:szCs w:val="21"/>
          <w:lang w:val="en-US" w:eastAsia="zh-CN" w:bidi="ar-SA"/>
        </w:rPr>
        <w:t xml:space="preserve">工具分析组件</w:t>
      </w:r>
      <w:bookmarkEnd w:id="127"/>
      <w:r/>
      <w:bookmarkEnd w:id="128"/>
      <w:r/>
      <w:bookmarkEnd w:id="129"/>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任意路段OD溯源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传统城市道路的交通拥堵容易看到现象，但很难找到拥堵的实际原因，无法从需求侧得到人的出行规律，交通大数据可有效的解决此难题。通过基于LBS的人口大定位数据挖掘职住信息，匹配到导航路径规划，来解决通勤道路拥堵成因溯源的难题。系统提供任意一条道路，或自定义选择任意一段link的查询，返回经过该link车辆的起终点街道颗粒度热力分布地图，极强的可视化呈现为治堵决策提供重要的溯源参考。</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outlineLvl w:val="5"/>
        <w:suppressLineNumbers w:val="0"/>
      </w:pPr>
      <w:r>
        <w:rPr>
          <w:rFonts w:hint="eastAsia" w:ascii="宋体" w:hAnsi="宋体" w:eastAsia="宋体" w:cs="宋体"/>
          <w:b/>
          <w:bCs/>
          <w:sz w:val="21"/>
          <w:szCs w:val="21"/>
          <w:lang w:val="en-US" w:eastAsia="zh-CN" w:bidi="ar"/>
        </w:rPr>
        <w:t xml:space="preserve">任意路段过饱和度分析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道路通行能力是指道路设施所能疏导交通流的能力；饱和度则是反映道路交通状况的一个重要指标,也是评判道路服务水平的一个重要基准。建设可以提供不同时间范围下的任意路段饱和度，进而判断路段的交通供需是否平衡，处于何种服务水平，并对过饱和度路段提供交通诱导等优化建议。相比于传统方法简单利用设计通行能力计算饱和度，通过海量互联网交通大数据，挖掘各路段自己的通行能力，以精准计算判断路段饱和度及其服务水平，至少分四个饱和状态评判等级，并能够统计年同比和月环比。</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强吸引点&amp;停车强需挖掘</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城市的日益发展，随之带来的是堵车严重，停车问题是导致堵车的一个重要原因。停车位严重不足导致汽车乱停乱放，造成道路秩序混乱，影响城市交通运行效率；而若设置过多的停车位，则会出现社会资源的浪费。因此，科学地挖掘停车强需路段，可以有针对性地设置路侧/地下停车位，合理分配资源。系统应体现路段名称，起终点描述，路段等级、达到率等信息。建设旨在通过车辆行为轨迹与地图信息，关联道路与目的地的关系，挖掘高到达的道路路段，以获取潜在停车强需点，进而为相关部门设置停车位提供科学合理依据。</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任意区域职住分析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任意区域职住分析：利用互联网或浮动车数据，分析任意自定义区域的职住数据，针对任意自定义范围内的岗位与居住人口数量进行对比分析，诊断职住均衡性，能够分析选定区域的驾车、公交或骑行步行不同通勤出行方式比例，并能够按不同大小网格范围分析OD交通量调查数量。</w:t>
      </w:r>
      <w:r/>
    </w:p>
    <w:p>
      <w:pPr>
        <w:numPr>
          <w:ilvl w:val="0"/>
          <w:numId w:val="6"/>
        </w:numPr>
        <w:ind w:left="420"/>
        <w:jc w:val="left"/>
        <w:spacing w:line="360" w:lineRule="auto"/>
        <w:widowControl w:val="off"/>
        <w:rPr>
          <w:rFonts w:hint="eastAsia" w:ascii="宋体" w:hAnsi="宋体" w:eastAsia="宋体" w:cs="宋体"/>
          <w:b/>
          <w:bCs/>
          <w:sz w:val="21"/>
          <w:szCs w:val="21"/>
          <w:lang w:val="en-US" w:eastAsia="zh-CN" w:bidi="ar-SA"/>
        </w:rPr>
        <w:outlineLvl w:val="4"/>
      </w:pPr>
      <w:r/>
      <w:bookmarkStart w:id="130" w:name="_Toc12865"/>
      <w:r/>
      <w:bookmarkStart w:id="131" w:name="_Toc8230"/>
      <w:r/>
      <w:bookmarkStart w:id="132" w:name="_Toc7766"/>
      <w:r>
        <w:rPr>
          <w:rFonts w:hint="eastAsia" w:ascii="宋体" w:hAnsi="宋体" w:eastAsia="宋体" w:cs="宋体"/>
          <w:b/>
          <w:bCs/>
          <w:sz w:val="21"/>
          <w:szCs w:val="21"/>
          <w:lang w:val="en-US" w:eastAsia="zh-CN" w:bidi="ar-SA"/>
        </w:rPr>
        <w:t xml:space="preserve">重大活动监测</w:t>
      </w:r>
      <w:bookmarkEnd w:id="130"/>
      <w:r/>
      <w:bookmarkEnd w:id="131"/>
      <w:r/>
      <w:bookmarkEnd w:id="13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基于互联网导航数据服务，汇聚人、车等全量全时空数据，洞察、捕捉、分析复杂的区域运行态势，实现对全域人、车聚集地的实时监控、风险预判、主动预警，并对区域内人、车、路进行多维度实时研判分析，从而实现对重大活动的全方位支撑。包含以下功能模块。</w:t>
      </w:r>
      <w:r/>
    </w:p>
    <w:p>
      <w:pPr>
        <w:numPr>
          <w:ilvl w:val="0"/>
          <w:numId w:val="0"/>
        </w:numPr>
        <w:ind w:left="0"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133" w:name="_Toc6441"/>
      <w:r>
        <w:rPr>
          <w:rStyle w:val="1085"/>
          <w:rFonts w:hint="eastAsia" w:ascii="宋体" w:hAnsi="宋体" w:eastAsia="宋体" w:cs="宋体"/>
          <w:b/>
          <w:bCs/>
          <w:sz w:val="21"/>
          <w:szCs w:val="21"/>
          <w:lang w:val="en-US" w:eastAsia="zh-CN" w:bidi="ar-SA"/>
        </w:rPr>
        <w:t xml:space="preserve">人流聚集地预警</w:t>
      </w:r>
      <w:bookmarkEnd w:id="13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实时监测各个区域的实时人数、当天累计人数、人流活力指数以及网格预警程度，基于智能比较历史同时期的数值，如有异常则发出报警。</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车流聚集地预警</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实时监测区域以及路段的实时车流、车流活力指数，评估当前路段车流饱和风险。基于智能比较历史同时期的数值，如有异常则发出报警。</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区域人流画像监测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实时对区域内人流画像进行监测，包括年龄、性别、收入等画像维度，在保护用户隐私的前提下输出画像比例数据。</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134" w:name="_Toc18068"/>
      <w:r>
        <w:rPr>
          <w:rFonts w:hint="eastAsia" w:ascii="宋体" w:hAnsi="宋体" w:cs="宋体"/>
          <w:b/>
          <w:bCs/>
          <w:sz w:val="21"/>
          <w:szCs w:val="21"/>
          <w:lang w:val="en-US" w:eastAsia="zh-CN" w:bidi="ar-SA"/>
        </w:rPr>
        <w:t xml:space="preserve">七、</w:t>
      </w:r>
      <w:r>
        <w:rPr>
          <w:rFonts w:hint="eastAsia" w:ascii="宋体" w:hAnsi="宋体" w:eastAsia="宋体" w:cs="宋体"/>
          <w:b/>
          <w:bCs/>
          <w:sz w:val="21"/>
          <w:szCs w:val="21"/>
          <w:lang w:val="en-US" w:eastAsia="zh-CN" w:bidi="ar-SA"/>
        </w:rPr>
        <w:t xml:space="preserve"> 项目清单</w:t>
      </w:r>
      <w:bookmarkEnd w:id="134"/>
      <w:r/>
      <w:r/>
    </w:p>
    <w:p>
      <w:pPr>
        <w:ind w:firstLine="422"/>
        <w:jc w:val="left"/>
        <w:spacing w:line="360" w:lineRule="auto"/>
        <w:widowControl/>
        <w:rPr>
          <w:rFonts w:hint="eastAsia" w:ascii="宋体" w:hAnsi="宋体" w:eastAsia="宋体" w:cs="宋体"/>
          <w:b/>
          <w:bCs/>
          <w:sz w:val="21"/>
          <w:szCs w:val="21"/>
          <w:lang w:val="en-US" w:eastAsia="zh-CN" w:bidi="ar-SA"/>
        </w:rPr>
        <w:outlineLvl w:val="1"/>
      </w:pPr>
      <w:r/>
      <w:bookmarkStart w:id="135" w:name="_Toc27667"/>
      <w:r>
        <w:rPr>
          <w:rFonts w:hint="eastAsia" w:ascii="宋体" w:hAnsi="宋体" w:cs="宋体"/>
          <w:b/>
          <w:bCs/>
          <w:sz w:val="21"/>
          <w:szCs w:val="21"/>
          <w:lang w:val="en-US" w:eastAsia="zh-CN" w:bidi="ar-SA"/>
        </w:rPr>
        <w:t xml:space="preserve">（一）</w:t>
      </w:r>
      <w:r>
        <w:rPr>
          <w:rFonts w:hint="eastAsia" w:ascii="宋体" w:hAnsi="宋体" w:eastAsia="宋体" w:cs="宋体"/>
          <w:b/>
          <w:bCs/>
          <w:sz w:val="21"/>
          <w:szCs w:val="21"/>
          <w:lang w:val="en-US" w:eastAsia="zh-CN" w:bidi="ar-SA"/>
        </w:rPr>
        <w:t xml:space="preserve">交通指挥中心</w:t>
      </w:r>
      <w:bookmarkEnd w:id="135"/>
      <w:r/>
      <w:r/>
    </w:p>
    <w:tbl>
      <w:tblPr>
        <w:tblStyle w:val="739"/>
        <w:tblW w:w="4984" w:type="pct"/>
        <w:tblInd w:w="113" w:type="dxa"/>
        <w:tblLayout w:type="fixed"/>
        <w:tblCellMar>
          <w:left w:w="108" w:type="dxa"/>
          <w:top w:w="0" w:type="dxa"/>
          <w:right w:w="108" w:type="dxa"/>
          <w:bottom w:w="0" w:type="dxa"/>
        </w:tblCellMar>
        <w:tblLook w:val="04A0" w:firstRow="1" w:lastRow="0" w:firstColumn="1" w:lastColumn="0" w:noHBand="0" w:noVBand="1"/>
      </w:tblPr>
      <w:tblGrid>
        <w:gridCol w:w="953"/>
        <w:gridCol w:w="2518"/>
        <w:gridCol w:w="3560"/>
        <w:gridCol w:w="1113"/>
        <w:gridCol w:w="996"/>
      </w:tblGrid>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序号</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分项名称</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技术参数</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数量</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P1.25LED室内全彩显示屏</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149.04</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2</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配电柜（含PLC）</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3</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钢结构支架</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val="en-US" w:eastAsia="zh-CN"/>
              </w:rPr>
            </w:pPr>
            <w:r>
              <w:rPr>
                <w:rFonts w:hint="eastAsia" w:ascii="宋体" w:hAnsi="宋体" w:cs="宋体"/>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hint="eastAsia" w:ascii="宋体" w:hAnsi="宋体" w:cs="宋体"/>
                <w:szCs w:val="24"/>
              </w:rPr>
            </w:pPr>
            <w:r>
              <w:rPr>
                <w:rFonts w:hint="eastAsia" w:ascii="宋体" w:hAnsi="宋体" w:cs="宋体"/>
                <w:szCs w:val="24"/>
              </w:rPr>
              <w:t xml:space="preserve">大屏控制软件</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hint="eastAsia"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hint="eastAsia" w:ascii="宋体" w:hAnsi="宋体" w:cs="宋体" w:eastAsiaTheme="minorEastAsia"/>
                <w:szCs w:val="24"/>
                <w:lang w:val="en-US" w:eastAsia="zh-CN"/>
              </w:rPr>
            </w:pPr>
            <w:r>
              <w:rPr>
                <w:rFonts w:hint="eastAsia" w:ascii="宋体" w:hAnsi="宋体" w:cs="宋体"/>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hint="eastAsia" w:ascii="宋体" w:hAnsi="宋体" w:cs="宋体" w:eastAsiaTheme="minorEastAsia"/>
                <w:szCs w:val="24"/>
                <w:lang w:val="en-US" w:eastAsia="zh-CN"/>
              </w:rPr>
            </w:pPr>
            <w:r>
              <w:rPr>
                <w:rFonts w:hint="eastAsia" w:ascii="宋体" w:hAnsi="宋体" w:cs="宋体"/>
                <w:szCs w:val="24"/>
                <w:lang w:val="en-US" w:eastAsia="zh-CN"/>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val="en-US" w:eastAsia="zh-CN"/>
              </w:rPr>
            </w:pPr>
            <w:r>
              <w:rPr>
                <w:rFonts w:hint="eastAsia" w:ascii="宋体" w:hAnsi="宋体" w:cs="宋体"/>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hint="eastAsia" w:ascii="宋体" w:hAnsi="宋体" w:cs="宋体"/>
                <w:szCs w:val="24"/>
              </w:rPr>
            </w:pPr>
            <w:r>
              <w:rPr>
                <w:rFonts w:hint="eastAsia" w:ascii="宋体" w:hAnsi="宋体" w:cs="宋体"/>
                <w:szCs w:val="24"/>
                <w:lang w:val="en-US" w:eastAsia="zh-CN"/>
              </w:rPr>
              <w:t xml:space="preserve">大屏</w:t>
            </w:r>
            <w:r>
              <w:rPr>
                <w:rFonts w:hint="eastAsia" w:ascii="宋体" w:hAnsi="宋体" w:cs="宋体"/>
                <w:szCs w:val="24"/>
              </w:rPr>
              <w:t xml:space="preserve">配套线缆</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hint="eastAsia" w:ascii="宋体" w:hAnsi="宋体" w:cs="宋体"/>
                <w:szCs w:val="24"/>
              </w:rPr>
            </w:pPr>
            <w:r>
              <w:rPr>
                <w:rFonts w:hint="eastAsia" w:ascii="宋体" w:hAnsi="宋体" w:cs="宋体"/>
                <w:szCs w:val="24"/>
              </w:rPr>
              <w:t xml:space="preserve">配电柜接入线缆、电源线、高清控制线、网线等</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hint="eastAsia" w:ascii="宋体" w:hAnsi="宋体" w:cs="宋体" w:eastAsiaTheme="minorEastAsia"/>
                <w:szCs w:val="24"/>
                <w:lang w:val="en-US" w:eastAsia="zh-CN"/>
              </w:rPr>
            </w:pPr>
            <w:r>
              <w:rPr>
                <w:rFonts w:hint="eastAsia" w:ascii="宋体" w:hAnsi="宋体" w:cs="宋体"/>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hint="eastAsia" w:ascii="宋体" w:hAnsi="宋体" w:cs="宋体" w:eastAsiaTheme="minorEastAsia"/>
                <w:szCs w:val="24"/>
                <w:lang w:val="en-US" w:eastAsia="zh-CN"/>
              </w:rPr>
            </w:pPr>
            <w:r>
              <w:rPr>
                <w:rFonts w:hint="eastAsia" w:ascii="宋体" w:hAnsi="宋体" w:cs="宋体"/>
                <w:szCs w:val="24"/>
                <w:lang w:val="en-US" w:eastAsia="zh-CN"/>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color w:val="c0504d" w:themeColor="accent2"/>
                <w:sz w:val="21"/>
                <w:szCs w:val="24"/>
                <w:lang w:val="en-US" w:eastAsia="zh-CN"/>
                <w14:textFill>
                  <w14:solidFill>
                    <w14:schemeClr w14:val="accent2"/>
                  </w14:solidFill>
                </w14:textFill>
              </w:rPr>
            </w:pPr>
            <w:r>
              <w:rPr>
                <w:rFonts w:hint="eastAsia" w:ascii="宋体" w:hAnsi="宋体" w:cs="宋体"/>
                <w:color w:val="c0504d" w:themeColor="accent2"/>
                <w:szCs w:val="24"/>
                <w14:textFill>
                  <w14:solidFill>
                    <w14:schemeClr w14:val="accent2"/>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hint="eastAsia" w:ascii="宋体" w:hAnsi="宋体" w:eastAsia="宋体" w:cs="宋体"/>
                <w:color w:val="c0504d" w:themeColor="accent2"/>
                <w:sz w:val="21"/>
                <w:szCs w:val="24"/>
                <w:lang w:val="en-US" w:eastAsia="zh-CN"/>
                <w14:textFill>
                  <w14:solidFill>
                    <w14:schemeClr w14:val="accent2"/>
                  </w14:solidFill>
                </w14:textFill>
              </w:rPr>
            </w:pPr>
            <w:r>
              <w:rPr>
                <w:rFonts w:hint="eastAsia" w:ascii="宋体" w:hAnsi="宋体" w:cs="宋体"/>
                <w:color w:val="c0504d" w:themeColor="accent2"/>
                <w:szCs w:val="24"/>
                <w14:textFill>
                  <w14:solidFill>
                    <w14:schemeClr w14:val="accent2"/>
                  </w14:solidFill>
                </w14:textFill>
              </w:rPr>
              <w:t xml:space="preserve">4K视频</w:t>
            </w:r>
            <w:r>
              <w:rPr>
                <w:rFonts w:hint="eastAsia" w:ascii="宋体" w:hAnsi="宋体" w:cs="宋体"/>
                <w:color w:val="c0504d" w:themeColor="accent2"/>
                <w:szCs w:val="24"/>
                <w:lang w:val="en-US" w:eastAsia="zh-CN"/>
                <w14:textFill>
                  <w14:solidFill>
                    <w14:schemeClr w14:val="accent2"/>
                  </w14:solidFill>
                </w14:textFill>
              </w:rPr>
              <w:t xml:space="preserve">接入板</w:t>
            </w:r>
            <w:r/>
          </w:p>
        </w:tc>
        <w:tc>
          <w:tcPr>
            <w:shd w:val="clear" w:color="auto" w:fill="auto"/>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hint="eastAsia" w:ascii="宋体" w:hAnsi="宋体" w:cs="宋体"/>
                <w:color w:val="c0504d" w:themeColor="accent2"/>
                <w:szCs w:val="24"/>
                <w14:textFill>
                  <w14:solidFill>
                    <w14:schemeClr w14:val="accent2"/>
                  </w14:solidFill>
                </w14:textFill>
              </w:rPr>
            </w:pPr>
            <w:r>
              <w:rPr>
                <w:rFonts w:hint="eastAsia" w:ascii="宋体" w:hAnsi="宋体" w:cs="宋体"/>
                <w:color w:val="c0504d" w:themeColor="accent2"/>
                <w:szCs w:val="24"/>
                <w14:textFill>
                  <w14:solidFill>
                    <w14:schemeClr w14:val="accent2"/>
                  </w14:solidFill>
                </w14:textFill>
              </w:rPr>
              <w:t xml:space="preserve">输入接口：HDMI2.0，最大支持3840*2160@30/50/60hz（4:4:4格式）；</w:t>
            </w:r>
            <w:r/>
          </w:p>
          <w:p>
            <w:pPr>
              <w:jc w:val="center"/>
              <w:spacing w:line="400" w:lineRule="exact"/>
              <w:rPr>
                <w:rFonts w:hint="eastAsia" w:ascii="宋体" w:hAnsi="宋体" w:cs="宋体"/>
                <w:color w:val="c0504d" w:themeColor="accent2"/>
                <w:szCs w:val="24"/>
                <w14:textFill>
                  <w14:solidFill>
                    <w14:schemeClr w14:val="accent2"/>
                  </w14:solidFill>
                </w14:textFill>
              </w:rPr>
            </w:pPr>
            <w:r>
              <w:rPr>
                <w:rFonts w:hint="eastAsia" w:ascii="宋体" w:hAnsi="宋体" w:cs="宋体"/>
                <w:color w:val="c0504d" w:themeColor="accent2"/>
                <w:szCs w:val="24"/>
                <w14:textFill>
                  <w14:solidFill>
                    <w14:schemeClr w14:val="accent2"/>
                  </w14:solidFill>
                </w14:textFill>
              </w:rPr>
              <w:t xml:space="preserve">R/G/B颜色最高深度：8bit@4K；10bit@2K；支持RGB4:4:4无损模式；</w:t>
            </w:r>
            <w:r/>
          </w:p>
          <w:p>
            <w:pPr>
              <w:jc w:val="center"/>
              <w:spacing w:line="400" w:lineRule="exact"/>
              <w:rPr>
                <w:rFonts w:hint="eastAsia" w:ascii="宋体" w:hAnsi="宋体" w:cs="宋体"/>
                <w:color w:val="c0504d" w:themeColor="accent2"/>
                <w:szCs w:val="24"/>
                <w14:textFill>
                  <w14:solidFill>
                    <w14:schemeClr w14:val="accent2"/>
                  </w14:solidFill>
                </w14:textFill>
              </w:rPr>
            </w:pPr>
            <w:r>
              <w:rPr>
                <w:rFonts w:hint="eastAsia" w:ascii="宋体" w:hAnsi="宋体" w:cs="宋体"/>
                <w:color w:val="c0504d" w:themeColor="accent2"/>
                <w:szCs w:val="24"/>
                <w14:textFill>
                  <w14:solidFill>
                    <w14:schemeClr w14:val="accent2"/>
                  </w14:solidFill>
                </w14:textFill>
              </w:rPr>
              <w:t xml:space="preserve">HDMI快速切换时间小于等于50毫秒；延时≤2帧；</w:t>
            </w:r>
            <w:r/>
          </w:p>
          <w:p>
            <w:pPr>
              <w:jc w:val="center"/>
              <w:spacing w:line="400" w:lineRule="exact"/>
              <w:rPr>
                <w:rFonts w:hint="eastAsia" w:ascii="宋体" w:hAnsi="宋体" w:cs="宋体"/>
                <w:color w:val="c0504d" w:themeColor="accent2"/>
                <w:szCs w:val="24"/>
                <w14:textFill>
                  <w14:solidFill>
                    <w14:schemeClr w14:val="accent2"/>
                  </w14:solidFill>
                </w14:textFill>
              </w:rPr>
            </w:pPr>
            <w:r>
              <w:rPr>
                <w:rFonts w:hint="eastAsia" w:ascii="宋体" w:hAnsi="宋体" w:cs="宋体"/>
                <w:color w:val="c0504d" w:themeColor="accent2"/>
                <w:szCs w:val="24"/>
                <w14:textFill>
                  <w14:solidFill>
                    <w14:schemeClr w14:val="accent2"/>
                  </w14:solidFill>
                </w14:textFill>
              </w:rPr>
              <w:t xml:space="preserve">输出接口：1路HDMI2.0(LED显示屏显示&amp;控制信号接口)</w:t>
            </w:r>
            <w:r/>
          </w:p>
          <w:p>
            <w:pPr>
              <w:jc w:val="center"/>
              <w:spacing w:line="400" w:lineRule="exact"/>
              <w:rPr>
                <w:rFonts w:hint="eastAsia" w:ascii="宋体" w:hAnsi="宋体" w:eastAsia="宋体" w:cs="宋体"/>
                <w:color w:val="c0504d" w:themeColor="accent2"/>
                <w:sz w:val="21"/>
                <w:szCs w:val="24"/>
                <w14:textFill>
                  <w14:solidFill>
                    <w14:schemeClr w14:val="accent2"/>
                  </w14:solidFill>
                </w14:textFill>
              </w:rPr>
            </w:pPr>
            <w:r>
              <w:rPr>
                <w:rFonts w:hint="eastAsia" w:ascii="宋体" w:hAnsi="宋体" w:cs="宋体"/>
                <w:color w:val="c0504d" w:themeColor="accent2"/>
                <w:szCs w:val="24"/>
                <w14:textFill>
                  <w14:solidFill>
                    <w14:schemeClr w14:val="accent2"/>
                  </w14:solidFill>
                </w14:textFill>
              </w:rPr>
              <w:t xml:space="preserve">          2路PFC,控制LED像素≤3840*2160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hint="eastAsia" w:ascii="宋体" w:hAnsi="宋体" w:eastAsia="宋体" w:cs="宋体"/>
                <w:color w:val="c0504d" w:themeColor="accent2"/>
                <w:sz w:val="21"/>
                <w:szCs w:val="24"/>
                <w:lang w:val="en-US" w:eastAsia="zh-CN"/>
                <w14:textFill>
                  <w14:solidFill>
                    <w14:schemeClr w14:val="accent2"/>
                  </w14:solidFill>
                </w14:textFill>
              </w:rPr>
            </w:pPr>
            <w:r>
              <w:rPr>
                <w:rFonts w:hint="eastAsia" w:ascii="宋体" w:hAnsi="宋体" w:cs="宋体"/>
                <w:color w:val="c0504d" w:themeColor="accent2"/>
                <w:szCs w:val="24"/>
                <w14:textFill>
                  <w14:solidFill>
                    <w14:schemeClr w14:val="accent2"/>
                  </w14:solidFill>
                </w14:textFill>
              </w:rPr>
              <w:t xml:space="preserve">1</w:t>
            </w:r>
            <w:r>
              <w:rPr>
                <w:rFonts w:hint="eastAsia" w:ascii="宋体" w:hAnsi="宋体" w:cs="宋体"/>
                <w:color w:val="c0504d" w:themeColor="accent2"/>
                <w:szCs w:val="24"/>
                <w:lang w:val="en-US" w:eastAsia="zh-CN"/>
                <w14:textFill>
                  <w14:solidFill>
                    <w14:schemeClr w14:val="accent2"/>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hint="eastAsia" w:ascii="宋体" w:hAnsi="宋体" w:cs="宋体" w:eastAsiaTheme="minorEastAsia"/>
                <w:color w:val="c0504d" w:themeColor="accent2"/>
                <w:sz w:val="21"/>
                <w:szCs w:val="24"/>
                <w:lang w:val="en-US" w:eastAsia="zh-CN"/>
                <w14:textFill>
                  <w14:solidFill>
                    <w14:schemeClr w14:val="accent2"/>
                  </w14:solidFill>
                </w14:textFill>
              </w:rPr>
            </w:pPr>
            <w:r>
              <w:rPr>
                <w:rFonts w:hint="eastAsia" w:ascii="宋体" w:hAnsi="宋体" w:cs="宋体" w:eastAsiaTheme="minorEastAsia"/>
                <w:color w:val="c0504d" w:themeColor="accent2"/>
                <w:szCs w:val="24"/>
                <w:lang w:val="en-US" w:eastAsia="zh-CN"/>
                <w14:textFill>
                  <w14:solidFill>
                    <w14:schemeClr w14:val="accent2"/>
                  </w14:solidFill>
                </w14:textFill>
              </w:rPr>
              <w:t xml:space="preserve">张</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专业音箱</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2</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天花喇叭</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10</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专业功放</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专业功放</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5</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调音台</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音频处理器</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电源管理器</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3</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rPr>
              <w:t xml:space="preserve">1</w:t>
            </w:r>
            <w:r>
              <w:rPr>
                <w:rFonts w:hint="eastAsia" w:ascii="宋体" w:hAnsi="宋体" w:cs="宋体"/>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无线双手持话筒</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rPr>
              <w:t xml:space="preserve">1</w:t>
            </w:r>
            <w:r>
              <w:rPr>
                <w:rFonts w:hint="eastAsia" w:ascii="宋体" w:hAnsi="宋体" w:cs="宋体"/>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话筒天线</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rPr>
              <w:t xml:space="preserve">1</w:t>
            </w:r>
            <w:r>
              <w:rPr>
                <w:rFonts w:hint="eastAsia" w:ascii="宋体" w:hAnsi="宋体" w:cs="宋体"/>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多媒体信息插座</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2</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rPr>
              <w:t xml:space="preserve">1</w:t>
            </w:r>
            <w:r>
              <w:rPr>
                <w:rFonts w:hint="eastAsia" w:ascii="宋体" w:hAnsi="宋体" w:cs="宋体"/>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支架</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2</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rPr>
              <w:t xml:space="preserve">1</w:t>
            </w:r>
            <w:r>
              <w:rPr>
                <w:rFonts w:hint="eastAsia" w:ascii="宋体" w:hAnsi="宋体" w:cs="宋体"/>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一拖八无线话筒</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rPr>
              <w:t xml:space="preserve">1</w:t>
            </w:r>
            <w:r>
              <w:rPr>
                <w:rFonts w:hint="eastAsia" w:ascii="宋体" w:hAnsi="宋体" w:cs="宋体"/>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机柜</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lang w:val="en-US" w:eastAsia="zh-CN"/>
              </w:rPr>
              <w:t xml:space="preserve">3</w:t>
            </w:r>
            <w:r>
              <w:rPr>
                <w:rFonts w:hint="eastAsia" w:ascii="宋体" w:hAnsi="宋体" w:cs="宋体"/>
                <w:szCs w:val="24"/>
              </w:rPr>
              <w:t xml:space="preserve">2U标准机柜</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音频连接线</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21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音频连接线</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1.8米音频连接线：3.5（耳机插头）-双6.35话筒插头</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2</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网线</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六类网线</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200</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音箱线</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2-金银线(300*0.1)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400</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电源线</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pStyle w:val="839"/>
              <w:ind w:left="0"/>
              <w:jc w:val="center"/>
              <w:spacing w:line="360" w:lineRule="auto"/>
              <w:rPr>
                <w:rFonts w:ascii="宋体" w:hAnsi="宋体" w:cs="宋体"/>
                <w:szCs w:val="24"/>
              </w:rPr>
            </w:pPr>
            <w:r>
              <w:rPr>
                <w:rFonts w:hint="eastAsia" w:ascii="宋体" w:hAnsi="宋体" w:cs="宋体"/>
                <w:szCs w:val="24"/>
              </w:rPr>
              <w:t xml:space="preserve">RVV3*2.5MM</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200</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镀锌管</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Φ20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100</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default" w:ascii="宋体" w:hAnsi="宋体" w:cs="宋体" w:eastAsiaTheme="minorEastAsia"/>
                <w:szCs w:val="24"/>
                <w:lang w:val="en-US" w:eastAsia="zh-CN"/>
              </w:rPr>
            </w:pPr>
            <w:r>
              <w:rPr>
                <w:rFonts w:hint="eastAsia" w:ascii="宋体" w:hAnsi="宋体" w:cs="宋体"/>
                <w:szCs w:val="24"/>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其它附材</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rPr>
              <w:t xml:space="preserve">接插件、专用插座等</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批</w:t>
            </w:r>
            <w:r/>
          </w:p>
        </w:tc>
      </w:tr>
      <w:tr>
        <w:trPr>
          <w:trHeight w:val="400"/>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spacing w:line="400" w:lineRule="exact"/>
              <w:rPr>
                <w:rFonts w:hint="eastAsia" w:ascii="宋体" w:hAnsi="宋体" w:cs="宋体" w:eastAsiaTheme="minorEastAsia"/>
                <w:szCs w:val="24"/>
                <w:lang w:eastAsia="zh-CN"/>
              </w:rPr>
            </w:pPr>
            <w:r>
              <w:rPr>
                <w:rFonts w:hint="eastAsia" w:ascii="宋体" w:hAnsi="宋体" w:cs="宋体"/>
                <w:szCs w:val="24"/>
              </w:rPr>
              <w:t xml:space="preserve">2</w:t>
            </w:r>
            <w:r>
              <w:rPr>
                <w:rFonts w:hint="eastAsia" w:ascii="宋体" w:hAnsi="宋体" w:cs="宋体"/>
                <w:szCs w:val="24"/>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1377" w:type="pct"/>
            <w:vAlign w:val="center"/>
            <w:textDirection w:val="lrTb"/>
            <w:noWrap w:val="false"/>
          </w:tcPr>
          <w:p>
            <w:pPr>
              <w:jc w:val="center"/>
              <w:spacing w:line="400" w:lineRule="exact"/>
              <w:rPr>
                <w:rFonts w:ascii="宋体" w:hAnsi="宋体" w:cs="宋体"/>
                <w:szCs w:val="24"/>
              </w:rPr>
            </w:pPr>
            <w:r>
              <w:rPr>
                <w:rFonts w:hint="eastAsia" w:ascii="宋体" w:hAnsi="宋体" w:cs="宋体"/>
                <w:szCs w:val="24"/>
                <w:lang w:val="en-US" w:eastAsia="zh-CN"/>
              </w:rPr>
              <w:t xml:space="preserve">整体</w:t>
            </w:r>
            <w:r>
              <w:rPr>
                <w:rFonts w:hint="eastAsia" w:ascii="宋体" w:hAnsi="宋体" w:cs="宋体"/>
                <w:szCs w:val="24"/>
              </w:rPr>
              <w:t xml:space="preserve">安装调试</w:t>
            </w:r>
            <w:r/>
          </w:p>
        </w:tc>
        <w:tc>
          <w:tcPr>
            <w:tcBorders>
              <w:top w:val="single" w:color="000000" w:sz="4" w:space="0"/>
              <w:left w:val="none" w:color="000000" w:sz="4" w:space="0"/>
              <w:bottom w:val="single" w:color="000000" w:sz="4" w:space="0"/>
              <w:right w:val="single" w:color="000000" w:sz="4" w:space="0"/>
            </w:tcBorders>
            <w:tcW w:w="1947" w:type="pct"/>
            <w:vAlign w:val="center"/>
            <w:textDirection w:val="lrTb"/>
            <w:noWrap w:val="false"/>
          </w:tcPr>
          <w:p>
            <w:pPr>
              <w:jc w:val="center"/>
              <w:spacing w:line="400" w:lineRule="exact"/>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400" w:lineRule="exact"/>
              <w:rPr>
                <w:rFonts w:ascii="宋体" w:hAnsi="宋体" w:cs="宋体"/>
                <w:szCs w:val="24"/>
              </w:rPr>
            </w:pPr>
            <w:r>
              <w:rPr>
                <w:rFonts w:hint="eastAsia" w:ascii="宋体" w:hAnsi="宋体" w:cs="宋体"/>
                <w:szCs w:val="24"/>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firstLine="422"/>
        <w:jc w:val="left"/>
        <w:spacing w:line="360" w:lineRule="auto"/>
        <w:widowControl/>
        <w:rPr>
          <w:rFonts w:hint="eastAsia" w:ascii="宋体" w:hAnsi="宋体" w:eastAsia="宋体" w:cs="宋体"/>
          <w:b/>
          <w:bCs/>
          <w:sz w:val="21"/>
          <w:szCs w:val="21"/>
          <w:lang w:val="en-US" w:eastAsia="zh-CN" w:bidi="ar-SA"/>
        </w:rPr>
        <w:outlineLvl w:val="1"/>
      </w:pPr>
      <w:r/>
      <w:bookmarkStart w:id="136" w:name="_Toc16580"/>
      <w:r/>
      <w:bookmarkStart w:id="137" w:name="_Toc10435"/>
      <w:r/>
      <w:bookmarkStart w:id="138" w:name="_Toc16734"/>
      <w:r/>
      <w:bookmarkStart w:id="139" w:name="_Toc20951"/>
      <w:r/>
      <w:bookmarkStart w:id="140" w:name="_Toc14069"/>
      <w:r>
        <w:rPr>
          <w:rFonts w:hint="eastAsia" w:ascii="宋体" w:hAnsi="宋体" w:cs="宋体"/>
          <w:b/>
          <w:bCs/>
          <w:sz w:val="21"/>
          <w:szCs w:val="21"/>
          <w:lang w:val="en-US" w:eastAsia="zh-CN" w:bidi="ar-SA"/>
        </w:rPr>
        <w:t xml:space="preserve">（二）</w:t>
      </w:r>
      <w:r>
        <w:rPr>
          <w:rFonts w:hint="eastAsia" w:ascii="宋体" w:hAnsi="宋体" w:eastAsia="宋体" w:cs="宋体"/>
          <w:b/>
          <w:bCs/>
          <w:sz w:val="21"/>
          <w:szCs w:val="21"/>
          <w:lang w:val="en-US" w:eastAsia="zh-CN" w:bidi="ar-SA"/>
        </w:rPr>
        <w:t xml:space="preserve">综合性集成应用平台</w:t>
      </w:r>
      <w:bookmarkEnd w:id="136"/>
      <w:r/>
      <w:r/>
    </w:p>
    <w:p>
      <w:pPr>
        <w:ind w:left="210" w:firstLine="422"/>
        <w:spacing w:line="360" w:lineRule="auto"/>
        <w:rPr>
          <w:rFonts w:hint="eastAsia" w:ascii="宋体" w:hAnsi="宋体" w:eastAsia="宋体" w:cs="宋体"/>
          <w:b/>
          <w:bCs/>
          <w:sz w:val="21"/>
          <w:szCs w:val="21"/>
          <w:lang w:val="en-US" w:eastAsia="zh-CN" w:bidi="ar-SA"/>
        </w:rPr>
        <w:outlineLvl w:val="2"/>
      </w:pPr>
      <w:r/>
      <w:bookmarkStart w:id="141" w:name="_Toc18392"/>
      <w:r>
        <w:rPr>
          <w:rFonts w:hint="eastAsia" w:ascii="宋体" w:hAnsi="宋体" w:eastAsia="宋体" w:cs="宋体"/>
          <w:b/>
          <w:bCs/>
          <w:sz w:val="21"/>
          <w:szCs w:val="21"/>
          <w:lang w:val="en-US" w:eastAsia="zh-CN" w:bidi="ar-SA"/>
        </w:rPr>
        <w:t xml:space="preserve">1.公安交通集成指挥模块智能化升级</w:t>
      </w:r>
      <w:bookmarkEnd w:id="141"/>
      <w:r/>
      <w:r/>
    </w:p>
    <w:tbl>
      <w:tblPr>
        <w:tblStyle w:val="739"/>
        <w:tblW w:w="501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760"/>
        <w:gridCol w:w="3148"/>
        <w:gridCol w:w="840"/>
        <w:gridCol w:w="840"/>
        <w:gridCol w:w="2029"/>
      </w:tblGrid>
      <w:tr>
        <w:trPr>
          <w:trHeight w:val="270"/>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W w:w="110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备注</w:t>
            </w:r>
            <w:r/>
          </w:p>
        </w:tc>
      </w:tr>
      <w:tr>
        <w:trPr>
          <w:trHeight w:val="765"/>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应用服务器</w:t>
            </w:r>
            <w:r/>
          </w:p>
        </w:tc>
        <w:tc>
          <w:tcPr>
            <w:tcW w:w="1712" w:type="pct"/>
            <w:vAlign w:val="center"/>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见公安交通集成指挥模块硬件技术要求</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原集成指挥大数据平台节点扩容及业务应用集群扩容</w:t>
            </w:r>
            <w:r/>
          </w:p>
        </w:tc>
      </w:tr>
      <w:tr>
        <w:trPr>
          <w:trHeight w:val="510"/>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大数据流计算节点授权扩容</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新增流式计算节点扩容许可。</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原集成指挥大数据平台节点扩容授权</w:t>
            </w:r>
            <w:r/>
          </w:p>
        </w:tc>
      </w:tr>
      <w:tr>
        <w:trPr>
          <w:trHeight w:val="510"/>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大数据分布式节点授权扩容</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新增分布式节点扩容许可。</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原集成指挥大数据平台节点扩容授权</w:t>
            </w:r>
            <w:r/>
          </w:p>
        </w:tc>
      </w:tr>
      <w:tr>
        <w:trPr>
          <w:trHeight w:val="765"/>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大数据维保服务</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大数据原厂运维服务。</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年</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为保障原集成指挥大数据平台节点扩容安全稳定，需对过保的平台整体续保。</w:t>
            </w:r>
            <w:r/>
          </w:p>
        </w:tc>
      </w:tr>
      <w:tr>
        <w:trPr>
          <w:trHeight w:val="1020"/>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集中式存储</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见公安交通集成指挥模块硬件技术要求</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扩容数据库存储</w:t>
            </w:r>
            <w:r/>
          </w:p>
        </w:tc>
      </w:tr>
      <w:tr>
        <w:trPr>
          <w:trHeight w:val="1785"/>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视频网分布式存储</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见公安交通集成指挥模块硬件技术要求</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视频网前端存储按照过车图片保留3个月要求，需采购100T存储设备。</w:t>
            </w:r>
            <w:r/>
          </w:p>
        </w:tc>
      </w:tr>
      <w:tr>
        <w:trPr>
          <w:trHeight w:val="1020"/>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视频网关</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见公安交通集成指挥模块硬件技术要求</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原来设备性能无法满足使用要求。（原视频网关使用近十年，其视频传输性能已成为集指平台业务瓶颈，视频流卡顿。且因设备硬件条件限制，已无法升级到最新固件版本，无法在浏览器上直接点播视频，也没有管理页面功能，日常故障难以排查。故需要采购新的视频网关设备解决以上问题，满足集指平台的日常业务使用需求。）</w:t>
            </w:r>
            <w:r/>
          </w:p>
        </w:tc>
      </w:tr>
      <w:tr>
        <w:trPr>
          <w:trHeight w:val="1275"/>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车辆特征智能识别与图片检索比对软件</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见公安交通集成指挥模块软件功能要求</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机动车像标准特征数据库通过集成指挥平台下发到支队。配置1台GPU服务器，支持800万/天车辆识别</w:t>
            </w:r>
            <w:r/>
          </w:p>
        </w:tc>
      </w:tr>
      <w:tr>
        <w:trPr>
          <w:trHeight w:val="1785"/>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卡口图片人脸智能识别比对软件</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见公安交通集成指挥模块软件功能要求</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510"/>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GPU服务器</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见公安交通集成指挥模块硬件技术要求</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车辆特征识别1台、人脸识别1台（视频专网）</w:t>
            </w:r>
            <w:r/>
          </w:p>
        </w:tc>
      </w:tr>
      <w:tr>
        <w:trPr>
          <w:trHeight w:val="765"/>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驻场服务</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提供1名集成指挥平台系统驻场工程师（1年以上信息系统维护经验），提供1人次3年5 x 8工作日驻场服务，驻场人员作息安排服从交警支队作息安排。</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 提供集成指挥平台系统软硬件巡检维护服务。包含设备状态检查、空间检查，日志查看，日志分析等，检查维护集成指挥平台数据库、Tomcat、Redis等组件状态。</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 提供集成指挥平台系统软硬件支撑服务，包含资源开通、空间分配，配置调整等。</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 故障处理。包含故障诊断，分析。配合生产厂商进行故障设备日志抓取，配合故障处理等。</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 应用维护。应用启停，应用安装，应用发布，日志分析等。</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 集成指挥软件升级服务。按照科研所的相关要求，完成集成指挥平台应用软件的升级、部署。</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 配合用户完成集成指挥软件的备案，权限分配，参数配置等工作。</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 集成指挥数据接入、交换任务的检查，配合定时任务错误分析、处理。</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8、交警支队安排的其他工作任务。包括平台对接卡口点位参数配置，修改，日常数据统计分析、系统参数数据上传等。</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70"/>
        </w:trPr>
        <w:tc>
          <w:tcPr>
            <w:tcW w:w="31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W w:w="95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W w:w="17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两人工作量33.5天计算</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c>
          <w:tcPr>
            <w:tcW w:w="4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11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bl>
    <w:p>
      <w:pPr>
        <w:ind w:left="210"/>
        <w:spacing w:line="360" w:lineRule="auto"/>
        <w:rPr>
          <w:rFonts w:hint="eastAsia" w:ascii="宋体" w:hAnsi="宋体" w:eastAsia="宋体" w:cs="宋体"/>
          <w:b/>
          <w:bCs/>
          <w:sz w:val="21"/>
          <w:szCs w:val="21"/>
          <w:lang w:val="en-US" w:eastAsia="zh-CN" w:bidi="ar-SA"/>
        </w:rPr>
        <w:outlineLvl w:val="2"/>
      </w:pPr>
      <w:r/>
      <w:bookmarkStart w:id="142" w:name="_Toc25877"/>
      <w:r>
        <w:rPr>
          <w:rFonts w:hint="eastAsia" w:ascii="宋体" w:hAnsi="宋体" w:eastAsia="宋体" w:cs="宋体"/>
          <w:b/>
          <w:bCs/>
          <w:sz w:val="21"/>
          <w:szCs w:val="21"/>
          <w:lang w:val="en-US" w:eastAsia="zh-CN" w:bidi="ar-SA"/>
        </w:rPr>
        <w:t xml:space="preserve">2.移动执法警务模块智能化升级（交通指挥中心）</w:t>
      </w:r>
      <w:bookmarkEnd w:id="142"/>
      <w:r/>
      <w:r/>
    </w:p>
    <w:tbl>
      <w:tblPr>
        <w:tblStyle w:val="7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465"/>
        <w:gridCol w:w="2664"/>
        <w:gridCol w:w="4171"/>
      </w:tblGrid>
      <w:tr>
        <w:trPr>
          <w:jc w:val="center"/>
          <w:trHeight w:val="825"/>
        </w:trPr>
        <w:tc>
          <w:tcPr>
            <w:tcW w:w="472"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序号</w:t>
            </w:r>
            <w:r/>
          </w:p>
        </w:tc>
        <w:tc>
          <w:tcPr>
            <w:tcW w:w="799"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分类</w:t>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模块</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功能描述</w:t>
            </w:r>
            <w:r/>
          </w:p>
        </w:tc>
      </w:tr>
      <w:tr>
        <w:trPr>
          <w:jc w:val="center"/>
          <w:trHeight w:val="1815"/>
        </w:trPr>
        <w:tc>
          <w:tcPr>
            <w:tcW w:w="472" w:type="pct"/>
            <w:vAlign w:val="center"/>
            <w:vMerge w:val="restart"/>
            <w:textDirection w:val="lrTb"/>
            <w:noWrap/>
          </w:tcPr>
          <w:p>
            <w:pPr>
              <w:pStyle w:val="1086"/>
              <w:rPr>
                <w:rFonts w:hint="eastAsia" w:ascii="宋体" w:hAnsi="宋体" w:eastAsia="宋体" w:cs="宋体"/>
              </w:rPr>
            </w:pPr>
            <w:r>
              <w:rPr>
                <w:rFonts w:hint="eastAsia" w:ascii="宋体" w:hAnsi="宋体" w:eastAsia="宋体" w:cs="宋体"/>
              </w:rPr>
              <w:t xml:space="preserve">1</w:t>
            </w:r>
            <w:r/>
          </w:p>
        </w:tc>
        <w:tc>
          <w:tcPr>
            <w:tcW w:w="799" w:type="pct"/>
            <w:vAlign w:val="center"/>
            <w:vMerge w:val="restart"/>
            <w:textDirection w:val="lrTb"/>
            <w:noWrap w:val="false"/>
          </w:tcPr>
          <w:p>
            <w:pPr>
              <w:pStyle w:val="1086"/>
              <w:rPr>
                <w:rFonts w:hint="eastAsia" w:ascii="宋体" w:hAnsi="宋体" w:eastAsia="宋体" w:cs="宋体"/>
              </w:rPr>
            </w:pPr>
            <w:r>
              <w:rPr>
                <w:rFonts w:hint="eastAsia" w:ascii="宋体" w:hAnsi="宋体" w:eastAsia="宋体" w:cs="宋体"/>
              </w:rPr>
              <w:t xml:space="preserve">远程执法系统</w:t>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视频对讲服务组件</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符合省厅安全接入要求，部署在二类区，包括群组对讲、单呼、定位、多媒体IM、视频回传、图片拍传等业务，支持一对一视频通话功能。可对视频通话进行实时录制，支持视频回放。可自动关联至现场违法处理数据，实现违法数据与视频证据的强关联关系。</w:t>
            </w:r>
            <w:r/>
          </w:p>
        </w:tc>
      </w:tr>
      <w:tr>
        <w:trPr>
          <w:jc w:val="center"/>
          <w:trHeight w:val="960"/>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电子签名</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民警可在软件上录入电子签名并上传到服务端，民警在执法连线或选择第二民警时获取对应民警的电子签名并打印到决定书上。</w:t>
            </w:r>
            <w:r/>
          </w:p>
        </w:tc>
      </w:tr>
      <w:tr>
        <w:trPr>
          <w:jc w:val="center"/>
          <w:trHeight w:val="1965"/>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违法模块</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包括机动车简易违法和非机动车、行人、乘车人简易违法采集。提供适用于路面执勤时200元以下所有违法类型处罚录入功能，支持违法单据的实时录入与提交至后台和公安交通管理综合应用平台，对当事人、车辆等要素的报警、校验、提示模块。要求兼容现有现场双民警执法模式。</w:t>
            </w:r>
            <w:r/>
          </w:p>
        </w:tc>
      </w:tr>
      <w:tr>
        <w:trPr>
          <w:jc w:val="center"/>
          <w:trHeight w:val="1500"/>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远程视频处罚</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获取在线民警列表并根据民警的通话状态作出区分，实现现场民警和远程民警视频通话功能，并根据现场案件信息在现场民警和远程民警端提示不同的宣读内容，远程民警展示预览文书内容。</w:t>
            </w:r>
            <w:r/>
          </w:p>
        </w:tc>
      </w:tr>
      <w:tr>
        <w:trPr>
          <w:jc w:val="center"/>
          <w:trHeight w:val="855"/>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远程执法案件查询与视频上传</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根据自定义时间范围，查询当天之前的远程执法案件信息，根据视频上传状态提供视频从二类区下载，并上传到公安信息网功能。</w:t>
            </w:r>
            <w:r/>
          </w:p>
        </w:tc>
      </w:tr>
      <w:tr>
        <w:trPr>
          <w:jc w:val="center"/>
          <w:trHeight w:val="645"/>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视频合成</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每天夜间将当天远程执法视频进行合成，将现场民警与远程民警视频合成为一个视频。</w:t>
            </w:r>
            <w:r/>
          </w:p>
        </w:tc>
      </w:tr>
      <w:tr>
        <w:trPr>
          <w:jc w:val="center"/>
          <w:trHeight w:val="795"/>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远程执法数据查询</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在移动警务后台新增该功能，支持根据案件信息查询远程执法数据，并查看已经上传的视频信息。</w:t>
            </w:r>
            <w:r/>
          </w:p>
        </w:tc>
      </w:tr>
      <w:tr>
        <w:trPr>
          <w:jc w:val="center"/>
          <w:trHeight w:val="1995"/>
        </w:trPr>
        <w:tc>
          <w:tcPr>
            <w:tcW w:w="472" w:type="pct"/>
            <w:vAlign w:val="center"/>
            <w:vMerge w:val="restart"/>
            <w:textDirection w:val="lrTb"/>
            <w:noWrap/>
          </w:tcPr>
          <w:p>
            <w:pPr>
              <w:pStyle w:val="1086"/>
              <w:rPr>
                <w:rFonts w:hint="eastAsia" w:ascii="宋体" w:hAnsi="宋体" w:eastAsia="宋体" w:cs="宋体"/>
              </w:rPr>
            </w:pPr>
            <w:r>
              <w:rPr>
                <w:rFonts w:hint="eastAsia" w:ascii="宋体" w:hAnsi="宋体" w:eastAsia="宋体" w:cs="宋体"/>
              </w:rPr>
              <w:t xml:space="preserve">2</w:t>
            </w:r>
            <w:r/>
          </w:p>
        </w:tc>
        <w:tc>
          <w:tcPr>
            <w:tcW w:w="799" w:type="pct"/>
            <w:vAlign w:val="center"/>
            <w:vMerge w:val="restart"/>
            <w:textDirection w:val="lrTb"/>
            <w:noWrap/>
          </w:tcPr>
          <w:p>
            <w:pPr>
              <w:pStyle w:val="1086"/>
              <w:rPr>
                <w:rFonts w:hint="eastAsia" w:ascii="宋体" w:hAnsi="宋体" w:eastAsia="宋体" w:cs="宋体"/>
              </w:rPr>
            </w:pPr>
            <w:r>
              <w:rPr>
                <w:rFonts w:hint="eastAsia" w:ascii="宋体" w:hAnsi="宋体" w:eastAsia="宋体" w:cs="宋体"/>
              </w:rPr>
              <w:t xml:space="preserve">掌上速裁</w:t>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数据核查</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通过查询公安驾驶证，机动车信息以及违法行为信息来判断是否符合现场速裁情形。包括核查驾驶人信息，显示人员姓名、记分、违法未处理等情况；核查机动车信息，显示交通方式、车主、违法未处理等情况；判断新增违法是否会达到满分；支持二代身份证读卡、号牌自动识别等功能。</w:t>
            </w:r>
            <w:r/>
          </w:p>
        </w:tc>
      </w:tr>
      <w:tr>
        <w:trPr>
          <w:jc w:val="center"/>
          <w:trHeight w:val="1065"/>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告知书</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当事人若同意进行现场速裁，系统可生成《权利义务告知书》，进行打印并让当事人签字，签字、送达过程进行视频拍摄。</w:t>
            </w:r>
            <w:r/>
          </w:p>
        </w:tc>
      </w:tr>
      <w:tr>
        <w:trPr>
          <w:jc w:val="center"/>
          <w:trHeight w:val="960"/>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违法数据采集</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采集违法时间、地点、当事人联系方式、住址、保单、人车现场照片等信息。</w:t>
            </w:r>
            <w:r/>
          </w:p>
        </w:tc>
      </w:tr>
      <w:tr>
        <w:trPr>
          <w:jc w:val="center"/>
          <w:trHeight w:val="1620"/>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询问笔录</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在移动警务系统后台新增询问笔录模板设置功能，可以针对不同违法行为设置询问笔录模板。现场民警根据采集的违法行为，自动调用后台询问笔录模板，生成询问笔录。询问过程进行视频拍摄。</w:t>
            </w:r>
            <w:r/>
          </w:p>
        </w:tc>
      </w:tr>
      <w:tr>
        <w:trPr>
          <w:jc w:val="center"/>
          <w:trHeight w:val="919"/>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告知笔录</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系统自动生成《告知笔录》，打印后由当事人签字，签字、送达过程进行视频拍摄。</w:t>
            </w:r>
            <w:r/>
          </w:p>
        </w:tc>
      </w:tr>
      <w:tr>
        <w:trPr>
          <w:jc w:val="center"/>
          <w:trHeight w:val="1710"/>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案件审批</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将已经完成信息采集、告知、询问笔录、告知笔录的案件在正式录入前推送数据给大队中队指定管理人员，管理人员在查看案件数据后可以进行审批，现场民警需等待审批完成后才可以开具行政处罚决定书。</w:t>
            </w:r>
            <w:r/>
          </w:p>
        </w:tc>
      </w:tr>
      <w:tr>
        <w:trPr>
          <w:jc w:val="center"/>
          <w:trHeight w:val="1305"/>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处罚决定书</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打印处罚决定书，交由当事人签字，签字、送达过程进行视频拍摄。若所办案件为准驾不符，还需打印《代驾记录单》；擅自改变机动车外形等情况，还需打印《责令整改通知书》。</w:t>
            </w:r>
            <w:r/>
          </w:p>
        </w:tc>
      </w:tr>
      <w:tr>
        <w:trPr>
          <w:jc w:val="center"/>
          <w:trHeight w:val="720"/>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文书留存</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进行所有文书拍摄并上传保存。</w:t>
            </w:r>
            <w:r/>
          </w:p>
        </w:tc>
      </w:tr>
      <w:tr>
        <w:trPr>
          <w:jc w:val="center"/>
          <w:trHeight w:val="1080"/>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数据查看</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在现有移动警务后台增加“掌上速裁数据查询”功能，根据案件信息查询现场速裁案件数据，并查看已经上传的视频信息、图片信息。</w:t>
            </w:r>
            <w:r/>
          </w:p>
        </w:tc>
      </w:tr>
      <w:tr>
        <w:trPr>
          <w:jc w:val="center"/>
          <w:trHeight w:val="1200"/>
        </w:trPr>
        <w:tc>
          <w:tcPr>
            <w:tcW w:w="472" w:type="pct"/>
            <w:vAlign w:val="center"/>
            <w:vMerge w:val="restart"/>
            <w:textDirection w:val="lrTb"/>
            <w:noWrap/>
          </w:tcPr>
          <w:p>
            <w:pPr>
              <w:pStyle w:val="1086"/>
              <w:rPr>
                <w:rFonts w:hint="eastAsia" w:ascii="宋体" w:hAnsi="宋体" w:eastAsia="宋体" w:cs="宋体"/>
              </w:rPr>
            </w:pPr>
            <w:r>
              <w:rPr>
                <w:rFonts w:hint="eastAsia" w:ascii="宋体" w:hAnsi="宋体" w:eastAsia="宋体" w:cs="宋体"/>
              </w:rPr>
              <w:t xml:space="preserve">3</w:t>
            </w:r>
            <w:r/>
          </w:p>
        </w:tc>
        <w:tc>
          <w:tcPr>
            <w:tcW w:w="799" w:type="pct"/>
            <w:vAlign w:val="center"/>
            <w:vMerge w:val="restart"/>
            <w:textDirection w:val="lrTb"/>
            <w:noWrap w:val="false"/>
          </w:tcPr>
          <w:p>
            <w:pPr>
              <w:pStyle w:val="1086"/>
              <w:rPr>
                <w:rFonts w:hint="eastAsia" w:ascii="宋体" w:hAnsi="宋体" w:eastAsia="宋体" w:cs="宋体"/>
              </w:rPr>
            </w:pPr>
            <w:r>
              <w:rPr>
                <w:rFonts w:hint="eastAsia" w:ascii="宋体" w:hAnsi="宋体" w:eastAsia="宋体" w:cs="宋体"/>
              </w:rPr>
              <w:t xml:space="preserve">涉案车辆登记管理</w:t>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系统管理</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在移动警务系统管理基础上增加停车场管理体系，包括停车场部门管理、用户管理、角色管理、权限管理，实现停车场用户的专项权限管理。</w:t>
            </w:r>
            <w:r/>
          </w:p>
        </w:tc>
      </w:tr>
      <w:tr>
        <w:trPr>
          <w:jc w:val="center"/>
          <w:trHeight w:val="1650"/>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委托清拖单</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在移动警务强制措施模块中增加拖车选项，可选择停车场，在强制措施打印完成后再打印《委托清拖单》，《委托清拖单》中包含车牌、停车场信息、带加密信息的二维码（二维码信息含该强制措施信息）。</w:t>
            </w:r>
            <w:r/>
          </w:p>
        </w:tc>
      </w:tr>
      <w:tr>
        <w:trPr>
          <w:jc w:val="center"/>
          <w:trHeight w:val="1260"/>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车辆入场登记</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新增涉案车辆的入场登记功能，扫描《委托清拖单》中的二维码，获取案件编号，自动关联案件信息，采集车辆入场照片、记录入场时间，完成车辆入场登记。</w:t>
            </w:r>
            <w:r/>
          </w:p>
        </w:tc>
      </w:tr>
      <w:tr>
        <w:trPr>
          <w:jc w:val="center"/>
          <w:trHeight w:val="1455"/>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车辆放行单</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可通过移动警务系统后台网页上查询相关案件信息，校验案件状态，符合条件的可打印《车辆放行通知单》，《车辆放行通知单》中包含带加密信息的二维码。也可以通过PDA上进行案件查询校验，打印《车辆放行通知单》。</w:t>
            </w:r>
            <w:r/>
          </w:p>
        </w:tc>
      </w:tr>
      <w:tr>
        <w:trPr>
          <w:jc w:val="center"/>
          <w:trHeight w:val="1275"/>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车辆出场登记</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新增涉案车辆的出场登记功能，扫描《车辆放行通知单》中的二维码，获取案件编号，自动关联案件信息，记录出场时间，完成车辆出场登记。</w:t>
            </w:r>
            <w:r/>
          </w:p>
        </w:tc>
      </w:tr>
      <w:tr>
        <w:trPr>
          <w:jc w:val="center"/>
          <w:trHeight w:val="1422"/>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涉案车辆查询统计功能（内网）</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在现有移动警务系统后台，增加涉案车辆查询统计功能，根据涉案车辆相关信息查询涉案车辆案件信息、车停入场出场信息，统计在场车辆数量，每台车辆入场时间等。</w:t>
            </w:r>
            <w:r/>
          </w:p>
        </w:tc>
      </w:tr>
      <w:tr>
        <w:trPr>
          <w:jc w:val="center"/>
          <w:trHeight w:val="1039"/>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涉案车辆数据内外网同步</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将内网涉案车辆数据同步到外网，包括停车场基础数据、停车信息等。包括文件生成、文件同步、文件解析。</w:t>
            </w:r>
            <w:r/>
          </w:p>
        </w:tc>
      </w:tr>
      <w:tr>
        <w:trPr>
          <w:jc w:val="center"/>
          <w:trHeight w:val="1425"/>
        </w:trPr>
        <w:tc>
          <w:tcPr>
            <w:tcW w:w="472" w:type="pct"/>
            <w:vAlign w:val="center"/>
            <w:vMerge w:val="continue"/>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99" w:type="pct"/>
            <w:vAlign w:val="center"/>
            <w:vMerge w:val="continue"/>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1453"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涉案车辆查询统计功能（外网）</w:t>
            </w:r>
            <w:r/>
          </w:p>
        </w:tc>
        <w:tc>
          <w:tcPr>
            <w:tcW w:w="2274"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在外网部署服务，提供涉案车辆查询统计功能。可以根据车辆相关信息查询车辆入场出场信息，统计在场车辆数量，每台车辆入场时间等。系统用户、权限体系按照内网同步过来的数据进行处理。</w:t>
            </w:r>
            <w:r/>
          </w:p>
        </w:tc>
      </w:tr>
      <w:tr>
        <w:trPr>
          <w:jc w:val="center"/>
          <w:trHeight w:val="1425"/>
        </w:trPr>
        <w:tc>
          <w:tcPr>
            <w:tcW w:w="472" w:type="pct"/>
            <w:vAlign w:val="center"/>
            <w:textDirection w:val="lrTb"/>
            <w:noWrap/>
          </w:tcPr>
          <w:p>
            <w:pPr>
              <w:pStyle w:val="1086"/>
              <w:rPr>
                <w:rFonts w:hint="eastAsia" w:ascii="宋体" w:hAnsi="宋体" w:eastAsia="宋体" w:cs="宋体"/>
              </w:rPr>
            </w:pPr>
            <w:r>
              <w:rPr>
                <w:rFonts w:hint="eastAsia" w:ascii="宋体" w:hAnsi="宋体" w:eastAsia="宋体" w:cs="宋体"/>
              </w:rPr>
              <w:t xml:space="preserve">4</w:t>
            </w:r>
            <w:r/>
          </w:p>
        </w:tc>
        <w:tc>
          <w:tcPr>
            <w:tcW w:w="799"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专用警务通终端升级</w:t>
            </w:r>
            <w:r/>
          </w:p>
        </w:tc>
        <w:tc>
          <w:tcPr>
            <w:gridSpan w:val="2"/>
            <w:tcW w:w="3728" w:type="pct"/>
            <w:vAlign w:val="center"/>
            <w:textDirection w:val="lrTb"/>
            <w:noWrap w:val="false"/>
          </w:tcPr>
          <w:p>
            <w:pPr>
              <w:pStyle w:val="1086"/>
              <w:rPr>
                <w:rFonts w:hint="eastAsia" w:ascii="宋体" w:hAnsi="宋体" w:eastAsia="宋体" w:cs="宋体"/>
              </w:rPr>
            </w:pPr>
            <w:r>
              <w:rPr>
                <w:rFonts w:hint="eastAsia" w:ascii="宋体" w:hAnsi="宋体" w:eastAsia="宋体" w:cs="宋体"/>
              </w:rPr>
              <w:t xml:space="preserve">要求对支队现有323台终端进行升级，包括刷机、开孔及更换Mic模块等，确保满足远程视频对讲需求。</w:t>
            </w:r>
            <w:r>
              <w:rPr>
                <w:rFonts w:hint="eastAsia" w:ascii="宋体" w:hAnsi="宋体" w:eastAsia="宋体" w:cs="宋体"/>
              </w:rPr>
              <w:br/>
            </w:r>
            <w:r>
              <w:rPr>
                <w:rFonts w:hint="eastAsia" w:ascii="宋体" w:hAnsi="宋体" w:eastAsia="宋体" w:cs="宋体"/>
              </w:rPr>
              <w:t xml:space="preserve">1） 单北斗定位：通过底层系统接口调整，关闭现有GPS等其他定位接口，仅保留北斗定位。</w:t>
            </w:r>
            <w:r>
              <w:rPr>
                <w:rFonts w:hint="eastAsia" w:ascii="宋体" w:hAnsi="宋体" w:eastAsia="宋体" w:cs="宋体"/>
              </w:rPr>
              <w:br/>
            </w:r>
            <w:r>
              <w:rPr>
                <w:rFonts w:hint="eastAsia" w:ascii="宋体" w:hAnsi="宋体" w:eastAsia="宋体" w:cs="宋体"/>
              </w:rPr>
              <w:t xml:space="preserve">2） Mic改造：更换新的Mic模块，要求灵敏度达到-38dB；增加前壳上麦克风对应的收音开孔位置。</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left="210"/>
        <w:spacing w:line="360" w:lineRule="auto"/>
        <w:rPr>
          <w:rFonts w:hint="eastAsia" w:ascii="宋体" w:hAnsi="宋体" w:eastAsia="宋体" w:cs="宋体"/>
          <w:b/>
          <w:bCs/>
          <w:sz w:val="21"/>
          <w:szCs w:val="21"/>
          <w:lang w:val="en-US" w:eastAsia="zh-CN" w:bidi="ar-SA"/>
        </w:rPr>
        <w:outlineLvl w:val="2"/>
      </w:pPr>
      <w:r/>
      <w:bookmarkStart w:id="143" w:name="_Toc28707"/>
      <w:r>
        <w:rPr>
          <w:rFonts w:hint="eastAsia" w:ascii="宋体" w:hAnsi="宋体" w:eastAsia="宋体" w:cs="宋体"/>
          <w:b/>
          <w:bCs/>
          <w:sz w:val="21"/>
          <w:szCs w:val="21"/>
          <w:lang w:val="en-US" w:eastAsia="zh-CN" w:bidi="ar-SA"/>
        </w:rPr>
        <w:t xml:space="preserve">3.交通管理互联网服务模块（交通指挥中心）</w:t>
      </w:r>
      <w:bookmarkEnd w:id="143"/>
      <w:r/>
      <w:bookmarkEnd w:id="137"/>
      <w:bookmarkEnd w:id="138"/>
      <w:bookmarkEnd w:id="139"/>
      <w:bookmarkEnd w:id="140"/>
      <w:r/>
    </w:p>
    <w:tbl>
      <w:tblPr>
        <w:tblStyle w:val="73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850"/>
        <w:gridCol w:w="4394"/>
        <w:gridCol w:w="709"/>
        <w:gridCol w:w="567"/>
        <w:gridCol w:w="600"/>
      </w:tblGrid>
      <w:tr>
        <w:trPr>
          <w:jc w:val="center"/>
          <w:trHeight w:val="276"/>
        </w:trPr>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类别</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服务内容</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服务说明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服务方式</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jc w:val="center"/>
          <w:trHeight w:val="235"/>
        </w:trPr>
        <w:tc>
          <w:tcPr>
            <w:tcBorders>
              <w:top w:val="single" w:color="auto" w:sz="4" w:space="0"/>
              <w:left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平台服务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评价诊断治理平台</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软件基于多源融合的互联网交通大数据，使用基础地图、LBS、云计算、GIS、可视化、Al等综合技术能力，全方位自动诊断治理区域的交通问题，并输出有针对性的治理优化建议。</w:t>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功能1:堵点定位扫描，包括交通现状感知、堵点识别、交通健康体检报告等</w:t>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功能2:堵点精细诊治，包括堵因溯源、时空精细化诊断、堵点智慧决策等</w:t>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功能3:实施效果评价，包括拥堵改善效果监测、各地治堵方案的经验借鉴等</w:t>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功能4:工具组件分析，包括区域流量过饱和分析、任意路段OD溯源、停车强需点挖掘等。</w:t>
            </w:r>
            <w:r/>
          </w:p>
          <w:p>
            <w:pPr>
              <w:rPr>
                <w:rFonts w:hint="eastAsia" w:ascii="宋体" w:hAnsi="宋体" w:eastAsia="宋体" w:cs="宋体"/>
                <w:szCs w:val="24"/>
                <w:lang w:val="en-US" w:eastAsia="zh-CN" w:bidi="ar-SA"/>
              </w:rPr>
            </w:pPr>
            <w:r/>
            <w:bookmarkStart w:id="144" w:name="OLE_LINK2"/>
            <w:r/>
            <w:bookmarkStart w:id="145" w:name="OLE_LINK3"/>
            <w:r>
              <w:rPr>
                <w:rFonts w:hint="eastAsia" w:ascii="宋体" w:hAnsi="宋体" w:eastAsia="宋体" w:cs="宋体"/>
                <w:szCs w:val="24"/>
                <w:lang w:val="en-US" w:eastAsia="zh-CN" w:bidi="ar-SA"/>
              </w:rPr>
              <w:t xml:space="preserve">售后服务：该平台提供每年提供一次现场集中培训；提供5*12小时全天线上咨询服务；遇技术问题应在24小时内解决。</w:t>
            </w:r>
            <w:bookmarkEnd w:id="144"/>
            <w:r/>
            <w:bookmarkEnd w:id="145"/>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平台服务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 </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年</w:t>
            </w:r>
            <w:r/>
          </w:p>
        </w:tc>
      </w:tr>
      <w:tr>
        <w:trPr>
          <w:jc w:val="center"/>
          <w:trHeight w:val="960"/>
        </w:trPr>
        <w:tc>
          <w:tcPr>
            <w:tcBorders>
              <w:top w:val="single" w:color="auto" w:sz="4" w:space="0"/>
              <w:left w:val="single" w:color="auto" w:sz="4" w:space="0"/>
              <w:bottom w:val="single" w:color="auto" w:sz="4" w:space="0"/>
              <w:right w:val="single" w:color="auto" w:sz="4" w:space="0"/>
            </w:tcBorders>
            <w:tcW w:w="1385" w:type="dxa"/>
            <w:vAlign w:val="center"/>
            <w:vMerge w:val="continue"/>
            <w:textDirection w:val="lrTb"/>
            <w:noWrap w:val="false"/>
          </w:tcPr>
          <w:p>
            <w:pPr>
              <w:ind w:firstLine="400"/>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重大活动监测平台</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(基础模块)</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基础模块：人流聚集地识别、车流聚集地识别、区域人流画像、区域车流饱和度监测、网格人流预警。</w:t>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售后服务：该平台提供每年提供一次现场集中培训；提供5*12小时全天线上咨询服务；遇技术问题应在24小时内解决。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平台服务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 </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年</w:t>
            </w:r>
            <w:r/>
          </w:p>
        </w:tc>
      </w:tr>
    </w:tbl>
    <w:p>
      <w:pPr>
        <w:ind w:left="210"/>
        <w:spacing w:line="360" w:lineRule="auto"/>
        <w:rPr>
          <w:rFonts w:hint="eastAsia" w:ascii="宋体" w:hAnsi="宋体" w:eastAsia="宋体" w:cs="宋体"/>
          <w:b/>
          <w:bCs/>
          <w:sz w:val="21"/>
          <w:szCs w:val="21"/>
          <w:lang w:val="en-US" w:eastAsia="zh-CN" w:bidi="ar-SA"/>
        </w:rPr>
        <w:outlineLvl w:val="2"/>
      </w:pPr>
      <w:r/>
      <w:bookmarkStart w:id="146" w:name="_Toc30745"/>
      <w:r>
        <w:rPr>
          <w:rFonts w:hint="eastAsia" w:ascii="宋体" w:hAnsi="宋体" w:eastAsia="宋体" w:cs="宋体"/>
          <w:b/>
          <w:bCs/>
          <w:sz w:val="21"/>
          <w:szCs w:val="21"/>
          <w:lang w:val="en-US" w:eastAsia="zh-CN" w:bidi="ar-SA"/>
        </w:rPr>
        <w:t xml:space="preserve">4.风险防控管理模块（交通指挥中心）</w:t>
      </w:r>
      <w:bookmarkEnd w:id="146"/>
      <w:r/>
      <w:r/>
    </w:p>
    <w:tbl>
      <w:tblPr>
        <w:tblStyle w:val="73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746"/>
        <w:gridCol w:w="776"/>
        <w:gridCol w:w="1517"/>
        <w:gridCol w:w="6130"/>
      </w:tblGrid>
      <w:tr>
        <w:trPr>
          <w:jc w:val="center"/>
          <w:trHeight w:val="37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t xml:space="preserve">风险防控管理模块</w:t>
            </w:r>
            <w:r/>
          </w:p>
        </w:tc>
      </w:tr>
      <w:tr>
        <w:trPr>
          <w:jc w:val="center"/>
          <w:trHeight w:val="375"/>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t xml:space="preserve">系统名称</w:t>
            </w:r>
            <w:r/>
          </w:p>
        </w:tc>
        <w:tc>
          <w:tcPr>
            <w:tcBorders>
              <w:top w:val="single" w:color="auto" w:sz="4" w:space="0"/>
              <w:left w:val="none" w:color="000000" w:sz="4" w:space="0"/>
              <w:bottom w:val="single" w:color="auto" w:sz="4" w:space="0"/>
              <w:right w:val="single" w:color="auto" w:sz="4" w:space="0"/>
            </w:tcBorders>
            <w:tcW w:w="423" w:type="pct"/>
            <w:vAlign w:val="center"/>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t xml:space="preserve">功能模块</w:t>
            </w:r>
            <w:r/>
          </w:p>
        </w:tc>
        <w:tc>
          <w:tcPr>
            <w:tcBorders>
              <w:top w:val="single" w:color="auto" w:sz="4" w:space="0"/>
              <w:left w:val="none" w:color="000000" w:sz="4" w:space="0"/>
              <w:bottom w:val="single" w:color="auto" w:sz="4" w:space="0"/>
              <w:right w:val="single" w:color="auto" w:sz="4" w:space="0"/>
            </w:tcBorders>
            <w:tcW w:w="827" w:type="pct"/>
            <w:vAlign w:val="center"/>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t xml:space="preserve">二级功能</w:t>
            </w:r>
            <w:r/>
          </w:p>
        </w:tc>
        <w:tc>
          <w:tcPr>
            <w:tcBorders>
              <w:top w:val="single" w:color="auto" w:sz="4" w:space="0"/>
              <w:left w:val="none" w:color="000000" w:sz="4" w:space="0"/>
              <w:bottom w:val="single" w:color="auto" w:sz="4" w:space="0"/>
              <w:right w:val="single" w:color="auto" w:sz="4" w:space="0"/>
            </w:tcBorders>
            <w:tcW w:w="3341" w:type="pct"/>
            <w:vAlign w:val="center"/>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t xml:space="preserve">功能描述</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restart"/>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t xml:space="preserve">扬州道路交通安全风险感知平台后台</w:t>
            </w:r>
            <w:r/>
          </w:p>
        </w:tc>
        <w:tc>
          <w:tcPr>
            <w:tcBorders>
              <w:top w:val="none" w:color="000000" w:sz="4" w:space="0"/>
              <w:left w:val="single" w:color="auto" w:sz="4" w:space="0"/>
              <w:bottom w:val="single" w:color="auto" w:sz="4" w:space="0"/>
              <w:right w:val="single" w:color="auto" w:sz="4" w:space="0"/>
            </w:tcBorders>
            <w:tcW w:w="423" w:type="pct"/>
            <w:vAlign w:val="center"/>
            <w:vMerge w:val="restart"/>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法制业务</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酒驾案件查询</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一般程序涉酒案件查询，涉及多种条件筛选，详细内容查看，数据导出。</w:t>
            </w:r>
            <w:r/>
          </w:p>
        </w:tc>
      </w:tr>
      <w:tr>
        <w:trPr>
          <w:jc w:val="center"/>
          <w:trHeight w:val="841"/>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异常数据预警管理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1、预警阀值设置，包含超期天数、预警案件的起始时间。</w:t>
            </w:r>
            <w:r>
              <w:rPr>
                <w:rFonts w:hint="eastAsia" w:ascii="宋体" w:hAnsi="宋体" w:eastAsia="宋体" w:cs="宋体"/>
                <w:sz w:val="21"/>
                <w:szCs w:val="21"/>
              </w:rPr>
              <w:br/>
            </w:r>
            <w:r>
              <w:rPr>
                <w:rFonts w:hint="eastAsia" w:ascii="宋体" w:hAnsi="宋体" w:eastAsia="宋体" w:cs="宋体"/>
                <w:sz w:val="21"/>
                <w:szCs w:val="21"/>
              </w:rPr>
              <w:t xml:space="preserve">2、设置各部门接收预警信息的人员，可以查询、增加、删除。显示当前人员最后一个查看预警信息时间。</w:t>
            </w:r>
            <w:r>
              <w:rPr>
                <w:rFonts w:hint="eastAsia" w:ascii="宋体" w:hAnsi="宋体" w:eastAsia="宋体" w:cs="宋体"/>
                <w:sz w:val="21"/>
                <w:szCs w:val="21"/>
              </w:rPr>
              <w:br/>
            </w:r>
            <w:r>
              <w:rPr>
                <w:rFonts w:hint="eastAsia" w:ascii="宋体" w:hAnsi="宋体" w:eastAsia="宋体" w:cs="宋体"/>
                <w:sz w:val="21"/>
                <w:szCs w:val="21"/>
              </w:rPr>
              <w:t xml:space="preserve">3、当前用户查询收到的预警信息，可以查询信息明细，并可以导出明细内容。</w:t>
            </w:r>
            <w:r>
              <w:rPr>
                <w:rFonts w:hint="eastAsia" w:ascii="宋体" w:hAnsi="宋体" w:eastAsia="宋体" w:cs="宋体"/>
                <w:sz w:val="21"/>
                <w:szCs w:val="21"/>
              </w:rPr>
              <w:br/>
            </w:r>
            <w:r>
              <w:rPr>
                <w:rFonts w:hint="eastAsia" w:ascii="宋体" w:hAnsi="宋体" w:eastAsia="宋体" w:cs="宋体"/>
                <w:sz w:val="21"/>
                <w:szCs w:val="21"/>
              </w:rPr>
              <w:t xml:space="preserve">4、查询各部门人员每日接收预警信息的数目，以及是否对预警信息进行处理。</w:t>
            </w:r>
            <w:r>
              <w:rPr>
                <w:rFonts w:hint="eastAsia" w:ascii="宋体" w:hAnsi="宋体" w:eastAsia="宋体" w:cs="宋体"/>
                <w:sz w:val="21"/>
                <w:szCs w:val="21"/>
              </w:rPr>
              <w:br/>
            </w:r>
            <w:r>
              <w:rPr>
                <w:rFonts w:hint="eastAsia" w:ascii="宋体" w:hAnsi="宋体" w:eastAsia="宋体" w:cs="宋体"/>
                <w:sz w:val="21"/>
                <w:szCs w:val="21"/>
              </w:rPr>
              <w:t xml:space="preserve">5、根据设置的预警内容，发送对应预警信息给对应部门的人员。</w:t>
            </w:r>
            <w:r>
              <w:rPr>
                <w:rFonts w:hint="eastAsia" w:ascii="宋体" w:hAnsi="宋体" w:eastAsia="宋体" w:cs="宋体"/>
                <w:sz w:val="21"/>
                <w:szCs w:val="21"/>
              </w:rPr>
              <w:br/>
            </w:r>
            <w:r>
              <w:rPr>
                <w:rFonts w:hint="eastAsia" w:ascii="宋体" w:hAnsi="宋体" w:eastAsia="宋体" w:cs="宋体"/>
                <w:sz w:val="21"/>
                <w:szCs w:val="21"/>
              </w:rPr>
              <w:t xml:space="preserve">6、查看各部门预警信息的签收列表，签收人，时间，数量等。</w:t>
            </w:r>
            <w:r>
              <w:rPr>
                <w:rFonts w:hint="eastAsia" w:ascii="宋体" w:hAnsi="宋体" w:eastAsia="宋体" w:cs="宋体"/>
                <w:sz w:val="21"/>
                <w:szCs w:val="21"/>
              </w:rPr>
              <w:br/>
            </w:r>
            <w:r>
              <w:rPr>
                <w:rFonts w:hint="eastAsia" w:ascii="宋体" w:hAnsi="宋体" w:eastAsia="宋体" w:cs="宋体"/>
                <w:sz w:val="21"/>
                <w:szCs w:val="21"/>
              </w:rPr>
              <w:t xml:space="preserve">7、预警信息统计列表，统计查询各部门的预警信息</w:t>
            </w:r>
            <w:r>
              <w:rPr>
                <w:rFonts w:hint="eastAsia" w:ascii="宋体" w:hAnsi="宋体" w:eastAsia="宋体" w:cs="宋体"/>
                <w:sz w:val="21"/>
                <w:szCs w:val="21"/>
              </w:rPr>
              <w:br/>
            </w:r>
            <w:r>
              <w:rPr>
                <w:rFonts w:hint="eastAsia" w:ascii="宋体" w:hAnsi="宋体" w:eastAsia="宋体" w:cs="宋体"/>
                <w:sz w:val="21"/>
                <w:szCs w:val="21"/>
              </w:rPr>
              <w:t xml:space="preserve">8、被处罚人年龄异常查询列表，查询小于14周岁、大于70周岁人的处罚信息</w:t>
            </w:r>
            <w:r>
              <w:rPr>
                <w:rFonts w:hint="eastAsia" w:ascii="宋体" w:hAnsi="宋体" w:eastAsia="宋体" w:cs="宋体"/>
                <w:sz w:val="21"/>
                <w:szCs w:val="21"/>
              </w:rPr>
              <w:br/>
            </w:r>
            <w:r>
              <w:rPr>
                <w:rFonts w:hint="eastAsia" w:ascii="宋体" w:hAnsi="宋体" w:eastAsia="宋体" w:cs="宋体"/>
                <w:sz w:val="21"/>
                <w:szCs w:val="21"/>
              </w:rPr>
              <w:t xml:space="preserve">9、货车各种违法数据查询，货车同人多次违法数据查询，并有信息弹窗提示。</w:t>
            </w:r>
            <w:r/>
          </w:p>
        </w:tc>
      </w:tr>
      <w:tr>
        <w:trPr>
          <w:jc w:val="center"/>
          <w:trHeight w:val="270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违法数据查询</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1、简易程序查询，涉及多种条件筛选，详细内容查看，数据导出。</w:t>
            </w:r>
            <w:r>
              <w:rPr>
                <w:rFonts w:hint="eastAsia" w:ascii="宋体" w:hAnsi="宋体" w:eastAsia="宋体" w:cs="宋体"/>
                <w:sz w:val="21"/>
                <w:szCs w:val="21"/>
              </w:rPr>
              <w:br/>
            </w:r>
            <w:r>
              <w:rPr>
                <w:rFonts w:hint="eastAsia" w:ascii="宋体" w:hAnsi="宋体" w:eastAsia="宋体" w:cs="宋体"/>
                <w:sz w:val="21"/>
                <w:szCs w:val="21"/>
              </w:rPr>
              <w:t xml:space="preserve">2、一般程序查询，涉及多种条件筛选，详细内容查看，数据导出。</w:t>
            </w:r>
            <w:r>
              <w:rPr>
                <w:rFonts w:hint="eastAsia" w:ascii="宋体" w:hAnsi="宋体" w:eastAsia="宋体" w:cs="宋体"/>
                <w:sz w:val="21"/>
                <w:szCs w:val="21"/>
              </w:rPr>
              <w:br/>
            </w:r>
            <w:r>
              <w:rPr>
                <w:rFonts w:hint="eastAsia" w:ascii="宋体" w:hAnsi="宋体" w:eastAsia="宋体" w:cs="宋体"/>
                <w:sz w:val="21"/>
                <w:szCs w:val="21"/>
              </w:rPr>
              <w:t xml:space="preserve">3、数据统计，统计各大队简易程序和一般程序的数量，根据时间和案件状态进行筛选，并可以查看对应的列表。</w:t>
            </w:r>
            <w:r>
              <w:rPr>
                <w:rFonts w:hint="eastAsia" w:ascii="宋体" w:hAnsi="宋体" w:eastAsia="宋体" w:cs="宋体"/>
                <w:sz w:val="21"/>
                <w:szCs w:val="21"/>
              </w:rPr>
              <w:br/>
            </w:r>
            <w:r>
              <w:rPr>
                <w:rFonts w:hint="eastAsia" w:ascii="宋体" w:hAnsi="宋体" w:eastAsia="宋体" w:cs="宋体"/>
                <w:sz w:val="21"/>
                <w:szCs w:val="21"/>
              </w:rPr>
              <w:t xml:space="preserve">4、非现场违法行为查询，涉及多种条件筛选。</w:t>
            </w:r>
            <w:r>
              <w:rPr>
                <w:rFonts w:hint="eastAsia" w:ascii="宋体" w:hAnsi="宋体" w:eastAsia="宋体" w:cs="宋体"/>
                <w:sz w:val="21"/>
                <w:szCs w:val="21"/>
              </w:rPr>
              <w:br/>
            </w:r>
            <w:r>
              <w:rPr>
                <w:rFonts w:hint="eastAsia" w:ascii="宋体" w:hAnsi="宋体" w:eastAsia="宋体" w:cs="宋体"/>
                <w:sz w:val="21"/>
                <w:szCs w:val="21"/>
              </w:rPr>
              <w:t xml:space="preserve">5、非现场数据统计，按照各大队和时间进行数据统计。</w:t>
            </w:r>
            <w:r/>
          </w:p>
        </w:tc>
      </w:tr>
      <w:tr>
        <w:trPr>
          <w:jc w:val="center"/>
          <w:trHeight w:val="135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扣押车辆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1、按照时间和大队，统计出机动车和非机动车的扣押数量以及发还数量，算出发还比例，并按照指定样式进行导出。</w:t>
            </w:r>
            <w:r>
              <w:rPr>
                <w:rFonts w:hint="eastAsia" w:ascii="宋体" w:hAnsi="宋体" w:eastAsia="宋体" w:cs="宋体"/>
                <w:sz w:val="21"/>
                <w:szCs w:val="21"/>
              </w:rPr>
              <w:br/>
            </w:r>
            <w:r>
              <w:rPr>
                <w:rFonts w:hint="eastAsia" w:ascii="宋体" w:hAnsi="宋体" w:eastAsia="宋体" w:cs="宋体"/>
                <w:sz w:val="21"/>
                <w:szCs w:val="21"/>
              </w:rPr>
              <w:t xml:space="preserve">2、按照要求展示各大队机动车和非机动车未发还的列表，并增加导出功能。</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违法代码查询</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1、违法代码查询，支持EXECL导入、修改功能，并可以同步违法代码数据到违法行为字典中。</w:t>
            </w:r>
            <w:r/>
          </w:p>
        </w:tc>
      </w:tr>
      <w:tr>
        <w:trPr>
          <w:jc w:val="center"/>
          <w:trHeight w:val="189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restart"/>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高速业务</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高速事故查询</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1、高速大队简易事故查询，涉及多种条件筛选，可以查看事故详情。</w:t>
            </w:r>
            <w:r>
              <w:rPr>
                <w:rFonts w:hint="eastAsia" w:ascii="宋体" w:hAnsi="宋体" w:eastAsia="宋体" w:cs="宋体"/>
                <w:sz w:val="21"/>
                <w:szCs w:val="21"/>
              </w:rPr>
              <w:br/>
            </w:r>
            <w:r>
              <w:rPr>
                <w:rFonts w:hint="eastAsia" w:ascii="宋体" w:hAnsi="宋体" w:eastAsia="宋体" w:cs="宋体"/>
                <w:sz w:val="21"/>
                <w:szCs w:val="21"/>
              </w:rPr>
              <w:t xml:space="preserve">2、高速大队一般事故查询，涉及多种条件筛选，可以查看事故详情。</w:t>
            </w:r>
            <w:r>
              <w:rPr>
                <w:rFonts w:hint="eastAsia" w:ascii="宋体" w:hAnsi="宋体" w:eastAsia="宋体" w:cs="宋体"/>
                <w:sz w:val="21"/>
                <w:szCs w:val="21"/>
              </w:rPr>
              <w:br/>
            </w:r>
            <w:r>
              <w:rPr>
                <w:rFonts w:hint="eastAsia" w:ascii="宋体" w:hAnsi="宋体" w:eastAsia="宋体" w:cs="宋体"/>
                <w:sz w:val="21"/>
                <w:szCs w:val="21"/>
              </w:rPr>
              <w:t xml:space="preserve">3、根据查询出来的简易事故和一般事故，当做基础数据进行事故采集，增加高速路段，经纬度等自定义数据。</w:t>
            </w:r>
            <w:r/>
          </w:p>
        </w:tc>
      </w:tr>
      <w:tr>
        <w:trPr>
          <w:jc w:val="center"/>
          <w:trHeight w:val="558"/>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风险预警</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1、恶劣天气采集。录入当月的恶劣天气信息，包含天气、气温、风向。支持增加，修改，删除。</w:t>
            </w:r>
            <w:r>
              <w:rPr>
                <w:rFonts w:hint="eastAsia" w:ascii="宋体" w:hAnsi="宋体" w:eastAsia="宋体" w:cs="宋体"/>
                <w:sz w:val="21"/>
                <w:szCs w:val="21"/>
              </w:rPr>
              <w:br/>
            </w:r>
            <w:r>
              <w:rPr>
                <w:rFonts w:hint="eastAsia" w:ascii="宋体" w:hAnsi="宋体" w:eastAsia="宋体" w:cs="宋体"/>
                <w:sz w:val="21"/>
                <w:szCs w:val="21"/>
              </w:rPr>
              <w:t xml:space="preserve">2、应急预案录入。应急预案包含雨天、雾天、结冰、雪天、大风，以及以上五种天气对应的各种恶劣天气的应急预案，支持增加，修改，删除。</w:t>
            </w:r>
            <w:r>
              <w:rPr>
                <w:rFonts w:hint="eastAsia" w:ascii="宋体" w:hAnsi="宋体" w:eastAsia="宋体" w:cs="宋体"/>
                <w:sz w:val="21"/>
                <w:szCs w:val="21"/>
              </w:rPr>
              <w:br/>
            </w:r>
            <w:r>
              <w:rPr>
                <w:rFonts w:hint="eastAsia" w:ascii="宋体" w:hAnsi="宋体" w:eastAsia="宋体" w:cs="宋体"/>
                <w:sz w:val="21"/>
                <w:szCs w:val="21"/>
              </w:rPr>
              <w:t xml:space="preserve">3、处置措施录入。每个高速大队在遇到恶劣天气时，录入当日对于该天气做了哪些处置措施。支持增加，修改，删除。</w:t>
            </w:r>
            <w:r>
              <w:rPr>
                <w:rFonts w:hint="eastAsia" w:ascii="宋体" w:hAnsi="宋体" w:eastAsia="宋体" w:cs="宋体"/>
                <w:sz w:val="21"/>
                <w:szCs w:val="21"/>
              </w:rPr>
              <w:br/>
            </w:r>
            <w:r>
              <w:rPr>
                <w:rFonts w:hint="eastAsia" w:ascii="宋体" w:hAnsi="宋体" w:eastAsia="宋体" w:cs="宋体"/>
                <w:sz w:val="21"/>
                <w:szCs w:val="21"/>
              </w:rPr>
              <w:t xml:space="preserve">4、危化品应急预案录入、危化品处置措施录入，支持增加，修改，删除。</w:t>
            </w:r>
            <w:r>
              <w:rPr>
                <w:rFonts w:hint="eastAsia" w:ascii="宋体" w:hAnsi="宋体" w:eastAsia="宋体" w:cs="宋体"/>
                <w:sz w:val="21"/>
                <w:szCs w:val="21"/>
              </w:rPr>
              <w:br/>
            </w:r>
            <w:r>
              <w:rPr>
                <w:rFonts w:hint="eastAsia" w:ascii="宋体" w:hAnsi="宋体" w:eastAsia="宋体" w:cs="宋体"/>
                <w:sz w:val="21"/>
                <w:szCs w:val="21"/>
              </w:rPr>
              <w:t xml:space="preserve">5、预警日历。可以用日历的形式展示当月的恶劣天气，选择恶劣天气，展示各高速大队对于该日期的恶劣天气，做了哪些处置措施。图表形式展现当年的恶劣天气预警数量。</w:t>
            </w:r>
            <w:r>
              <w:rPr>
                <w:rFonts w:hint="eastAsia" w:ascii="宋体" w:hAnsi="宋体" w:eastAsia="宋体" w:cs="宋体"/>
                <w:sz w:val="21"/>
                <w:szCs w:val="21"/>
              </w:rPr>
              <w:br/>
            </w:r>
            <w:r>
              <w:rPr>
                <w:rFonts w:hint="eastAsia" w:ascii="宋体" w:hAnsi="宋体" w:eastAsia="宋体" w:cs="宋体"/>
                <w:sz w:val="21"/>
                <w:szCs w:val="21"/>
              </w:rPr>
              <w:t xml:space="preserve">6、天气统计。按时间段和天气类型展示恶劣天气的情况。</w:t>
            </w:r>
            <w:r/>
          </w:p>
        </w:tc>
      </w:tr>
      <w:tr>
        <w:trPr>
          <w:jc w:val="center"/>
          <w:trHeight w:val="1408"/>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事故多发路段</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1、事故采集查询。查询高速各大队采集的事故信息，涉及多种条件查询，支持修改、添加、删除。</w:t>
            </w:r>
            <w:r>
              <w:rPr>
                <w:rFonts w:hint="eastAsia" w:ascii="宋体" w:hAnsi="宋体" w:eastAsia="宋体" w:cs="宋体"/>
                <w:sz w:val="21"/>
                <w:szCs w:val="21"/>
              </w:rPr>
              <w:br/>
            </w:r>
            <w:r>
              <w:rPr>
                <w:rFonts w:hint="eastAsia" w:ascii="宋体" w:hAnsi="宋体" w:eastAsia="宋体" w:cs="宋体"/>
                <w:sz w:val="21"/>
                <w:szCs w:val="21"/>
              </w:rPr>
              <w:t xml:space="preserve">2、自定义查询。根据高速部门、路段、时间段、事故数量，筛选出事故多发路段，并可以查询该路段发生的事故信息列表，可以查看事故详情和导出事故列表功能。</w:t>
            </w:r>
            <w:r>
              <w:rPr>
                <w:rFonts w:hint="eastAsia" w:ascii="宋体" w:hAnsi="宋体" w:eastAsia="宋体" w:cs="宋体"/>
                <w:sz w:val="21"/>
                <w:szCs w:val="21"/>
              </w:rPr>
              <w:br/>
            </w:r>
            <w:r>
              <w:rPr>
                <w:rFonts w:hint="eastAsia" w:ascii="宋体" w:hAnsi="宋体" w:eastAsia="宋体" w:cs="宋体"/>
                <w:sz w:val="21"/>
                <w:szCs w:val="21"/>
              </w:rPr>
              <w:t xml:space="preserve">3、默认查询。根据高速部门、路段、当前多少天内，发生的多少起事故筛选出事故多发路段，并可以查询该路段事故信息列表，可以查看事故详情和导出事故列表功能。</w:t>
            </w:r>
            <w:r/>
          </w:p>
        </w:tc>
      </w:tr>
      <w:tr>
        <w:trPr>
          <w:jc w:val="center"/>
          <w:trHeight w:val="378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高速流量</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1、收费站管理。录入各高速路段中所有的收费站信息。支持增加、修改、删除。</w:t>
            </w:r>
            <w:r>
              <w:rPr>
                <w:rFonts w:hint="eastAsia" w:ascii="宋体" w:hAnsi="宋体" w:eastAsia="宋体" w:cs="宋体"/>
                <w:sz w:val="21"/>
                <w:szCs w:val="21"/>
              </w:rPr>
              <w:br/>
            </w:r>
            <w:r>
              <w:rPr>
                <w:rFonts w:hint="eastAsia" w:ascii="宋体" w:hAnsi="宋体" w:eastAsia="宋体" w:cs="宋体"/>
                <w:sz w:val="21"/>
                <w:szCs w:val="21"/>
              </w:rPr>
              <w:t xml:space="preserve">2、高速路段管理。录入各高速部门对应的路段名称。支持增加、修改、删除。</w:t>
            </w:r>
            <w:r>
              <w:rPr>
                <w:rFonts w:hint="eastAsia" w:ascii="宋体" w:hAnsi="宋体" w:eastAsia="宋体" w:cs="宋体"/>
                <w:sz w:val="21"/>
                <w:szCs w:val="21"/>
              </w:rPr>
              <w:br/>
            </w:r>
            <w:r>
              <w:rPr>
                <w:rFonts w:hint="eastAsia" w:ascii="宋体" w:hAnsi="宋体" w:eastAsia="宋体" w:cs="宋体"/>
                <w:sz w:val="21"/>
                <w:szCs w:val="21"/>
              </w:rPr>
              <w:t xml:space="preserve">3、流量管理。根据筛选条件查看收费站和高速路段对应的流量信息，收费站和高速路段的流量数据支持数据手工录入和EXECL导入功能。并且可以快速的按照月份来查看收费站和高速路段总流量信息。</w:t>
            </w:r>
            <w:r>
              <w:rPr>
                <w:rFonts w:hint="eastAsia" w:ascii="宋体" w:hAnsi="宋体" w:eastAsia="宋体" w:cs="宋体"/>
                <w:sz w:val="21"/>
                <w:szCs w:val="21"/>
              </w:rPr>
              <w:br/>
            </w:r>
            <w:r>
              <w:rPr>
                <w:rFonts w:hint="eastAsia" w:ascii="宋体" w:hAnsi="宋体" w:eastAsia="宋体" w:cs="宋体"/>
                <w:sz w:val="21"/>
                <w:szCs w:val="21"/>
              </w:rPr>
              <w:t xml:space="preserve">4、流量对比。根据两个日期时间段进行收费站的流量对比，包含出入口流量、出入口流量增长、出入口流量同比增长百分比。并支持统计报表导出功能；根据两个日期时间段进行高速路段流量对比，包含两个日期路段的总流量、增长数量、同比增长百分比，并支持统计报表导出功能。</w:t>
            </w:r>
            <w:r/>
          </w:p>
        </w:tc>
      </w:tr>
      <w:tr>
        <w:trPr>
          <w:jc w:val="center"/>
          <w:trHeight w:val="81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高速事故溯源</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1、高速亡人事故溯源功能</w:t>
            </w:r>
            <w:r>
              <w:rPr>
                <w:rFonts w:hint="eastAsia" w:ascii="宋体" w:hAnsi="宋体" w:eastAsia="宋体" w:cs="宋体"/>
                <w:sz w:val="21"/>
                <w:szCs w:val="21"/>
              </w:rPr>
              <w:br/>
            </w:r>
            <w:r>
              <w:rPr>
                <w:rFonts w:hint="eastAsia" w:ascii="宋体" w:hAnsi="宋体" w:eastAsia="宋体" w:cs="宋体"/>
                <w:sz w:val="21"/>
                <w:szCs w:val="21"/>
              </w:rPr>
              <w:t xml:space="preserve">2、根据高速各部门统计出事故溯源统计，包含总数、溯源量，未溯源、以及比例。</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路段经纬度</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按照高速大队、路段、上下行、公里处为点位，录入该点位的经纬度信息。有经纬度地图展示功能。支持增加、修改、删除。</w:t>
            </w:r>
            <w:r/>
          </w:p>
        </w:tc>
      </w:tr>
      <w:tr>
        <w:trPr>
          <w:jc w:val="center"/>
          <w:trHeight w:val="135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高速施工信息</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1、录入高速道路施工信息，包含施工单位、管理部门、施工期限、项目负责人、大队分管负责人等信息。并且可以在地图上进行标注。可以进行启用以及关闭。</w:t>
            </w:r>
            <w:r>
              <w:rPr>
                <w:rFonts w:hint="eastAsia" w:ascii="宋体" w:hAnsi="宋体" w:eastAsia="宋体" w:cs="宋体"/>
                <w:sz w:val="21"/>
                <w:szCs w:val="21"/>
              </w:rPr>
              <w:br/>
            </w:r>
            <w:r>
              <w:rPr>
                <w:rFonts w:hint="eastAsia" w:ascii="宋体" w:hAnsi="宋体" w:eastAsia="宋体" w:cs="宋体"/>
                <w:sz w:val="21"/>
                <w:szCs w:val="21"/>
              </w:rPr>
              <w:t xml:space="preserve">2、对于高速施工信息按照各部门进行统计。</w:t>
            </w:r>
            <w:r/>
          </w:p>
        </w:tc>
      </w:tr>
      <w:tr>
        <w:trPr>
          <w:jc w:val="center"/>
          <w:trHeight w:val="270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restart"/>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事故业务</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事故采集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简易事故采集。根据多种条件筛选出简易事故信息列表，选择该事故进行采集，采集时对该事故进行信息补充完善，当提交时，对于事故人员信息进行重点人群信息核验，如果在重点人员信息内，弹窗提示，并记录到该事故的人员信息内。</w:t>
            </w:r>
            <w:r>
              <w:rPr>
                <w:rFonts w:hint="eastAsia" w:ascii="宋体" w:hAnsi="宋体" w:eastAsia="宋体" w:cs="宋体"/>
                <w:sz w:val="21"/>
                <w:szCs w:val="21"/>
              </w:rPr>
              <w:br/>
            </w:r>
            <w:r>
              <w:rPr>
                <w:rFonts w:hint="eastAsia" w:ascii="宋体" w:hAnsi="宋体" w:eastAsia="宋体" w:cs="宋体"/>
                <w:sz w:val="21"/>
                <w:szCs w:val="21"/>
              </w:rPr>
              <w:t xml:space="preserve">2、一般事故采集。根据多种条件筛选出一般事故信息列表，选择该事故进行采集，采集时对该事故进行信息补充完善，当提交时，对于事故人员信息进行重点人群信息核验，如果在重点人员信息内，弹窗提示，并记录到该事故的人员信息内。</w:t>
            </w:r>
            <w:r/>
          </w:p>
        </w:tc>
      </w:tr>
      <w:tr>
        <w:trPr>
          <w:jc w:val="center"/>
          <w:trHeight w:val="162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事故查询</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1、简易事故查询。多种条件对采集的简易事故列表查询，支持增加、修改、删除功能。</w:t>
            </w:r>
            <w:r>
              <w:rPr>
                <w:rFonts w:hint="eastAsia" w:ascii="宋体" w:hAnsi="宋体" w:eastAsia="宋体" w:cs="宋体"/>
                <w:sz w:val="21"/>
                <w:szCs w:val="21"/>
              </w:rPr>
              <w:br/>
            </w:r>
            <w:r>
              <w:rPr>
                <w:rFonts w:hint="eastAsia" w:ascii="宋体" w:hAnsi="宋体" w:eastAsia="宋体" w:cs="宋体"/>
                <w:sz w:val="21"/>
                <w:szCs w:val="21"/>
              </w:rPr>
              <w:t xml:space="preserve">2、一般事故查询。多种条件对采集的一般事故列表查询，支持增加、修改、删除功能。</w:t>
            </w:r>
            <w:r>
              <w:rPr>
                <w:rFonts w:hint="eastAsia" w:ascii="宋体" w:hAnsi="宋体" w:eastAsia="宋体" w:cs="宋体"/>
                <w:sz w:val="21"/>
                <w:szCs w:val="21"/>
              </w:rPr>
              <w:br/>
            </w:r>
            <w:r>
              <w:rPr>
                <w:rFonts w:hint="eastAsia" w:ascii="宋体" w:hAnsi="宋体" w:eastAsia="宋体" w:cs="宋体"/>
                <w:sz w:val="21"/>
                <w:szCs w:val="21"/>
              </w:rPr>
              <w:t xml:space="preserve">4、简易事故人车信息查询，涉及多条件筛选。</w:t>
            </w:r>
            <w:r>
              <w:rPr>
                <w:rFonts w:hint="eastAsia" w:ascii="宋体" w:hAnsi="宋体" w:eastAsia="宋体" w:cs="宋体"/>
                <w:sz w:val="21"/>
                <w:szCs w:val="21"/>
              </w:rPr>
              <w:br/>
            </w:r>
            <w:r>
              <w:rPr>
                <w:rFonts w:hint="eastAsia" w:ascii="宋体" w:hAnsi="宋体" w:eastAsia="宋体" w:cs="宋体"/>
                <w:sz w:val="21"/>
                <w:szCs w:val="21"/>
              </w:rPr>
              <w:t xml:space="preserve">5、一般事故人车信息查询，涉及多条件筛选。</w:t>
            </w:r>
            <w:r/>
          </w:p>
        </w:tc>
      </w:tr>
      <w:tr>
        <w:trPr>
          <w:jc w:val="center"/>
          <w:trHeight w:val="81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事故溯源</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1、查询平台进行亡人事故信息溯源。</w:t>
            </w:r>
            <w:r>
              <w:rPr>
                <w:rFonts w:hint="eastAsia" w:ascii="宋体" w:hAnsi="宋体" w:eastAsia="宋体" w:cs="宋体"/>
                <w:sz w:val="21"/>
                <w:szCs w:val="21"/>
              </w:rPr>
              <w:br/>
            </w:r>
            <w:r>
              <w:rPr>
                <w:rFonts w:hint="eastAsia" w:ascii="宋体" w:hAnsi="宋体" w:eastAsia="宋体" w:cs="宋体"/>
                <w:sz w:val="21"/>
                <w:szCs w:val="21"/>
              </w:rPr>
              <w:t xml:space="preserve">2、根据各部门统计出事故溯源统计，包含总数、溯源量，未溯源、以及比例。</w:t>
            </w:r>
            <w:r/>
          </w:p>
        </w:tc>
      </w:tr>
      <w:tr>
        <w:trPr>
          <w:jc w:val="center"/>
          <w:trHeight w:val="558"/>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安全运输</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1、安全行车：根据号牌种类、号牌号码、机动车所有人，查询出该筛选信息的简易事故、一般事故、简易程序、一般程序等行为，</w:t>
            </w:r>
            <w:r>
              <w:rPr>
                <w:rFonts w:hint="eastAsia" w:ascii="宋体" w:hAnsi="宋体" w:eastAsia="宋体" w:cs="宋体"/>
                <w:sz w:val="21"/>
                <w:szCs w:val="21"/>
              </w:rPr>
              <w:br/>
            </w:r>
            <w:r>
              <w:rPr>
                <w:rFonts w:hint="eastAsia" w:ascii="宋体" w:hAnsi="宋体" w:eastAsia="宋体" w:cs="宋体"/>
                <w:sz w:val="21"/>
                <w:szCs w:val="21"/>
              </w:rPr>
              <w:t xml:space="preserve">并可以查询对应的详细信息。</w:t>
            </w:r>
            <w:r>
              <w:rPr>
                <w:rFonts w:hint="eastAsia" w:ascii="宋体" w:hAnsi="宋体" w:eastAsia="宋体" w:cs="宋体"/>
                <w:sz w:val="21"/>
                <w:szCs w:val="21"/>
              </w:rPr>
              <w:br/>
            </w:r>
            <w:r>
              <w:rPr>
                <w:rFonts w:hint="eastAsia" w:ascii="宋体" w:hAnsi="宋体" w:eastAsia="宋体" w:cs="宋体"/>
                <w:sz w:val="21"/>
                <w:szCs w:val="21"/>
              </w:rPr>
              <w:t xml:space="preserve">2、企业事故预警：设置查询周期和事故数量，并按照上面的条件查询出属于企业车辆的事故信息，并能展示对应的事故详细列表和事故详情（包含简易事故和一般事故）</w:t>
            </w:r>
            <w:r>
              <w:rPr>
                <w:rFonts w:hint="eastAsia" w:ascii="宋体" w:hAnsi="宋体" w:eastAsia="宋体" w:cs="宋体"/>
                <w:sz w:val="21"/>
                <w:szCs w:val="21"/>
              </w:rPr>
              <w:br/>
            </w:r>
            <w:r>
              <w:rPr>
                <w:rFonts w:hint="eastAsia" w:ascii="宋体" w:hAnsi="宋体" w:eastAsia="宋体" w:cs="宋体"/>
                <w:sz w:val="21"/>
                <w:szCs w:val="21"/>
              </w:rPr>
              <w:t xml:space="preserve">3、当事人事故预警：设置查询周期和事故数量，并按照上面的条件查询出当事人和对应的事故数量，并能展示对应的事故详细列表和事故详情（包含简易事故和一般事故）</w:t>
            </w:r>
            <w:r>
              <w:rPr>
                <w:rFonts w:hint="eastAsia" w:ascii="宋体" w:hAnsi="宋体" w:eastAsia="宋体" w:cs="宋体"/>
                <w:sz w:val="21"/>
                <w:szCs w:val="21"/>
              </w:rPr>
              <w:br/>
            </w:r>
            <w:r>
              <w:rPr>
                <w:rFonts w:hint="eastAsia" w:ascii="宋体" w:hAnsi="宋体" w:eastAsia="宋体" w:cs="宋体"/>
                <w:sz w:val="21"/>
                <w:szCs w:val="21"/>
              </w:rPr>
              <w:t xml:space="preserve">4、车辆多起事故预警：设置查询周期和事故数量，查询出符合条件的车辆，并展示对应事故的详细列表和事故详情（包含简易事故和一般事故）</w:t>
            </w:r>
            <w:r>
              <w:rPr>
                <w:rFonts w:hint="eastAsia" w:ascii="宋体" w:hAnsi="宋体" w:eastAsia="宋体" w:cs="宋体"/>
                <w:sz w:val="21"/>
                <w:szCs w:val="21"/>
              </w:rPr>
              <w:br/>
            </w:r>
            <w:r>
              <w:rPr>
                <w:rFonts w:hint="eastAsia" w:ascii="宋体" w:hAnsi="宋体" w:eastAsia="宋体" w:cs="宋体"/>
                <w:sz w:val="21"/>
                <w:szCs w:val="21"/>
              </w:rPr>
              <w:t xml:space="preserve">5、同人同车事故预警：设置查询周期和事故数量，查询出符合条件的车辆，并展示对应事故的详细列表和事故详情（包含简易事故和一般事故）</w:t>
            </w:r>
            <w:r/>
          </w:p>
        </w:tc>
      </w:tr>
      <w:tr>
        <w:trPr>
          <w:jc w:val="center"/>
          <w:trHeight w:val="54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交通肇事</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查询简易事故和一般事故的交通肇事信息，并且关注其中是否刑事立案、是否侦破、办案部门等。</w:t>
            </w:r>
            <w:r/>
          </w:p>
        </w:tc>
      </w:tr>
      <w:tr>
        <w:trPr>
          <w:jc w:val="center"/>
          <w:trHeight w:val="108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重点人群</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查询简易事故和一般事故中，牵涉到重点人群（有酒醉驾史、吸毒、精神病史、信访史）的事故信息，并可以查询对应的（有酒醉驾史、吸毒、精神病史、信访史）</w:t>
            </w:r>
            <w:r/>
          </w:p>
        </w:tc>
      </w:tr>
      <w:tr>
        <w:trPr>
          <w:jc w:val="center"/>
          <w:trHeight w:val="405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事故多发点位</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综合事故多发点位：按照周期和时间范围，查询出简易和一般事故合计出的事故多发点位，包含事故地点和事故数量，并在地图上展示出来，详情展示该事故多发点位所有事故信息，包含事故种类、地点、经纬度范围等信息，并可以查看该事故的详细信息。</w:t>
            </w:r>
            <w:r>
              <w:rPr>
                <w:rFonts w:hint="eastAsia" w:ascii="宋体" w:hAnsi="宋体" w:eastAsia="宋体" w:cs="宋体"/>
                <w:sz w:val="21"/>
                <w:szCs w:val="21"/>
              </w:rPr>
              <w:br/>
            </w:r>
            <w:r>
              <w:rPr>
                <w:rFonts w:hint="eastAsia" w:ascii="宋体" w:hAnsi="宋体" w:eastAsia="宋体" w:cs="宋体"/>
                <w:sz w:val="21"/>
                <w:szCs w:val="21"/>
              </w:rPr>
              <w:t xml:space="preserve">2、简易事故多发点位：按照周期和时间范围，查询出简易事故多发点位，包含事故地点和事故数量，并在地图上展示出来，详情展示该事故多发点位所有事故信息，包含事故种类、地点、经纬度范围等信息，并可以查看该事故的详细信息。</w:t>
            </w:r>
            <w:r>
              <w:rPr>
                <w:rFonts w:hint="eastAsia" w:ascii="宋体" w:hAnsi="宋体" w:eastAsia="宋体" w:cs="宋体"/>
                <w:sz w:val="21"/>
                <w:szCs w:val="21"/>
              </w:rPr>
              <w:br/>
            </w:r>
            <w:r>
              <w:rPr>
                <w:rFonts w:hint="eastAsia" w:ascii="宋体" w:hAnsi="宋体" w:eastAsia="宋体" w:cs="宋体"/>
                <w:sz w:val="21"/>
                <w:szCs w:val="21"/>
              </w:rPr>
              <w:t xml:space="preserve">3、一般事故多发点位：按照周期和时间范围，查询出一般事故多发点位，包含事故地点和事故数量，并在地图上展示出来，详情展示该事故多发点位所有事故信息，包含事故种类、地点、经纬度范围等信息，并可以查看该事故的详细信息。</w:t>
            </w:r>
            <w:r/>
          </w:p>
        </w:tc>
      </w:tr>
      <w:tr>
        <w:trPr>
          <w:jc w:val="center"/>
          <w:trHeight w:val="324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查询统计</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简易事故统计。按照辖区（大队）、按照事故发生时间（小时为单位）、按地点（路名）、按照道路类型统计（国道、省道、县道、乡道）、按违法行为、按年龄段（每10岁一个年龄段）、按天气、按照交通方式（步行、乘车人、自行车等。）、服务行业、号牌种类</w:t>
            </w:r>
            <w:r>
              <w:rPr>
                <w:rFonts w:hint="eastAsia" w:ascii="宋体" w:hAnsi="宋体" w:eastAsia="宋体" w:cs="宋体"/>
                <w:sz w:val="21"/>
                <w:szCs w:val="21"/>
              </w:rPr>
              <w:br/>
            </w:r>
            <w:r>
              <w:rPr>
                <w:rFonts w:hint="eastAsia" w:ascii="宋体" w:hAnsi="宋体" w:eastAsia="宋体" w:cs="宋体"/>
                <w:sz w:val="21"/>
                <w:szCs w:val="21"/>
              </w:rPr>
              <w:t xml:space="preserve">2、一般事故统计。按照辖区（大队）、按照事故发生时间（小时为单位）、按地点（路名）、按照道路类型统计（国道、省道、县道、乡道）、按违法行为、按年龄段（每10岁一个年龄段）、按天气、按照交通方式（步行、乘车人、自行车等。）服务行业、号牌种类</w:t>
            </w:r>
            <w:r/>
          </w:p>
        </w:tc>
      </w:tr>
      <w:tr>
        <w:trPr>
          <w:jc w:val="center"/>
          <w:trHeight w:val="9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事故基本配置</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1、简易事故多发点位配置：方式一：多少天内、事故数量、范围。方式二：时间段、事故数量、范围。</w:t>
            </w:r>
            <w:r>
              <w:rPr>
                <w:rFonts w:hint="eastAsia" w:ascii="宋体" w:hAnsi="宋体" w:eastAsia="宋体" w:cs="宋体"/>
                <w:sz w:val="21"/>
                <w:szCs w:val="21"/>
              </w:rPr>
              <w:br/>
            </w:r>
            <w:r>
              <w:rPr>
                <w:rFonts w:hint="eastAsia" w:ascii="宋体" w:hAnsi="宋体" w:eastAsia="宋体" w:cs="宋体"/>
                <w:sz w:val="21"/>
                <w:szCs w:val="21"/>
              </w:rPr>
              <w:t xml:space="preserve">2、一般事故多发点位配置：方式一：多少天内、事故数量、范围。方式二：时间段、事故数量、范围。</w:t>
            </w:r>
            <w:r>
              <w:rPr>
                <w:rFonts w:hint="eastAsia" w:ascii="宋体" w:hAnsi="宋体" w:eastAsia="宋体" w:cs="宋体"/>
                <w:sz w:val="21"/>
                <w:szCs w:val="21"/>
              </w:rPr>
              <w:br/>
            </w:r>
            <w:r>
              <w:rPr>
                <w:rFonts w:hint="eastAsia" w:ascii="宋体" w:hAnsi="宋体" w:eastAsia="宋体" w:cs="宋体"/>
                <w:sz w:val="21"/>
                <w:szCs w:val="21"/>
              </w:rPr>
              <w:t xml:space="preserve">3、综合事故多发点位配置：方式一：多少天内、事故数量、范围。方式二：时间段、事故数量、范围。</w:t>
            </w:r>
            <w:r>
              <w:rPr>
                <w:rFonts w:hint="eastAsia" w:ascii="宋体" w:hAnsi="宋体" w:eastAsia="宋体" w:cs="宋体"/>
                <w:sz w:val="21"/>
                <w:szCs w:val="21"/>
              </w:rPr>
              <w:br/>
            </w:r>
            <w:r>
              <w:rPr>
                <w:rFonts w:hint="eastAsia" w:ascii="宋体" w:hAnsi="宋体" w:eastAsia="宋体" w:cs="宋体"/>
                <w:sz w:val="21"/>
                <w:szCs w:val="21"/>
              </w:rPr>
              <w:t xml:space="preserve">4、根据上面的配置来生成对应的事故多发路段的信息。</w:t>
            </w:r>
            <w:r/>
          </w:p>
        </w:tc>
      </w:tr>
      <w:tr>
        <w:trPr>
          <w:jc w:val="center"/>
          <w:trHeight w:val="81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采集量统计</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用本平台的事故采集量来对比六合一平台中的事故，查询出已采集和未采集的量，并计算出采集占比，按照各大队，分别按照简易事故和一般事故来统计。</w:t>
            </w:r>
            <w:r/>
          </w:p>
        </w:tc>
      </w:tr>
      <w:tr>
        <w:trPr>
          <w:jc w:val="center"/>
          <w:trHeight w:val="54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字典配置</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简易和一般事故用到的一些事故信息字典，国标的直接导入，额外增加的字典信息手工录入。</w:t>
            </w:r>
            <w:r/>
          </w:p>
        </w:tc>
      </w:tr>
      <w:tr>
        <w:trPr>
          <w:jc w:val="center"/>
          <w:trHeight w:val="108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restart"/>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秩序业务</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隐患登记</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隐患登记功能，包含该隐患的类型、道路类型、路段经纬度、登记日期和计划治理结束日期等信息。</w:t>
            </w:r>
            <w:r>
              <w:rPr>
                <w:rFonts w:hint="eastAsia" w:ascii="宋体" w:hAnsi="宋体" w:eastAsia="宋体" w:cs="宋体"/>
                <w:sz w:val="21"/>
                <w:szCs w:val="21"/>
              </w:rPr>
              <w:br/>
            </w:r>
            <w:r>
              <w:rPr>
                <w:rFonts w:hint="eastAsia" w:ascii="宋体" w:hAnsi="宋体" w:eastAsia="宋体" w:cs="宋体"/>
                <w:sz w:val="21"/>
                <w:szCs w:val="21"/>
              </w:rPr>
              <w:t xml:space="preserve">该功能登记功能只限于大队和中队部门人员进行登记。</w:t>
            </w:r>
            <w:r/>
          </w:p>
        </w:tc>
      </w:tr>
      <w:tr>
        <w:trPr>
          <w:jc w:val="center"/>
          <w:trHeight w:val="162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隐患治理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1、隐患治理列表查询。根据筛选条件查询当前部门登记的隐患信息，如有权限，可以对登记的隐患信息进行修改删除，已治理完成的信息不能进行删除。</w:t>
            </w:r>
            <w:r>
              <w:rPr>
                <w:rFonts w:hint="eastAsia" w:ascii="宋体" w:hAnsi="宋体" w:eastAsia="宋体" w:cs="宋体"/>
                <w:sz w:val="21"/>
                <w:szCs w:val="21"/>
              </w:rPr>
              <w:br/>
            </w:r>
            <w:r>
              <w:rPr>
                <w:rFonts w:hint="eastAsia" w:ascii="宋体" w:hAnsi="宋体" w:eastAsia="宋体" w:cs="宋体"/>
                <w:sz w:val="21"/>
                <w:szCs w:val="21"/>
              </w:rPr>
              <w:t xml:space="preserve">2、隐患治理。当前隐患信息登记的部门人员，在隐患治理完成后，可以对隐患进行治理信息录入，提交后，给大队或支队进行审核。</w:t>
            </w:r>
            <w:r/>
          </w:p>
        </w:tc>
      </w:tr>
      <w:tr>
        <w:trPr>
          <w:jc w:val="center"/>
          <w:trHeight w:val="189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隐患审核</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大队和支队隐患管理员可以对提交的隐患治理信息进行审核，中队提交的，由大队进行第一步审核，通过后转支队审核。</w:t>
            </w:r>
            <w:r>
              <w:rPr>
                <w:rFonts w:hint="eastAsia" w:ascii="宋体" w:hAnsi="宋体" w:eastAsia="宋体" w:cs="宋体"/>
                <w:sz w:val="21"/>
                <w:szCs w:val="21"/>
              </w:rPr>
              <w:br/>
            </w:r>
            <w:r>
              <w:rPr>
                <w:rFonts w:hint="eastAsia" w:ascii="宋体" w:hAnsi="宋体" w:eastAsia="宋体" w:cs="宋体"/>
                <w:sz w:val="21"/>
                <w:szCs w:val="21"/>
              </w:rPr>
              <w:t xml:space="preserve">大队提交的隐患治理信息，直接由支队审核。支队审核时，可以对治理比较典型的隐患标记为精品治理案例。如果支队审核不通过，该隐患必须重新提交治理信息再进行审核。</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隐患治理推送</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支队可以填写基本隐患信息，下发给指定的大队或者中队，由大队或中队进行登记治理。</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参数配置</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配置治理预警天数，用于在计划时间内，给将要临期或超期的隐患进行标记。</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隐患统计</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按照各部门、区县、隐患类型、道路类型进行隐患信息统计，有统计列表数量和明细，并且有导出功能。</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restart"/>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数据采集</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拥堵路段数据</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录入当日时间段内拥堵路段，有地图标注功能。可以启用以及关闭。有新增、修改、删除功能。</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平台链接</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录入平台的名称、LOGO图标已经跳转链接地址，有新增、修改、删除功能。</w:t>
            </w:r>
            <w:r/>
          </w:p>
        </w:tc>
      </w:tr>
      <w:tr>
        <w:trPr>
          <w:jc w:val="center"/>
          <w:trHeight w:val="108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执法错误行为</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记录有以下两种错误行为的警员信息。1、未关联且未能提供执法数据。2、关联错误。警员信息包含警员姓名，部门，时间，错误行为。有新增、修改、删除、导入功能。</w:t>
            </w:r>
            <w:r/>
          </w:p>
        </w:tc>
      </w:tr>
      <w:tr>
        <w:trPr>
          <w:jc w:val="center"/>
          <w:trHeight w:val="54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重点车辆数据</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查询和导入重点车辆数据，包含号牌种类，号码，车辆类型，所有人等信息。</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重点人群数据</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查询和导入以下几种人员数据。1、吸毒史人员 2、精神病史 3、信访史。可以根据姓名。身份证信息，时间进行查询。</w:t>
            </w:r>
            <w:r/>
          </w:p>
        </w:tc>
      </w:tr>
      <w:tr>
        <w:trPr>
          <w:jc w:val="center"/>
          <w:trHeight w:val="162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restart"/>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数据赋能</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预警线索</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1、新增线索信息：包含类型、标题、内容、说明文件等。支持修改，删除功能。</w:t>
            </w:r>
            <w:r>
              <w:rPr>
                <w:rFonts w:hint="eastAsia" w:ascii="宋体" w:hAnsi="宋体" w:eastAsia="宋体" w:cs="宋体"/>
                <w:sz w:val="21"/>
                <w:szCs w:val="21"/>
              </w:rPr>
              <w:br/>
            </w:r>
            <w:r>
              <w:rPr>
                <w:rFonts w:hint="eastAsia" w:ascii="宋体" w:hAnsi="宋体" w:eastAsia="宋体" w:cs="宋体"/>
                <w:sz w:val="21"/>
                <w:szCs w:val="21"/>
              </w:rPr>
              <w:t xml:space="preserve">2、查询线索信息：根据类型。签收状态、反馈状态、评估状态等条件进行查询操作。</w:t>
            </w:r>
            <w:r>
              <w:rPr>
                <w:rFonts w:hint="eastAsia" w:ascii="宋体" w:hAnsi="宋体" w:eastAsia="宋体" w:cs="宋体"/>
                <w:sz w:val="21"/>
                <w:szCs w:val="21"/>
              </w:rPr>
              <w:br/>
            </w:r>
            <w:r>
              <w:rPr>
                <w:rFonts w:hint="eastAsia" w:ascii="宋体" w:hAnsi="宋体" w:eastAsia="宋体" w:cs="宋体"/>
                <w:sz w:val="21"/>
                <w:szCs w:val="21"/>
              </w:rPr>
              <w:t xml:space="preserve">2、可以推送该信息到指挥调度模块，指定人员进行下发。也可以自己直接下发到各部门。</w:t>
            </w:r>
            <w:r/>
          </w:p>
        </w:tc>
      </w:tr>
      <w:tr>
        <w:trPr>
          <w:jc w:val="center"/>
          <w:trHeight w:val="135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线索成果</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1、根据线索类型统计出该数据的发布条数，线索数量，违法数量，以及时间范围，列表展示与旧数据进行对比，差异数据标红。</w:t>
            </w:r>
            <w:r>
              <w:rPr>
                <w:rFonts w:hint="eastAsia" w:ascii="宋体" w:hAnsi="宋体" w:eastAsia="宋体" w:cs="宋体"/>
                <w:sz w:val="21"/>
                <w:szCs w:val="21"/>
              </w:rPr>
              <w:br/>
            </w:r>
            <w:r>
              <w:rPr>
                <w:rFonts w:hint="eastAsia" w:ascii="宋体" w:hAnsi="宋体" w:eastAsia="宋体" w:cs="宋体"/>
                <w:sz w:val="21"/>
                <w:szCs w:val="21"/>
              </w:rPr>
              <w:t xml:space="preserve">2、更新指定的线索类型，增加领导批示文件上传，内容描述，对应的成果文件的上传。</w:t>
            </w:r>
            <w:r/>
          </w:p>
        </w:tc>
      </w:tr>
      <w:tr>
        <w:trPr>
          <w:jc w:val="center"/>
          <w:trHeight w:val="108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问题交流</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1、可以新增问题，可以指定问题类型，可以上传附件，各部门可以进行浏览回复，如果是指定的角色回复的内容，进行区别显示，提问的人员可以关闭问题。</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各类表格</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上传修改各种类型的数据表格文件，可以进行标注说明，并提供给个大队进行下载。</w:t>
            </w:r>
            <w:r/>
          </w:p>
        </w:tc>
      </w:tr>
      <w:tr>
        <w:trPr>
          <w:jc w:val="center"/>
          <w:trHeight w:val="135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数据分析需求</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各大队需求数据分析，填写数据分析申请表单，生成申请文件，下载盖章，进行审核，审核人员通过后，按照要求进行数据分析，并把分析结果上传。申请人员拿到分析结果后，15日内上传对应的数据分析结果的成果。</w:t>
            </w:r>
            <w:r/>
          </w:p>
        </w:tc>
      </w:tr>
      <w:tr>
        <w:trPr>
          <w:jc w:val="center"/>
          <w:trHeight w:val="1833"/>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指挥调度</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交办指令</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1、指令流转：相关部门填写相关信息，生成指令下发申请表，向指挥中心人员申请指令下发。也可以直接向各部门下发指令。</w:t>
            </w:r>
            <w:r>
              <w:rPr>
                <w:rFonts w:hint="eastAsia" w:ascii="宋体" w:hAnsi="宋体" w:eastAsia="宋体" w:cs="宋体"/>
                <w:sz w:val="21"/>
                <w:szCs w:val="21"/>
              </w:rPr>
              <w:br/>
            </w:r>
            <w:r>
              <w:rPr>
                <w:rFonts w:hint="eastAsia" w:ascii="宋体" w:hAnsi="宋体" w:eastAsia="宋体" w:cs="宋体"/>
                <w:sz w:val="21"/>
                <w:szCs w:val="21"/>
              </w:rPr>
              <w:t xml:space="preserve">2、指令下发：指挥中心根据交办部门的申请，可以对多部门进行指令下发。</w:t>
            </w:r>
            <w:r>
              <w:rPr>
                <w:rFonts w:hint="eastAsia" w:ascii="宋体" w:hAnsi="宋体" w:eastAsia="宋体" w:cs="宋体"/>
                <w:sz w:val="21"/>
                <w:szCs w:val="21"/>
              </w:rPr>
              <w:br/>
            </w:r>
            <w:r>
              <w:rPr>
                <w:rFonts w:hint="eastAsia" w:ascii="宋体" w:hAnsi="宋体" w:eastAsia="宋体" w:cs="宋体"/>
                <w:sz w:val="21"/>
                <w:szCs w:val="21"/>
              </w:rPr>
              <w:t xml:space="preserve">3、指令签收：相关部门接收相关的指令，并进行签收，签收后，如果执行完成，需要进行反馈。</w:t>
            </w:r>
            <w:r>
              <w:rPr>
                <w:rFonts w:hint="eastAsia" w:ascii="宋体" w:hAnsi="宋体" w:eastAsia="宋体" w:cs="宋体"/>
                <w:sz w:val="21"/>
                <w:szCs w:val="21"/>
              </w:rPr>
              <w:br/>
            </w:r>
            <w:r>
              <w:rPr>
                <w:rFonts w:hint="eastAsia" w:ascii="宋体" w:hAnsi="宋体" w:eastAsia="宋体" w:cs="宋体"/>
                <w:sz w:val="21"/>
                <w:szCs w:val="21"/>
              </w:rPr>
              <w:t xml:space="preserve">4、指令评估：指令的交办部门要对签收反馈后的部门进行完成度进行评估。</w:t>
            </w:r>
            <w:r>
              <w:rPr>
                <w:rFonts w:hint="eastAsia" w:ascii="宋体" w:hAnsi="宋体" w:eastAsia="宋体" w:cs="宋体"/>
                <w:sz w:val="21"/>
                <w:szCs w:val="21"/>
              </w:rPr>
              <w:br/>
            </w:r>
            <w:r>
              <w:rPr>
                <w:rFonts w:hint="eastAsia" w:ascii="宋体" w:hAnsi="宋体" w:eastAsia="宋体" w:cs="宋体"/>
                <w:sz w:val="21"/>
                <w:szCs w:val="21"/>
              </w:rPr>
              <w:t xml:space="preserve">5、指令查询：统一查询各种角色和部门发布的指令。</w:t>
            </w:r>
            <w:r>
              <w:rPr>
                <w:rFonts w:hint="eastAsia" w:ascii="宋体" w:hAnsi="宋体" w:eastAsia="宋体" w:cs="宋体"/>
                <w:sz w:val="21"/>
                <w:szCs w:val="21"/>
              </w:rPr>
              <w:br/>
            </w:r>
            <w:r>
              <w:rPr>
                <w:rFonts w:hint="eastAsia" w:ascii="宋体" w:hAnsi="宋体" w:eastAsia="宋体" w:cs="宋体"/>
                <w:sz w:val="21"/>
                <w:szCs w:val="21"/>
              </w:rPr>
              <w:t xml:space="preserve">6、签收统计：查询各部门对于各种指令类型签收反馈情况统计</w:t>
            </w:r>
            <w:r>
              <w:rPr>
                <w:rFonts w:hint="eastAsia" w:ascii="宋体" w:hAnsi="宋体" w:eastAsia="宋体" w:cs="宋体"/>
                <w:sz w:val="21"/>
                <w:szCs w:val="21"/>
              </w:rPr>
              <w:br/>
            </w:r>
            <w:r>
              <w:rPr>
                <w:rFonts w:hint="eastAsia" w:ascii="宋体" w:hAnsi="宋体" w:eastAsia="宋体" w:cs="宋体"/>
                <w:sz w:val="21"/>
                <w:szCs w:val="21"/>
              </w:rPr>
              <w:t xml:space="preserve">7、指令类型配置：配置各种指令类型和改类型对于的各种任务。</w:t>
            </w:r>
            <w:r/>
          </w:p>
        </w:tc>
      </w:tr>
      <w:tr>
        <w:trPr>
          <w:jc w:val="center"/>
          <w:trHeight w:val="108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restart"/>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源头管理</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渣土车管理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1、导入渣土车的车牌信息，查询出对应的车辆信息和状态。</w:t>
            </w:r>
            <w:r>
              <w:rPr>
                <w:rFonts w:hint="eastAsia" w:ascii="宋体" w:hAnsi="宋体" w:eastAsia="宋体" w:cs="宋体"/>
                <w:sz w:val="21"/>
                <w:szCs w:val="21"/>
              </w:rPr>
              <w:br/>
            </w:r>
            <w:r>
              <w:rPr>
                <w:rFonts w:hint="eastAsia" w:ascii="宋体" w:hAnsi="宋体" w:eastAsia="宋体" w:cs="宋体"/>
                <w:sz w:val="21"/>
                <w:szCs w:val="21"/>
              </w:rPr>
              <w:t xml:space="preserve">2、查询渣土车的一般程序、简易程序、非现场、一般事故、简易事故信息，并有导出功能。</w:t>
            </w:r>
            <w:r/>
          </w:p>
        </w:tc>
      </w:tr>
      <w:tr>
        <w:trPr>
          <w:jc w:val="center"/>
          <w:trHeight w:val="108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面包车管理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1、导入面包车的车牌信息，查询出对应的车辆信息和状态。</w:t>
            </w:r>
            <w:r>
              <w:rPr>
                <w:rFonts w:hint="eastAsia" w:ascii="宋体" w:hAnsi="宋体" w:eastAsia="宋体" w:cs="宋体"/>
                <w:sz w:val="21"/>
                <w:szCs w:val="21"/>
              </w:rPr>
              <w:br/>
            </w:r>
            <w:r>
              <w:rPr>
                <w:rFonts w:hint="eastAsia" w:ascii="宋体" w:hAnsi="宋体" w:eastAsia="宋体" w:cs="宋体"/>
                <w:sz w:val="21"/>
                <w:szCs w:val="21"/>
              </w:rPr>
              <w:t xml:space="preserve">2、查询面包车的一般程序、简易程序、非现场、一般事故、简易事故信息，并有导出功能。</w:t>
            </w:r>
            <w:r/>
          </w:p>
        </w:tc>
      </w:tr>
      <w:tr>
        <w:trPr>
          <w:jc w:val="center"/>
          <w:trHeight w:val="108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出租车管理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1、导入出租的车牌信息，查询出对应的车辆信息和状态。</w:t>
            </w:r>
            <w:r>
              <w:rPr>
                <w:rFonts w:hint="eastAsia" w:ascii="宋体" w:hAnsi="宋体" w:eastAsia="宋体" w:cs="宋体"/>
                <w:sz w:val="21"/>
                <w:szCs w:val="21"/>
              </w:rPr>
              <w:br/>
            </w:r>
            <w:r>
              <w:rPr>
                <w:rFonts w:hint="eastAsia" w:ascii="宋体" w:hAnsi="宋体" w:eastAsia="宋体" w:cs="宋体"/>
                <w:sz w:val="21"/>
                <w:szCs w:val="21"/>
              </w:rPr>
              <w:t xml:space="preserve">2、查询出租车的一般程序、简易程序、非现场、一般事故、简易事故信息，并有导出功能。</w:t>
            </w:r>
            <w:r/>
          </w:p>
        </w:tc>
      </w:tr>
      <w:tr>
        <w:trPr>
          <w:jc w:val="center"/>
          <w:trHeight w:val="54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restart"/>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系统管理</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部门管理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交警部门展示，树状图上下级显示，支持增加、修改、删除、显示排序。</w:t>
            </w:r>
            <w:r/>
          </w:p>
        </w:tc>
      </w:tr>
      <w:tr>
        <w:trPr>
          <w:jc w:val="center"/>
          <w:trHeight w:val="108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用户管理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支持用户按照警号、姓名、系统角色、手机号码进行查询。有添加，修改。删除功能，添加用户时，要指定部门和选择对应的系统角色。</w:t>
            </w:r>
            <w:r/>
          </w:p>
        </w:tc>
      </w:tr>
      <w:tr>
        <w:trPr>
          <w:jc w:val="center"/>
          <w:trHeight w:val="54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角色管理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支持添加，修改，删除角色，可以对角色进行权限赋予。</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菜单管理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系统的显示菜单项管理，各菜单的权限设置。</w:t>
            </w:r>
            <w:r/>
          </w:p>
        </w:tc>
      </w:tr>
      <w:tr>
        <w:trPr>
          <w:jc w:val="center"/>
          <w:trHeight w:val="28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通用字典</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系统的通用字典项的管理，支持添加、修改、删除。</w:t>
            </w:r>
            <w:r/>
          </w:p>
        </w:tc>
      </w:tr>
      <w:tr>
        <w:trPr>
          <w:jc w:val="center"/>
          <w:trHeight w:val="243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日志管理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1、敏感操作日志。记录了系统用户的重点数据导出记录。</w:t>
            </w:r>
            <w:r>
              <w:rPr>
                <w:rFonts w:hint="eastAsia" w:ascii="宋体" w:hAnsi="宋体" w:eastAsia="宋体" w:cs="宋体"/>
                <w:sz w:val="21"/>
                <w:szCs w:val="21"/>
              </w:rPr>
              <w:br/>
            </w:r>
            <w:r>
              <w:rPr>
                <w:rFonts w:hint="eastAsia" w:ascii="宋体" w:hAnsi="宋体" w:eastAsia="宋体" w:cs="宋体"/>
                <w:sz w:val="21"/>
                <w:szCs w:val="21"/>
              </w:rPr>
              <w:t xml:space="preserve">2、登录日志。记录了系统用户登录时间和IP。</w:t>
            </w:r>
            <w:r>
              <w:rPr>
                <w:rFonts w:hint="eastAsia" w:ascii="宋体" w:hAnsi="宋体" w:eastAsia="宋体" w:cs="宋体"/>
                <w:sz w:val="21"/>
                <w:szCs w:val="21"/>
              </w:rPr>
              <w:br/>
            </w:r>
            <w:r>
              <w:rPr>
                <w:rFonts w:hint="eastAsia" w:ascii="宋体" w:hAnsi="宋体" w:eastAsia="宋体" w:cs="宋体"/>
                <w:sz w:val="21"/>
                <w:szCs w:val="21"/>
              </w:rPr>
              <w:t xml:space="preserve">3、操作日志。记录了用户在系统中每一步的操作记录。</w:t>
            </w:r>
            <w:r>
              <w:rPr>
                <w:rFonts w:hint="eastAsia" w:ascii="宋体" w:hAnsi="宋体" w:eastAsia="宋体" w:cs="宋体"/>
                <w:sz w:val="21"/>
                <w:szCs w:val="21"/>
              </w:rPr>
              <w:br/>
            </w:r>
            <w:r>
              <w:rPr>
                <w:rFonts w:hint="eastAsia" w:ascii="宋体" w:hAnsi="宋体" w:eastAsia="宋体" w:cs="宋体"/>
                <w:sz w:val="21"/>
                <w:szCs w:val="21"/>
              </w:rPr>
              <w:t xml:space="preserve">4、数据同步日志。记录了系统数据同步信息日志。</w:t>
            </w:r>
            <w:r>
              <w:rPr>
                <w:rFonts w:hint="eastAsia" w:ascii="宋体" w:hAnsi="宋体" w:eastAsia="宋体" w:cs="宋体"/>
                <w:sz w:val="21"/>
                <w:szCs w:val="21"/>
              </w:rPr>
              <w:br/>
            </w:r>
            <w:r>
              <w:rPr>
                <w:rFonts w:hint="eastAsia" w:ascii="宋体" w:hAnsi="宋体" w:eastAsia="宋体" w:cs="宋体"/>
                <w:sz w:val="21"/>
                <w:szCs w:val="21"/>
              </w:rPr>
              <w:t xml:space="preserve">5、登录统计。统计了每个部门的系统登录次数。</w:t>
            </w:r>
            <w:r>
              <w:rPr>
                <w:rFonts w:hint="eastAsia" w:ascii="宋体" w:hAnsi="宋体" w:eastAsia="宋体" w:cs="宋体"/>
                <w:sz w:val="21"/>
                <w:szCs w:val="21"/>
              </w:rPr>
              <w:br/>
            </w:r>
            <w:r>
              <w:rPr>
                <w:rFonts w:hint="eastAsia" w:ascii="宋体" w:hAnsi="宋体" w:eastAsia="宋体" w:cs="宋体"/>
                <w:sz w:val="21"/>
                <w:szCs w:val="21"/>
              </w:rPr>
              <w:t xml:space="preserve">6、操作日志统计。统计了每个部门操作该系统的次数。</w:t>
            </w:r>
            <w:r/>
          </w:p>
        </w:tc>
      </w:tr>
      <w:tr>
        <w:trPr>
          <w:jc w:val="center"/>
          <w:trHeight w:val="54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定时任务</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显示该系统运行中的定时任务，并可以查询对应定时任务执行情况。</w:t>
            </w:r>
            <w:r/>
          </w:p>
        </w:tc>
      </w:tr>
      <w:tr>
        <w:trPr>
          <w:jc w:val="center"/>
          <w:trHeight w:val="9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restart"/>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大屏显示（看板）</w:t>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执法数据监控大屏看板</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1、根据区县，大队，年查询信息。也可以根据模拟的地图展示区进行筛选。</w:t>
            </w:r>
            <w:r>
              <w:rPr>
                <w:rFonts w:hint="eastAsia" w:ascii="宋体" w:hAnsi="宋体" w:eastAsia="宋体" w:cs="宋体"/>
                <w:sz w:val="21"/>
                <w:szCs w:val="21"/>
              </w:rPr>
              <w:br/>
            </w:r>
            <w:r>
              <w:rPr>
                <w:rFonts w:hint="eastAsia" w:ascii="宋体" w:hAnsi="宋体" w:eastAsia="宋体" w:cs="宋体"/>
                <w:sz w:val="21"/>
                <w:szCs w:val="21"/>
              </w:rPr>
              <w:t xml:space="preserve">2、酒醉驾图表（折线图），显示总数、酒精数值（20-80,80-140，&gt;140）的数量。</w:t>
            </w:r>
            <w:r>
              <w:rPr>
                <w:rFonts w:hint="eastAsia" w:ascii="宋体" w:hAnsi="宋体" w:eastAsia="宋体" w:cs="宋体"/>
                <w:sz w:val="21"/>
                <w:szCs w:val="21"/>
              </w:rPr>
              <w:br/>
            </w:r>
            <w:r>
              <w:rPr>
                <w:rFonts w:hint="eastAsia" w:ascii="宋体" w:hAnsi="宋体" w:eastAsia="宋体" w:cs="宋体"/>
                <w:sz w:val="21"/>
                <w:szCs w:val="21"/>
              </w:rPr>
              <w:t xml:space="preserve">3、简易程序图表（柱状图），按照当前年每个月的数据显示，有总数。</w:t>
            </w:r>
            <w:r>
              <w:rPr>
                <w:rFonts w:hint="eastAsia" w:ascii="宋体" w:hAnsi="宋体" w:eastAsia="宋体" w:cs="宋体"/>
                <w:sz w:val="21"/>
                <w:szCs w:val="21"/>
              </w:rPr>
              <w:br/>
            </w:r>
            <w:r>
              <w:rPr>
                <w:rFonts w:hint="eastAsia" w:ascii="宋体" w:hAnsi="宋体" w:eastAsia="宋体" w:cs="宋体"/>
                <w:sz w:val="21"/>
                <w:szCs w:val="21"/>
              </w:rPr>
              <w:t xml:space="preserve">4、一般程序图表（柱状图），按照当前年每个月的数据显示，有总数。</w:t>
            </w:r>
            <w:r>
              <w:rPr>
                <w:rFonts w:hint="eastAsia" w:ascii="宋体" w:hAnsi="宋体" w:eastAsia="宋体" w:cs="宋体"/>
                <w:sz w:val="21"/>
                <w:szCs w:val="21"/>
              </w:rPr>
              <w:br/>
            </w:r>
            <w:r>
              <w:rPr>
                <w:rFonts w:hint="eastAsia" w:ascii="宋体" w:hAnsi="宋体" w:eastAsia="宋体" w:cs="宋体"/>
                <w:sz w:val="21"/>
                <w:szCs w:val="21"/>
              </w:rPr>
              <w:t xml:space="preserve">5、案件办结情况（折线图），按照当前年每个月的数据显示，两道折线图（总数、未办结）。有案件总数和未办结总数。</w:t>
            </w:r>
            <w:r/>
          </w:p>
        </w:tc>
      </w:tr>
      <w:tr>
        <w:trPr>
          <w:jc w:val="center"/>
          <w:trHeight w:val="351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高速公路数据大屏</w:t>
            </w:r>
            <w:r/>
          </w:p>
          <w:p>
            <w:pPr>
              <w:pStyle w:val="1087"/>
              <w:rPr>
                <w:rFonts w:hint="eastAsia" w:ascii="宋体" w:hAnsi="宋体" w:eastAsia="宋体" w:cs="宋体"/>
                <w:sz w:val="21"/>
                <w:szCs w:val="21"/>
              </w:rPr>
            </w:pPr>
            <w:r>
              <w:rPr>
                <w:rFonts w:hint="eastAsia" w:ascii="宋体" w:hAnsi="宋体" w:eastAsia="宋体" w:cs="宋体"/>
                <w:sz w:val="21"/>
                <w:szCs w:val="21"/>
              </w:rPr>
              <w:t xml:space="preserve">看板</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1、根据日期区间（默认当年）、高速大队、高速路段查询。</w:t>
            </w:r>
            <w:r>
              <w:rPr>
                <w:rFonts w:hint="eastAsia" w:ascii="宋体" w:hAnsi="宋体" w:eastAsia="宋体" w:cs="宋体"/>
                <w:sz w:val="21"/>
                <w:szCs w:val="21"/>
              </w:rPr>
              <w:br/>
            </w:r>
            <w:r>
              <w:rPr>
                <w:rFonts w:hint="eastAsia" w:ascii="宋体" w:hAnsi="宋体" w:eastAsia="宋体" w:cs="宋体"/>
                <w:sz w:val="21"/>
                <w:szCs w:val="21"/>
              </w:rPr>
              <w:t xml:space="preserve">2、各大队事故统计（环状图），事故总数，各大队事故数量，各大队事故占比。</w:t>
            </w:r>
            <w:r>
              <w:rPr>
                <w:rFonts w:hint="eastAsia" w:ascii="宋体" w:hAnsi="宋体" w:eastAsia="宋体" w:cs="宋体"/>
                <w:sz w:val="21"/>
                <w:szCs w:val="21"/>
              </w:rPr>
              <w:br/>
            </w:r>
            <w:r>
              <w:rPr>
                <w:rFonts w:hint="eastAsia" w:ascii="宋体" w:hAnsi="宋体" w:eastAsia="宋体" w:cs="宋体"/>
                <w:sz w:val="21"/>
                <w:szCs w:val="21"/>
              </w:rPr>
              <w:t xml:space="preserve">3、高速公路事故统计（柱状图），高速公路事故数量，受伤人数，死亡人数。</w:t>
            </w:r>
            <w:r>
              <w:rPr>
                <w:rFonts w:hint="eastAsia" w:ascii="宋体" w:hAnsi="宋体" w:eastAsia="宋体" w:cs="宋体"/>
                <w:sz w:val="21"/>
                <w:szCs w:val="21"/>
              </w:rPr>
              <w:br/>
            </w:r>
            <w:r>
              <w:rPr>
                <w:rFonts w:hint="eastAsia" w:ascii="宋体" w:hAnsi="宋体" w:eastAsia="宋体" w:cs="宋体"/>
                <w:sz w:val="21"/>
                <w:szCs w:val="21"/>
              </w:rPr>
              <w:t xml:space="preserve">4、流量查询（柱状图），显示收费站和高速路段流量数据</w:t>
            </w:r>
            <w:r>
              <w:rPr>
                <w:rFonts w:hint="eastAsia" w:ascii="宋体" w:hAnsi="宋体" w:eastAsia="宋体" w:cs="宋体"/>
                <w:sz w:val="21"/>
                <w:szCs w:val="21"/>
              </w:rPr>
              <w:br/>
            </w:r>
            <w:r>
              <w:rPr>
                <w:rFonts w:hint="eastAsia" w:ascii="宋体" w:hAnsi="宋体" w:eastAsia="宋体" w:cs="宋体"/>
                <w:sz w:val="21"/>
                <w:szCs w:val="21"/>
              </w:rPr>
              <w:t xml:space="preserve">5、事故流量切片（折线图），按照时间（24小时）每小时发生的事故数量。</w:t>
            </w:r>
            <w:r>
              <w:rPr>
                <w:rFonts w:hint="eastAsia" w:ascii="宋体" w:hAnsi="宋体" w:eastAsia="宋体" w:cs="宋体"/>
                <w:sz w:val="21"/>
                <w:szCs w:val="21"/>
              </w:rPr>
              <w:br/>
            </w:r>
            <w:r>
              <w:rPr>
                <w:rFonts w:hint="eastAsia" w:ascii="宋体" w:hAnsi="宋体" w:eastAsia="宋体" w:cs="宋体"/>
                <w:sz w:val="21"/>
                <w:szCs w:val="21"/>
              </w:rPr>
              <w:t xml:space="preserve">6、事故多发路段（地图），根据查询条件加上选择的事故数量，显示事故多发路段（地图标点）。点击标记点，显示该路段的事故列表。</w:t>
            </w:r>
            <w:r/>
          </w:p>
        </w:tc>
      </w:tr>
      <w:tr>
        <w:trPr>
          <w:jc w:val="center"/>
          <w:trHeight w:val="90"/>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道路隐患数据大屏</w:t>
            </w:r>
            <w:r/>
          </w:p>
          <w:p>
            <w:pPr>
              <w:pStyle w:val="1087"/>
              <w:rPr>
                <w:rFonts w:hint="eastAsia" w:ascii="宋体" w:hAnsi="宋体" w:eastAsia="宋体" w:cs="宋体"/>
                <w:sz w:val="21"/>
                <w:szCs w:val="21"/>
              </w:rPr>
            </w:pPr>
            <w:r>
              <w:rPr>
                <w:rFonts w:hint="eastAsia" w:ascii="宋体" w:hAnsi="宋体" w:eastAsia="宋体" w:cs="宋体"/>
                <w:sz w:val="21"/>
                <w:szCs w:val="21"/>
              </w:rPr>
              <w:t xml:space="preserve">看板</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1、根据日期区间（默认当年）、区县、大队、隐患类型进行查询。</w:t>
            </w:r>
            <w:r>
              <w:rPr>
                <w:rFonts w:hint="eastAsia" w:ascii="宋体" w:hAnsi="宋体" w:eastAsia="宋体" w:cs="宋体"/>
                <w:sz w:val="21"/>
                <w:szCs w:val="21"/>
              </w:rPr>
              <w:br/>
            </w:r>
            <w:r>
              <w:rPr>
                <w:rFonts w:hint="eastAsia" w:ascii="宋体" w:hAnsi="宋体" w:eastAsia="宋体" w:cs="宋体"/>
                <w:sz w:val="21"/>
                <w:szCs w:val="21"/>
              </w:rPr>
              <w:t xml:space="preserve">2、隐患状态统计（环形图），显示隐患总数、治理中、已临期、已超期、已完成、待登记、未审核的数量。每种状态对应指定的颜色显示。</w:t>
            </w:r>
            <w:r>
              <w:rPr>
                <w:rFonts w:hint="eastAsia" w:ascii="宋体" w:hAnsi="宋体" w:eastAsia="宋体" w:cs="宋体"/>
                <w:sz w:val="21"/>
                <w:szCs w:val="21"/>
              </w:rPr>
              <w:br/>
            </w:r>
            <w:r>
              <w:rPr>
                <w:rFonts w:hint="eastAsia" w:ascii="宋体" w:hAnsi="宋体" w:eastAsia="宋体" w:cs="宋体"/>
                <w:sz w:val="21"/>
                <w:szCs w:val="21"/>
              </w:rPr>
              <w:t xml:space="preserve">3、隐患统计（柱状图），按照部门统计，显示各大队隐患状态为治理中、已临期、已超期、已完成、待登记、未审核的数量，对应指定的的颜色显示。按区县统计，显示各区县隐患状态为治理中、已临期、已超期、已完成、待登记、未审核的数量，对应指定的的颜色显示。</w:t>
            </w:r>
            <w:r>
              <w:rPr>
                <w:rFonts w:hint="eastAsia" w:ascii="宋体" w:hAnsi="宋体" w:eastAsia="宋体" w:cs="宋体"/>
                <w:sz w:val="21"/>
                <w:szCs w:val="21"/>
              </w:rPr>
              <w:br/>
            </w:r>
            <w:r>
              <w:rPr>
                <w:rFonts w:hint="eastAsia" w:ascii="宋体" w:hAnsi="宋体" w:eastAsia="宋体" w:cs="宋体"/>
                <w:sz w:val="21"/>
                <w:szCs w:val="21"/>
              </w:rPr>
              <w:t xml:space="preserve">4、隐患列表。显示隐患列表信息，包含治理进度、部门、类型、路段名称、隐患内容。点击详情查看该隐患的详细信息。</w:t>
            </w:r>
            <w:r>
              <w:rPr>
                <w:rFonts w:hint="eastAsia" w:ascii="宋体" w:hAnsi="宋体" w:eastAsia="宋体" w:cs="宋体"/>
                <w:sz w:val="21"/>
                <w:szCs w:val="21"/>
              </w:rPr>
              <w:br/>
            </w:r>
            <w:r>
              <w:rPr>
                <w:rFonts w:hint="eastAsia" w:ascii="宋体" w:hAnsi="宋体" w:eastAsia="宋体" w:cs="宋体"/>
                <w:sz w:val="21"/>
                <w:szCs w:val="21"/>
              </w:rPr>
              <w:t xml:space="preserve">5、精品案例。显示精品案例列表信息，包含部门、隐患类型，隐患描述。点击详情查看该隐患的详细信息。</w:t>
            </w:r>
            <w:r>
              <w:rPr>
                <w:rFonts w:hint="eastAsia" w:ascii="宋体" w:hAnsi="宋体" w:eastAsia="宋体" w:cs="宋体"/>
                <w:sz w:val="21"/>
                <w:szCs w:val="21"/>
              </w:rPr>
              <w:br/>
            </w:r>
            <w:r>
              <w:rPr>
                <w:rFonts w:hint="eastAsia" w:ascii="宋体" w:hAnsi="宋体" w:eastAsia="宋体" w:cs="宋体"/>
                <w:sz w:val="21"/>
                <w:szCs w:val="21"/>
              </w:rPr>
              <w:t xml:space="preserve">6、隐患治理状态（地图）。显示所有隐患在地图上的分布标记，每个状态对应不同的标记颜色。点击标记，显示该隐患的详情。</w:t>
            </w:r>
            <w:r/>
          </w:p>
        </w:tc>
      </w:tr>
      <w:tr>
        <w:trPr>
          <w:jc w:val="center"/>
          <w:trHeight w:val="915"/>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交通事故数据统计大屏看板</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1、根据时间区间，道路类型，事故类型，简易事故，一般事故查询。</w:t>
            </w:r>
            <w:r>
              <w:rPr>
                <w:rFonts w:hint="eastAsia" w:ascii="宋体" w:hAnsi="宋体" w:eastAsia="宋体" w:cs="宋体"/>
                <w:sz w:val="21"/>
                <w:szCs w:val="21"/>
              </w:rPr>
              <w:br/>
            </w:r>
            <w:r>
              <w:rPr>
                <w:rFonts w:hint="eastAsia" w:ascii="宋体" w:hAnsi="宋体" w:eastAsia="宋体" w:cs="宋体"/>
                <w:sz w:val="21"/>
                <w:szCs w:val="21"/>
              </w:rPr>
              <w:t xml:space="preserve">2、事故发生统计（柱状图）。显示各大队的事故发生数量。</w:t>
            </w:r>
            <w:r>
              <w:rPr>
                <w:rFonts w:hint="eastAsia" w:ascii="宋体" w:hAnsi="宋体" w:eastAsia="宋体" w:cs="宋体"/>
                <w:sz w:val="21"/>
                <w:szCs w:val="21"/>
              </w:rPr>
              <w:br/>
            </w:r>
            <w:r>
              <w:rPr>
                <w:rFonts w:hint="eastAsia" w:ascii="宋体" w:hAnsi="宋体" w:eastAsia="宋体" w:cs="宋体"/>
                <w:sz w:val="21"/>
                <w:szCs w:val="21"/>
              </w:rPr>
              <w:t xml:space="preserve">3、新能源汽车事故分析（环形图）。显示事故总数，以及事故产生前几个原因，显示数量以及占比。</w:t>
            </w:r>
            <w:r>
              <w:rPr>
                <w:rFonts w:hint="eastAsia" w:ascii="宋体" w:hAnsi="宋体" w:eastAsia="宋体" w:cs="宋体"/>
                <w:sz w:val="21"/>
                <w:szCs w:val="21"/>
              </w:rPr>
              <w:br/>
            </w:r>
            <w:r>
              <w:rPr>
                <w:rFonts w:hint="eastAsia" w:ascii="宋体" w:hAnsi="宋体" w:eastAsia="宋体" w:cs="宋体"/>
                <w:sz w:val="21"/>
                <w:szCs w:val="21"/>
              </w:rPr>
              <w:t xml:space="preserve">4、电动车违法行为（柱状图）。按照二轮和三轮电动车显示前几违法行为的数量。</w:t>
            </w:r>
            <w:r>
              <w:rPr>
                <w:rFonts w:hint="eastAsia" w:ascii="宋体" w:hAnsi="宋体" w:eastAsia="宋体" w:cs="宋体"/>
                <w:sz w:val="21"/>
                <w:szCs w:val="21"/>
              </w:rPr>
              <w:br/>
            </w:r>
            <w:r>
              <w:rPr>
                <w:rFonts w:hint="eastAsia" w:ascii="宋体" w:hAnsi="宋体" w:eastAsia="宋体" w:cs="宋体"/>
                <w:sz w:val="21"/>
                <w:szCs w:val="21"/>
              </w:rPr>
              <w:t xml:space="preserve">5、事故时间切片（折线图）。按照24小时，显示每小时发生的事故数量。</w:t>
            </w:r>
            <w:r>
              <w:rPr>
                <w:rFonts w:hint="eastAsia" w:ascii="宋体" w:hAnsi="宋体" w:eastAsia="宋体" w:cs="宋体"/>
                <w:sz w:val="21"/>
                <w:szCs w:val="21"/>
              </w:rPr>
              <w:br/>
            </w:r>
            <w:r>
              <w:rPr>
                <w:rFonts w:hint="eastAsia" w:ascii="宋体" w:hAnsi="宋体" w:eastAsia="宋体" w:cs="宋体"/>
                <w:sz w:val="21"/>
                <w:szCs w:val="21"/>
              </w:rPr>
              <w:t xml:space="preserve">6、事故多发点位分布（地图）。显示范围内指定的事故数量，分析出事故多发点位，地图上做标记，点击标记显示事故列表。</w:t>
            </w:r>
            <w:r/>
          </w:p>
        </w:tc>
      </w:tr>
      <w:tr>
        <w:trPr>
          <w:jc w:val="center"/>
          <w:trHeight w:val="5737"/>
        </w:trPr>
        <w:tc>
          <w:tcPr>
            <w:tcBorders>
              <w:top w:val="none" w:color="000000" w:sz="4" w:space="0"/>
              <w:left w:val="single" w:color="auto" w:sz="4" w:space="0"/>
              <w:bottom w:val="single" w:color="auto" w:sz="4" w:space="0"/>
              <w:right w:val="single" w:color="auto" w:sz="4" w:space="0"/>
            </w:tcBorders>
            <w:tcW w:w="407" w:type="pct"/>
            <w:vAlign w:val="center"/>
            <w:vMerge w:val="continue"/>
            <w:textDirection w:val="tbRlV"/>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423" w:type="pct"/>
            <w:vAlign w:val="center"/>
            <w:vMerge w:val="continue"/>
            <w:textDirection w:val="lrTb"/>
            <w:noWrap w:val="false"/>
          </w:tcPr>
          <w:p>
            <w:pPr>
              <w:pStyle w:val="1087"/>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827" w:type="pct"/>
            <w:vAlign w:val="center"/>
            <w:textDirection w:val="lrTb"/>
            <w:noWrap/>
          </w:tcPr>
          <w:p>
            <w:pPr>
              <w:pStyle w:val="1087"/>
              <w:rPr>
                <w:rFonts w:hint="eastAsia" w:ascii="宋体" w:hAnsi="宋体" w:eastAsia="宋体" w:cs="宋体"/>
                <w:sz w:val="21"/>
                <w:szCs w:val="21"/>
              </w:rPr>
            </w:pPr>
            <w:r>
              <w:rPr>
                <w:rFonts w:hint="eastAsia" w:ascii="宋体" w:hAnsi="宋体" w:eastAsia="宋体" w:cs="宋体"/>
                <w:sz w:val="21"/>
                <w:szCs w:val="21"/>
              </w:rPr>
              <w:t xml:space="preserve">综合大屏看板</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pStyle w:val="1087"/>
              <w:jc w:val="left"/>
              <w:rPr>
                <w:rFonts w:hint="eastAsia" w:ascii="宋体" w:hAnsi="宋体" w:eastAsia="宋体" w:cs="宋体"/>
                <w:sz w:val="21"/>
                <w:szCs w:val="21"/>
              </w:rPr>
            </w:pPr>
            <w:r>
              <w:rPr>
                <w:rFonts w:hint="eastAsia" w:ascii="宋体" w:hAnsi="宋体" w:eastAsia="宋体" w:cs="宋体"/>
                <w:sz w:val="21"/>
                <w:szCs w:val="21"/>
              </w:rPr>
              <w:t xml:space="preserve">1、按照时间区间以及大队部门进行查询。</w:t>
            </w:r>
            <w:r>
              <w:rPr>
                <w:rFonts w:hint="eastAsia" w:ascii="宋体" w:hAnsi="宋体" w:eastAsia="宋体" w:cs="宋体"/>
                <w:sz w:val="21"/>
                <w:szCs w:val="21"/>
              </w:rPr>
              <w:br/>
            </w:r>
            <w:r>
              <w:rPr>
                <w:rFonts w:hint="eastAsia" w:ascii="宋体" w:hAnsi="宋体" w:eastAsia="宋体" w:cs="宋体"/>
                <w:sz w:val="21"/>
                <w:szCs w:val="21"/>
              </w:rPr>
              <w:t xml:space="preserve">2、醉驾预警（折线图）。显示总数、超期未处理、未处罚的数量。点击图表对应位置，弹窗显示各大队对应的数量，点击各大队，显示属于该大队查处的醉驾案件列表信息。</w:t>
            </w:r>
            <w:r>
              <w:rPr>
                <w:rFonts w:hint="eastAsia" w:ascii="宋体" w:hAnsi="宋体" w:eastAsia="宋体" w:cs="宋体"/>
                <w:sz w:val="21"/>
                <w:szCs w:val="21"/>
              </w:rPr>
              <w:br/>
            </w:r>
            <w:r>
              <w:rPr>
                <w:rFonts w:hint="eastAsia" w:ascii="宋体" w:hAnsi="宋体" w:eastAsia="宋体" w:cs="宋体"/>
                <w:sz w:val="21"/>
                <w:szCs w:val="21"/>
              </w:rPr>
              <w:t xml:space="preserve">3、酒驾预警（柱状图）。显示总是、超期未处理、未处罚的数量。击图表对应位置，弹窗显示各大队对应的数量，点击各大队，显示属于该大队查处的醉驾案件列表信息。</w:t>
            </w:r>
            <w:r>
              <w:rPr>
                <w:rFonts w:hint="eastAsia" w:ascii="宋体" w:hAnsi="宋体" w:eastAsia="宋体" w:cs="宋体"/>
                <w:sz w:val="21"/>
                <w:szCs w:val="21"/>
              </w:rPr>
              <w:br/>
            </w:r>
            <w:r>
              <w:rPr>
                <w:rFonts w:hint="eastAsia" w:ascii="宋体" w:hAnsi="宋体" w:eastAsia="宋体" w:cs="宋体"/>
                <w:sz w:val="21"/>
                <w:szCs w:val="21"/>
              </w:rPr>
              <w:t xml:space="preserve">4、行政处罚（环形图）。显示一般程序总数、未处罚数量、超期未处理数量，点击相关图标位置，弹窗显示各大队对应的数量，点击各大队，显示该大队的一般程序列表信息。</w:t>
            </w:r>
            <w:r>
              <w:rPr>
                <w:rFonts w:hint="eastAsia" w:ascii="宋体" w:hAnsi="宋体" w:eastAsia="宋体" w:cs="宋体"/>
                <w:sz w:val="21"/>
                <w:szCs w:val="21"/>
              </w:rPr>
              <w:br/>
            </w:r>
            <w:r>
              <w:rPr>
                <w:rFonts w:hint="eastAsia" w:ascii="宋体" w:hAnsi="宋体" w:eastAsia="宋体" w:cs="宋体"/>
                <w:sz w:val="21"/>
                <w:szCs w:val="21"/>
              </w:rPr>
              <w:t xml:space="preserve">5、隐患治理。显示隐患总数和未完成数。点击未完成数，显示各位大队未完成的隐患治理数量。</w:t>
            </w:r>
            <w:r>
              <w:rPr>
                <w:rFonts w:hint="eastAsia" w:ascii="宋体" w:hAnsi="宋体" w:eastAsia="宋体" w:cs="宋体"/>
                <w:sz w:val="21"/>
                <w:szCs w:val="21"/>
              </w:rPr>
              <w:br/>
            </w:r>
            <w:r>
              <w:rPr>
                <w:rFonts w:hint="eastAsia" w:ascii="宋体" w:hAnsi="宋体" w:eastAsia="宋体" w:cs="宋体"/>
                <w:sz w:val="21"/>
                <w:szCs w:val="21"/>
              </w:rPr>
              <w:t xml:space="preserve">6、执法记录。显示未关联且未能提供执法数据和关联错误的数量。点击对应信息，显示对应信息的列表展示。</w:t>
            </w:r>
            <w:r>
              <w:rPr>
                <w:rFonts w:hint="eastAsia" w:ascii="宋体" w:hAnsi="宋体" w:eastAsia="宋体" w:cs="宋体"/>
                <w:sz w:val="21"/>
                <w:szCs w:val="21"/>
              </w:rPr>
              <w:br/>
            </w:r>
            <w:r>
              <w:rPr>
                <w:rFonts w:hint="eastAsia" w:ascii="宋体" w:hAnsi="宋体" w:eastAsia="宋体" w:cs="宋体"/>
                <w:sz w:val="21"/>
                <w:szCs w:val="21"/>
              </w:rPr>
              <w:t xml:space="preserve">7、恶劣天气预警。显示最近3天的恶劣天气（来源于天气信息采集）。</w:t>
            </w:r>
            <w:r>
              <w:rPr>
                <w:rFonts w:hint="eastAsia" w:ascii="宋体" w:hAnsi="宋体" w:eastAsia="宋体" w:cs="宋体"/>
                <w:sz w:val="21"/>
                <w:szCs w:val="21"/>
              </w:rPr>
              <w:br/>
            </w:r>
            <w:r>
              <w:rPr>
                <w:rFonts w:hint="eastAsia" w:ascii="宋体" w:hAnsi="宋体" w:eastAsia="宋体" w:cs="宋体"/>
                <w:sz w:val="21"/>
                <w:szCs w:val="21"/>
              </w:rPr>
              <w:t xml:space="preserve">8、事故溯源（柱状图）。显示溯源总数、已溯源、未完成数。点击图表相应位置，显示相关信息列表。</w:t>
            </w:r>
            <w:r>
              <w:rPr>
                <w:rFonts w:hint="eastAsia" w:ascii="宋体" w:hAnsi="宋体" w:eastAsia="宋体" w:cs="宋体"/>
                <w:sz w:val="21"/>
                <w:szCs w:val="21"/>
              </w:rPr>
              <w:br/>
            </w:r>
            <w:r>
              <w:rPr>
                <w:rFonts w:hint="eastAsia" w:ascii="宋体" w:hAnsi="宋体" w:eastAsia="宋体" w:cs="宋体"/>
                <w:sz w:val="21"/>
                <w:szCs w:val="21"/>
              </w:rPr>
              <w:t xml:space="preserve">9、安全运输（柱状图）。显示客运车和货运车去年和今年的事故数量。点击图表相关位置，显示相关信息列表。</w:t>
            </w:r>
            <w:r>
              <w:rPr>
                <w:rFonts w:hint="eastAsia" w:ascii="宋体" w:hAnsi="宋体" w:eastAsia="宋体" w:cs="宋体"/>
                <w:sz w:val="21"/>
                <w:szCs w:val="21"/>
              </w:rPr>
              <w:br/>
            </w:r>
            <w:r>
              <w:rPr>
                <w:rFonts w:hint="eastAsia" w:ascii="宋体" w:hAnsi="宋体" w:eastAsia="宋体" w:cs="宋体"/>
                <w:sz w:val="21"/>
                <w:szCs w:val="21"/>
              </w:rPr>
              <w:t xml:space="preserve">10、重点人群（柱状图）。显示发生的事故中，有酒醉驾史、吸毒史、精神病史、信访史相关人员的事故数量。点击相关位置，显示相关信息列表。</w:t>
            </w:r>
            <w:r>
              <w:rPr>
                <w:rFonts w:hint="eastAsia" w:ascii="宋体" w:hAnsi="宋体" w:eastAsia="宋体" w:cs="宋体"/>
                <w:sz w:val="21"/>
                <w:szCs w:val="21"/>
              </w:rPr>
              <w:br/>
            </w:r>
            <w:r>
              <w:rPr>
                <w:rFonts w:hint="eastAsia" w:ascii="宋体" w:hAnsi="宋体" w:eastAsia="宋体" w:cs="宋体"/>
                <w:sz w:val="21"/>
                <w:szCs w:val="21"/>
              </w:rPr>
              <w:t xml:space="preserve">11、交通肇事（柱状图）。显示刑事立案、不起诉、相对不起诉、绝对不起诉。</w:t>
            </w:r>
            <w:r>
              <w:rPr>
                <w:rFonts w:hint="eastAsia" w:ascii="宋体" w:hAnsi="宋体" w:eastAsia="宋体" w:cs="宋体"/>
                <w:sz w:val="21"/>
                <w:szCs w:val="21"/>
              </w:rPr>
              <w:br/>
            </w:r>
            <w:r>
              <w:rPr>
                <w:rFonts w:hint="eastAsia" w:ascii="宋体" w:hAnsi="宋体" w:eastAsia="宋体" w:cs="宋体"/>
                <w:sz w:val="21"/>
                <w:szCs w:val="21"/>
              </w:rPr>
              <w:t xml:space="preserve">12、平台链接。显示其他平台的LOGO和名称，点击打开相关平台。</w:t>
            </w:r>
            <w:r>
              <w:rPr>
                <w:rFonts w:hint="eastAsia" w:ascii="宋体" w:hAnsi="宋体" w:eastAsia="宋体" w:cs="宋体"/>
                <w:sz w:val="21"/>
                <w:szCs w:val="21"/>
              </w:rPr>
              <w:br/>
            </w:r>
            <w:r>
              <w:rPr>
                <w:rFonts w:hint="eastAsia" w:ascii="宋体" w:hAnsi="宋体" w:eastAsia="宋体" w:cs="宋体"/>
                <w:sz w:val="21"/>
                <w:szCs w:val="21"/>
              </w:rPr>
              <w:t xml:space="preserve">13、事故多发路段（地图）。显示高速事故多发路段，并做标记点，点击标记点弹窗显示对这些事故进行分析，包含（车型、事故发生时间段，违法行为等）</w:t>
            </w:r>
            <w:r>
              <w:rPr>
                <w:rFonts w:hint="eastAsia" w:ascii="宋体" w:hAnsi="宋体" w:eastAsia="宋体" w:cs="宋体"/>
                <w:sz w:val="21"/>
                <w:szCs w:val="21"/>
              </w:rPr>
              <w:br/>
            </w:r>
            <w:r>
              <w:rPr>
                <w:rFonts w:hint="eastAsia" w:ascii="宋体" w:hAnsi="宋体" w:eastAsia="宋体" w:cs="宋体"/>
                <w:sz w:val="21"/>
                <w:szCs w:val="21"/>
              </w:rPr>
              <w:t xml:space="preserve">14、道路隐患治理（地图）。显示道路隐患治理点位，并按照治理状态用颜色做标记。</w:t>
            </w:r>
            <w:r>
              <w:rPr>
                <w:rFonts w:hint="eastAsia" w:ascii="宋体" w:hAnsi="宋体" w:eastAsia="宋体" w:cs="宋体"/>
                <w:sz w:val="21"/>
                <w:szCs w:val="21"/>
              </w:rPr>
              <w:br/>
            </w:r>
            <w:r>
              <w:rPr>
                <w:rFonts w:hint="eastAsia" w:ascii="宋体" w:hAnsi="宋体" w:eastAsia="宋体" w:cs="宋体"/>
                <w:sz w:val="21"/>
                <w:szCs w:val="21"/>
              </w:rPr>
              <w:t xml:space="preserve">15、施工养护路段（地图）。显示当前正在进行道路施工养护的路段。</w:t>
            </w:r>
            <w:r>
              <w:rPr>
                <w:rFonts w:hint="eastAsia" w:ascii="宋体" w:hAnsi="宋体" w:eastAsia="宋体" w:cs="宋体"/>
                <w:sz w:val="21"/>
                <w:szCs w:val="21"/>
              </w:rPr>
              <w:br/>
            </w:r>
            <w:r>
              <w:rPr>
                <w:rFonts w:hint="eastAsia" w:ascii="宋体" w:hAnsi="宋体" w:eastAsia="宋体" w:cs="宋体"/>
                <w:sz w:val="21"/>
                <w:szCs w:val="21"/>
              </w:rPr>
              <w:t xml:space="preserve">16、道路拥挤路段（地图）。显示当前道路拥挤的路段。</w:t>
            </w:r>
            <w:r>
              <w:rPr>
                <w:rFonts w:hint="eastAsia" w:ascii="宋体" w:hAnsi="宋体" w:eastAsia="宋体" w:cs="宋体"/>
                <w:sz w:val="21"/>
                <w:szCs w:val="21"/>
              </w:rPr>
              <w:br/>
            </w:r>
            <w:r/>
          </w:p>
        </w:tc>
      </w:tr>
    </w:tbl>
    <w:p>
      <w:pPr>
        <w:jc w:val="left"/>
        <w:spacing w:line="360" w:lineRule="auto"/>
        <w:widowControl w:val="off"/>
        <w:rPr>
          <w:rFonts w:hint="eastAsia" w:ascii="宋体" w:hAnsi="宋体" w:eastAsia="宋体" w:cs="宋体"/>
          <w:b/>
          <w:bCs/>
          <w:sz w:val="21"/>
          <w:szCs w:val="21"/>
          <w:lang w:val="en-US" w:eastAsia="zh-CN" w:bidi="ar-SA"/>
        </w:rPr>
        <w:outlineLvl w:val="0"/>
      </w:pPr>
      <w:r/>
      <w:bookmarkStart w:id="147" w:name="_Toc12424"/>
      <w:r>
        <w:rPr>
          <w:rFonts w:hint="eastAsia" w:ascii="宋体" w:hAnsi="宋体" w:cs="宋体"/>
          <w:b/>
          <w:bCs/>
          <w:sz w:val="21"/>
          <w:szCs w:val="21"/>
          <w:lang w:val="en-US" w:eastAsia="zh-CN" w:bidi="ar-SA"/>
        </w:rPr>
        <w:t xml:space="preserve">八、</w:t>
      </w:r>
      <w:r>
        <w:rPr>
          <w:rFonts w:hint="eastAsia" w:ascii="宋体" w:hAnsi="宋体" w:eastAsia="宋体" w:cs="宋体"/>
          <w:b/>
          <w:bCs/>
          <w:sz w:val="21"/>
          <w:szCs w:val="21"/>
          <w:lang w:val="en-US" w:eastAsia="zh-CN" w:bidi="ar-SA"/>
        </w:rPr>
        <w:t xml:space="preserve"> 主要设备功能、性能、配置要求</w:t>
      </w:r>
      <w:bookmarkEnd w:id="147"/>
      <w:r/>
      <w:bookmarkEnd w:id="107"/>
      <w:r/>
    </w:p>
    <w:p>
      <w:pPr>
        <w:jc w:val="left"/>
        <w:spacing w:line="360" w:lineRule="auto"/>
        <w:widowControl/>
        <w:rPr>
          <w:rFonts w:hint="eastAsia" w:ascii="宋体" w:hAnsi="宋体" w:eastAsia="宋体" w:cs="宋体"/>
          <w:b/>
          <w:bCs/>
          <w:sz w:val="24"/>
          <w:szCs w:val="24"/>
          <w:lang w:val="en-US" w:eastAsia="zh-CN" w:bidi="ar-SA"/>
        </w:rPr>
        <w:outlineLvl w:val="1"/>
      </w:pPr>
      <w:r/>
      <w:bookmarkStart w:id="148" w:name="_Toc29492"/>
      <w:r>
        <w:rPr>
          <w:rFonts w:hint="eastAsia" w:ascii="宋体" w:hAnsi="宋体" w:cs="宋体"/>
          <w:b/>
          <w:bCs/>
          <w:sz w:val="24"/>
          <w:szCs w:val="24"/>
          <w:lang w:val="en-US" w:eastAsia="zh-CN" w:bidi="ar-SA"/>
        </w:rPr>
        <w:t xml:space="preserve">（一）</w:t>
      </w:r>
      <w:r>
        <w:rPr>
          <w:rFonts w:hint="eastAsia" w:ascii="宋体" w:hAnsi="宋体" w:eastAsia="宋体" w:cs="宋体"/>
          <w:b/>
          <w:bCs/>
          <w:sz w:val="24"/>
          <w:szCs w:val="24"/>
          <w:lang w:val="en-US" w:eastAsia="zh-CN" w:bidi="ar-SA"/>
        </w:rPr>
        <w:t xml:space="preserve">交通指挥中心</w:t>
      </w:r>
      <w:bookmarkEnd w:id="148"/>
      <w:r/>
      <w:r/>
    </w:p>
    <w:p>
      <w:pPr>
        <w:ind w:left="210"/>
        <w:spacing w:line="360" w:lineRule="auto"/>
        <w:rPr>
          <w:rFonts w:hint="eastAsia" w:ascii="宋体" w:hAnsi="宋体" w:eastAsia="宋体" w:cs="宋体"/>
          <w:b/>
          <w:bCs/>
          <w:sz w:val="21"/>
          <w:szCs w:val="21"/>
          <w:lang w:val="en-US" w:eastAsia="zh-CN" w:bidi="ar-SA"/>
        </w:rPr>
        <w:outlineLvl w:val="2"/>
      </w:pPr>
      <w:r/>
      <w:bookmarkStart w:id="149" w:name="_Toc4213"/>
      <w:r>
        <w:rPr>
          <w:rFonts w:hint="eastAsia" w:ascii="宋体" w:hAnsi="宋体" w:eastAsia="宋体" w:cs="宋体"/>
          <w:b/>
          <w:bCs/>
          <w:sz w:val="21"/>
          <w:szCs w:val="21"/>
          <w:lang w:val="en-US" w:eastAsia="zh-CN" w:bidi="ar-SA"/>
        </w:rPr>
        <w:t xml:space="preserve">1.设备参数</w:t>
      </w:r>
      <w:bookmarkEnd w:id="149"/>
      <w:r/>
      <w:r/>
    </w:p>
    <w:p>
      <w:pPr>
        <w:numPr>
          <w:ilvl w:val="0"/>
          <w:numId w:val="0"/>
        </w:numPr>
        <w:ind w:left="0" w:hanging="200"/>
        <w:jc w:val="left"/>
        <w:spacing w:line="360" w:lineRule="auto"/>
        <w:widowControl w:val="off"/>
        <w:rPr>
          <w:rFonts w:hint="eastAsia" w:ascii="宋体" w:hAnsi="宋体" w:eastAsia="宋体" w:cs="宋体"/>
          <w:b/>
          <w:bCs/>
          <w:sz w:val="21"/>
          <w:szCs w:val="21"/>
          <w:lang w:val="en-US" w:eastAsia="zh-CN" w:bidi="ar-SA"/>
        </w:rPr>
        <w:outlineLvl w:val="3"/>
      </w:pPr>
      <w:r/>
      <w:bookmarkStart w:id="150" w:name="_Toc19792"/>
      <w:r>
        <w:rPr>
          <w:rFonts w:hint="eastAsia" w:ascii="宋体" w:hAnsi="宋体" w:eastAsia="宋体" w:cs="宋体"/>
          <w:b/>
          <w:bCs/>
          <w:sz w:val="21"/>
          <w:szCs w:val="21"/>
          <w:lang w:val="en-US" w:eastAsia="zh-CN" w:bidi="ar-SA"/>
        </w:rPr>
        <w:t xml:space="preserve">(1)P1.25LED室内全彩显示屏</w:t>
      </w:r>
      <w:bookmarkEnd w:id="15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1.显示尺寸：27.6m×5.4m；整屏显示分辨率：22080×4320；像素间距≤1.25mm；像素密度≥640000点／㎡；表贴三合一LED黑灯；</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2.单元尺寸≤600x337.5，厚度尺寸≤29.5（mm）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▲3.RGB 芯片全倒装共阴极驱动。（提供</w:t>
      </w:r>
      <w:r>
        <w:rPr>
          <w:rFonts w:hint="eastAsia" w:ascii="宋体" w:hAnsi="宋体" w:cs="宋体"/>
          <w:color w:val="0000ff"/>
          <w:sz w:val="21"/>
          <w:szCs w:val="21"/>
          <w:lang w:val="en-US" w:eastAsia="zh-CN" w:bidi="ar"/>
        </w:rPr>
        <w:t xml:space="preserve">第三方</w:t>
      </w:r>
      <w:r>
        <w:rPr>
          <w:rFonts w:hint="eastAsia" w:ascii="宋体" w:hAnsi="宋体" w:eastAsia="宋体" w:cs="宋体"/>
          <w:sz w:val="21"/>
          <w:szCs w:val="21"/>
          <w:lang w:val="en-US" w:eastAsia="zh-CN" w:bidi="ar"/>
        </w:rPr>
        <w:t xml:space="preserve">机构</w:t>
      </w:r>
      <w:r>
        <w:rPr>
          <w:rFonts w:hint="eastAsia" w:ascii="宋体" w:hAnsi="宋体" w:eastAsia="宋体" w:cs="宋体"/>
          <w:color w:val="0000ff"/>
          <w:sz w:val="21"/>
          <w:szCs w:val="21"/>
          <w:lang w:val="en-US" w:eastAsia="zh-CN" w:bidi="ar"/>
        </w:rPr>
        <w:t xml:space="preserve">出具的具备CMA认证标志的检测报告</w:t>
      </w:r>
      <w:r>
        <w:rPr>
          <w:rFonts w:hint="eastAsia" w:ascii="宋体" w:hAnsi="宋体" w:cs="宋体"/>
          <w:color w:val="0000ff"/>
          <w:sz w:val="21"/>
          <w:szCs w:val="21"/>
          <w:lang w:val="en-US" w:eastAsia="zh-CN" w:bidi="ar"/>
        </w:rPr>
        <w:t xml:space="preserve">原件扫描上传</w:t>
      </w:r>
      <w:r>
        <w:rPr>
          <w:rFonts w:hint="eastAsia" w:ascii="宋体" w:hAnsi="宋体" w:eastAsia="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4.共阴恒流驱动，采用恒流源输出端驱动LED的阳极，同时一个像素的三个基色R/G/B的阴极封装在一起的产品设计；</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5.一体化箱体，箱体具有标准HDMI2.0数字接口，单路最大支持4K(4096x2160@60Hz)视频接入，无需外部转接接入4K标准信号源环通显示；</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6.箱体通过HDMI高清线直连分布式输出盒进行控制；</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7.产品为压铸铝合金材质，材质抗拉强度Rm≥302MPa,规定塑性延伸强度≥170MPa，采用无风扇自然散热设计。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8.箱体平整度≤0.1mm；像素中心距相对偏差等级≤2.5%，水平相对错位等级≤2.5%；垂直相对错位等级≤2.5%；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9.具备单点亮度校正功能；具备单点色度校正功能；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▲10.白平衡亮度≥800cd/㎡，亮度可随环境亮度的变化自动调整；（提供</w:t>
      </w:r>
      <w:r>
        <w:rPr>
          <w:rFonts w:hint="eastAsia" w:ascii="宋体" w:hAnsi="宋体" w:cs="宋体"/>
          <w:color w:val="0000ff"/>
          <w:sz w:val="21"/>
          <w:szCs w:val="21"/>
          <w:lang w:val="en-US" w:eastAsia="zh-CN" w:bidi="ar"/>
        </w:rPr>
        <w:t xml:space="preserve">第三方</w:t>
      </w:r>
      <w:r>
        <w:rPr>
          <w:rFonts w:hint="eastAsia" w:ascii="宋体" w:hAnsi="宋体" w:eastAsia="宋体" w:cs="宋体"/>
          <w:sz w:val="21"/>
          <w:szCs w:val="21"/>
          <w:lang w:val="en-US" w:eastAsia="zh-CN" w:bidi="ar"/>
        </w:rPr>
        <w:t xml:space="preserve">机构</w:t>
      </w:r>
      <w:r>
        <w:rPr>
          <w:rFonts w:hint="eastAsia" w:ascii="宋体" w:hAnsi="宋体" w:eastAsia="宋体" w:cs="宋体"/>
          <w:color w:val="0000ff"/>
          <w:sz w:val="21"/>
          <w:szCs w:val="21"/>
          <w:lang w:val="en-US" w:eastAsia="zh-CN" w:bidi="ar"/>
        </w:rPr>
        <w:t xml:space="preserve">出具的具</w:t>
      </w:r>
      <w:r>
        <w:rPr>
          <w:rFonts w:hint="eastAsia" w:ascii="宋体" w:hAnsi="宋体" w:cs="宋体"/>
          <w:color w:val="0000ff"/>
          <w:sz w:val="21"/>
          <w:szCs w:val="21"/>
          <w:lang w:val="en-US" w:eastAsia="zh-CN" w:bidi="ar"/>
        </w:rPr>
        <w:t xml:space="preserve">有</w:t>
      </w:r>
      <w:r>
        <w:rPr>
          <w:rFonts w:hint="eastAsia" w:ascii="宋体" w:hAnsi="宋体" w:eastAsia="宋体" w:cs="宋体"/>
          <w:color w:val="0000ff"/>
          <w:sz w:val="21"/>
          <w:szCs w:val="21"/>
          <w:lang w:val="en-US" w:eastAsia="zh-CN" w:bidi="ar"/>
        </w:rPr>
        <w:t xml:space="preserve">CMA认证标志的检测报告</w:t>
      </w:r>
      <w:r>
        <w:rPr>
          <w:rFonts w:hint="eastAsia" w:ascii="宋体" w:hAnsi="宋体" w:cs="宋体"/>
          <w:color w:val="0000ff"/>
          <w:sz w:val="21"/>
          <w:szCs w:val="21"/>
          <w:lang w:val="en-US" w:eastAsia="zh-CN" w:bidi="ar"/>
        </w:rPr>
        <w:t xml:space="preserve">原件扫描上传</w:t>
      </w:r>
      <w:r>
        <w:rPr>
          <w:rFonts w:hint="eastAsia" w:ascii="宋体" w:hAnsi="宋体" w:eastAsia="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11.色温：3000K-10000K可调；刷新率≥3840Hz；换帧频率：50/60Hz。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12.水平视角≥170°、垂直视角≥170°；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13.发光点中心偏差≤3%，亮度均匀性≥97%；色度均匀性：±0.003Cx，Cy之内；</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14.对比度≥5000：1；NTSC色域覆盖率：≥100%；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15.亮度鉴别等级32级；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16.灰度等级（信号处理深度）16bit；具备低亮高灰：亮度100%时，灰度等级为16bit；亮度70%时，灰度等级为16bit；亮度50%时，灰度等级为16bit；亮度20%时，灰度等级为15bit；</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17.像素失控率≤1×10-5；MTBF≥100000小时；支持7*24小时连续工作；</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18.峰值功耗≤600W/㎡，平均功耗≤250W/㎡；供电要求：AC200-240V(50Hz）；具备PFC电源；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19.模块与控制卡采用硬连接。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20.LED显示屏具有隐亮消除功能：无隐亮，全黑场信号下无灯管发光；LED显示屏具有毛毛虫现象消除功能：显示画面无单列或单行像素失控现象；</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21.具备故障自诊及排查功能,具备系统掉电存储功能、支持模块校正盒数据存储及回读；22.LED显示屏正常工作时显示画面无伪轮廓现象；LED显示屏正常工作时显示画面</w:t>
      </w:r>
      <w:r/>
    </w:p>
    <w:p>
      <w:pPr>
        <w:ind w:left="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无重影和拖尾现象；LED显示屏正常工作时显示画面无几何失真和非线性失真；</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23.LED显示产品通过视网膜蓝光危害危害检测，检测结果无危害；</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24.LED显示产品具有碳足迹核查声明证书；LED显示产品碳排放量，每平米碳排放量不超过612.12千克二氧化碳当量 (kg CO2e)；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25.产品符合CESI产品认证实施规则CESI-PC-0D74中HDR3.0的要求，提供对应HDR3.0认证证书；或产品符合CESI产品认证实施规则CESI-PC-0D66中8K超高清显示的要求，提供8K超高清认证证书；</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26.产品具备CCC认证证书；</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151" w:name="_Toc19353"/>
      <w:r>
        <w:rPr>
          <w:rFonts w:hint="eastAsia" w:ascii="宋体" w:hAnsi="宋体" w:eastAsia="宋体" w:cs="宋体"/>
          <w:b/>
          <w:bCs/>
          <w:sz w:val="21"/>
          <w:szCs w:val="21"/>
          <w:lang w:val="en-US" w:eastAsia="zh-CN" w:bidi="ar-SA"/>
        </w:rPr>
        <w:t xml:space="preserve">(2)大屏控制软件</w:t>
      </w:r>
      <w:bookmarkEnd w:id="151"/>
      <w:r/>
      <w:r/>
    </w:p>
    <w:p>
      <w:pPr>
        <w:ind w:left="0" w:right="0" w:firstLine="420"/>
        <w:jc w:val="left"/>
        <w:keepLines w:val="0"/>
        <w:keepNext w:val="0"/>
        <w:spacing w:before="0" w:beforeAutospacing="0" w:after="0" w:afterAutospacing="0" w:line="360" w:lineRule="auto"/>
        <w:widowControl w:val="off"/>
        <w:rPr>
          <w:rFonts w:hint="eastAsia" w:ascii="宋体" w:hAnsi="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▲1.大屏控制软件与大屏为统一品牌。</w:t>
      </w:r>
      <w:r>
        <w:rPr>
          <w:rFonts w:hint="eastAsia" w:ascii="宋体" w:hAnsi="宋体" w:cs="宋体"/>
          <w:color w:val="0000ff"/>
          <w:sz w:val="21"/>
          <w:szCs w:val="21"/>
          <w:lang w:val="en-US" w:eastAsia="zh-CN" w:bidi="ar"/>
        </w:rPr>
        <w:t xml:space="preserve">（</w:t>
      </w:r>
      <w:r>
        <w:rPr>
          <w:rFonts w:hint="eastAsia" w:ascii="宋体" w:hAnsi="宋体" w:eastAsia="宋体" w:cs="宋体"/>
          <w:color w:val="0000ff"/>
          <w:sz w:val="21"/>
          <w:szCs w:val="21"/>
          <w:lang w:val="en-US" w:eastAsia="zh-CN" w:bidi="ar"/>
        </w:rPr>
        <w:t xml:space="preserve">提供所投软件的软件著作权登记证书</w:t>
      </w:r>
      <w:r>
        <w:rPr>
          <w:rFonts w:hint="eastAsia" w:ascii="宋体" w:hAnsi="宋体" w:cs="宋体"/>
          <w:color w:val="0000ff"/>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2.大屏控制软件厂家具备日历显示软件、模拟时钟软件、天气预报软件；</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3.系统采用C/S结构，可对LED控制系统、配电柜PLC、拼接器、混合矩阵等周边设备统一管理和级联控制；</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4.支持4K分辨率显示；支持多类型信号源输入，如VGA、DVI、HDMI、DP、BNC、SDI、HDBaseT、光纤等；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5.支持多类型素材显示，如视频、图片、底图、字幕等；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6.支持信号预监，具有在播放前预先查看的功能；支持视频回显，可实现远程查看大屏正在播放的内容；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7.支持网络流媒体显示；支持网络抓屏；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系统可按照当前选定的显示屏建立相同分辨率的场景，可以图形化编辑方式对窗口的开窗参数、窗口比例、窗口位置和大小等参数进行设置，以鼠标拖动方式将视频源、视频文件、字幕或图片等加载至场景中指定播放窗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9.支持预案管理、日志管理；</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10.具有简体中文、英文等多种语言界面和菜单的功能；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11.支持多用户同时登录客户端，每个用户可根据自身不同权限管理显示屏；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12.支持软拼接、硬拼接；支持多级热备，可对信号源、多视频处理器、传输线路、LED显示屏等多层级进行热备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13.支持显示屏状态监控；支持多屏控制，可对多个显示屏进行独立控制，支持信号源在多个显示屏中共享；</w:t>
      </w:r>
      <w:r/>
    </w:p>
    <w:p>
      <w:pPr>
        <w:numPr>
          <w:ilvl w:val="0"/>
          <w:numId w:val="0"/>
        </w:numPr>
        <w:ind w:left="0" w:hanging="200"/>
        <w:jc w:val="left"/>
        <w:spacing w:line="360" w:lineRule="auto"/>
        <w:widowControl w:val="off"/>
        <w:rPr>
          <w:rFonts w:hint="eastAsia" w:ascii="宋体" w:hAnsi="宋体" w:eastAsia="宋体" w:cs="宋体"/>
          <w:b/>
          <w:bCs/>
          <w:sz w:val="21"/>
          <w:szCs w:val="21"/>
          <w:lang w:val="en-US" w:eastAsia="zh-CN" w:bidi="ar-SA"/>
        </w:rPr>
        <w:outlineLvl w:val="3"/>
      </w:pPr>
      <w:r/>
      <w:bookmarkStart w:id="152" w:name="_Toc6689"/>
      <w:r>
        <w:rPr>
          <w:rFonts w:hint="eastAsia" w:ascii="宋体" w:hAnsi="宋体" w:eastAsia="宋体" w:cs="宋体"/>
          <w:b/>
          <w:bCs/>
          <w:sz w:val="21"/>
          <w:szCs w:val="21"/>
          <w:lang w:val="en-US" w:eastAsia="zh-CN" w:bidi="ar-SA"/>
        </w:rPr>
        <w:t xml:space="preserve">(3)配电柜（含PLC）</w:t>
      </w:r>
      <w:bookmarkEnd w:id="15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1.100KW容量，含PLC控制系统，可实时获取屏幕背部烟雾及温度数据，可执行远程开关机操作功能：远程监控、电话监视、温度监控、消防监控；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2.本配电柜具备过压、过流、欠压、短路、断路以及漏电保护措施。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3.为保证系统稳定性，尽量与LED显示屏为同一品牌，提供CQC认证证书；</w:t>
      </w:r>
      <w:r/>
    </w:p>
    <w:p>
      <w:pPr>
        <w:numPr>
          <w:ilvl w:val="0"/>
          <w:numId w:val="0"/>
        </w:numPr>
        <w:ind w:left="0" w:hanging="200"/>
        <w:jc w:val="left"/>
        <w:spacing w:line="360" w:lineRule="auto"/>
        <w:widowControl w:val="off"/>
        <w:rPr>
          <w:rFonts w:hint="eastAsia" w:ascii="宋体" w:hAnsi="宋体" w:eastAsia="宋体" w:cs="宋体"/>
          <w:b/>
          <w:bCs/>
          <w:sz w:val="21"/>
          <w:szCs w:val="21"/>
          <w:lang w:val="en-US" w:eastAsia="zh-CN" w:bidi="ar-SA"/>
        </w:rPr>
        <w:outlineLvl w:val="3"/>
      </w:pPr>
      <w:r/>
      <w:bookmarkStart w:id="153" w:name="_Toc23181"/>
      <w:r>
        <w:rPr>
          <w:rFonts w:hint="eastAsia" w:ascii="宋体" w:hAnsi="宋体" w:eastAsia="宋体" w:cs="宋体"/>
          <w:b/>
          <w:bCs/>
          <w:sz w:val="21"/>
          <w:szCs w:val="21"/>
          <w:lang w:val="en-US" w:eastAsia="zh-CN" w:bidi="ar-SA"/>
        </w:rPr>
        <w:t xml:space="preserve">(4)钢结构支架</w:t>
      </w:r>
      <w:bookmarkEnd w:id="15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1.主体钢架结构根据现场实际定制，根据现场实勘情况提供安全可靠的项目施工图纸；</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2.确保楼层承受力许可,按需加固楼层地面，符合相关国家规范要求；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承重钢结构采用Q235-B钢，化学成分及力学性能除应符合《碳素结构钢》(GB700-2006)及《低合金高强度结构钢(GB/T1591-2018)规定的要求，对承重结构的钢村应具有抗拉强度，伸长率，屈服强度(或屈服点)和硫，磷含量的合格保证；对焊接结构应具有碳含量的合格保证，焊接承重结构以及重要的非焊接承重结构采用的钢材应具有冷弯试验的合格保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Q235钢材之间，采用E43系列焊条，其技术条件应符合《碳钢焊条》(GB5117—95)的规定，自动焊或半自动焊的焊丝和焊剂应与主体金属强度相应，焊丝与焊剂应符合《溶化焊用钢丝》（GB/T14957-94)、《埋弧焊用碳钢焊丝和焊剂》（GB/T5293-99)的规定。</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5、钢材、连接材料、焊条、焊丝、焊剂及螺栓、涂料底漆、面漆均应附有质量证明书。</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6、本工程所有化学植筋的错栓采用5.8级。</w:t>
      </w:r>
      <w:r/>
    </w:p>
    <w:p>
      <w:pPr>
        <w:numPr>
          <w:ilvl w:val="0"/>
          <w:numId w:val="0"/>
        </w:numPr>
        <w:ind w:left="0" w:hanging="200"/>
        <w:jc w:val="left"/>
        <w:spacing w:line="360" w:lineRule="auto"/>
        <w:widowControl w:val="off"/>
        <w:rPr>
          <w:rFonts w:hint="eastAsia" w:ascii="宋体" w:hAnsi="宋体" w:eastAsia="宋体" w:cs="宋体"/>
          <w:b/>
          <w:bCs/>
          <w:sz w:val="21"/>
          <w:szCs w:val="21"/>
          <w:lang w:val="en-US" w:eastAsia="zh-CN" w:bidi="ar-SA"/>
        </w:rPr>
        <w:outlineLvl w:val="3"/>
      </w:pPr>
      <w:r/>
      <w:bookmarkStart w:id="154" w:name="_Toc15535"/>
      <w:r>
        <w:rPr>
          <w:rFonts w:hint="eastAsia" w:ascii="宋体" w:hAnsi="宋体" w:eastAsia="宋体" w:cs="宋体"/>
          <w:b/>
          <w:bCs/>
          <w:sz w:val="21"/>
          <w:szCs w:val="21"/>
          <w:lang w:val="en-US" w:eastAsia="zh-CN" w:bidi="ar-SA"/>
        </w:rPr>
        <w:t xml:space="preserve">(5)扩声模块设备参数</w:t>
      </w:r>
      <w:bookmarkEnd w:id="154"/>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b/>
          <w:bCs/>
          <w:sz w:val="21"/>
          <w:szCs w:val="21"/>
          <w:lang w:val="en-US" w:eastAsia="zh-CN" w:bidi="ar"/>
        </w:rPr>
        <w:t xml:space="preserve">专业音箱（150W) </w:t>
      </w:r>
      <w:r>
        <w:rPr>
          <w:rFonts w:hint="eastAsia" w:ascii="宋体" w:hAnsi="宋体" w:eastAsia="宋体" w:cs="宋体"/>
          <w:sz w:val="21"/>
          <w:szCs w:val="21"/>
          <w:lang w:val="en-US" w:eastAsia="zh-CN" w:bidi="ar"/>
        </w:rPr>
        <w:t xml:space="preserve">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1.阻抗≤8Ω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2.频响等同或优于65Hz~20KHz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3.额定功率≥150W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4.灵敏度≥95dB/W/M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5.水平覆盖角≥80°，垂直覆盖角≥60°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6.高音≥3"锥形高音单元×1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7.低音≥8"低音×1话筒天线</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专业功放(200W)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1.1U机箱设计，采用D类数字功放设计方案。</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2.标准XLR输入接口，和LINK输出口。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3.电源采用开关电源技术，效率高，有效的抑制电源谐波。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4.内置智能削峰限幅器，支持开机软启动，防止开机时向电网吸收大电流，干扰其它用电设备。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5.具有：过压保护，欠压保护，过流保护，直流保护，输出短路保护，温控风扇等功能。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6.输出功率：立体声@8Ω：≥200W×2；立体声@4Ω：≥400W×2。</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14路调音台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1.支持≥8路麦克风输入兼容6路线路输入接口，支持≥2路立体声输入接口，≥4路RCA输入，话筒接口幻象电源：+48V。</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cs="宋体"/>
          <w:sz w:val="21"/>
          <w:szCs w:val="21"/>
          <w:lang w:val="en-US" w:eastAsia="zh-CN" w:bidi="ar"/>
        </w:rPr>
        <w:t xml:space="preserve">包含</w:t>
      </w:r>
      <w:r>
        <w:rPr>
          <w:rFonts w:hint="eastAsia" w:ascii="宋体" w:hAnsi="宋体" w:eastAsia="宋体" w:cs="宋体"/>
          <w:sz w:val="21"/>
          <w:szCs w:val="21"/>
          <w:lang w:val="en-US" w:eastAsia="zh-CN" w:bidi="ar"/>
        </w:rPr>
        <w:t xml:space="preserve">≥2组立体主输出、≥4路编组输出、≥4路辅助输出、≥1组立体声监听输出、≥1个耳机监听输出、≥1个效果输出、≥1组主混音断点插入、≥6个断点插入。（提供接口图佐证）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3.内置≥24位DSP效果器，提供≥100种预设效果。</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4.具备≥13个60mm行程的高精密碳膜推子。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▲5.内置USB声卡模块，支持连接电脑进行音乐播放和声音录音；内置MP3播放器，支持≥1个USB接口接U盘播放音乐。（</w:t>
      </w:r>
      <w:r>
        <w:rPr>
          <w:rFonts w:hint="eastAsia" w:ascii="宋体" w:hAnsi="宋体" w:eastAsia="宋体" w:cs="宋体"/>
          <w:color w:val="0000ff"/>
          <w:sz w:val="21"/>
          <w:szCs w:val="21"/>
          <w:lang w:val="en-US" w:eastAsia="zh-CN" w:bidi="ar"/>
        </w:rPr>
        <w:t xml:space="preserve">提供接口图佐证</w:t>
      </w:r>
      <w:r>
        <w:rPr>
          <w:rFonts w:hint="eastAsia" w:ascii="宋体" w:hAnsi="宋体" w:eastAsia="宋体" w:cs="宋体"/>
          <w:sz w:val="21"/>
          <w:szCs w:val="21"/>
          <w:lang w:val="en-US" w:eastAsia="zh-CN" w:bidi="ar"/>
        </w:rPr>
        <w:t xml:space="preserve">）</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音频处理器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1.数字音频处理器支持≥4路平衡式话筒/线路输入通道，采用裸线接口端子，平衡接法；支持≥4路平衡式线路输出，采用裸线接口端子，平衡接法。</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输入通道支持前级放大、信号发生器、扩展器、压缩器、≥12段参量均衡，≥31段图示均衡、闪避器、AGC自动增益、AM自动混音功能（门限式、增益共享式）、AFC自适应反馈消除、AEC回声消除、ANC噪声消除、音频矩阵。（</w:t>
      </w:r>
      <w:r>
        <w:rPr>
          <w:rFonts w:hint="eastAsia" w:ascii="宋体" w:hAnsi="宋体" w:eastAsia="宋体" w:cs="宋体"/>
          <w:color w:val="0000ff"/>
          <w:sz w:val="21"/>
          <w:szCs w:val="21"/>
          <w:lang w:val="en-US" w:eastAsia="zh-CN" w:bidi="ar"/>
        </w:rPr>
        <w:t xml:space="preserve">提供设备界面截图</w:t>
      </w:r>
      <w:r>
        <w:rPr>
          <w:rFonts w:hint="eastAsia" w:ascii="宋体" w:hAnsi="宋体" w:eastAsia="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3.输出通道支持≥12段参量均衡，≥31段图示均衡、延时器、分频器、高低通滤波器、限幅器。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4.高性能专业DSP处理器，支持≥32bit/48kHz的声音，支持输入通道48V幻象供电。</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5.具有≥2英寸IPS真彩显示屏，支持显示设备网络信息、实时电平、通道静音状态。</w:t>
      </w:r>
      <w:r/>
    </w:p>
    <w:p>
      <w:pPr>
        <w:ind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6.支持通过APP软件进行操作控制，面板具备USB接口，支持多媒体存储，可进行播放或存储录播。</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7.配置双向RS-232接口，可用于控制外部设备；配置RS-485接口，可实现自动摄像跟踪功能。配置≥8通道可编程GPIO控制接口（可自定义输入输出）。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8.支持断电自动保护记忆功能。支持通道拷贝、粘贴、联控功能。管理控制软件可工作在XP/Windows7、8、10等模块环境下。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9.≥8个场景预设，支持场景信息导入、场景信息导出。</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电源管理器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2.当远程控制有效时同时控制后板ALARM（报警）端口导通以起到级联控制ALARM（报警）功能。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3.单个通道最大负载功率≥2200W，所有通道负载总功率≥6000W。输出连接器：多用途电源插座。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4.具有一路及以上USB输出接口。</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无线双手持话筒</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1.具有≥1台接收主机、≥双手持发射机；频率范围等同或优于470-510MHz、540MHz-590MHz、640MHz-690MHz、807MHz-830MHz。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2.接收机具有≥2路平衡输出、≥1路非平衡混音输出。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3.具有自动频率扫描功能，可快速地给麦克风找到清晰的频率。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4.支持混响调节功能，比例调节、延时调节、电平调节≥25个档位。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5.支持麦克风均衡器调节功能，≥高、中、低音三种调节档位。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6.接收机</w:t>
      </w:r>
      <w:r>
        <w:rPr>
          <w:rFonts w:hint="eastAsia" w:ascii="宋体" w:hAnsi="宋体" w:cs="宋体"/>
          <w:sz w:val="21"/>
          <w:szCs w:val="21"/>
          <w:lang w:val="en-US" w:eastAsia="zh-CN" w:bidi="ar"/>
        </w:rPr>
        <w:t xml:space="preserve">包含</w:t>
      </w:r>
      <w:r>
        <w:rPr>
          <w:rFonts w:hint="eastAsia" w:ascii="宋体" w:hAnsi="宋体" w:eastAsia="宋体" w:cs="宋体"/>
          <w:sz w:val="21"/>
          <w:szCs w:val="21"/>
          <w:lang w:val="en-US" w:eastAsia="zh-CN" w:bidi="ar"/>
        </w:rPr>
        <w:t xml:space="preserve">显示屏，用户可通过显示屏查看设备发射功率强度、音频加密状态、电池电量、频率数值、智能静音状态、静音标志。</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▲7.具有自动静音功能，麦克风跌落、抛掷时，毫秒级响应自动静音，避免冲击声；产品静置5秒自动静音。（</w:t>
      </w:r>
      <w:r>
        <w:rPr>
          <w:rFonts w:hint="eastAsia" w:ascii="宋体" w:hAnsi="宋体" w:eastAsia="宋体" w:cs="宋体"/>
          <w:color w:val="0000ff"/>
          <w:sz w:val="21"/>
          <w:szCs w:val="21"/>
          <w:lang w:val="en-US" w:eastAsia="zh-CN" w:bidi="ar"/>
        </w:rPr>
        <w:t xml:space="preserve">提供第三方机构出具的具</w:t>
      </w:r>
      <w:r>
        <w:rPr>
          <w:rFonts w:hint="eastAsia" w:ascii="宋体" w:hAnsi="宋体" w:cs="宋体"/>
          <w:color w:val="0000ff"/>
          <w:sz w:val="21"/>
          <w:szCs w:val="21"/>
          <w:lang w:val="en-US" w:eastAsia="zh-CN" w:bidi="ar"/>
        </w:rPr>
        <w:t xml:space="preserve">有</w:t>
      </w:r>
      <w:r>
        <w:rPr>
          <w:rFonts w:hint="eastAsia" w:ascii="宋体" w:hAnsi="宋体" w:eastAsia="宋体" w:cs="宋体"/>
          <w:color w:val="0000ff"/>
          <w:sz w:val="21"/>
          <w:szCs w:val="21"/>
          <w:lang w:val="en-US" w:eastAsia="zh-CN" w:bidi="ar"/>
        </w:rPr>
        <w:t xml:space="preserve">CMA认证标志的检测报告原件扫描上传</w:t>
      </w:r>
      <w:r>
        <w:rPr>
          <w:rFonts w:hint="eastAsia" w:ascii="宋体" w:hAnsi="宋体" w:eastAsia="宋体" w:cs="宋体"/>
          <w:sz w:val="21"/>
          <w:szCs w:val="21"/>
          <w:lang w:val="en-US" w:eastAsia="zh-CN" w:bidi="ar"/>
        </w:rPr>
        <w:t xml:space="preserve">）</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桌插</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1.插座采用全铝结构，信息模块接口采用标准模块。</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2.弹起式桌面插座，支持45°仰角。</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3.具有≥1个功能按键，支持自定义按键的功能，搭配中控矩阵使用可实现视频切换、搭配中控模块支持扩展场景调用功能、搭配中控会议模块实现会议模块电源开启关闭功能等。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4.配置接口：≥1个多功能电源接口、≥2个RJ45网络、≥1个3.5音频、≥1个HDMI高清视频接口、≥1个功能按键。</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一拖八无线话筒</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1.具有≥1台接收主机、≥8只桌面式短咪杆话筒；频率范围等同或优于540MHz-590MHz、640MHz-690MHz。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2.接收机具有≥8路平衡输出、≥2路非平衡混音输出。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3.具有自动频率扫描功能，可快速地给麦克风找到清晰的频率。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4.支持混响调节功能，比例调节、延时调节、电平调节≥25个档位。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5.支持麦克风均衡器调节功能，≥高、中、低音三种调节档位。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6.接收机具有显示屏，用户可通过显示屏查看设备发射功率强度、音频加密状态、电池电量、频率数值。</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7.桌面麦≥1个3.5mm耳机孔，可通过3.5mm耳机孔输入音频。</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8.桌面麦支持通过Type-C口进行充电。</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9.桌面麦电池孔位≥4个，连续使用时长≥15小时；电池具有扩展性，连续使用时长可扩展至≥60小时。</w:t>
      </w:r>
      <w:r/>
    </w:p>
    <w:p>
      <w:pPr>
        <w:jc w:val="left"/>
        <w:spacing w:line="360" w:lineRule="auto"/>
        <w:widowControl/>
        <w:rPr>
          <w:rFonts w:hint="eastAsia" w:ascii="宋体" w:hAnsi="宋体" w:eastAsia="宋体" w:cs="宋体"/>
          <w:b/>
          <w:bCs/>
          <w:sz w:val="21"/>
          <w:szCs w:val="21"/>
          <w:lang w:val="en-US" w:eastAsia="zh-CN" w:bidi="ar-SA"/>
        </w:rPr>
        <w:outlineLvl w:val="1"/>
      </w:pPr>
      <w:r/>
      <w:bookmarkStart w:id="155" w:name="_Toc30151"/>
      <w:r>
        <w:rPr>
          <w:rFonts w:hint="eastAsia" w:ascii="宋体" w:hAnsi="宋体" w:eastAsia="宋体" w:cs="宋体"/>
          <w:b/>
          <w:bCs/>
          <w:sz w:val="21"/>
          <w:szCs w:val="21"/>
          <w:lang w:val="en-US" w:eastAsia="zh-CN" w:bidi="ar-SA"/>
        </w:rPr>
        <w:t xml:space="preserve">二、综合性集成应用平台</w:t>
      </w:r>
      <w:bookmarkEnd w:id="155"/>
      <w:r/>
      <w:r/>
    </w:p>
    <w:p>
      <w:pPr>
        <w:ind w:left="210"/>
        <w:spacing w:line="360" w:lineRule="auto"/>
        <w:rPr>
          <w:rFonts w:hint="eastAsia" w:ascii="宋体" w:hAnsi="宋体" w:eastAsia="宋体" w:cs="宋体"/>
          <w:b/>
          <w:bCs/>
          <w:sz w:val="21"/>
          <w:szCs w:val="21"/>
          <w:lang w:val="en-US" w:eastAsia="zh-CN" w:bidi="ar-SA"/>
        </w:rPr>
        <w:outlineLvl w:val="2"/>
      </w:pPr>
      <w:r/>
      <w:bookmarkStart w:id="156" w:name="_Toc26851"/>
      <w:r/>
      <w:bookmarkStart w:id="157" w:name="_Toc9074"/>
      <w:r/>
      <w:bookmarkStart w:id="158" w:name="_Toc3835"/>
      <w:r/>
      <w:bookmarkStart w:id="159" w:name="_Toc31118"/>
      <w:r/>
      <w:bookmarkStart w:id="160" w:name="_Toc10787"/>
      <w:r>
        <w:rPr>
          <w:rFonts w:hint="eastAsia" w:ascii="宋体" w:hAnsi="宋体" w:eastAsia="宋体" w:cs="宋体"/>
          <w:b/>
          <w:bCs/>
          <w:sz w:val="21"/>
          <w:szCs w:val="21"/>
          <w:lang w:val="en-US" w:eastAsia="zh-CN" w:bidi="ar-SA"/>
        </w:rPr>
        <w:t xml:space="preserve">1.公安交通集成指挥模块硬件技术要求</w:t>
      </w:r>
      <w:bookmarkEnd w:id="156"/>
      <w:r/>
      <w:bookmarkEnd w:id="157"/>
      <w:r/>
      <w:bookmarkEnd w:id="158"/>
      <w:r/>
      <w:bookmarkEnd w:id="159"/>
      <w:r/>
      <w:bookmarkEnd w:id="160"/>
      <w:r/>
      <w:r/>
    </w:p>
    <w:p>
      <w:pPr>
        <w:ind w:firstLine="422"/>
        <w:spacing w:line="360" w:lineRule="auto"/>
        <w:rPr>
          <w:rFonts w:hint="eastAsia" w:ascii="宋体" w:hAnsi="宋体" w:eastAsia="宋体" w:cs="宋体"/>
          <w:b/>
          <w:bCs/>
          <w:i/>
          <w:iCs/>
          <w:color w:val="0000ff"/>
          <w:sz w:val="21"/>
          <w:szCs w:val="21"/>
          <w:u w:val="single"/>
          <w:lang w:val="en-US" w:eastAsia="zh-CN" w:bidi="ar-SA"/>
        </w:rPr>
        <w:outlineLvl w:val="2"/>
      </w:pPr>
      <w:r>
        <w:rPr>
          <w:rFonts w:hint="eastAsia" w:ascii="宋体" w:hAnsi="宋体" w:eastAsia="宋体" w:cs="宋体"/>
          <w:b/>
          <w:bCs/>
          <w:i/>
          <w:iCs/>
          <w:color w:val="0000ff"/>
          <w:sz w:val="21"/>
          <w:szCs w:val="21"/>
          <w:u w:val="single"/>
          <w:lang w:val="en-US" w:eastAsia="zh-CN" w:bidi="ar-SA"/>
        </w:rPr>
        <w:t xml:space="preserve">项目清单中的应用服务器</w:t>
      </w:r>
      <w:r>
        <w:rPr>
          <w:rFonts w:hint="eastAsia" w:ascii="宋体" w:hAnsi="宋体" w:cs="宋体"/>
          <w:b/>
          <w:bCs/>
          <w:i/>
          <w:iCs/>
          <w:color w:val="0000ff"/>
          <w:sz w:val="21"/>
          <w:szCs w:val="21"/>
          <w:u w:val="single"/>
          <w:lang w:val="en-US" w:eastAsia="zh-CN" w:bidi="ar-SA"/>
        </w:rPr>
        <w:t xml:space="preserve">、</w:t>
      </w:r>
      <w:r>
        <w:rPr>
          <w:rFonts w:hint="eastAsia" w:ascii="宋体" w:hAnsi="宋体" w:eastAsia="宋体" w:cs="宋体"/>
          <w:b/>
          <w:bCs/>
          <w:i/>
          <w:iCs/>
          <w:color w:val="0000ff"/>
          <w:sz w:val="21"/>
          <w:szCs w:val="21"/>
          <w:u w:val="single"/>
          <w:lang w:val="en-US" w:eastAsia="zh-CN" w:bidi="ar-SA"/>
        </w:rPr>
        <w:t xml:space="preserve">GPU</w:t>
      </w:r>
      <w:r>
        <w:rPr>
          <w:rFonts w:hint="eastAsia" w:ascii="宋体" w:hAnsi="宋体" w:cs="宋体"/>
          <w:b/>
          <w:bCs/>
          <w:i/>
          <w:iCs/>
          <w:color w:val="0000ff"/>
          <w:sz w:val="21"/>
          <w:szCs w:val="21"/>
          <w:u w:val="single"/>
          <w:lang w:val="en-US" w:eastAsia="zh-CN" w:bidi="ar-SA"/>
        </w:rPr>
        <w:t xml:space="preserve">服务器、视频网分布式存储</w:t>
      </w:r>
      <w:r>
        <w:rPr>
          <w:rFonts w:hint="eastAsia" w:ascii="宋体" w:hAnsi="宋体" w:eastAsia="宋体" w:cs="宋体"/>
          <w:b/>
          <w:bCs/>
          <w:i/>
          <w:iCs/>
          <w:color w:val="0000ff"/>
          <w:sz w:val="21"/>
          <w:szCs w:val="21"/>
          <w:u w:val="single"/>
          <w:lang w:val="en-US" w:eastAsia="zh-CN" w:bidi="ar-SA"/>
        </w:rPr>
        <w:t xml:space="preserve">必须满足《绿色数据中心政府采购需求标准（试行）》（财库[2023]7号）关于服务器及存储设备采购需求标准（采购人需按技术参数要求内容填写《技术参数响应及偏离表》并提供承诺函，加盖公章扫描上传）</w:t>
      </w:r>
      <w:r/>
    </w:p>
    <w:tbl>
      <w:tblPr>
        <w:tblStyle w:val="73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726"/>
        <w:gridCol w:w="2816"/>
        <w:gridCol w:w="2118"/>
        <w:gridCol w:w="2812"/>
      </w:tblGrid>
      <w:tr>
        <w:trPr/>
        <w:tc>
          <w:tcPr>
            <w:shd w:val="clear" w:color="auto" w:fill="auto"/>
            <w:tcW w:w="378" w:type="pct"/>
            <w:textDirection w:val="lrTb"/>
            <w:noWrap w:val="false"/>
          </w:tcPr>
          <w:p>
            <w:pPr>
              <w:jc w:val="center"/>
              <w:spacing w:after="200" w:line="276" w:lineRule="auto"/>
              <w:widowControl/>
              <w:rPr>
                <w:rFonts w:hint="eastAsia" w:ascii="宋体" w:hAnsi="宋体" w:eastAsia="宋体" w:cs="宋体"/>
                <w:color w:val="0000ff"/>
                <w:sz w:val="22"/>
                <w:szCs w:val="21"/>
                <w:lang w:val="en-US" w:eastAsia="zh-CN" w:bidi="ar-SA"/>
              </w:rPr>
            </w:pPr>
            <w:r>
              <w:rPr>
                <w:rFonts w:hint="eastAsia" w:ascii="宋体" w:hAnsi="宋体" w:eastAsia="宋体" w:cs="宋体"/>
                <w:color w:val="0000ff"/>
                <w:sz w:val="22"/>
                <w:szCs w:val="21"/>
                <w:lang w:val="en-US" w:eastAsia="zh-CN" w:bidi="ar-SA"/>
              </w:rPr>
            </w:r>
            <w:r/>
          </w:p>
        </w:tc>
        <w:tc>
          <w:tcPr>
            <w:gridSpan w:val="3"/>
            <w:shd w:val="clear" w:color="auto" w:fill="d8d8d8"/>
            <w:tcW w:w="3087" w:type="pct"/>
            <w:vAlign w:val="center"/>
            <w:textDirection w:val="lrTb"/>
            <w:noWrap w:val="false"/>
          </w:tcPr>
          <w:p>
            <w:pPr>
              <w:jc w:val="center"/>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指标</w:t>
            </w:r>
            <w:r/>
          </w:p>
        </w:tc>
        <w:tc>
          <w:tcPr>
            <w:shd w:val="clear" w:color="auto" w:fill="d8d8d8"/>
            <w:tcW w:w="1534" w:type="pct"/>
            <w:vAlign w:val="center"/>
            <w:textDirection w:val="lrTb"/>
            <w:noWrap w:val="false"/>
          </w:tcPr>
          <w:p>
            <w:pPr>
              <w:jc w:val="center"/>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限制值</w:t>
            </w:r>
            <w:r/>
          </w:p>
        </w:tc>
      </w:tr>
      <w:tr>
        <w:trPr>
          <w:trHeight w:val="611"/>
        </w:trPr>
        <w:tc>
          <w:tcPr>
            <w:shd w:val="clear" w:color="auto" w:fill="auto"/>
            <w:tcW w:w="378" w:type="pct"/>
            <w:vAlign w:val="center"/>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1</w:t>
            </w:r>
            <w:r/>
          </w:p>
        </w:tc>
        <w:tc>
          <w:tcPr>
            <w:gridSpan w:val="3"/>
            <w:shd w:val="clear" w:color="auto" w:fill="auto"/>
            <w:tcW w:w="3087" w:type="pct"/>
            <w:vAlign w:val="center"/>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产品可再生利用率</w:t>
            </w:r>
            <w:r/>
          </w:p>
        </w:tc>
        <w:tc>
          <w:tcPr>
            <w:shd w:val="clear" w:color="auto" w:fill="auto"/>
            <w:tcW w:w="1534" w:type="pct"/>
            <w:vAlign w:val="center"/>
            <w:textDirection w:val="lrTb"/>
            <w:noWrap w:val="false"/>
          </w:tcPr>
          <w:p>
            <w:pPr>
              <w:jc w:val="center"/>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≥80%</w:t>
            </w:r>
            <w:r/>
          </w:p>
        </w:tc>
      </w:tr>
      <w:tr>
        <w:trPr>
          <w:trHeight w:val="85"/>
        </w:trPr>
        <w:tc>
          <w:tcPr>
            <w:shd w:val="clear" w:color="auto" w:fill="auto"/>
            <w:tcW w:w="378" w:type="pct"/>
            <w:vAlign w:val="center"/>
            <w:vMerge w:val="restart"/>
            <w:textDirection w:val="lrTb"/>
            <w:noWrap w:val="false"/>
          </w:tcPr>
          <w:p>
            <w:pPr>
              <w:jc w:val="left"/>
              <w:spacing w:after="200" w:line="276" w:lineRule="auto"/>
              <w:widowControl/>
              <w:rPr>
                <w:rFonts w:hint="eastAsia" w:ascii="宋体" w:hAnsi="宋体" w:eastAsia="宋体" w:cs="宋体"/>
                <w:color w:val="0000ff"/>
                <w:sz w:val="22"/>
                <w:szCs w:val="21"/>
                <w:lang w:val="en-US" w:eastAsia="zh-CN" w:bidi="ar-SA"/>
              </w:rPr>
            </w:pPr>
            <w:r>
              <w:rPr>
                <w:rFonts w:hint="eastAsia" w:ascii="宋体" w:hAnsi="宋体" w:eastAsia="宋体" w:cs="宋体"/>
                <w:color w:val="0000ff"/>
                <w:sz w:val="22"/>
                <w:szCs w:val="21"/>
                <w:lang w:val="en-US" w:eastAsia="zh-CN" w:bidi="ar-SA"/>
              </w:rPr>
              <w:t xml:space="preserve">2</w:t>
            </w:r>
            <w:r/>
          </w:p>
        </w:tc>
        <w:tc>
          <w:tcPr>
            <w:shd w:val="clear" w:color="auto" w:fill="auto"/>
            <w:tcW w:w="396" w:type="pct"/>
            <w:vAlign w:val="center"/>
            <w:vMerge w:val="restart"/>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供电模块效率</w:t>
            </w:r>
            <w:r/>
          </w:p>
        </w:tc>
        <w:tc>
          <w:tcPr>
            <w:shd w:val="clear" w:color="auto" w:fill="auto"/>
            <w:tcW w:w="1536" w:type="pct"/>
            <w:vAlign w:val="center"/>
            <w:vMerge w:val="restart"/>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20%负载率</w:t>
            </w:r>
            <w:r/>
          </w:p>
        </w:tc>
        <w:tc>
          <w:tcPr>
            <w:shd w:val="clear" w:color="auto" w:fill="auto"/>
            <w:tcW w:w="1154" w:type="pct"/>
            <w:vAlign w:val="center"/>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电源效率</w:t>
            </w:r>
            <w:r/>
          </w:p>
        </w:tc>
        <w:tc>
          <w:tcPr>
            <w:shd w:val="clear" w:color="auto" w:fill="auto"/>
            <w:tcW w:w="1534" w:type="pct"/>
            <w:vAlign w:val="center"/>
            <w:textDirection w:val="lrTb"/>
            <w:noWrap w:val="false"/>
          </w:tcPr>
          <w:p>
            <w:pPr>
              <w:jc w:val="center"/>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≥90%</w:t>
            </w:r>
            <w:r/>
          </w:p>
        </w:tc>
      </w:tr>
      <w:tr>
        <w:trPr>
          <w:trHeight w:val="85"/>
        </w:trPr>
        <w:tc>
          <w:tcPr>
            <w:shd w:val="clear" w:color="auto" w:fill="auto"/>
            <w:tcW w:w="378"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zh-CN" w:bidi="ar-SA"/>
              </w:rPr>
            </w:pPr>
            <w:r>
              <w:rPr>
                <w:rFonts w:hint="eastAsia" w:ascii="宋体" w:hAnsi="宋体" w:eastAsia="宋体" w:cs="宋体"/>
                <w:color w:val="0000ff"/>
                <w:sz w:val="22"/>
                <w:szCs w:val="21"/>
                <w:lang w:val="en-US" w:eastAsia="zh-CN" w:bidi="ar-SA"/>
              </w:rPr>
            </w:r>
            <w:r/>
          </w:p>
        </w:tc>
        <w:tc>
          <w:tcPr>
            <w:shd w:val="clear" w:color="auto" w:fill="auto"/>
            <w:tcW w:w="396"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zh-CN" w:bidi="ar-SA"/>
              </w:rPr>
            </w:pPr>
            <w:r>
              <w:rPr>
                <w:rFonts w:hint="eastAsia" w:ascii="宋体" w:hAnsi="宋体" w:eastAsia="宋体" w:cs="宋体"/>
                <w:color w:val="0000ff"/>
                <w:sz w:val="22"/>
                <w:szCs w:val="21"/>
                <w:lang w:val="en-US" w:eastAsia="zh-CN" w:bidi="ar-SA"/>
              </w:rPr>
            </w:r>
            <w:r/>
          </w:p>
        </w:tc>
        <w:tc>
          <w:tcPr>
            <w:shd w:val="clear" w:color="auto" w:fill="auto"/>
            <w:tcW w:w="1536"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zh-CN" w:bidi="ar-SA"/>
              </w:rPr>
            </w:pPr>
            <w:r>
              <w:rPr>
                <w:rFonts w:hint="eastAsia" w:ascii="宋体" w:hAnsi="宋体" w:eastAsia="宋体" w:cs="宋体"/>
                <w:color w:val="0000ff"/>
                <w:sz w:val="22"/>
                <w:szCs w:val="21"/>
                <w:lang w:val="en-US" w:eastAsia="zh-CN" w:bidi="ar-SA"/>
              </w:rPr>
            </w:r>
            <w:r/>
          </w:p>
        </w:tc>
        <w:tc>
          <w:tcPr>
            <w:shd w:val="clear" w:color="auto" w:fill="auto"/>
            <w:tcW w:w="1154" w:type="pct"/>
            <w:vAlign w:val="center"/>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功率因数（PF）</w:t>
            </w:r>
            <w:r/>
          </w:p>
        </w:tc>
        <w:tc>
          <w:tcPr>
            <w:shd w:val="clear" w:color="auto" w:fill="auto"/>
            <w:tcW w:w="1534" w:type="pct"/>
            <w:vAlign w:val="center"/>
            <w:textDirection w:val="lrTb"/>
            <w:noWrap w:val="false"/>
          </w:tcPr>
          <w:p>
            <w:pPr>
              <w:jc w:val="center"/>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≥0.95</w:t>
            </w:r>
            <w:r/>
          </w:p>
        </w:tc>
      </w:tr>
      <w:tr>
        <w:trPr>
          <w:trHeight w:val="85"/>
        </w:trPr>
        <w:tc>
          <w:tcPr>
            <w:shd w:val="clear" w:color="auto" w:fill="auto"/>
            <w:tcW w:w="378"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396"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1536" w:type="pct"/>
            <w:vAlign w:val="center"/>
            <w:vMerge w:val="restart"/>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50%负载率</w:t>
            </w:r>
            <w:r/>
          </w:p>
        </w:tc>
        <w:tc>
          <w:tcPr>
            <w:shd w:val="clear" w:color="auto" w:fill="auto"/>
            <w:tcW w:w="1154" w:type="pct"/>
            <w:vAlign w:val="center"/>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电源效率</w:t>
            </w:r>
            <w:r/>
          </w:p>
        </w:tc>
        <w:tc>
          <w:tcPr>
            <w:shd w:val="clear" w:color="auto" w:fill="auto"/>
            <w:tcW w:w="1534" w:type="pct"/>
            <w:vAlign w:val="center"/>
            <w:textDirection w:val="lrTb"/>
            <w:noWrap w:val="false"/>
          </w:tcPr>
          <w:p>
            <w:pPr>
              <w:jc w:val="center"/>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≥94%</w:t>
            </w:r>
            <w:r/>
          </w:p>
        </w:tc>
      </w:tr>
      <w:tr>
        <w:trPr>
          <w:trHeight w:val="85"/>
        </w:trPr>
        <w:tc>
          <w:tcPr>
            <w:shd w:val="clear" w:color="auto" w:fill="auto"/>
            <w:tcW w:w="378"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396"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1536"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1154" w:type="pct"/>
            <w:vAlign w:val="center"/>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功率因数（PF）</w:t>
            </w:r>
            <w:r/>
          </w:p>
        </w:tc>
        <w:tc>
          <w:tcPr>
            <w:shd w:val="clear" w:color="auto" w:fill="auto"/>
            <w:tcW w:w="1534" w:type="pct"/>
            <w:vAlign w:val="center"/>
            <w:textDirection w:val="lrTb"/>
            <w:noWrap w:val="false"/>
          </w:tcPr>
          <w:p>
            <w:pPr>
              <w:jc w:val="center"/>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≥0.95</w:t>
            </w:r>
            <w:r/>
          </w:p>
        </w:tc>
      </w:tr>
      <w:tr>
        <w:trPr>
          <w:trHeight w:val="85"/>
        </w:trPr>
        <w:tc>
          <w:tcPr>
            <w:shd w:val="clear" w:color="auto" w:fill="auto"/>
            <w:tcW w:w="378"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396"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1536" w:type="pct"/>
            <w:vAlign w:val="center"/>
            <w:vMerge w:val="restart"/>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100%负载率</w:t>
            </w:r>
            <w:r/>
          </w:p>
        </w:tc>
        <w:tc>
          <w:tcPr>
            <w:shd w:val="clear" w:color="auto" w:fill="auto"/>
            <w:tcW w:w="1154" w:type="pct"/>
            <w:vAlign w:val="center"/>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电源效率</w:t>
            </w:r>
            <w:r/>
          </w:p>
        </w:tc>
        <w:tc>
          <w:tcPr>
            <w:shd w:val="clear" w:color="auto" w:fill="auto"/>
            <w:tcW w:w="1534" w:type="pct"/>
            <w:vAlign w:val="center"/>
            <w:textDirection w:val="lrTb"/>
            <w:noWrap w:val="false"/>
          </w:tcPr>
          <w:p>
            <w:pPr>
              <w:jc w:val="center"/>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≥91%</w:t>
            </w:r>
            <w:r/>
          </w:p>
        </w:tc>
      </w:tr>
      <w:tr>
        <w:trPr>
          <w:trHeight w:val="85"/>
        </w:trPr>
        <w:tc>
          <w:tcPr>
            <w:shd w:val="clear" w:color="auto" w:fill="auto"/>
            <w:tcW w:w="378"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396"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1536" w:type="pct"/>
            <w:vAlign w:val="center"/>
            <w:vMerge w:val="continue"/>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r>
            <w:r/>
          </w:p>
        </w:tc>
        <w:tc>
          <w:tcPr>
            <w:shd w:val="clear" w:color="auto" w:fill="auto"/>
            <w:tcW w:w="1154" w:type="pct"/>
            <w:vAlign w:val="center"/>
            <w:textDirection w:val="lrTb"/>
            <w:noWrap w:val="false"/>
          </w:tcPr>
          <w:p>
            <w:pPr>
              <w:jc w:val="left"/>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功率因数（PF）</w:t>
            </w:r>
            <w:r/>
          </w:p>
        </w:tc>
        <w:tc>
          <w:tcPr>
            <w:shd w:val="clear" w:color="auto" w:fill="auto"/>
            <w:tcW w:w="1534" w:type="pct"/>
            <w:vAlign w:val="center"/>
            <w:textDirection w:val="lrTb"/>
            <w:noWrap w:val="false"/>
          </w:tcPr>
          <w:p>
            <w:pPr>
              <w:jc w:val="center"/>
              <w:spacing w:after="200" w:line="276" w:lineRule="auto"/>
              <w:widowControl/>
              <w:rPr>
                <w:rFonts w:hint="eastAsia" w:ascii="宋体" w:hAnsi="宋体" w:eastAsia="宋体" w:cs="宋体"/>
                <w:color w:val="0000ff"/>
                <w:sz w:val="22"/>
                <w:szCs w:val="21"/>
                <w:lang w:val="en-US" w:eastAsia="en-US" w:bidi="ar-SA"/>
              </w:rPr>
            </w:pPr>
            <w:r>
              <w:rPr>
                <w:rFonts w:hint="eastAsia" w:ascii="宋体" w:hAnsi="宋体" w:eastAsia="宋体" w:cs="宋体"/>
                <w:color w:val="0000ff"/>
                <w:sz w:val="22"/>
                <w:szCs w:val="21"/>
                <w:lang w:val="en-US" w:eastAsia="en-US" w:bidi="ar-SA"/>
              </w:rPr>
              <w:t xml:space="preserve">≥0.95</w:t>
            </w:r>
            <w:r/>
          </w:p>
        </w:tc>
      </w:tr>
    </w:tbl>
    <w:p>
      <w:pPr>
        <w:ind w:firstLine="420"/>
        <w:spacing w:line="360" w:lineRule="auto"/>
        <w:rPr>
          <w:rFonts w:hint="eastAsia" w:ascii="宋体" w:hAnsi="宋体" w:eastAsia="宋体" w:cs="宋体"/>
          <w:b w:val="0"/>
          <w:bCs w:val="0"/>
          <w:i w:val="0"/>
          <w:iCs w:val="0"/>
          <w:color w:val="0000ff"/>
          <w:sz w:val="21"/>
          <w:szCs w:val="21"/>
          <w:u w:val="none"/>
          <w:lang w:val="en-US" w:eastAsia="zh-CN" w:bidi="ar-SA"/>
        </w:rPr>
        <w:outlineLvl w:val="2"/>
      </w:pPr>
      <w:r>
        <w:rPr>
          <w:rFonts w:hint="eastAsia" w:ascii="宋体" w:hAnsi="宋体" w:eastAsia="宋体" w:cs="宋体"/>
          <w:b w:val="0"/>
          <w:bCs w:val="0"/>
          <w:i w:val="0"/>
          <w:iCs w:val="0"/>
          <w:color w:val="0000ff"/>
          <w:sz w:val="21"/>
          <w:szCs w:val="21"/>
          <w:u w:val="none"/>
          <w:lang w:val="en-US" w:eastAsia="zh-CN" w:bidi="ar-SA"/>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2"/>
        <w:rPr>
          <w:rFonts w:hint="eastAsia"/>
          <w:i/>
          <w:iCs/>
          <w:color w:val="0000ff"/>
          <w:u w:val="single"/>
          <w:lang w:val="en-US" w:eastAsia="zh-CN"/>
        </w:rPr>
      </w:pPr>
      <w:r>
        <w:rPr>
          <w:rFonts w:hint="eastAsia"/>
          <w:i/>
          <w:iCs/>
          <w:color w:val="0000ff"/>
          <w:u w:val="single"/>
          <w:lang w:val="en-US" w:eastAsia="zh-CN"/>
        </w:rPr>
        <w:t xml:space="preserve">通用服务器应符合《通用服务器政府采购需求标准（2023年版）》（财库〔2023〕33号）：1、采购文件中列明应用服务器、GPU服务器的技术参数以采购文件为准；2、其他未列明参数必须承诺满足【财库〔2023〕33号】要求（提供承诺函）。</w:t>
      </w:r>
      <w:r/>
    </w:p>
    <w:p>
      <w:pPr>
        <w:numPr>
          <w:ilvl w:val="0"/>
          <w:numId w:val="0"/>
        </w:numPr>
        <w:ind w:left="420" w:hanging="420"/>
        <w:jc w:val="left"/>
        <w:spacing w:line="360" w:lineRule="auto"/>
        <w:widowControl w:val="off"/>
        <w:rPr>
          <w:rFonts w:hint="eastAsia" w:ascii="宋体" w:hAnsi="宋体" w:eastAsia="宋体" w:cs="宋体"/>
          <w:b/>
          <w:bCs/>
          <w:i w:val="0"/>
          <w:iCs w:val="0"/>
          <w:sz w:val="21"/>
          <w:szCs w:val="21"/>
          <w:u w:val="none"/>
          <w:lang w:val="en-US" w:eastAsia="zh-CN" w:bidi="ar-SA"/>
        </w:rPr>
        <w:outlineLvl w:val="3"/>
      </w:pPr>
      <w:r/>
      <w:bookmarkStart w:id="161" w:name="_Toc8044"/>
      <w:r/>
      <w:bookmarkStart w:id="162" w:name="_Toc24162"/>
      <w:r/>
      <w:bookmarkStart w:id="163" w:name="_Toc3354"/>
      <w:r>
        <w:rPr>
          <w:rFonts w:hint="eastAsia" w:ascii="宋体" w:hAnsi="宋体" w:eastAsia="宋体" w:cs="宋体"/>
          <w:b/>
          <w:bCs/>
          <w:i w:val="0"/>
          <w:iCs w:val="0"/>
          <w:sz w:val="21"/>
          <w:szCs w:val="21"/>
          <w:lang w:val="en-US" w:eastAsia="zh-CN" w:bidi="ar-SA"/>
        </w:rPr>
        <w:t xml:space="preserve">(1)</w:t>
      </w:r>
      <w:r>
        <w:rPr>
          <w:rFonts w:hint="eastAsia" w:ascii="宋体" w:hAnsi="宋体" w:eastAsia="宋体" w:cs="宋体"/>
          <w:b/>
          <w:bCs/>
          <w:i w:val="0"/>
          <w:iCs w:val="0"/>
          <w:sz w:val="21"/>
          <w:szCs w:val="21"/>
          <w:u w:val="none"/>
          <w:lang w:val="en-US" w:eastAsia="zh-CN" w:bidi="ar-SA"/>
        </w:rPr>
        <w:t xml:space="preserve">应用服务器</w:t>
      </w:r>
      <w:bookmarkEnd w:id="161"/>
      <w:r/>
      <w:bookmarkEnd w:id="162"/>
      <w:r/>
      <w:bookmarkEnd w:id="16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1.CPU：高性能符合国家安全可靠测评的核心处理器*2；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2.内存：DDR4</w:t>
      </w:r>
      <w:r>
        <w:rPr>
          <w:rFonts w:hint="eastAsia" w:ascii="宋体" w:hAnsi="宋体" w:cs="宋体"/>
          <w:i/>
          <w:iCs/>
          <w:color w:val="0000ff"/>
          <w:sz w:val="21"/>
          <w:szCs w:val="21"/>
          <w:u w:val="single"/>
          <w:lang w:val="en-US" w:eastAsia="zh-CN" w:bidi="ar"/>
        </w:rPr>
        <w:t xml:space="preserve">内存</w:t>
      </w:r>
      <w:r>
        <w:rPr>
          <w:rFonts w:hint="eastAsia" w:ascii="宋体" w:hAnsi="宋体" w:eastAsia="宋体" w:cs="宋体"/>
          <w:i/>
          <w:iCs/>
          <w:color w:val="0000ff"/>
          <w:sz w:val="21"/>
          <w:szCs w:val="21"/>
          <w:u w:val="single"/>
          <w:lang w:val="en-US" w:eastAsia="zh-CN" w:bidi="ar"/>
        </w:rPr>
        <w:t xml:space="preserve"> 3200 32G*8；</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3.硬盘：1.8TB 2.5吋10K 12Gb SAS硬盘*6 ，480G 2.5 SATA 6Gb R SSD</w:t>
      </w:r>
      <w:r>
        <w:rPr>
          <w:rFonts w:hint="eastAsia" w:ascii="宋体" w:hAnsi="宋体" w:cs="宋体"/>
          <w:i/>
          <w:iCs/>
          <w:color w:val="0000ff"/>
          <w:sz w:val="21"/>
          <w:szCs w:val="21"/>
          <w:u w:val="single"/>
          <w:lang w:val="en-US" w:eastAsia="zh-CN" w:bidi="ar"/>
        </w:rPr>
        <w:t xml:space="preserve">硬盘</w:t>
      </w:r>
      <w:r>
        <w:rPr>
          <w:rFonts w:hint="eastAsia" w:ascii="宋体" w:hAnsi="宋体" w:eastAsia="宋体" w:cs="宋体"/>
          <w:i/>
          <w:iCs/>
          <w:color w:val="0000ff"/>
          <w:sz w:val="21"/>
          <w:szCs w:val="21"/>
          <w:u w:val="single"/>
          <w:lang w:val="en-US" w:eastAsia="zh-CN" w:bidi="ar"/>
        </w:rPr>
        <w:t xml:space="preserve">*2；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4.阵列卡：4G缓存RAID卡；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5.网卡：双口万兆网卡（含模块）；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6.电源：800W电源模块*2；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7.标配滑轨，150cm 国标电源线*2；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8.三年原厂质保。</w:t>
      </w:r>
      <w:r/>
    </w:p>
    <w:p>
      <w:pPr>
        <w:numPr>
          <w:ilvl w:val="0"/>
          <w:numId w:val="0"/>
        </w:numPr>
        <w:ind w:left="420" w:hanging="420"/>
        <w:jc w:val="left"/>
        <w:spacing w:line="360" w:lineRule="auto"/>
        <w:widowControl w:val="off"/>
        <w:rPr>
          <w:rFonts w:hint="eastAsia" w:ascii="宋体" w:hAnsi="宋体" w:eastAsia="宋体" w:cs="宋体"/>
          <w:b/>
          <w:bCs/>
          <w:sz w:val="21"/>
          <w:szCs w:val="21"/>
          <w:lang w:val="en-US" w:eastAsia="zh-CN" w:bidi="ar-SA"/>
        </w:rPr>
        <w:outlineLvl w:val="3"/>
      </w:pPr>
      <w:r/>
      <w:bookmarkStart w:id="164" w:name="_Toc12280"/>
      <w:r>
        <w:rPr>
          <w:rFonts w:hint="eastAsia" w:ascii="宋体" w:hAnsi="宋体" w:eastAsia="宋体" w:cs="宋体"/>
          <w:b/>
          <w:bCs/>
          <w:sz w:val="21"/>
          <w:szCs w:val="21"/>
          <w:lang w:val="en-US" w:eastAsia="zh-CN" w:bidi="ar-SA"/>
        </w:rPr>
        <w:t xml:space="preserve">(2)符合国家安全可靠测评的集中式存储</w:t>
      </w:r>
      <w:bookmarkEnd w:id="16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1.控制器：配置≥2个控制器，控制器采用 Active-Active 架构，存储设备的控制器可以同时访问一个LUN，并且流量均衡。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存储处理器：要求采用国产C86架构存储处理器，单颗处理器核数≥16核，频率≥2.5GHz；或ARM架构存储处理器，单颗处理器核数≥48核，频率≥2.5GHz。（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3.盘控架构：采用盘控一体架构，存储主机高度≥4U；</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4.主机接口：提供万兆光接口≥8个（含多模光模块），16Gbps FC光接口≥8个（含多模光模块）； 支持16/32 Gbps FC，1/10/25 GbE接口等，最大支持≥26个主机端口；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5.后端接口：提供不少于8个48 Gbps SAS3.0磁盘接口，磁盘通道速率≥384Gb；</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6.高速缓存：提供高速缓存≥128GB（缓存不包含SSD磁盘、PCI-E SSD、闪存、压缩或重删缓存和NAS控制器缓存）；</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7.磁盘配置：≥2块1.92TB SSD</w:t>
      </w:r>
      <w:r>
        <w:rPr>
          <w:rFonts w:hint="eastAsia" w:ascii="宋体" w:hAnsi="宋体" w:cs="宋体"/>
          <w:sz w:val="21"/>
          <w:szCs w:val="21"/>
          <w:lang w:val="en-US" w:eastAsia="zh-CN" w:bidi="ar"/>
        </w:rPr>
        <w:t xml:space="preserve">硬盘</w:t>
      </w:r>
      <w:r>
        <w:rPr>
          <w:rFonts w:hint="eastAsia" w:ascii="宋体" w:hAnsi="宋体" w:eastAsia="宋体" w:cs="宋体"/>
          <w:sz w:val="21"/>
          <w:szCs w:val="21"/>
          <w:lang w:val="en-US" w:eastAsia="zh-CN" w:bidi="ar"/>
        </w:rPr>
        <w:t xml:space="preserve">，≥12块8T SAS HDD</w:t>
      </w:r>
      <w:r>
        <w:rPr>
          <w:rFonts w:hint="eastAsia" w:ascii="宋体" w:hAnsi="宋体" w:cs="宋体"/>
          <w:sz w:val="21"/>
          <w:szCs w:val="21"/>
          <w:lang w:val="en-US" w:eastAsia="zh-CN" w:bidi="ar"/>
        </w:rPr>
        <w:t xml:space="preserve">硬盘</w:t>
      </w:r>
      <w:r>
        <w:rPr>
          <w:rFonts w:hint="eastAsia" w:ascii="宋体" w:hAnsi="宋体" w:eastAsia="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▲8.三盘故障容忍：支持RAID-TP(三盘校验），同一RAID组三块数据盘同时故障，数据不丢失。</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▲9.支持复制功能，可同时实现复制加密和复制压缩，且不需要引入存储之外的任何软件或硬件。</w:t>
      </w:r>
      <w:r>
        <w:rPr>
          <w:rFonts w:hint="eastAsia" w:ascii="宋体" w:hAnsi="宋体" w:eastAsia="宋体" w:cs="宋体"/>
          <w:color w:val="0000ff"/>
          <w:sz w:val="21"/>
          <w:szCs w:val="21"/>
          <w:lang w:val="en-US" w:eastAsia="zh-CN" w:bidi="ar"/>
        </w:rPr>
        <w:t xml:space="preserve">（提供存储GUI管理界面截图）</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10.存储提供双控LUN数量≥65536。</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11.配置全容量许可精简功能，实现存储空间超分配，后续扩容无需额外购买许可；精简颗粒度4K、8K、16K、32K、64K、128K、256K、512K、1M可调节。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12.提供全容量许可快照功能，有效预防各种软故障的发生，后续扩容无需额外购买许可，可同时部署ROW和COW两种快照策略。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13.支持无中断数据迁移功能，可通过设定策略按计划进行业务无中断的LUN数据迁移。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14.提供三年7x24原厂质保服务（含硬盘不返还服务），原厂上门安装服务的承诺书。</w:t>
      </w:r>
      <w:r/>
    </w:p>
    <w:p>
      <w:pPr>
        <w:numPr>
          <w:ilvl w:val="0"/>
          <w:numId w:val="0"/>
        </w:numPr>
        <w:ind w:left="420" w:hanging="420"/>
        <w:jc w:val="left"/>
        <w:spacing w:line="360" w:lineRule="auto"/>
        <w:widowControl w:val="off"/>
        <w:rPr>
          <w:rFonts w:hint="eastAsia" w:ascii="宋体" w:hAnsi="宋体" w:eastAsia="宋体" w:cs="宋体"/>
          <w:b/>
          <w:bCs/>
          <w:sz w:val="21"/>
          <w:szCs w:val="21"/>
          <w:lang w:val="en-US" w:eastAsia="zh-CN" w:bidi="ar-SA"/>
        </w:rPr>
        <w:outlineLvl w:val="3"/>
      </w:pPr>
      <w:r/>
      <w:bookmarkStart w:id="165" w:name="_Toc16473"/>
      <w:r>
        <w:rPr>
          <w:rFonts w:hint="eastAsia" w:ascii="宋体" w:hAnsi="宋体" w:eastAsia="宋体" w:cs="宋体"/>
          <w:b/>
          <w:bCs/>
          <w:sz w:val="21"/>
          <w:szCs w:val="21"/>
          <w:lang w:val="en-US" w:eastAsia="zh-CN" w:bidi="ar-SA"/>
        </w:rPr>
        <w:t xml:space="preserve">(3)视频网分布式存储</w:t>
      </w:r>
      <w:bookmarkEnd w:id="165"/>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1.采用机架式服务器，设备规格≥2U，本次提供3节点，单节点内存≥4*32GB DDR4 3200，系统盘≥2*240GB SATA SSD，缓存盘≥2*1.6T nvme SSD，数据盘≥8*8T，冗余电源，接口≥4千兆电口+4万兆光口，满配万兆多模光模块。</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2.同一系统中同时提供文件、块、对象三种存储服务，统一管理，资源灵活分配。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▲3.文件存储应提供数据缩减的能力，支持无损压缩，支持对文件目录为单位配置数据压缩策略，可选择节省容量优先和性能优先两种策略，并支持查看压缩的数据量与压缩率。</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▲4.应支持在本地部署专有加速客户端，提供数据本地化读写加速能力，缩短数据IO路径，提高业务应用性能体验。</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5.提供快照链状结构展示页面，方便用户管理快照数据和进行快照恢复。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▲6.支持以文件目录为单位对存储性能进行监控，对共享目录的带宽、时延、OPS、元数据OPS、元数据时延等指标进行可视化操作与趋势跟踪，能有效支持对业务问题的溯源排查。</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7.支持查看文件系统客户端（CIFS/NFS/FTP）的连接个数，以及每个连接的具体信息（客户端地址、对应的存储节点地址、带宽、OPS、时延、元数据OPS、元数据时延），便于管理员查看客户端的接入情况，识别访问热点及快速定位业务访问故障。</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8.提供快照链状结构展示页面，方便用户管理快照数据和进行快照恢复</w:t>
      </w:r>
      <w:r/>
    </w:p>
    <w:p>
      <w:pPr>
        <w:numPr>
          <w:ilvl w:val="0"/>
          <w:numId w:val="0"/>
        </w:numPr>
        <w:ind w:left="420" w:firstLine="0"/>
        <w:jc w:val="left"/>
        <w:spacing w:line="360" w:lineRule="auto"/>
        <w:widowControl w:val="off"/>
        <w:rPr>
          <w:rFonts w:hint="eastAsia" w:ascii="宋体" w:hAnsi="宋体" w:eastAsia="宋体" w:cs="宋体"/>
          <w:b/>
          <w:bCs/>
          <w:sz w:val="21"/>
          <w:szCs w:val="21"/>
          <w:lang w:val="en-US" w:eastAsia="zh-CN" w:bidi="ar-SA"/>
        </w:rPr>
        <w:outlineLvl w:val="3"/>
      </w:pPr>
      <w:r/>
      <w:bookmarkStart w:id="166" w:name="_Toc29240"/>
      <w:r>
        <w:rPr>
          <w:rFonts w:hint="eastAsia" w:ascii="宋体" w:hAnsi="宋体" w:eastAsia="宋体" w:cs="宋体"/>
          <w:b/>
          <w:bCs/>
          <w:sz w:val="21"/>
          <w:szCs w:val="21"/>
          <w:lang w:val="en-US" w:eastAsia="zh-CN" w:bidi="ar-SA"/>
        </w:rPr>
        <w:t xml:space="preserve">(4)视频网关</w:t>
      </w:r>
      <w:bookmarkEnd w:id="16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系统联网要求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1、支持GB/T 28181-2022标准，兼容GB/T 28181-2016标准和GB/T 28181-2011的视频接入、联网和转发，支持行业内所有监控厂商视频平台国标接入；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2、支持符合GB/T28181协议标准的视频共享联网平台直接级联接入；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▲3、支持开放接口支持SDK、OCX、JSX多种模式视频播放控制服务，支持RTSP、RTMP、RTP/RTCP等格式。</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4、支持H.264、H.265、SVAC编码协议的视频解码播放；</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5、码流转发量：256路@4Mbps；</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6、监控联网平台：支持同时接入20个；</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7、设备量：最大支持管理150000个；</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系统功能要求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1、可以提供接入设备状态检测，设备基本信息查询，支持设备实时视频浏览、录像查询可以支持接入设备按平台编号、设备编号、设备名称、设备IP、通道号、设备状态和接入方式等条件查询；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2、可以支持浏览器无插件实时视频的浏览，包括多画面浏览实现选择1,4,9,16多种画面分割模式以及全屏显示，同时能提供多种分辨率的选择；</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3、支持多通道接入配置类型，提供跨边界和无边界接入方式以及稽查布控上传协议方式，具备集群负载均衡，能实现多台堆叠扩容，提供UDP、TCP、KCP等多种级联协议模式，支持公安网和专网级联配置；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4、可以支持多级平台级联管理，实现新增下级网关管理，提供UDP、TCP、KCP等多种级联协议模式，支持公安网和专网级联配置，可以查看下级平台推送设备目录，并支持推送设备查询及目录检索；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5、可以界面化动态配置网关接入及分发，对网关服务接口状态可视化展示。分布式子系统微服务运行状态可视化展示；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6、对前端云台镜头的全功能远程控制。云台控制支持客户端在图像分屏和全屏显示状态下都可进行;云台控制具有上下左右转动、巡逻功能。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▲7、应支持国标增强协议，提供视频通信QoS服务；支持视频防抖动、视频画面恢复稳定视频通信、视频风暴抑制等，保障视频在边界网络通信中的稳定性；</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8、支持CBR/VBR两种码率控制方式，并支持高并发的视频访问能力，并且根据客户端的不同处理能力，自动探测网络状况和动态调整编码策略的机制和功能，瞬时动态调整视频的分辨率，满足用户需求的同时降低网络带宽的消耗；</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支持系统基本信息配置和服务配置，基于“双网双平台”架构，支持单网架构或双网架构模式，包括支持视频专网、公安网独立部署和同时部署，以适配不同网络架构下的应用场景。支持时间同步及系统服务授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10、运行环境：应支持在国产化的CPU、操作系统和浏览器环境中实现资源管理及多路视频播放，建立安全可控的实时视频联网服务；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配置要求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基于“双网双平台”架构，应支持公安网和专网双节点同时部署，单个节点配置要求：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1.高度：2U机架式；双节点部署；</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2.处理器：不低于2颗国产处理器,单颗核数不低于24核，主频不低于2.6GHz/单节点；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3.内存：不低于64GB/单节点；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4.硬盘：不低于960GB/SSD/单节点；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5.网络：不低于1*万兆光口+2*千兆电口；</w:t>
      </w:r>
      <w:r/>
    </w:p>
    <w:p>
      <w:pPr>
        <w:numPr>
          <w:ilvl w:val="0"/>
          <w:numId w:val="0"/>
        </w:numPr>
        <w:ind w:left="420" w:hanging="420"/>
        <w:jc w:val="left"/>
        <w:spacing w:line="360" w:lineRule="auto"/>
        <w:widowControl w:val="off"/>
        <w:rPr>
          <w:rFonts w:hint="eastAsia" w:ascii="宋体" w:hAnsi="宋体" w:eastAsia="宋体" w:cs="宋体"/>
          <w:b w:val="0"/>
          <w:bCs w:val="0"/>
          <w:i w:val="0"/>
          <w:iCs w:val="0"/>
          <w:sz w:val="21"/>
          <w:szCs w:val="21"/>
          <w:u w:val="none"/>
          <w:lang w:val="en-US" w:eastAsia="zh-CN" w:bidi="ar-SA"/>
        </w:rPr>
        <w:outlineLvl w:val="3"/>
      </w:pPr>
      <w:r/>
      <w:bookmarkStart w:id="167" w:name="_Toc2507"/>
      <w:r>
        <w:rPr>
          <w:rFonts w:hint="eastAsia" w:ascii="宋体" w:hAnsi="宋体" w:eastAsia="宋体" w:cs="宋体"/>
          <w:b w:val="0"/>
          <w:bCs w:val="0"/>
          <w:i w:val="0"/>
          <w:iCs w:val="0"/>
          <w:sz w:val="21"/>
          <w:szCs w:val="21"/>
          <w:lang w:val="en-US" w:eastAsia="zh-CN" w:bidi="ar-SA"/>
        </w:rPr>
        <w:t xml:space="preserve">(5)</w:t>
      </w:r>
      <w:r>
        <w:rPr>
          <w:rFonts w:hint="eastAsia" w:ascii="宋体" w:hAnsi="宋体" w:eastAsia="宋体" w:cs="宋体"/>
          <w:b w:val="0"/>
          <w:bCs w:val="0"/>
          <w:i w:val="0"/>
          <w:iCs w:val="0"/>
          <w:sz w:val="21"/>
          <w:szCs w:val="21"/>
          <w:u w:val="none"/>
          <w:lang w:val="en-US" w:eastAsia="zh-CN" w:bidi="ar-SA"/>
        </w:rPr>
        <w:t xml:space="preserve">GPU服务器</w:t>
      </w:r>
      <w:bookmarkEnd w:id="167"/>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1.CPU：高性能符合国家安全可靠测评的核心处理器*2；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2.内存：64G</w:t>
      </w:r>
      <w:r>
        <w:rPr>
          <w:rFonts w:hint="eastAsia" w:ascii="宋体" w:hAnsi="宋体" w:cs="宋体"/>
          <w:i/>
          <w:iCs/>
          <w:sz w:val="21"/>
          <w:szCs w:val="21"/>
          <w:u w:val="single"/>
          <w:lang w:val="en-US" w:eastAsia="zh-CN" w:bidi="ar"/>
        </w:rPr>
        <w:t xml:space="preserve">内存</w:t>
      </w:r>
      <w:r>
        <w:rPr>
          <w:rFonts w:hint="eastAsia" w:ascii="宋体" w:hAnsi="宋体" w:eastAsia="宋体" w:cs="宋体"/>
          <w:i/>
          <w:iCs/>
          <w:sz w:val="21"/>
          <w:szCs w:val="21"/>
          <w:u w:val="single"/>
          <w:lang w:val="en-US" w:eastAsia="zh-CN" w:bidi="ar"/>
        </w:rPr>
        <w:t xml:space="preserve">_DDR4*8；</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3.硬盘：SSD</w:t>
      </w:r>
      <w:r>
        <w:rPr>
          <w:rFonts w:hint="eastAsia" w:ascii="宋体" w:hAnsi="宋体" w:cs="宋体"/>
          <w:i/>
          <w:iCs/>
          <w:color w:val="0000ff"/>
          <w:sz w:val="21"/>
          <w:szCs w:val="21"/>
          <w:u w:val="single"/>
          <w:lang w:val="en-US" w:eastAsia="zh-CN" w:bidi="ar"/>
        </w:rPr>
        <w:t xml:space="preserve">硬盘</w:t>
      </w:r>
      <w:r>
        <w:rPr>
          <w:rFonts w:hint="eastAsia" w:ascii="宋体" w:hAnsi="宋体" w:eastAsia="宋体" w:cs="宋体"/>
          <w:i/>
          <w:iCs/>
          <w:color w:val="0000ff"/>
          <w:sz w:val="21"/>
          <w:szCs w:val="21"/>
          <w:u w:val="single"/>
          <w:lang w:val="en-US" w:eastAsia="zh-CN" w:bidi="ar"/>
        </w:rPr>
        <w:t xml:space="preserve">_240G_SATA_*2，SSD</w:t>
      </w:r>
      <w:r>
        <w:rPr>
          <w:rFonts w:hint="eastAsia" w:ascii="宋体" w:hAnsi="宋体" w:cs="宋体"/>
          <w:i/>
          <w:iCs/>
          <w:color w:val="0000ff"/>
          <w:sz w:val="21"/>
          <w:szCs w:val="21"/>
          <w:u w:val="single"/>
          <w:lang w:val="en-US" w:eastAsia="zh-CN" w:bidi="ar"/>
        </w:rPr>
        <w:t xml:space="preserve">硬盘</w:t>
      </w:r>
      <w:r>
        <w:rPr>
          <w:rFonts w:hint="eastAsia" w:ascii="宋体" w:hAnsi="宋体" w:eastAsia="宋体" w:cs="宋体"/>
          <w:i/>
          <w:iCs/>
          <w:color w:val="0000ff"/>
          <w:sz w:val="21"/>
          <w:szCs w:val="21"/>
          <w:u w:val="single"/>
          <w:lang w:val="en-US" w:eastAsia="zh-CN" w:bidi="ar"/>
        </w:rPr>
        <w:t xml:space="preserve">_1.92T_SATA*6；</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4.阵列卡：2G缓存RAID卡；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5.网卡：双口万兆网卡（含模块）；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6.电源：1600W电源模块*2；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7.GPU卡：4块高性能GPU卡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8.标配滑轨，150cm 国标电源线*2；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9.三年原厂质保。</w:t>
      </w:r>
      <w:r/>
    </w:p>
    <w:p>
      <w:pPr>
        <w:ind w:left="210"/>
        <w:spacing w:line="360" w:lineRule="auto"/>
        <w:rPr>
          <w:rFonts w:hint="eastAsia" w:ascii="宋体" w:hAnsi="宋体" w:eastAsia="宋体" w:cs="宋体"/>
          <w:b/>
          <w:bCs/>
          <w:sz w:val="21"/>
          <w:szCs w:val="21"/>
          <w:lang w:val="en-US" w:eastAsia="zh-CN" w:bidi="ar-SA"/>
        </w:rPr>
        <w:outlineLvl w:val="2"/>
      </w:pPr>
      <w:r/>
      <w:bookmarkStart w:id="168" w:name="_Toc30959"/>
      <w:r>
        <w:rPr>
          <w:rFonts w:hint="eastAsia" w:ascii="宋体" w:hAnsi="宋体" w:eastAsia="宋体" w:cs="宋体"/>
          <w:b/>
          <w:bCs/>
          <w:sz w:val="21"/>
          <w:szCs w:val="21"/>
          <w:lang w:val="en-US" w:eastAsia="zh-CN" w:bidi="ar-SA"/>
        </w:rPr>
        <w:t xml:space="preserve">2.公安交通集成指挥模块软件功能要求</w:t>
      </w:r>
      <w:bookmarkEnd w:id="168"/>
      <w:r/>
      <w:r/>
    </w:p>
    <w:p>
      <w:pPr>
        <w:ind w:firstLine="420"/>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功能要求：</w:t>
      </w:r>
      <w:r/>
    </w:p>
    <w:p>
      <w:pPr>
        <w:numPr>
          <w:ilvl w:val="0"/>
          <w:numId w:val="0"/>
        </w:numPr>
        <w:ind w:left="420" w:hanging="420"/>
        <w:jc w:val="left"/>
        <w:spacing w:line="360" w:lineRule="auto"/>
        <w:widowControl w:val="off"/>
        <w:rPr>
          <w:rFonts w:hint="eastAsia" w:ascii="宋体" w:hAnsi="宋体" w:eastAsia="宋体" w:cs="宋体"/>
          <w:b/>
          <w:bCs/>
          <w:sz w:val="21"/>
          <w:szCs w:val="21"/>
          <w:lang w:val="en-US" w:eastAsia="zh-CN" w:bidi="ar-SA"/>
        </w:rPr>
        <w:outlineLvl w:val="3"/>
      </w:pPr>
      <w:r/>
      <w:bookmarkStart w:id="169" w:name="_Toc4506"/>
      <w:r>
        <w:rPr>
          <w:rFonts w:hint="eastAsia" w:ascii="宋体" w:hAnsi="宋体" w:eastAsia="宋体" w:cs="宋体"/>
          <w:b/>
          <w:bCs/>
          <w:sz w:val="21"/>
          <w:szCs w:val="21"/>
          <w:lang w:val="en-US" w:eastAsia="zh-CN" w:bidi="ar-SA"/>
        </w:rPr>
        <w:t xml:space="preserve">(1)车辆特征智能识别与图片检索比对软件</w:t>
      </w:r>
      <w:bookmarkEnd w:id="16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该软件功能具备拍摄位置识别、车辆号牌识别、车辆品牌识别、车辆类型识别、车身颜色识别、遮阳板识别、驾驶人未系安全带识别、驾驶人使用手机识别、嫌疑车辆相似度分析、自定义以图搜车等功能。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1.拍摄位置识别：应能自动识别图片为机动车前部特征图片还是尾部特征图片,识别准确率不小于98%。</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2.车辆号牌识别：应具备车辆号牌识别功能，号牌号码、号牌种类识别准确率不小于95%;号牌识别 时，应能同时给出号牌中各字 符的识别结果可信度值。</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3.车辆品牌识别： 支持至少180种品牌识别,识别准确率不小于90%支持至少2500种车辆品牌型号识别。</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▲4.车辆类型识别：应具备汽车、挂车、摩托车等车辆类型的识别功能;对于车辆类型为汽车的车辆,应能识别轿车、客车、面包车、中型货车、轻微型货车等车辆子类型。车型识别准确率不小于90%。（</w:t>
      </w:r>
      <w:r>
        <w:rPr>
          <w:rFonts w:hint="eastAsia" w:ascii="宋体" w:hAnsi="宋体" w:eastAsia="宋体" w:cs="宋体"/>
          <w:i w:val="0"/>
          <w:iCs w:val="0"/>
          <w:color w:val="0000ff"/>
          <w:sz w:val="21"/>
          <w:szCs w:val="21"/>
          <w:u w:val="none"/>
          <w:lang w:val="en-US" w:eastAsia="zh-CN" w:bidi="ar"/>
        </w:rPr>
        <w:t xml:space="preserve">提供由公安部交通安全产品质量监督检测中心检测报告原件扫描上传</w:t>
      </w:r>
      <w:r>
        <w:rPr>
          <w:rFonts w:hint="eastAsia" w:ascii="宋体" w:hAnsi="宋体" w:eastAsia="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5.车身颜色识别：系统可识别10种常见车身颜色。10种常见车身颜色包括：黑、白、灰、红、绿、蓝、黄、粉、紫、棕。车身颜色识别准确率应不小于80%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6.遮阳板识别：支持主副驾驶位遮阳板识别,识别准确率不小于80%。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▲7.驾驶人未系安全带识别：支持驾驶人未系安全带识别，识别正确率不小于70%。（</w:t>
      </w:r>
      <w:r>
        <w:rPr>
          <w:rFonts w:hint="eastAsia" w:ascii="宋体" w:hAnsi="宋体" w:eastAsia="宋体" w:cs="宋体"/>
          <w:i w:val="0"/>
          <w:iCs w:val="0"/>
          <w:color w:val="0000ff"/>
          <w:sz w:val="21"/>
          <w:szCs w:val="21"/>
          <w:u w:val="none"/>
          <w:lang w:val="en-US" w:eastAsia="zh-CN" w:bidi="ar"/>
        </w:rPr>
        <w:t xml:space="preserve">提供由公安部交通安全产品质量监督检测中心检测报告原件扫描上传</w:t>
      </w:r>
      <w:r>
        <w:rPr>
          <w:rFonts w:hint="eastAsia" w:ascii="宋体" w:hAnsi="宋体" w:eastAsia="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▲8.驾驶人使用手机识别：支持驾驶人使用手机识 别，识别正确率不小于70%。（</w:t>
      </w:r>
      <w:r>
        <w:rPr>
          <w:rFonts w:hint="eastAsia" w:ascii="宋体" w:hAnsi="宋体" w:eastAsia="宋体" w:cs="宋体"/>
          <w:i w:val="0"/>
          <w:iCs w:val="0"/>
          <w:color w:val="0000ff"/>
          <w:sz w:val="21"/>
          <w:szCs w:val="21"/>
          <w:u w:val="none"/>
          <w:lang w:val="en-US" w:eastAsia="zh-CN" w:bidi="ar"/>
        </w:rPr>
        <w:t xml:space="preserve">提供由公安部交通安全产品质量监督检测中心检测报告原件扫描上传</w:t>
      </w:r>
      <w:r>
        <w:rPr>
          <w:rFonts w:hint="eastAsia" w:ascii="宋体" w:hAnsi="宋体" w:eastAsia="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▲9.嫌疑车辆相似度分析：支持基于以图搜索技术 的嫌疑车辆相似度分析，车辆 分析结果准确率不小于30%。（</w:t>
      </w:r>
      <w:r>
        <w:rPr>
          <w:rFonts w:hint="eastAsia" w:ascii="宋体" w:hAnsi="宋体" w:eastAsia="宋体" w:cs="宋体"/>
          <w:i w:val="0"/>
          <w:iCs w:val="0"/>
          <w:color w:val="0000ff"/>
          <w:sz w:val="21"/>
          <w:szCs w:val="21"/>
          <w:u w:val="none"/>
          <w:lang w:val="en-US" w:eastAsia="zh-CN" w:bidi="ar"/>
        </w:rPr>
        <w:t xml:space="preserve">提供由公安部交通安全产品质量监督检测中心检测报告原件扫描上传</w:t>
      </w:r>
      <w:r>
        <w:rPr>
          <w:rFonts w:hint="eastAsia" w:ascii="宋体" w:hAnsi="宋体" w:eastAsia="宋体" w:cs="宋体"/>
          <w:sz w:val="21"/>
          <w:szCs w:val="21"/>
          <w:lang w:val="en-US" w:eastAsia="zh-CN" w:bidi="ar"/>
        </w:rPr>
        <w:t xml:space="preserve">）</w:t>
      </w:r>
      <w:r/>
    </w:p>
    <w:p>
      <w:pPr>
        <w:numPr>
          <w:ilvl w:val="0"/>
          <w:numId w:val="7"/>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自定义以图搜车：支持人工设定搜索车辆的品牌,在10万级数据集中对设定品牌的车辆进行以图搜车,搜索出相似车辆所需的间应不大于3 min。</w:t>
      </w:r>
      <w:r/>
    </w:p>
    <w:p>
      <w:pPr>
        <w:numPr>
          <w:ilvl w:val="0"/>
          <w:numId w:val="0"/>
        </w:numPr>
        <w:ind w:left="420" w:hanging="420"/>
        <w:jc w:val="left"/>
        <w:spacing w:line="360" w:lineRule="auto"/>
        <w:widowControl w:val="off"/>
        <w:rPr>
          <w:rFonts w:hint="eastAsia" w:ascii="宋体" w:hAnsi="宋体" w:eastAsia="宋体" w:cs="宋体"/>
          <w:b/>
          <w:bCs/>
          <w:sz w:val="21"/>
          <w:szCs w:val="21"/>
          <w:lang w:val="en-US" w:eastAsia="zh-CN" w:bidi="ar-SA"/>
        </w:rPr>
        <w:outlineLvl w:val="3"/>
      </w:pPr>
      <w:r/>
      <w:bookmarkStart w:id="170" w:name="_Toc15942"/>
      <w:r>
        <w:rPr>
          <w:rFonts w:hint="eastAsia" w:ascii="宋体" w:hAnsi="宋体" w:eastAsia="宋体" w:cs="宋体"/>
          <w:b/>
          <w:bCs/>
          <w:sz w:val="21"/>
          <w:szCs w:val="21"/>
          <w:lang w:val="en-US" w:eastAsia="zh-CN" w:bidi="ar-SA"/>
        </w:rPr>
        <w:t xml:space="preserve">(2)卡口图片人脸智能识别比对软件</w:t>
      </w:r>
      <w:bookmarkEnd w:id="17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1、支持接入人脸抓拍机进行图片流人脸解析；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2、在同一画面中，可检测的人脸数量不少于250张；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3、支持比对识别两眼瞳间距不小于15个像素点的人脸图片；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4、人脸可检测抓拍角度：水平转动角范围：-75°~+75°，俯仰角范围：-45°~+45°；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5、人脸性别（男性）检出率≥99.5%；人脸性别（男性）识别准确率≥99.5%；人脸性别（女性）检出率≥99.5%；人脸性别（女性）识别准确率≥99.5%；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6、人脸年龄段（老年人、成年人、小孩）识别准确率≥95%；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7、人脸戴墨镜检出率≥90%，准确率≥99%；</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8、人脸戴口罩检出率≥90%，准确率≥99%。</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对接要求</w:t>
      </w:r>
      <w:r/>
    </w:p>
    <w:p>
      <w:pPr>
        <w:ind w:left="0" w:right="0" w:firstLine="420"/>
        <w:jc w:val="left"/>
        <w:keepLines w:val="0"/>
        <w:keepNext w:val="0"/>
        <w:spacing w:before="0" w:beforeAutospacing="0" w:after="0" w:afterAutospacing="0" w:line="360" w:lineRule="auto"/>
        <w:widowControl w:val="off"/>
        <w:rPr>
          <w:rFonts w:hint="eastAsia" w:ascii="宋体" w:hAnsi="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产品必须通过公安部交通管理科学研究所检测认证</w:t>
      </w:r>
      <w:r>
        <w:rPr>
          <w:rFonts w:hint="eastAsia" w:ascii="宋体" w:hAnsi="宋体" w:cs="宋体"/>
          <w:i/>
          <w:iCs/>
          <w:sz w:val="21"/>
          <w:szCs w:val="21"/>
          <w:u w:val="single"/>
          <w:lang w:val="en-US" w:eastAsia="zh-CN" w:bidi="ar"/>
        </w:rPr>
        <w:t xml:space="preserve">。（原件扫描上传）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cs="宋体"/>
          <w:i/>
          <w:iCs/>
          <w:sz w:val="21"/>
          <w:szCs w:val="21"/>
          <w:u w:val="single"/>
          <w:lang w:val="en-US" w:eastAsia="zh-CN" w:bidi="ar"/>
        </w:rPr>
        <w:t xml:space="preserve">投标人须承诺所投产品</w:t>
      </w:r>
      <w:r>
        <w:rPr>
          <w:rFonts w:hint="eastAsia" w:ascii="宋体" w:hAnsi="宋体" w:eastAsia="宋体" w:cs="宋体"/>
          <w:i/>
          <w:iCs/>
          <w:sz w:val="21"/>
          <w:szCs w:val="21"/>
          <w:u w:val="single"/>
          <w:lang w:val="en-US" w:eastAsia="zh-CN" w:bidi="ar"/>
        </w:rPr>
        <w:t xml:space="preserve">支持与交警集成指挥平台的无缝对接，与公安交通集成指挥平台共用应用服务器、数据库服务器、网络环境，共用过车数据、图片数据。</w:t>
      </w:r>
      <w:r>
        <w:rPr>
          <w:rFonts w:hint="eastAsia" w:ascii="宋体" w:hAnsi="宋体" w:eastAsia="宋体" w:cs="宋体"/>
          <w:i/>
          <w:iCs/>
          <w:color w:val="0000ff"/>
          <w:sz w:val="21"/>
          <w:szCs w:val="21"/>
          <w:u w:val="single"/>
          <w:lang w:val="en-US" w:eastAsia="zh-CN" w:bidi="ar"/>
        </w:rPr>
        <w:t xml:space="preserve">（承诺书格式自拟，扫描上传）</w:t>
      </w:r>
      <w:r/>
    </w:p>
    <w:p>
      <w:pPr>
        <w:ind w:left="210"/>
        <w:spacing w:line="360" w:lineRule="auto"/>
        <w:rPr>
          <w:rFonts w:hint="eastAsia" w:ascii="宋体" w:hAnsi="宋体" w:eastAsia="宋体" w:cs="宋体"/>
          <w:b/>
          <w:bCs/>
          <w:sz w:val="21"/>
          <w:szCs w:val="21"/>
          <w:lang w:val="en-US" w:eastAsia="zh-CN" w:bidi="ar-SA"/>
        </w:rPr>
        <w:outlineLvl w:val="2"/>
      </w:pPr>
      <w:r/>
      <w:bookmarkStart w:id="171" w:name="_Toc6500"/>
      <w:r>
        <w:rPr>
          <w:rFonts w:hint="eastAsia" w:ascii="宋体" w:hAnsi="宋体" w:eastAsia="宋体" w:cs="宋体"/>
          <w:b/>
          <w:bCs/>
          <w:sz w:val="21"/>
          <w:szCs w:val="21"/>
          <w:lang w:val="en-US" w:eastAsia="zh-CN" w:bidi="ar-SA"/>
        </w:rPr>
        <w:t xml:space="preserve">3.移动执法警务模块软件功能要求</w:t>
      </w:r>
      <w:bookmarkEnd w:id="17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cs="宋体"/>
          <w:i/>
          <w:iCs/>
          <w:sz w:val="21"/>
          <w:szCs w:val="21"/>
          <w:u w:val="single"/>
          <w:lang w:val="en-US" w:eastAsia="zh-CN" w:bidi="ar"/>
        </w:rPr>
        <w:t xml:space="preserve">投标人</w:t>
      </w:r>
      <w:r>
        <w:rPr>
          <w:rFonts w:hint="eastAsia" w:ascii="宋体" w:hAnsi="宋体" w:eastAsia="宋体" w:cs="宋体"/>
          <w:i/>
          <w:iCs/>
          <w:sz w:val="21"/>
          <w:szCs w:val="21"/>
          <w:u w:val="single"/>
          <w:lang w:val="en-US" w:eastAsia="zh-CN" w:bidi="ar"/>
        </w:rPr>
        <w:t xml:space="preserve">须承诺</w:t>
      </w:r>
      <w:r>
        <w:rPr>
          <w:rFonts w:hint="eastAsia" w:ascii="宋体" w:hAnsi="宋体" w:cs="宋体"/>
          <w:i/>
          <w:iCs/>
          <w:sz w:val="21"/>
          <w:szCs w:val="21"/>
          <w:u w:val="single"/>
          <w:lang w:val="en-US" w:eastAsia="zh-CN" w:bidi="ar"/>
        </w:rPr>
        <w:t xml:space="preserve">涉及</w:t>
      </w:r>
      <w:r>
        <w:rPr>
          <w:rFonts w:hint="eastAsia" w:ascii="宋体" w:hAnsi="宋体" w:eastAsia="宋体" w:cs="宋体"/>
          <w:i/>
          <w:iCs/>
          <w:sz w:val="21"/>
          <w:szCs w:val="21"/>
          <w:u w:val="single"/>
          <w:lang w:val="en-US" w:eastAsia="zh-CN" w:bidi="ar"/>
        </w:rPr>
        <w:t xml:space="preserve">远程执法系统、掌上速裁、涉案车辆登记管理、专用警务通终端升级</w:t>
      </w:r>
      <w:r>
        <w:rPr>
          <w:rFonts w:hint="eastAsia" w:ascii="宋体" w:hAnsi="宋体" w:cs="宋体"/>
          <w:i/>
          <w:iCs/>
          <w:sz w:val="21"/>
          <w:szCs w:val="21"/>
          <w:u w:val="single"/>
          <w:lang w:val="en-US" w:eastAsia="zh-CN" w:bidi="ar"/>
        </w:rPr>
        <w:t xml:space="preserve">的</w:t>
      </w:r>
      <w:r>
        <w:rPr>
          <w:rFonts w:hint="eastAsia" w:ascii="宋体" w:hAnsi="宋体" w:eastAsia="宋体" w:cs="宋体"/>
          <w:i/>
          <w:iCs/>
          <w:sz w:val="21"/>
          <w:szCs w:val="21"/>
          <w:u w:val="single"/>
          <w:lang w:val="en-US" w:eastAsia="zh-CN" w:bidi="ar"/>
        </w:rPr>
        <w:t xml:space="preserve">移动警务系统的升级改造能够对接原有移动警务系统。（承诺书格式自拟，扫描上传）</w:t>
      </w:r>
      <w:r/>
    </w:p>
    <w:p>
      <w:pPr>
        <w:numPr>
          <w:ilvl w:val="0"/>
          <w:numId w:val="0"/>
        </w:num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172" w:name="_Toc21782"/>
      <w:r>
        <w:rPr>
          <w:rFonts w:hint="eastAsia" w:ascii="宋体" w:hAnsi="宋体" w:cs="宋体"/>
          <w:b/>
          <w:bCs/>
          <w:sz w:val="21"/>
          <w:szCs w:val="21"/>
          <w:lang w:val="en-US" w:eastAsia="zh-CN" w:bidi="ar-SA"/>
        </w:rPr>
        <w:t xml:space="preserve">九、</w:t>
      </w:r>
      <w:r>
        <w:rPr>
          <w:rFonts w:hint="eastAsia" w:ascii="宋体" w:hAnsi="宋体" w:eastAsia="宋体" w:cs="宋体"/>
          <w:b/>
          <w:bCs/>
          <w:sz w:val="21"/>
          <w:szCs w:val="21"/>
          <w:lang w:val="en-US" w:eastAsia="zh-CN" w:bidi="ar-SA"/>
        </w:rPr>
        <w:t xml:space="preserve">软件测评</w:t>
      </w:r>
      <w:bookmarkEnd w:id="17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在项目验收前，进行第三方软件测试，测试费用包含在项目投标报价中。测试分为初步测试和复测，测试中出现的问题需整改完善到位。提交的最终测试报告为带CMA标识的第三方软件测试报告。</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173" w:name="_Toc10637"/>
      <w:r>
        <w:rPr>
          <w:rFonts w:hint="eastAsia" w:ascii="宋体" w:hAnsi="宋体" w:cs="宋体"/>
          <w:b/>
          <w:bCs/>
          <w:sz w:val="21"/>
          <w:szCs w:val="21"/>
          <w:lang w:val="en-US" w:eastAsia="zh-CN" w:bidi="ar-SA"/>
        </w:rPr>
        <w:t xml:space="preserve">十、</w:t>
      </w:r>
      <w:r>
        <w:rPr>
          <w:rFonts w:hint="eastAsia" w:ascii="宋体" w:hAnsi="宋体" w:eastAsia="宋体" w:cs="宋体"/>
          <w:b/>
          <w:bCs/>
          <w:sz w:val="21"/>
          <w:szCs w:val="21"/>
          <w:lang w:val="en-US" w:eastAsia="zh-CN" w:bidi="ar-SA"/>
        </w:rPr>
        <w:t xml:space="preserve">等保测评</w:t>
      </w:r>
      <w:bookmarkEnd w:id="17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网络安全等级保护和风险评估</w:t>
      </w:r>
      <w:r>
        <w:rPr>
          <w:rFonts w:hint="eastAsia" w:ascii="宋体" w:hAnsi="宋体" w:cs="宋体"/>
          <w:sz w:val="21"/>
          <w:szCs w:val="21"/>
          <w:lang w:val="en-US" w:eastAsia="zh-CN" w:bidi="ar"/>
        </w:rPr>
        <w:t xml:space="preserve">，评估</w:t>
      </w:r>
      <w:r>
        <w:rPr>
          <w:rFonts w:hint="eastAsia" w:ascii="宋体" w:hAnsi="宋体" w:eastAsia="宋体" w:cs="宋体"/>
          <w:sz w:val="21"/>
          <w:szCs w:val="21"/>
          <w:lang w:val="en-US" w:eastAsia="zh-CN" w:bidi="ar"/>
        </w:rPr>
        <w:t xml:space="preserve">费用包含在项目投标报价中。</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针对设计上，从安全风险分析与等保定级开始，均应根据各方案设计的实际需要，详细展开。项目所建信息系统应按照《网络安全等级保护条例》相关要求设计定级、备案、测评、整改以及风险评估工作，包括：</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1）应根据《信息安全技术网络安全等级保护定级指南（GB/T 22240-2020）》（以最新版为准）有关要求，从系统服务连续性和数据重要性在遭受破坏后，造成的影响进行自主定级，到所在地地市级以上公安机关办理备案手续。</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2）信息系统应选择具有资质的测评公司开展技术测评，安全状况未达到安全保护等级要求的，</w:t>
      </w:r>
      <w:r>
        <w:rPr>
          <w:rFonts w:hint="eastAsia" w:ascii="宋体" w:hAnsi="宋体" w:cs="宋体"/>
          <w:sz w:val="21"/>
          <w:szCs w:val="21"/>
          <w:lang w:val="en-US" w:eastAsia="zh-CN" w:bidi="ar"/>
        </w:rPr>
        <w:t xml:space="preserve">中标人</w:t>
      </w:r>
      <w:r>
        <w:rPr>
          <w:rFonts w:hint="eastAsia" w:ascii="宋体" w:hAnsi="宋体" w:eastAsia="宋体" w:cs="宋体"/>
          <w:sz w:val="21"/>
          <w:szCs w:val="21"/>
          <w:lang w:val="en-US" w:eastAsia="zh-CN" w:bidi="ar"/>
        </w:rPr>
        <w:t xml:space="preserve">应制定方案进行整改，直至满足国家、省、市关于网络安全的相关法律法规及《数字政府项目验收指南（DB 3210/T 1151—2023）》相关要求。</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174" w:name="_Toc2418"/>
      <w:r>
        <w:rPr>
          <w:rFonts w:hint="eastAsia" w:ascii="宋体" w:hAnsi="宋体" w:cs="宋体"/>
          <w:b/>
          <w:bCs/>
          <w:sz w:val="21"/>
          <w:szCs w:val="21"/>
          <w:lang w:val="en-US" w:eastAsia="zh-CN" w:bidi="ar-SA"/>
        </w:rPr>
        <w:t xml:space="preserve">十一、</w:t>
      </w:r>
      <w:r>
        <w:rPr>
          <w:rFonts w:hint="eastAsia" w:ascii="宋体" w:hAnsi="宋体" w:eastAsia="宋体" w:cs="宋体"/>
          <w:b/>
          <w:bCs/>
          <w:sz w:val="21"/>
          <w:szCs w:val="21"/>
          <w:lang w:val="en-US" w:eastAsia="zh-CN" w:bidi="ar-SA"/>
        </w:rPr>
        <w:t xml:space="preserve">售后服务要求</w:t>
      </w:r>
      <w:bookmarkEnd w:id="174"/>
      <w:r/>
      <w:r/>
    </w:p>
    <w:p>
      <w:pPr>
        <w:ind w:firstLine="420"/>
        <w:spacing w:line="360" w:lineRule="auto"/>
        <w:rPr>
          <w:rFonts w:hint="default" w:ascii="宋体" w:hAnsi="宋体" w:eastAsia="宋体" w:cs="宋体"/>
          <w:color w:val="auto"/>
          <w:szCs w:val="24"/>
          <w:lang w:val="en-US" w:eastAsia="zh-CN" w:bidi="ar"/>
        </w:rPr>
      </w:pPr>
      <w:r>
        <w:rPr>
          <w:rFonts w:hint="eastAsia" w:ascii="宋体" w:hAnsi="宋体" w:cs="宋体"/>
          <w:color w:val="auto"/>
          <w:szCs w:val="24"/>
          <w:lang w:val="en-US" w:eastAsia="zh-CN" w:bidi="ar"/>
        </w:rPr>
        <w:t xml:space="preserve">中标人负责本项目中所有设备及系统的安装调试、系统对接等工作，确保实现采购文件技术要求。中标人应针对本项目配备专业实施团队，实施团队至少包含项目负责人（项目经理）1人、技术负责人1人、专业安装调试人员4人以上，人员需具有相关资质（详见评分标准要求）。</w:t>
      </w:r>
      <w:r/>
    </w:p>
    <w:p>
      <w:pPr>
        <w:ind w:firstLine="420"/>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
        </w:rPr>
        <w:t xml:space="preserve">自交货验收合格之日起计，质保期为三年。</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0000ff"/>
          <w:sz w:val="21"/>
          <w:szCs w:val="21"/>
          <w:u w:val="single"/>
          <w:lang w:val="en-US" w:eastAsia="zh-CN" w:bidi="ar"/>
        </w:rPr>
        <w:suppressLineNumbers w:val="0"/>
      </w:pPr>
      <w:r>
        <w:rPr>
          <w:rFonts w:hint="eastAsia" w:ascii="宋体" w:hAnsi="宋体" w:eastAsia="宋体" w:cs="宋体"/>
          <w:i/>
          <w:iCs/>
          <w:color w:val="0000ff"/>
          <w:sz w:val="21"/>
          <w:szCs w:val="21"/>
          <w:u w:val="single"/>
          <w:lang w:val="en-US" w:eastAsia="zh-CN" w:bidi="ar"/>
        </w:rPr>
        <w:t xml:space="preserve">投标人须承诺中标后提供针对P1.25LED室内全彩显示屏、服务器、集中式存储、分布式存储、视频网关等设备三年原厂质保函。（承诺书格式自拟，扫描上传）</w:t>
      </w:r>
      <w:r/>
    </w:p>
    <w:p>
      <w:pPr>
        <w:ind w:firstLine="420"/>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
        </w:rPr>
        <w:t xml:space="preserve">服务承诺应包括：详细说明服务能力、服务时间、人员配备、系统故障响应、诊断、应急处理、维修和相应的设备更换计划等。投标人的技术支持和相应软件的升级承诺，以及质保期后的维护费用等。如货物在质保期内发生故障，中标人应在接到采购人报修电话后1小时内予以响应，2小时内到达现场，无偿承担一般故障维修，6小时内修复较大故障，12小时内不能维修的故障应及时以新货物替换，24小时内必须排除一切故障的义务。否则采购人将自行采取必要的措施，由此产生风险和费用应由中标人承担。</w:t>
      </w:r>
      <w:r/>
    </w:p>
    <w:p>
      <w:pPr>
        <w:ind w:firstLine="420"/>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
        </w:rPr>
        <w:t xml:space="preserve">项目验收后安排驻场服务人员进行后续运维服务，要求具有信息化相关专业中级工程师及以上职称。服从采购人工作安排，对重要设备进行巡检，遇重大活动、重大节假日和其它紧急情况，采购人要求进行巡检的，应安排巡检。存在运行问题的，应立即整改。所有中标人派遣的工作人员应具有良好素养，政治清白，无不良记录及嗜好，爱岗敬业、身体健康（无传染性疾病、无精神类疾病、心脑疾病）、符合岗位体检标准，人员须签署保密协议承诺书。</w:t>
      </w:r>
      <w:r/>
    </w:p>
    <w:p>
      <w:pPr>
        <w:spacing w:line="360" w:lineRule="auto"/>
        <w:rPr>
          <w:rFonts w:hint="eastAsia" w:ascii="等线" w:hAnsi="等线" w:eastAsia="等线"/>
          <w:szCs w:val="24"/>
          <w:lang w:val="en-US" w:eastAsia="zh-CN" w:bidi="ar-SA"/>
        </w:rPr>
      </w:pPr>
      <w:r>
        <w:rPr>
          <w:rFonts w:hint="eastAsia" w:ascii="等线" w:hAnsi="等线" w:eastAsia="等线"/>
          <w:szCs w:val="24"/>
          <w:lang w:val="en-US" w:eastAsia="zh-CN" w:bidi="ar-SA"/>
        </w:rPr>
        <w:br w:type="page" w:clear="all"/>
      </w:r>
      <w:bookmarkEnd w:id="108"/>
      <w:bookmarkEnd w:id="109"/>
      <w:bookmarkEnd w:id="110"/>
      <w:bookmarkEnd w:id="111"/>
      <w:bookmarkEnd w:id="112"/>
      <w:bookmarkEnd w:id="113"/>
      <w:r/>
    </w:p>
    <w:p>
      <w:pPr>
        <w:jc w:val="left"/>
        <w:spacing w:line="360" w:lineRule="auto"/>
        <w:widowControl w:val="off"/>
        <w:rPr>
          <w:rFonts w:hint="eastAsia" w:ascii="宋体" w:hAnsi="宋体" w:eastAsia="宋体" w:cs="宋体"/>
          <w:b w:val="0"/>
          <w:bCs w:val="0"/>
          <w:sz w:val="28"/>
          <w:szCs w:val="28"/>
          <w:lang w:val="en-US" w:eastAsia="zh-CN" w:bidi="ar-SA"/>
        </w:rPr>
        <w:outlineLvl w:val="0"/>
      </w:pPr>
      <w:r/>
      <w:bookmarkStart w:id="175" w:name="_Toc13841"/>
      <w:r/>
      <w:bookmarkStart w:id="176" w:name="_Toc176619223"/>
      <w:r/>
      <w:bookmarkStart w:id="177" w:name="_Toc29009"/>
      <w:r>
        <w:rPr>
          <w:rFonts w:hint="eastAsia" w:ascii="宋体" w:hAnsi="宋体" w:eastAsia="宋体" w:cs="宋体"/>
          <w:b w:val="0"/>
          <w:bCs w:val="0"/>
          <w:sz w:val="28"/>
          <w:szCs w:val="28"/>
          <w:lang w:val="en-US" w:eastAsia="zh-CN" w:bidi="ar-SA"/>
        </w:rPr>
        <w:t xml:space="preserve">包二技术及服务要求</w:t>
      </w:r>
      <w:bookmarkEnd w:id="175"/>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178" w:name="_Toc24251"/>
      <w:r>
        <w:rPr>
          <w:rFonts w:hint="eastAsia" w:ascii="宋体" w:hAnsi="宋体" w:eastAsia="宋体" w:cs="宋体"/>
          <w:b/>
          <w:bCs/>
          <w:sz w:val="21"/>
          <w:szCs w:val="21"/>
          <w:lang w:val="en-US" w:eastAsia="zh-CN" w:bidi="ar-SA"/>
        </w:rPr>
        <w:t xml:space="preserve">一、项目背景</w:t>
      </w:r>
      <w:bookmarkEnd w:id="178"/>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目前，交警支队</w:t>
      </w:r>
      <w:r>
        <w:rPr>
          <w:rFonts w:hint="eastAsia" w:ascii="宋体" w:hAnsi="宋体" w:eastAsia="宋体" w:cs="宋体"/>
          <w:sz w:val="21"/>
          <w:szCs w:val="21"/>
          <w:lang w:val="en-US" w:eastAsia="zh-CN" w:bidi="ar"/>
        </w:rPr>
        <w:t xml:space="preserve">新交通指挥中心和车管所业务技术用房已经建成并装修完毕，拟开展科技信息化建设。近年来，交警科技信息化建设投入不大，软硬件设施相对落后，建设应用水平不高。支队将以新交通指挥中心和车管所业务技术用房的信息化建设为契机，抢抓机遇，乘势而上，全面提升交警的科技信息化建设应用水平。根据《全省公安机关“苏警数智 ”行动工作方案》和 《江苏公安智慧 交通总体规划(2020-2030)》,支队将重点围绕业务服务、道路防控、数据赋能三大主线，进一步提升交管业务管理服务水平持续，完善道路交通安全防控体系，加强数据赋能应用能力，不</w:t>
      </w:r>
      <w:r>
        <w:rPr>
          <w:rFonts w:hint="eastAsia" w:ascii="宋体" w:hAnsi="宋体" w:eastAsia="宋体" w:cs="宋体"/>
          <w:sz w:val="21"/>
          <w:szCs w:val="21"/>
          <w:lang w:val="en-US" w:eastAsia="zh-CN" w:bidi="ar"/>
        </w:rPr>
        <w:t xml:space="preserve">断提升我市交管工作的数字化、智能化、科学化水平，助推我市交管科技信息化高质量发展。以提升道路交通治理体系和治理能力现代化为总体要求，紧密围绕省厅、总队和市局构建的智慧警务新体系核心工作，结合我市公安交通管理实际需求，充分运用大数据、云计算等新技术，加强顶层设计和统筹规划，构建以公安交通管理大数据应用为核心，以“智慧监测、智慧指挥、智慧管控、智慧研判和智慧服务”等为主要业务的边界清晰、流程顺畅、运转高效的科技信息化架构，形成信息平台智能、治理手段创新、网络和信息安全、政务和出行服务渠道畅通的信息化建设新格局。</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对新建成的扬州市公安局交通指挥中心和车管所业务技术用房的信息化模块进行搬迁、建设及扩充，增强指挥调度能力。</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179" w:name="_Toc24285"/>
      <w:r>
        <w:rPr>
          <w:rFonts w:hint="eastAsia" w:ascii="宋体" w:hAnsi="宋体" w:eastAsia="宋体" w:cs="宋体"/>
          <w:b/>
          <w:bCs/>
          <w:sz w:val="21"/>
          <w:szCs w:val="21"/>
          <w:lang w:val="en-US" w:eastAsia="zh-CN" w:bidi="ar-SA"/>
        </w:rPr>
        <w:t xml:space="preserve">二、建设依据</w:t>
      </w:r>
      <w:bookmarkEnd w:id="17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本方案依据国际、国家和本地区的有关标准和规范进行起草，引用参考了如下文件:</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outlineLvl w:val="2"/>
        <w:suppressLineNumbers w:val="0"/>
      </w:pPr>
      <w:r/>
      <w:bookmarkStart w:id="180" w:name="_Toc7946"/>
      <w:r>
        <w:rPr>
          <w:rFonts w:hint="eastAsia" w:ascii="宋体" w:hAnsi="宋体" w:eastAsia="宋体" w:cs="宋体"/>
          <w:sz w:val="21"/>
          <w:szCs w:val="21"/>
          <w:lang w:val="en-US" w:eastAsia="zh-CN" w:bidi="ar"/>
        </w:rPr>
        <w:t xml:space="preserve">（一）政策依据</w:t>
      </w:r>
      <w:bookmarkEnd w:id="18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《公安交通指挥模块设计规范》（GA/T515）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《关于进一步加强全省公安交警部门指挥调度工作的指导意见》（苏公交[2023]54号）》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《江苏省公安交管科技信息化（数智交管）建设指导意见》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《江苏省公安智慧交通总体规划》(2020-2030)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outlineLvl w:val="2"/>
        <w:suppressLineNumbers w:val="0"/>
      </w:pPr>
      <w:r/>
      <w:bookmarkStart w:id="181" w:name="_Toc20474"/>
      <w:r>
        <w:rPr>
          <w:rFonts w:hint="eastAsia" w:ascii="宋体" w:hAnsi="宋体" w:eastAsia="宋体" w:cs="宋体"/>
          <w:sz w:val="21"/>
          <w:szCs w:val="21"/>
          <w:lang w:val="en-US" w:eastAsia="zh-CN" w:bidi="ar"/>
        </w:rPr>
        <w:t xml:space="preserve">（二）技术规范类依据</w:t>
      </w:r>
      <w:bookmarkEnd w:id="18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《智能建筑设计标准》 GB50314-2015；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《民用建筑电气设计标准》 GB51348-2019；</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《公共建筑节能设计标准》 GB50189-2015；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《建筑物防雷设计规范》 GB50057-2010；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《综合布线系统工程设计规范》 GB50311-2016；</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《安全防范工程技术标准》 GB50348-2018；</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《会议电视会场系统工程技术规范》 GB50635-2010；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《数据中心设计规范》 GB50174-2017；</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《建筑节能与可再生能源通用规范》 GB 55015- 2021；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《建筑环境通用规范》 GB 55016-2021；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《建筑电气与智能化通用规范》 GB 55024-2022；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《民用建筑通用规范》 GB 55031-2022；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《安全防范工程通用规范》GB 55029-2022；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《绿色建筑评价标准》 GB/T 50378-2019；</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参考国家标准、行业标准等修订后的最新标准作为依据。除上述规范标准以外，还须遵循国家、行业及地方现行的相关规范和标准要求。</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182" w:name="_Toc3892"/>
      <w:r>
        <w:rPr>
          <w:rFonts w:hint="eastAsia" w:ascii="宋体" w:hAnsi="宋体" w:eastAsia="宋体" w:cs="宋体"/>
          <w:b/>
          <w:bCs/>
          <w:sz w:val="21"/>
          <w:szCs w:val="21"/>
          <w:lang w:val="en-US" w:eastAsia="zh-CN" w:bidi="ar-SA"/>
        </w:rPr>
        <w:t xml:space="preserve">三、建设原则</w:t>
      </w:r>
      <w:bookmarkEnd w:id="18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outlineLvl w:val="2"/>
        <w:suppressLineNumbers w:val="0"/>
      </w:pPr>
      <w:r/>
      <w:bookmarkStart w:id="183" w:name="_Toc10259"/>
      <w:r>
        <w:rPr>
          <w:rFonts w:hint="eastAsia" w:ascii="宋体" w:hAnsi="宋体" w:eastAsia="宋体" w:cs="宋体"/>
          <w:sz w:val="21"/>
          <w:szCs w:val="21"/>
          <w:lang w:val="en-US" w:eastAsia="zh-CN" w:bidi="ar"/>
        </w:rPr>
        <w:t xml:space="preserve">（一）实战导向，强化实效</w:t>
      </w:r>
      <w:bookmarkEnd w:id="18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紧密围绕交管业务转型升级和机制改革发展需求，深入推动信息技术与交通管理和服务的深度融合，将智慧应用和服务实战作为交管信息化建设的核心驱动力和出发点，确保信息化建设与交管业务应用紧密衔接，避免信息化建设与业务应用脱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outlineLvl w:val="2"/>
        <w:suppressLineNumbers w:val="0"/>
      </w:pPr>
      <w:r/>
      <w:bookmarkStart w:id="184" w:name="_Toc13246"/>
      <w:r>
        <w:rPr>
          <w:rFonts w:hint="eastAsia" w:ascii="宋体" w:hAnsi="宋体" w:eastAsia="宋体" w:cs="宋体"/>
          <w:sz w:val="21"/>
          <w:szCs w:val="21"/>
          <w:lang w:val="en-US" w:eastAsia="zh-CN" w:bidi="ar"/>
        </w:rPr>
        <w:t xml:space="preserve">（二）按需建设，差异化应用</w:t>
      </w:r>
      <w:bookmarkEnd w:id="18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根据交警各部门的具体工作职责和任务分工，明确并细化业务需求，在总体框架的指引下，各业务条块分别进行应用建设，实现分布式开发、一体化应用，以满足不同业务场景的需求。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outlineLvl w:val="2"/>
        <w:suppressLineNumbers w:val="0"/>
      </w:pPr>
      <w:r/>
      <w:bookmarkStart w:id="185" w:name="_Toc16407"/>
      <w:r>
        <w:rPr>
          <w:rFonts w:hint="eastAsia" w:ascii="宋体" w:hAnsi="宋体" w:eastAsia="宋体" w:cs="宋体"/>
          <w:sz w:val="21"/>
          <w:szCs w:val="21"/>
          <w:lang w:val="en-US" w:eastAsia="zh-CN" w:bidi="ar"/>
        </w:rPr>
        <w:t xml:space="preserve">（三）统筹兼顾，促进互联互通</w:t>
      </w:r>
      <w:bookmarkEnd w:id="185"/>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加强交警信息化建设的顶层设计，全面整合和利用现有系统、资源、软硬件设施，避免重复建设，降低建设成本。同时，积极推进与部局、其他警种、其他单位之间的信息资源交换与共享，实现交管重要信息系统的互联互通和协同应用，以充分发挥信息化的整体效益。</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186" w:name="_Toc13930"/>
      <w:r>
        <w:rPr>
          <w:rFonts w:hint="eastAsia" w:ascii="宋体" w:hAnsi="宋体" w:eastAsia="宋体" w:cs="宋体"/>
          <w:b/>
          <w:bCs/>
          <w:sz w:val="21"/>
          <w:szCs w:val="21"/>
          <w:lang w:val="en-US" w:eastAsia="zh-CN" w:bidi="ar-SA"/>
        </w:rPr>
        <w:t xml:space="preserve">四、建设目标</w:t>
      </w:r>
      <w:bookmarkEnd w:id="18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以提升道路交通治理体系和治理能力现代化为总体导向，紧密围绕省厅、总队及市局所构建的智慧警务新体系的核心任务，紧密结合我市公安交通管理的实际需求。充分利用大数据、云计算等前沿技术，强化顶层设计与统筹规划，旨在构建一个以公安交通管理大数据应用为基石，涵盖“智慧监测、智慧指挥、智慧管控、智慧研判与智慧服务”等关键业务的科技信息化架构。本项目相关终端和服务器芯片等产品参照财政部最新政府采购需求标准选用相关产品，符合国家安全可靠测评要求。</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187" w:name="_Toc17675"/>
      <w:r>
        <w:rPr>
          <w:rFonts w:hint="eastAsia" w:ascii="宋体" w:hAnsi="宋体" w:eastAsia="宋体" w:cs="宋体"/>
          <w:b/>
          <w:bCs/>
          <w:sz w:val="21"/>
          <w:szCs w:val="21"/>
          <w:lang w:val="en-US" w:eastAsia="zh-CN" w:bidi="ar-SA"/>
        </w:rPr>
        <w:t xml:space="preserve">五、建设方案</w:t>
      </w:r>
      <w:bookmarkEnd w:id="187"/>
      <w:r/>
      <w:r/>
    </w:p>
    <w:p>
      <w:pPr>
        <w:ind w:firstLine="422"/>
        <w:jc w:val="left"/>
        <w:spacing w:line="360" w:lineRule="auto"/>
        <w:widowControl/>
        <w:rPr>
          <w:rFonts w:hint="eastAsia" w:ascii="宋体" w:hAnsi="宋体" w:eastAsia="宋体" w:cs="宋体"/>
          <w:b/>
          <w:bCs/>
          <w:sz w:val="21"/>
          <w:szCs w:val="21"/>
          <w:lang w:val="en-US" w:eastAsia="zh-CN" w:bidi="ar-SA"/>
        </w:rPr>
        <w:outlineLvl w:val="1"/>
      </w:pPr>
      <w:r/>
      <w:bookmarkStart w:id="188" w:name="_Toc14668"/>
      <w:r>
        <w:rPr>
          <w:rFonts w:hint="eastAsia" w:ascii="宋体" w:hAnsi="宋体" w:eastAsia="宋体" w:cs="宋体"/>
          <w:b/>
          <w:bCs/>
          <w:sz w:val="21"/>
          <w:szCs w:val="21"/>
          <w:lang w:val="en-US" w:eastAsia="zh-CN" w:bidi="ar-SA"/>
        </w:rPr>
        <w:t xml:space="preserve">（一）建设内容</w:t>
      </w:r>
      <w:bookmarkEnd w:id="188"/>
      <w:r/>
      <w:r/>
    </w:p>
    <w:p>
      <w:pPr>
        <w:ind w:left="210" w:firstLine="422"/>
        <w:spacing w:line="360" w:lineRule="auto"/>
        <w:rPr>
          <w:rFonts w:hint="eastAsia" w:ascii="宋体" w:hAnsi="宋体" w:eastAsia="宋体" w:cs="宋体"/>
          <w:b/>
          <w:bCs/>
          <w:sz w:val="21"/>
          <w:szCs w:val="21"/>
          <w:lang w:val="en-US" w:eastAsia="zh-CN" w:bidi="ar-SA"/>
        </w:rPr>
        <w:outlineLvl w:val="2"/>
      </w:pPr>
      <w:r/>
      <w:bookmarkStart w:id="189" w:name="_Toc2672"/>
      <w:r/>
      <w:bookmarkStart w:id="190" w:name="_Toc2307"/>
      <w:r/>
      <w:bookmarkStart w:id="191" w:name="_Toc23694"/>
      <w:r/>
      <w:bookmarkStart w:id="192" w:name="_Toc8313"/>
      <w:r/>
      <w:bookmarkStart w:id="193" w:name="_Toc23668"/>
      <w:r/>
      <w:bookmarkStart w:id="194" w:name="_Toc23878"/>
      <w:r/>
      <w:bookmarkStart w:id="195" w:name="_Toc181344221"/>
      <w:r/>
      <w:bookmarkStart w:id="196" w:name="_Toc27940"/>
      <w:r>
        <w:rPr>
          <w:rFonts w:hint="eastAsia" w:ascii="宋体" w:hAnsi="宋体" w:eastAsia="宋体" w:cs="宋体"/>
          <w:b/>
          <w:bCs/>
          <w:sz w:val="21"/>
          <w:szCs w:val="21"/>
          <w:lang w:val="en-US" w:eastAsia="zh-CN" w:bidi="ar-SA"/>
        </w:rPr>
        <w:t xml:space="preserve">1.车管所</w:t>
      </w:r>
      <w:bookmarkEnd w:id="189"/>
      <w:r/>
      <w:bookmarkEnd w:id="190"/>
      <w:r/>
      <w:bookmarkEnd w:id="191"/>
      <w:r/>
      <w:bookmarkEnd w:id="192"/>
      <w:r/>
      <w:bookmarkEnd w:id="193"/>
      <w:r/>
      <w:bookmarkEnd w:id="194"/>
      <w:r/>
      <w:bookmarkEnd w:id="195"/>
      <w:r/>
      <w:bookmarkEnd w:id="196"/>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（1）信息化设备搬迁</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（2）车驾管综合监管音视频接入</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（3）升级大厅综合服务管理平台</w:t>
      </w:r>
      <w:r/>
    </w:p>
    <w:p>
      <w:pPr>
        <w:ind w:left="210" w:firstLine="422"/>
        <w:spacing w:line="360" w:lineRule="auto"/>
        <w:rPr>
          <w:rFonts w:hint="eastAsia" w:ascii="宋体" w:hAnsi="宋体" w:eastAsia="宋体" w:cs="宋体"/>
          <w:b/>
          <w:bCs/>
          <w:sz w:val="21"/>
          <w:szCs w:val="21"/>
          <w:lang w:val="en-US" w:eastAsia="zh-CN" w:bidi="ar-SA"/>
        </w:rPr>
        <w:outlineLvl w:val="2"/>
      </w:pPr>
      <w:r/>
      <w:bookmarkStart w:id="197" w:name="_Toc5792"/>
      <w:r/>
      <w:bookmarkStart w:id="198" w:name="_Toc24359"/>
      <w:r/>
      <w:bookmarkStart w:id="199" w:name="_Toc2964"/>
      <w:r/>
      <w:bookmarkStart w:id="200" w:name="_Toc181344222"/>
      <w:r/>
      <w:bookmarkStart w:id="201" w:name="_Toc20061"/>
      <w:r/>
      <w:bookmarkStart w:id="202" w:name="_Toc21773"/>
      <w:r/>
      <w:bookmarkStart w:id="203" w:name="_Toc2326"/>
      <w:r/>
      <w:bookmarkStart w:id="204" w:name="_Toc21270"/>
      <w:r>
        <w:rPr>
          <w:rFonts w:hint="eastAsia" w:ascii="宋体" w:hAnsi="宋体" w:eastAsia="宋体" w:cs="宋体"/>
          <w:b/>
          <w:bCs/>
          <w:sz w:val="21"/>
          <w:szCs w:val="21"/>
          <w:lang w:val="en-US" w:eastAsia="zh-CN" w:bidi="ar-SA"/>
        </w:rPr>
        <w:t xml:space="preserve">2.基础设施</w:t>
      </w:r>
      <w:bookmarkEnd w:id="197"/>
      <w:r/>
      <w:bookmarkEnd w:id="198"/>
      <w:r/>
      <w:bookmarkEnd w:id="199"/>
      <w:r/>
      <w:bookmarkEnd w:id="200"/>
      <w:r/>
      <w:bookmarkEnd w:id="201"/>
      <w:r/>
      <w:bookmarkEnd w:id="202"/>
      <w:r/>
      <w:bookmarkEnd w:id="203"/>
      <w:r/>
      <w:bookmarkEnd w:id="20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（1）分布式显示控制模块</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（2）升级执勤音视频管理模块</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（3）五个业务中心</w:t>
      </w:r>
      <w:r/>
    </w:p>
    <w:p>
      <w:pPr>
        <w:ind w:left="0" w:right="0" w:firstLine="63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信号优化中心、数据赋能中心、风险管控中心、联动服务中心、视频快处中心；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（4）会议室</w:t>
      </w:r>
      <w:r/>
    </w:p>
    <w:p>
      <w:pPr>
        <w:ind w:left="0" w:right="0" w:firstLine="63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30人中型会议室、90人会议室、报告厅、指挥决策会议室、党委会议室；</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（5）公共信息发布：餐厅、查验窗口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（6）中心机房建设及搬迁；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（7）大楼网络建设</w:t>
      </w:r>
      <w:r/>
    </w:p>
    <w:p>
      <w:pPr>
        <w:ind w:left="210" w:firstLine="422"/>
        <w:spacing w:line="360" w:lineRule="auto"/>
        <w:rPr>
          <w:rFonts w:hint="eastAsia" w:ascii="宋体" w:hAnsi="宋体" w:eastAsia="宋体" w:cs="宋体"/>
          <w:b/>
          <w:bCs/>
          <w:sz w:val="21"/>
          <w:szCs w:val="21"/>
          <w:lang w:val="en-US" w:eastAsia="zh-CN" w:bidi="ar-SA"/>
        </w:rPr>
        <w:outlineLvl w:val="2"/>
      </w:pPr>
      <w:r/>
      <w:bookmarkStart w:id="205" w:name="_Toc7337"/>
      <w:r>
        <w:rPr>
          <w:rFonts w:hint="eastAsia" w:ascii="宋体" w:hAnsi="宋体" w:eastAsia="宋体" w:cs="宋体"/>
          <w:b/>
          <w:bCs/>
          <w:sz w:val="21"/>
          <w:szCs w:val="21"/>
          <w:lang w:val="en-US" w:eastAsia="zh-CN" w:bidi="ar-SA"/>
        </w:rPr>
        <w:t xml:space="preserve">3.其它费用</w:t>
      </w:r>
      <w:bookmarkEnd w:id="205"/>
      <w:r/>
      <w:r/>
    </w:p>
    <w:p>
      <w:pPr>
        <w:ind w:left="0" w:right="0" w:firstLine="638"/>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（1）密评费用</w:t>
      </w:r>
      <w:r/>
    </w:p>
    <w:p>
      <w:pPr>
        <w:ind w:left="0" w:right="0" w:firstLine="638"/>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 密码应用</w:t>
      </w:r>
      <w:r/>
    </w:p>
    <w:p>
      <w:pPr>
        <w:ind w:firstLine="482"/>
        <w:jc w:val="left"/>
        <w:spacing w:line="360" w:lineRule="auto"/>
        <w:widowControl/>
        <w:rPr>
          <w:rFonts w:hint="eastAsia" w:ascii="宋体" w:hAnsi="宋体" w:eastAsia="宋体" w:cs="宋体"/>
          <w:b/>
          <w:bCs/>
          <w:sz w:val="24"/>
          <w:szCs w:val="24"/>
          <w:lang w:val="en-US" w:eastAsia="zh-CN" w:bidi="ar-SA"/>
        </w:rPr>
        <w:outlineLvl w:val="1"/>
      </w:pPr>
      <w:r/>
      <w:bookmarkStart w:id="206" w:name="_Toc5469"/>
      <w:r>
        <w:rPr>
          <w:rFonts w:hint="eastAsia" w:ascii="宋体" w:hAnsi="宋体" w:eastAsia="宋体" w:cs="宋体"/>
          <w:b/>
          <w:bCs/>
          <w:sz w:val="24"/>
          <w:szCs w:val="24"/>
          <w:lang w:val="en-US" w:eastAsia="zh-CN" w:bidi="ar-SA"/>
        </w:rPr>
        <w:t xml:space="preserve">（二）工期要求</w:t>
      </w:r>
      <w:bookmarkEnd w:id="20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自合同签订之日起，</w:t>
      </w:r>
      <w:r>
        <w:rPr>
          <w:rFonts w:hint="eastAsia" w:ascii="宋体" w:hAnsi="宋体" w:cs="宋体"/>
          <w:color w:val="auto"/>
          <w:sz w:val="21"/>
          <w:szCs w:val="21"/>
          <w:lang w:val="en-US" w:eastAsia="zh-CN" w:bidi="ar"/>
        </w:rPr>
        <w:t xml:space="preserve">30</w:t>
      </w:r>
      <w:r>
        <w:rPr>
          <w:rFonts w:hint="eastAsia" w:ascii="宋体" w:hAnsi="宋体" w:eastAsia="宋体" w:cs="宋体"/>
          <w:color w:val="auto"/>
          <w:sz w:val="21"/>
          <w:szCs w:val="21"/>
          <w:lang w:val="en-US" w:eastAsia="zh-CN" w:bidi="ar"/>
        </w:rPr>
        <w:t xml:space="preserve">日内完成项目实施工作并投入试运行，试运行平稳三个月后进行项目验收。</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207" w:name="_Toc26523"/>
      <w:r>
        <w:rPr>
          <w:rFonts w:hint="eastAsia" w:ascii="宋体" w:hAnsi="宋体" w:eastAsia="宋体" w:cs="宋体"/>
          <w:b/>
          <w:bCs/>
          <w:sz w:val="21"/>
          <w:szCs w:val="21"/>
          <w:lang w:val="en-US" w:eastAsia="zh-CN" w:bidi="ar-SA"/>
        </w:rPr>
        <w:t xml:space="preserve">六、建设任务</w:t>
      </w:r>
      <w:bookmarkEnd w:id="207"/>
      <w:r/>
      <w:bookmarkEnd w:id="176"/>
      <w:bookmarkEnd w:id="177"/>
      <w:r/>
    </w:p>
    <w:p>
      <w:pPr>
        <w:ind w:firstLine="422"/>
        <w:jc w:val="left"/>
        <w:spacing w:line="360" w:lineRule="auto"/>
        <w:widowControl/>
        <w:rPr>
          <w:rFonts w:hint="eastAsia" w:ascii="宋体" w:hAnsi="宋体" w:eastAsia="宋体" w:cs="宋体"/>
          <w:b/>
          <w:bCs/>
          <w:sz w:val="21"/>
          <w:szCs w:val="21"/>
          <w:lang w:val="en-US" w:eastAsia="zh-CN" w:bidi="ar-SA"/>
        </w:rPr>
        <w:outlineLvl w:val="1"/>
      </w:pPr>
      <w:r/>
      <w:bookmarkStart w:id="208" w:name="_Toc15435"/>
      <w:r/>
      <w:bookmarkStart w:id="209" w:name="_Toc15173"/>
      <w:r>
        <w:rPr>
          <w:rFonts w:hint="eastAsia" w:ascii="宋体" w:hAnsi="宋体" w:eastAsia="宋体" w:cs="宋体"/>
          <w:b/>
          <w:bCs/>
          <w:sz w:val="21"/>
          <w:szCs w:val="21"/>
          <w:lang w:val="en-US" w:eastAsia="zh-CN" w:bidi="ar-SA"/>
        </w:rPr>
        <w:t xml:space="preserve">（一）车管所</w:t>
      </w:r>
      <w:bookmarkEnd w:id="208"/>
      <w:r/>
      <w:bookmarkEnd w:id="209"/>
      <w:r/>
      <w:r/>
    </w:p>
    <w:p>
      <w:pPr>
        <w:ind w:firstLine="422"/>
        <w:spacing w:line="360" w:lineRule="auto"/>
        <w:rPr>
          <w:rFonts w:hint="eastAsia" w:ascii="宋体" w:hAnsi="宋体" w:eastAsia="宋体" w:cs="宋体"/>
          <w:b/>
          <w:bCs/>
          <w:sz w:val="21"/>
          <w:szCs w:val="21"/>
          <w:lang w:val="en-US" w:eastAsia="zh-CN" w:bidi="ar-SA"/>
        </w:rPr>
        <w:outlineLvl w:val="2"/>
      </w:pPr>
      <w:r/>
      <w:bookmarkStart w:id="210" w:name="_Toc20460"/>
      <w:r/>
      <w:bookmarkStart w:id="211" w:name="_Toc32062"/>
      <w:r/>
      <w:bookmarkStart w:id="212" w:name="_Toc27851"/>
      <w:r/>
      <w:bookmarkStart w:id="213" w:name="_Toc17547"/>
      <w:r/>
      <w:bookmarkStart w:id="214" w:name="_Toc8904"/>
      <w:r/>
      <w:bookmarkStart w:id="215" w:name="_Toc5076"/>
      <w:r/>
      <w:bookmarkStart w:id="216" w:name="_Toc30001"/>
      <w:r>
        <w:rPr>
          <w:rFonts w:hint="eastAsia" w:ascii="宋体" w:hAnsi="宋体" w:eastAsia="宋体" w:cs="宋体"/>
          <w:b/>
          <w:bCs/>
          <w:sz w:val="21"/>
          <w:szCs w:val="21"/>
          <w:lang w:val="en-US" w:eastAsia="zh-CN" w:bidi="ar-SA"/>
        </w:rPr>
        <w:t xml:space="preserve">1.车驾管综合监管音视频接入</w:t>
      </w:r>
      <w:bookmarkEnd w:id="210"/>
      <w:r/>
      <w:bookmarkEnd w:id="211"/>
      <w:r/>
      <w:bookmarkEnd w:id="212"/>
      <w:r/>
      <w:bookmarkEnd w:id="213"/>
      <w:r/>
      <w:bookmarkEnd w:id="214"/>
      <w:r/>
      <w:bookmarkEnd w:id="215"/>
      <w:r/>
      <w:bookmarkEnd w:id="216"/>
      <w:r/>
      <w:r/>
    </w:p>
    <w:p>
      <w:pPr>
        <w:numPr>
          <w:ilvl w:val="0"/>
          <w:numId w:val="0"/>
        </w:numPr>
        <w:ind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217" w:name="_Toc16297"/>
      <w:r>
        <w:rPr>
          <w:rFonts w:hint="eastAsia" w:ascii="宋体" w:hAnsi="宋体" w:eastAsia="宋体" w:cs="宋体"/>
          <w:b/>
          <w:bCs/>
          <w:sz w:val="21"/>
          <w:szCs w:val="21"/>
          <w:lang w:val="en-US" w:eastAsia="zh-CN" w:bidi="ar-SA"/>
        </w:rPr>
        <w:t xml:space="preserve">（1）总体建设任务与建设内容</w:t>
      </w:r>
      <w:bookmarkEnd w:id="217"/>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一是实现交管业务全业务、渠道监管。针对机动车登记等交管业务进行全面监管，细分业务类型、业务岗位，提高监管的精准性；实现对窗口办、社会办、网上办、自助等不同理渠道的交管业务综合监管。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二是实现交管业务全流程、全过程监管。提高“事前”、“事中”业务监管能力，实现车管业务从受理至办结各个环节的事前、中、事后综合监管；通过音视频联网，实现交管业务办理全过程的监管，建立网上视频巡查工作机制。</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三是建立嫌疑业务闭环处置流程。建立预警信息生成、调查处理、处理结果审核、处理情况考核的统一处理流程；建立业务抽查、业务回访、业务分析监管工作机制，对于监管工作中发现的问题提供统一的问题管理流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四是实现已建和新业务监管模块的全融合。 研发统一的综合监管模块，整合原公安交通管理统计监管模块、机动车检验监管、查验监管等模块的业务功能，实现数据共享和业务融合，从根本上解决模块分散、使用不便捷等问题，提高业务监管工作水平和效率。</w:t>
      </w:r>
      <w:r/>
    </w:p>
    <w:p>
      <w:pPr>
        <w:numPr>
          <w:ilvl w:val="0"/>
          <w:numId w:val="0"/>
        </w:numPr>
        <w:ind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218" w:name="_Toc15863"/>
      <w:r>
        <w:rPr>
          <w:rFonts w:hint="eastAsia" w:ascii="宋体" w:hAnsi="宋体" w:eastAsia="宋体" w:cs="宋体"/>
          <w:b/>
          <w:bCs/>
          <w:sz w:val="21"/>
          <w:szCs w:val="21"/>
          <w:lang w:val="en-US" w:eastAsia="zh-CN" w:bidi="ar-SA"/>
        </w:rPr>
        <w:t xml:space="preserve">（2）应用模块设计</w:t>
      </w:r>
      <w:bookmarkEnd w:id="218"/>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统一版综合监管模块包含基础信息备案管理、人证一致性比对、业务资料影像化管理、异常业务实时预警及授权办理、证芯管理、实时视频巡逻、业务分析研判、历史音视频抽查、业务抽查、业务回访、预警信息调查处理、监管问题处理等功能。</w:t>
      </w:r>
      <w:r/>
    </w:p>
    <w:p>
      <w:pPr>
        <w:numPr>
          <w:ilvl w:val="0"/>
          <w:numId w:val="0"/>
        </w:numPr>
        <w:ind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219" w:name="_Toc5801"/>
      <w:r/>
      <w:bookmarkStart w:id="220" w:name="_Toc129181593"/>
      <w:r>
        <w:rPr>
          <w:rFonts w:hint="eastAsia" w:ascii="宋体" w:hAnsi="宋体" w:eastAsia="宋体" w:cs="宋体"/>
          <w:b/>
          <w:bCs/>
          <w:sz w:val="21"/>
          <w:szCs w:val="21"/>
          <w:lang w:val="en-US" w:eastAsia="zh-CN" w:bidi="ar-SA"/>
        </w:rPr>
        <w:t xml:space="preserve">（3）音视频网关设置</w:t>
      </w:r>
      <w:bookmarkEnd w:id="219"/>
      <w:r/>
      <w:bookmarkEnd w:id="22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落实现业务大厅（车管所窗口和社会化服务机构）、考场、机动车安检机构、汽车销售企业、二手车市场、汽车报废企业、自助服务区等业务场所的音视频联网，并通过统一的视频服务网关接入公安网后，实现部、省、市三级视频资源实时联网共享、分级授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提供实时视频巡逻、历史视频巡逻功能，同时在业务抽查、业务回访、预警信息调查处理、监管业务分析等功能中，调取办理业务相关的视频信息以便核实情况。</w:t>
      </w:r>
      <w:r/>
    </w:p>
    <w:p>
      <w:pPr>
        <w:numPr>
          <w:ilvl w:val="0"/>
          <w:numId w:val="0"/>
        </w:numPr>
        <w:ind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221" w:name="_Toc23155"/>
      <w:r>
        <w:rPr>
          <w:rFonts w:hint="eastAsia" w:ascii="宋体" w:hAnsi="宋体" w:eastAsia="宋体" w:cs="宋体"/>
          <w:b/>
          <w:bCs/>
          <w:sz w:val="21"/>
          <w:szCs w:val="21"/>
          <w:lang w:val="en-US" w:eastAsia="zh-CN" w:bidi="ar-SA"/>
        </w:rPr>
        <w:t xml:space="preserve">（4）各业务场所采集信息</w:t>
      </w:r>
      <w:bookmarkEnd w:id="221"/>
      <w:r/>
      <w:r/>
    </w:p>
    <w:tbl>
      <w:tblPr>
        <w:tblStyle w:val="739"/>
        <w:tblW w:w="5000" w:type="pct"/>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726"/>
        <w:gridCol w:w="2425"/>
        <w:gridCol w:w="5812"/>
      </w:tblGrid>
      <w:tr>
        <w:trPr>
          <w:jc w:val="center"/>
          <w:tblCellSpacing w:w="0" w:type="dxa"/>
          <w:trHeight w:val="680"/>
        </w:trPr>
        <w:tc>
          <w:tcPr>
            <w:tcW w:w="40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W w:w="135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场所区域类型</w:t>
            </w:r>
            <w:r/>
          </w:p>
        </w:tc>
        <w:tc>
          <w:tcPr>
            <w:tcW w:w="32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场所和摄像机需采集的附加信息</w:t>
            </w:r>
            <w:r/>
          </w:p>
        </w:tc>
      </w:tr>
      <w:tr>
        <w:trPr>
          <w:jc w:val="center"/>
          <w:tblCellSpacing w:w="0" w:type="dxa"/>
          <w:trHeight w:val="760"/>
        </w:trPr>
        <w:tc>
          <w:tcPr>
            <w:tcW w:w="40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135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业务大厅（窗口监控）</w:t>
            </w:r>
            <w:r/>
          </w:p>
        </w:tc>
        <w:tc>
          <w:tcPr>
            <w:tcW w:w="32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场所需绑定某个管理部门或是某个服务机构；每个摄像机需绑定1至10个窗口电脑的IP</w:t>
            </w:r>
            <w:r/>
          </w:p>
        </w:tc>
      </w:tr>
      <w:tr>
        <w:trPr>
          <w:jc w:val="center"/>
          <w:tblCellSpacing w:w="0" w:type="dxa"/>
          <w:trHeight w:val="760"/>
        </w:trPr>
        <w:tc>
          <w:tcPr>
            <w:tcW w:w="40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W w:w="135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查验区（通道/工位）</w:t>
            </w:r>
            <w:r/>
          </w:p>
        </w:tc>
        <w:tc>
          <w:tcPr>
            <w:tcW w:w="32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场所需绑定某个查验区；每个摄像机需绑定一个查验通道</w:t>
            </w:r>
            <w:r/>
          </w:p>
        </w:tc>
      </w:tr>
      <w:tr>
        <w:trPr>
          <w:jc w:val="center"/>
          <w:tblCellSpacing w:w="0" w:type="dxa"/>
          <w:trHeight w:val="760"/>
        </w:trPr>
        <w:tc>
          <w:tcPr>
            <w:tcW w:w="40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W w:w="135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检测线（检验项目）</w:t>
            </w:r>
            <w:r/>
          </w:p>
        </w:tc>
        <w:tc>
          <w:tcPr>
            <w:tcW w:w="32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场所需绑定安检机构和具体检测线；每个摄像机需绑定一个检测项目</w:t>
            </w:r>
            <w:r/>
          </w:p>
        </w:tc>
      </w:tr>
      <w:tr>
        <w:trPr>
          <w:jc w:val="center"/>
          <w:tblCellSpacing w:w="0" w:type="dxa"/>
          <w:trHeight w:val="760"/>
        </w:trPr>
        <w:tc>
          <w:tcPr>
            <w:tcW w:w="40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W w:w="135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检测线签证区</w:t>
            </w:r>
            <w:r/>
          </w:p>
        </w:tc>
        <w:tc>
          <w:tcPr>
            <w:tcW w:w="32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场所需绑定安检机构；每个摄像机需绑定1至10个签证窗口电脑的IP</w:t>
            </w:r>
            <w:r/>
          </w:p>
        </w:tc>
      </w:tr>
      <w:tr>
        <w:trPr>
          <w:jc w:val="center"/>
          <w:tblCellSpacing w:w="0" w:type="dxa"/>
          <w:trHeight w:val="680"/>
        </w:trPr>
        <w:tc>
          <w:tcPr>
            <w:tcW w:w="40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W w:w="135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理论考试（考台监控）</w:t>
            </w:r>
            <w:r/>
          </w:p>
        </w:tc>
        <w:tc>
          <w:tcPr>
            <w:tcW w:w="32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场所需绑定考场，每个摄像机需绑定1至10个考台电脑的IP</w:t>
            </w:r>
            <w:r/>
          </w:p>
        </w:tc>
      </w:tr>
      <w:tr>
        <w:trPr>
          <w:jc w:val="center"/>
          <w:tblCellSpacing w:w="0" w:type="dxa"/>
          <w:trHeight w:val="680"/>
        </w:trPr>
        <w:tc>
          <w:tcPr>
            <w:tcW w:w="40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W w:w="135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科目二（考试项目）</w:t>
            </w:r>
            <w:r/>
          </w:p>
        </w:tc>
        <w:tc>
          <w:tcPr>
            <w:tcW w:w="32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场所需绑定考场、考试项目，每个摄像机需绑定考试设备</w:t>
            </w:r>
            <w:r/>
          </w:p>
        </w:tc>
      </w:tr>
      <w:tr>
        <w:trPr>
          <w:jc w:val="center"/>
          <w:tblCellSpacing w:w="0" w:type="dxa"/>
          <w:trHeight w:val="680"/>
        </w:trPr>
        <w:tc>
          <w:tcPr>
            <w:tcW w:w="40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W w:w="135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科目二、三（考车）</w:t>
            </w:r>
            <w:r/>
          </w:p>
        </w:tc>
        <w:tc>
          <w:tcPr>
            <w:tcW w:w="32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场所需绑定考场；每个摄像机需绑定考车号牌</w:t>
            </w:r>
            <w:r/>
          </w:p>
        </w:tc>
      </w:tr>
      <w:tr>
        <w:trPr>
          <w:jc w:val="center"/>
          <w:tblCellSpacing w:w="0" w:type="dxa"/>
          <w:trHeight w:val="680"/>
        </w:trPr>
        <w:tc>
          <w:tcPr>
            <w:tcW w:w="40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W w:w="135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科目三（考试线路）</w:t>
            </w:r>
            <w:r/>
          </w:p>
        </w:tc>
        <w:tc>
          <w:tcPr>
            <w:tcW w:w="32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场所需绑定考场、考试线路</w:t>
            </w:r>
            <w:r/>
          </w:p>
        </w:tc>
      </w:tr>
    </w:tbl>
    <w:p>
      <w:pPr>
        <w:numPr>
          <w:ilvl w:val="0"/>
          <w:numId w:val="0"/>
        </w:numPr>
        <w:ind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222" w:name="_Toc2914"/>
      <w:r>
        <w:rPr>
          <w:rFonts w:hint="eastAsia" w:ascii="宋体" w:hAnsi="宋体" w:eastAsia="宋体" w:cs="宋体"/>
          <w:b/>
          <w:bCs/>
          <w:sz w:val="21"/>
          <w:szCs w:val="21"/>
          <w:lang w:val="en-US" w:eastAsia="zh-CN" w:bidi="ar-SA"/>
        </w:rPr>
        <w:t xml:space="preserve">（5）网关备案</w:t>
      </w:r>
      <w:bookmarkEnd w:id="22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备案前需先与视频网关厂商联系获取“网关序列号”、“本地访问验证码”和“异地访问验证码”。</w:t>
      </w:r>
      <w:r/>
    </w:p>
    <w:p>
      <w:pPr>
        <w:numPr>
          <w:ilvl w:val="0"/>
          <w:numId w:val="0"/>
        </w:numPr>
        <w:ind w:firstLine="422"/>
        <w:jc w:val="both"/>
        <w:spacing w:line="360" w:lineRule="auto"/>
        <w:widowControl w:val="off"/>
        <w:rPr>
          <w:rFonts w:hint="eastAsia" w:ascii="宋体" w:hAnsi="宋体" w:eastAsia="宋体" w:cs="宋体"/>
          <w:b/>
          <w:bCs/>
          <w:sz w:val="21"/>
          <w:szCs w:val="21"/>
          <w:lang w:val="en-US" w:eastAsia="zh-CN" w:bidi="ar-SA"/>
        </w:rPr>
        <w:outlineLvl w:val="3"/>
      </w:pPr>
      <w:r/>
      <w:bookmarkStart w:id="223" w:name="_Toc4572"/>
      <w:r>
        <w:rPr>
          <w:rFonts w:hint="eastAsia" w:ascii="宋体" w:hAnsi="宋体" w:eastAsia="宋体" w:cs="宋体"/>
          <w:b/>
          <w:bCs/>
          <w:sz w:val="21"/>
          <w:szCs w:val="21"/>
          <w:lang w:val="en-US" w:eastAsia="zh-CN" w:bidi="ar-SA"/>
        </w:rPr>
        <w:t xml:space="preserve">（6）视频平台备案</w:t>
      </w:r>
      <w:bookmarkEnd w:id="223"/>
      <w:r/>
      <w:r/>
    </w:p>
    <w:p>
      <w:pPr>
        <w:ind w:left="0" w:right="0" w:firstLine="420"/>
        <w:jc w:val="left"/>
        <w:keepLines w:val="0"/>
        <w:keepNext w:val="0"/>
        <w:spacing w:before="0" w:beforeAutospacing="0" w:after="0" w:afterAutospacing="0" w:line="360" w:lineRule="auto"/>
        <w:widowControl w:val="off"/>
        <w:rPr>
          <w:rStyle w:val="1085"/>
          <w:rFonts w:hint="eastAsia" w:ascii="宋体" w:hAnsi="宋体" w:eastAsia="宋体" w:cs="宋体"/>
          <w:sz w:val="21"/>
          <w:szCs w:val="21"/>
          <w:lang w:val="en-US" w:eastAsia="zh-CN" w:bidi="ar"/>
        </w:rPr>
        <w:suppressLineNumbers w:val="0"/>
      </w:pPr>
      <w:r>
        <w:rPr>
          <w:rStyle w:val="1085"/>
          <w:rFonts w:hint="eastAsia" w:ascii="宋体" w:hAnsi="宋体" w:eastAsia="宋体" w:cs="宋体"/>
          <w:sz w:val="21"/>
          <w:szCs w:val="21"/>
          <w:lang w:val="en-US" w:eastAsia="zh-CN" w:bidi="ar-SA"/>
        </w:rPr>
        <w:t xml:space="preserve">备案前需先与视频平台厂商联系获取“视频平台编号”，确定视频平台的网络位置，如果视频平台在专网上，则需先获取视频平台映射到公安网上的边界IP地址。</w:t>
      </w:r>
      <w:r/>
    </w:p>
    <w:p>
      <w:pPr>
        <w:ind w:firstLine="482"/>
        <w:spacing w:line="360" w:lineRule="auto"/>
        <w:rPr>
          <w:rStyle w:val="1088"/>
          <w:rFonts w:hint="eastAsia" w:ascii="宋体" w:hAnsi="宋体" w:eastAsia="宋体" w:cs="宋体"/>
          <w:b/>
          <w:bCs/>
          <w:sz w:val="24"/>
          <w:szCs w:val="24"/>
          <w:lang w:val="en-US" w:eastAsia="zh-CN" w:bidi="ar-SA"/>
        </w:rPr>
        <w:outlineLvl w:val="2"/>
      </w:pPr>
      <w:r/>
      <w:bookmarkStart w:id="224" w:name="_Toc20278"/>
      <w:r/>
      <w:bookmarkStart w:id="225" w:name="_Toc21522"/>
      <w:r/>
      <w:bookmarkStart w:id="226" w:name="_Toc24069"/>
      <w:r/>
      <w:bookmarkStart w:id="227" w:name="_Toc27620"/>
      <w:r/>
      <w:bookmarkStart w:id="228" w:name="_Toc25156"/>
      <w:r/>
      <w:bookmarkStart w:id="229" w:name="_Toc18443"/>
      <w:r/>
      <w:bookmarkStart w:id="230" w:name="_Toc25134"/>
      <w:r/>
      <w:bookmarkStart w:id="231" w:name="_Toc19436"/>
      <w:r>
        <w:rPr>
          <w:rStyle w:val="1088"/>
          <w:rFonts w:hint="eastAsia" w:ascii="宋体" w:hAnsi="宋体" w:eastAsia="宋体" w:cs="宋体"/>
          <w:lang w:val="en-US" w:eastAsia="zh-CN" w:bidi="ar-SA"/>
        </w:rPr>
        <w:t xml:space="preserve">2.升级大厅综合服务管理平台</w:t>
      </w:r>
      <w:bookmarkEnd w:id="224"/>
      <w:r/>
      <w:bookmarkEnd w:id="225"/>
      <w:r/>
      <w:bookmarkEnd w:id="226"/>
      <w:r/>
      <w:bookmarkEnd w:id="227"/>
      <w:r/>
      <w:bookmarkEnd w:id="228"/>
      <w:r/>
      <w:bookmarkEnd w:id="229"/>
      <w:r/>
      <w:bookmarkEnd w:id="230"/>
      <w:r/>
      <w:bookmarkEnd w:id="23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bookmarkStart w:id="232" w:name="_Toc19809"/>
      <w:r/>
      <w:bookmarkStart w:id="233" w:name="_Toc5666"/>
      <w:r>
        <w:rPr>
          <w:rFonts w:hint="eastAsia" w:ascii="宋体" w:hAnsi="宋体" w:eastAsia="宋体" w:cs="宋体"/>
          <w:sz w:val="21"/>
          <w:szCs w:val="21"/>
          <w:lang w:val="en-US" w:eastAsia="zh-CN" w:bidi="ar"/>
        </w:rPr>
        <w:t xml:space="preserve">在现有车管所综合服务大厅服务模块上升级，实现车驾管业务和非现场违法处理业务、大队违法业务的融合排队叫号、综合信息屏显示、考核服务评价等；实现一码通行；受理和办理业务的分离；业务的领办和导办；新增自助取号机1台、机器人1台（运送资料）。</w:t>
      </w:r>
      <w:bookmarkEnd w:id="232"/>
      <w:r/>
      <w:bookmarkEnd w:id="233"/>
      <w:r/>
      <w:bookmarkStart w:id="234" w:name="_Toc28054"/>
      <w:r/>
      <w:bookmarkStart w:id="235" w:name="_Toc30457"/>
      <w:r/>
      <w:bookmarkStart w:id="236" w:name="_Toc2378"/>
      <w:r/>
      <w:bookmarkStart w:id="237" w:name="_Toc6900"/>
      <w:r/>
      <w:r/>
    </w:p>
    <w:p>
      <w:pPr>
        <w:ind w:left="210" w:firstLine="211"/>
        <w:spacing w:line="360" w:lineRule="auto"/>
        <w:rPr>
          <w:rFonts w:hint="eastAsia" w:ascii="宋体" w:hAnsi="宋体" w:eastAsia="宋体" w:cs="宋体"/>
          <w:b/>
          <w:bCs/>
          <w:sz w:val="21"/>
          <w:szCs w:val="21"/>
          <w:lang w:val="en-US" w:eastAsia="zh-CN" w:bidi="ar-SA"/>
        </w:rPr>
        <w:outlineLvl w:val="2"/>
      </w:pPr>
      <w:r/>
      <w:bookmarkStart w:id="238" w:name="_Toc18520"/>
      <w:r>
        <w:rPr>
          <w:rFonts w:hint="eastAsia" w:ascii="宋体" w:hAnsi="宋体" w:eastAsia="宋体" w:cs="宋体"/>
          <w:b/>
          <w:bCs/>
          <w:sz w:val="21"/>
          <w:szCs w:val="21"/>
          <w:lang w:val="en-US" w:eastAsia="zh-CN" w:bidi="ar-SA"/>
        </w:rPr>
        <w:t xml:space="preserve">3.信息化设备搬迁</w:t>
      </w:r>
      <w:bookmarkEnd w:id="238"/>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对车管所在用业务进行搬迁，搬迁后不影响业务正常使用。</w:t>
      </w:r>
      <w:bookmarkEnd w:id="234"/>
      <w:bookmarkEnd w:id="235"/>
      <w:bookmarkEnd w:id="236"/>
      <w:bookmarkEnd w:id="237"/>
      <w:r/>
    </w:p>
    <w:p>
      <w:pPr>
        <w:ind w:firstLine="422"/>
        <w:jc w:val="left"/>
        <w:spacing w:line="360" w:lineRule="auto"/>
        <w:widowControl/>
        <w:rPr>
          <w:rFonts w:hint="eastAsia" w:ascii="宋体" w:hAnsi="宋体" w:eastAsia="宋体" w:cs="宋体"/>
          <w:b/>
          <w:bCs/>
          <w:sz w:val="21"/>
          <w:szCs w:val="21"/>
          <w:lang w:val="en-US" w:eastAsia="zh-CN" w:bidi="ar-SA"/>
        </w:rPr>
        <w:outlineLvl w:val="1"/>
      </w:pPr>
      <w:r/>
      <w:bookmarkStart w:id="239" w:name="_Toc8144"/>
      <w:r/>
      <w:bookmarkStart w:id="240" w:name="_Toc8790"/>
      <w:r/>
      <w:bookmarkStart w:id="241" w:name="_Toc28436"/>
      <w:r/>
      <w:bookmarkStart w:id="242" w:name="_Toc18358"/>
      <w:r/>
      <w:bookmarkStart w:id="243" w:name="_Toc5413"/>
      <w:r/>
      <w:bookmarkStart w:id="244" w:name="_Toc4643"/>
      <w:r/>
      <w:bookmarkStart w:id="245" w:name="_Toc22332"/>
      <w:r/>
      <w:bookmarkStart w:id="246" w:name="_Toc21629"/>
      <w:r>
        <w:rPr>
          <w:rFonts w:hint="eastAsia" w:ascii="宋体" w:hAnsi="宋体" w:eastAsia="宋体" w:cs="宋体"/>
          <w:b/>
          <w:bCs/>
          <w:sz w:val="21"/>
          <w:szCs w:val="21"/>
          <w:lang w:val="en-US" w:eastAsia="zh-CN" w:bidi="ar-SA"/>
        </w:rPr>
        <w:t xml:space="preserve">（二）基础设施</w:t>
      </w:r>
      <w:bookmarkEnd w:id="239"/>
      <w:r/>
      <w:bookmarkEnd w:id="240"/>
      <w:r/>
      <w:bookmarkEnd w:id="241"/>
      <w:r/>
      <w:bookmarkEnd w:id="242"/>
      <w:r/>
      <w:bookmarkEnd w:id="243"/>
      <w:r/>
      <w:bookmarkEnd w:id="244"/>
      <w:r/>
      <w:bookmarkEnd w:id="245"/>
      <w:r/>
      <w:bookmarkEnd w:id="246"/>
      <w:r/>
      <w:r/>
    </w:p>
    <w:p>
      <w:pPr>
        <w:ind w:left="210" w:firstLine="211"/>
        <w:spacing w:line="360" w:lineRule="auto"/>
        <w:rPr>
          <w:rFonts w:hint="eastAsia" w:ascii="宋体" w:hAnsi="宋体" w:eastAsia="宋体" w:cs="宋体"/>
          <w:b/>
          <w:bCs/>
          <w:sz w:val="21"/>
          <w:szCs w:val="21"/>
          <w:lang w:val="en-US" w:eastAsia="zh-CN" w:bidi="ar-SA"/>
        </w:rPr>
        <w:outlineLvl w:val="2"/>
      </w:pPr>
      <w:r/>
      <w:bookmarkStart w:id="247" w:name="_Toc3455"/>
      <w:r/>
      <w:bookmarkStart w:id="248" w:name="_Toc26570"/>
      <w:r/>
      <w:bookmarkStart w:id="249" w:name="_Toc15084"/>
      <w:r/>
      <w:bookmarkStart w:id="250" w:name="_Toc24927"/>
      <w:r/>
      <w:bookmarkStart w:id="251" w:name="_Toc17368"/>
      <w:r/>
      <w:bookmarkStart w:id="252" w:name="_Toc17989"/>
      <w:r/>
      <w:bookmarkStart w:id="253" w:name="_Toc19927"/>
      <w:r/>
      <w:bookmarkStart w:id="254" w:name="_Toc17409"/>
      <w:r>
        <w:rPr>
          <w:rFonts w:hint="eastAsia" w:ascii="宋体" w:hAnsi="宋体" w:eastAsia="宋体" w:cs="宋体"/>
          <w:b/>
          <w:bCs/>
          <w:sz w:val="21"/>
          <w:szCs w:val="21"/>
          <w:lang w:val="en-US" w:eastAsia="zh-CN" w:bidi="ar-SA"/>
        </w:rPr>
        <w:t xml:space="preserve">1.执勤音视频管理模块升级</w:t>
      </w:r>
      <w:bookmarkEnd w:id="247"/>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随着国家民主法治建设的深入推进,人民群众的法治意识不断觉醒、维权意识不断增强,公众行使知情权、表达权、参与权、监督权的能力极大提升,公安机关的执法活动时刻处在聚光灯下,执法行为稍有不当就很可能成为社会焦点、舆论热点。人民群众反映最强烈的不作为、乱作为、不公正、不文明等问题,实质上都可归结为执法不规范。因此，新形势下衡量公安工作的优劣,不仅要看是否体现了执法效率、实现了维稳目标,也要看执法过程是否规范化、是否促进社会公平正义、维护了人民群众合法权益。</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根据公安部《关于交警模块执法记录仪使用管理规定（试行）通知》（公交管〔</w:t>
      </w:r>
      <w:r>
        <w:rPr>
          <w:rFonts w:hint="eastAsia" w:ascii="宋体" w:hAnsi="宋体" w:eastAsia="宋体" w:cs="宋体"/>
          <w:sz w:val="21"/>
          <w:szCs w:val="21"/>
          <w:lang w:val="en-US" w:eastAsia="zh-CN" w:bidi="ar"/>
        </w:rPr>
        <w:t xml:space="preserve">2013〕231号）的要求，公安机关交通管理部门应当按照装备配备标准，为道路执勤执法和事故处理等执法岗位的交通警察配备符合技术标准的执法记录仪，也就是说执法记录仪要成为公安民警巡逻、执勤、执法等日常工作必备的信息化装备。另根据省厅《关于印发〈全省公安交警部门2023-2025年度法治建设重点项目攻坚行动计划的通知》（苏公交[2023]17号）和支队下发的《扬州市公安交警部门2023-2025年度法治建设重点项目攻坚行动方案》的要求,从事路面执勤执法、交通事故处理、机动车查验等岗位需要全部配发4G执勤记录仪。</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扬州市交警支队根据执勤的实际需要及政策通知要求，为现场执勤统一配发视4G音频执法记录仪，要求执勤交警及时搜集、固定证据，记录各类事件现场处置情况，保护交警和当事人合法权益，保障交警执法履行职责，有力促进了交警执法水平的提升，也有利于监督执法行为，做到执法过程可追溯管理，为创新队伍管理工作带来新契机。有鉴于此，扬州市交警支队依托现有的执法仪软硬件设备平台拟建设具有音视频拍摄、海量数据存储压缩、流媒体传输、分级应用管理、警员管理、坐标（北斗）定位、PTT呼叫、重点文件标识、轨迹查询于一体的4G执勤记录仪系统。</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基于以上需求在支队现有平台软硬件设备基础上，本次拟采购4G执勤记录仪50台、存储、扩容升级监控平台及执法记录仪管理平台能力等设备。单警执法视音频管理系统主要由单警执法视音频记录仪（以下简称“执法记录仪”）和单警执法视音频系统管理服务器（以下简称“管理服务器”）组成，分别完成执法场景视音频录入、资料自动采集与上传、资料综合查询与管理的职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目前，扬州市公安局交通警察支队在2021年已建设了单警执法视音频管理平台实现了对交警执法记录仪及现场执法视音频进行统一管理。</w:t>
      </w:r>
      <w:r/>
    </w:p>
    <w:p>
      <w:pPr>
        <w:ind w:firstLine="422"/>
        <w:spacing w:line="360" w:lineRule="auto"/>
        <w:rPr>
          <w:rFonts w:hint="eastAsia" w:ascii="宋体" w:hAnsi="宋体" w:eastAsia="宋体" w:cs="宋体"/>
          <w:b/>
          <w:bCs/>
          <w:sz w:val="21"/>
          <w:szCs w:val="21"/>
          <w:lang w:val="en-US" w:eastAsia="zh-CN" w:bidi="ar-SA"/>
        </w:rPr>
        <w:outlineLvl w:val="2"/>
      </w:pPr>
      <w:r/>
      <w:bookmarkStart w:id="255" w:name="_Toc12443"/>
      <w:r>
        <w:rPr>
          <w:rFonts w:hint="eastAsia" w:ascii="宋体" w:hAnsi="宋体" w:eastAsia="宋体" w:cs="宋体"/>
          <w:b/>
          <w:bCs/>
          <w:sz w:val="21"/>
          <w:szCs w:val="21"/>
          <w:lang w:val="en-US" w:eastAsia="zh-CN" w:bidi="ar-SA"/>
        </w:rPr>
        <w:t xml:space="preserve">2.分布式显示控制系统</w:t>
      </w:r>
      <w:bookmarkEnd w:id="255"/>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次扬州交警支队新建大楼项目通过分布式模块，可实现各种信号源在二层指挥中心大厅、决策指挥室、九层党委会议室、事故视频快处中心、30人中型视频会议室、车驾管综合监管中心、报告厅之间的传输、处理、显示、控制，可实现矩阵、拼接、坐席各种模块功能。所有信号通过输入节点编码后进入交换机传输，通过输出节点解码在各个房间进行灵活的矩阵、拼接上屏显示，并可根据需要实现坐席功能。整体模块具备可视化管控功能，通过控制终端实现对于信号的任意上屏显示操控，简单直观。</w:t>
      </w:r>
      <w:r/>
    </w:p>
    <w:p>
      <w:pPr>
        <w:ind w:left="210" w:firstLine="211"/>
        <w:spacing w:line="360" w:lineRule="auto"/>
        <w:rPr>
          <w:rFonts w:hint="eastAsia" w:ascii="宋体" w:hAnsi="宋体" w:eastAsia="宋体" w:cs="宋体"/>
          <w:b/>
          <w:bCs/>
          <w:sz w:val="21"/>
          <w:szCs w:val="21"/>
          <w:lang w:val="en-US" w:eastAsia="zh-CN" w:bidi="ar-SA"/>
        </w:rPr>
        <w:outlineLvl w:val="2"/>
      </w:pPr>
      <w:r/>
      <w:bookmarkStart w:id="256" w:name="_Toc27001"/>
      <w:r>
        <w:rPr>
          <w:rFonts w:hint="eastAsia" w:ascii="宋体" w:hAnsi="宋体" w:eastAsia="宋体" w:cs="宋体"/>
          <w:b/>
          <w:bCs/>
          <w:sz w:val="21"/>
          <w:szCs w:val="21"/>
          <w:lang w:val="en-US" w:eastAsia="zh-CN" w:bidi="ar-SA"/>
        </w:rPr>
        <w:t xml:space="preserve">3.业务中心</w:t>
      </w:r>
      <w:bookmarkEnd w:id="25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本次新建信号优化中心、数据赋能中心、风险管控中心、联动服务中心的屏幕显示。</w:t>
      </w:r>
      <w:r/>
    </w:p>
    <w:p>
      <w:pPr>
        <w:ind w:left="210" w:firstLine="211"/>
        <w:spacing w:line="360" w:lineRule="auto"/>
        <w:rPr>
          <w:rFonts w:hint="eastAsia" w:ascii="宋体" w:hAnsi="宋体" w:eastAsia="宋体" w:cs="宋体"/>
          <w:b/>
          <w:bCs/>
          <w:sz w:val="21"/>
          <w:szCs w:val="21"/>
          <w:lang w:val="en-US" w:eastAsia="zh-CN" w:bidi="ar-SA"/>
        </w:rPr>
        <w:outlineLvl w:val="2"/>
      </w:pPr>
      <w:r/>
      <w:bookmarkStart w:id="257" w:name="_Toc25657"/>
      <w:r>
        <w:rPr>
          <w:rFonts w:hint="eastAsia" w:ascii="宋体" w:hAnsi="宋体" w:eastAsia="宋体" w:cs="宋体"/>
          <w:b/>
          <w:bCs/>
          <w:sz w:val="21"/>
          <w:szCs w:val="21"/>
          <w:lang w:val="en-US" w:eastAsia="zh-CN" w:bidi="ar-SA"/>
        </w:rPr>
        <w:t xml:space="preserve">4.会议室</w:t>
      </w:r>
      <w:bookmarkEnd w:id="257"/>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重点围绕分布式模块、屏幕显示及扩声三大核心部分展开。屏幕显示部分将采用高分辨率LED显示屏，确保会议内容的清晰呈现与高效交互；扩声模块则依托专业音响设备，实现声音的均匀覆盖与清晰传输；分布式模块则支持远程交互，确保上下级单位间的无缝沟通与协作。</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30人中型会议室</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会议室采用四只150w全频音箱，搭配音频处理器、调音台等周边设备，发言模块设计WIFI会议模块。选用8只无线话筒，发言单元不需要布线。</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90人会议室</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主扩音箱采用两只500w全频音箱，四只300w作为辅助音箱，搭配音频处理器、调音台等周边设备，发言模块设计无线手拉手会议模块。选用15只无线线话筒，发言单元不需要布线。</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报告厅</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bookmarkStart w:id="258" w:name="_Toc13119"/>
      <w:r/>
      <w:bookmarkStart w:id="259" w:name="_Toc176619251"/>
      <w:r>
        <w:rPr>
          <w:rFonts w:hint="eastAsia" w:ascii="宋体" w:hAnsi="宋体" w:eastAsia="宋体" w:cs="宋体"/>
          <w:sz w:val="21"/>
          <w:szCs w:val="21"/>
          <w:lang w:val="en-US" w:eastAsia="zh-CN" w:bidi="ar"/>
        </w:rPr>
        <w:t xml:space="preserve">主要用途：大型会议、工作报告、文艺演出、培训等。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设计2只500W主音箱（由1台2*700W专业功放驱动）,音箱安装在会场前侧墙上。</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设计4只400W辅助音箱（由2台2*700W功放驱动），音箱安装在会场两侧墙上。</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设计2只400W返听音箱（由1台2*700W功放驱动），音箱落地安装在地上。</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设计2只600W移动低音音箱（由1台2*1200W功放驱动），音箱落地安装在地上。</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现场声压级达到国家一级标准，满足现场会议扩声和演艺的使用需求。</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决策指挥室</w:t>
      </w:r>
      <w:bookmarkEnd w:id="258"/>
      <w:r/>
      <w:bookmarkEnd w:id="25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本次主要建设分布式模块、屏幕显示及扩声。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采用节能设计COB P1.2产品，像素间距为1.25mm，使用标准LED显示单元组成，显示屏面积：6.08m²，显示尺寸：3.6m×1.6875m，分辨率：2880*1350。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图像控制模块采用二合一控制卡，支持支持3路视频信号输入（1路HDMI2.0、1路HDMI1.4和1路DVI） ，12路网口带载输出，支持视频信号输入全屏缩放及自定义缩放.支持任意切换拼接。支持多窗口显示和最多10个用户场景,可作为模板保存，可直接调用，方便使用。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配电模块配置一台10KW配电柜供LED屏使用。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通过网络的传输方式，决策指挥室信号可与其他一期、二期的所有房间的音视频设备实现互联互通，可显示所有房间内的任意信号。可通过后台的权限管控，针对全局化的操作人员进行精细化权限划分。</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bookmarkStart w:id="260" w:name="_Toc416"/>
      <w:r/>
      <w:bookmarkStart w:id="261" w:name="_Toc176619252"/>
      <w:r>
        <w:rPr>
          <w:rFonts w:hint="eastAsia" w:ascii="宋体" w:hAnsi="宋体" w:eastAsia="宋体" w:cs="宋体"/>
          <w:b/>
          <w:bCs/>
          <w:sz w:val="21"/>
          <w:szCs w:val="21"/>
          <w:lang w:val="en-US" w:eastAsia="zh-CN" w:bidi="ar"/>
        </w:rPr>
        <w:t xml:space="preserve">九层党委会议室</w:t>
      </w:r>
      <w:bookmarkEnd w:id="260"/>
      <w:r/>
      <w:bookmarkEnd w:id="26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本次主要建设分布式模块、屏幕显示及扩声。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采用节能设计COB P1.2产品，像素间距为1.25mm，使用标准LED显示单元组成，显示屏面积：6.08m²，显示尺寸：3.6m×1.6875m，分辨率：2880*1350。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图像控制模块采用二合一控制卡，支持支持3路视频信号输入（1路HDMI2.0、1路HDMI1.4和1路DVI） ，12路网口带载输出，支持视频信号输入全屏缩放及自定义缩放.支持任意切换拼接。支持多窗口显示和最多10个用户场景,可作为模板保存，可直接调用，方便使用。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配电模块配置一台10KW配电柜供LED屏使用。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通过网络的传输方式，九层党委会议室信号可与其他一期、二期的所有房间的音视频设备实现互联互通，可显示所有房间内的任意信号。可通过后台的权限管控，针对全局化的操作人员进行精细化权限划分。</w:t>
      </w:r>
      <w:r/>
    </w:p>
    <w:p>
      <w:pPr>
        <w:ind w:left="0" w:right="0" w:firstLine="0"/>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bookmarkStart w:id="262" w:name="_Toc23002"/>
      <w:r>
        <w:rPr>
          <w:rFonts w:hint="eastAsia" w:ascii="宋体" w:hAnsi="宋体" w:eastAsia="宋体" w:cs="宋体"/>
          <w:b/>
          <w:bCs/>
          <w:sz w:val="21"/>
          <w:szCs w:val="21"/>
          <w:lang w:val="en-US" w:eastAsia="zh-CN" w:bidi="ar"/>
        </w:rPr>
        <w:t xml:space="preserve">    事故视频快处中心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本次主要建设分布式模块、屏幕显示及扩声。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原空间按功能需求重新分隔独立办公区，使用轻钢龙骨石膏板隔断做分隔，在办公室一侧整体做储物柜，办公空间与快处中心之间隔断设计预留木门，以便两个空间的连贯，空间改造后，依据整体功能，对墙地面增加强弱电点位插座面板并安装调整到位。整体完成后，对室内空间做保洁处理，</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采用节能设计COB P1.2产品，像素间距为1.25mm，使用标准LED显示单元组成，显示屏面积：14.58m²，显示尺寸：7.2m*2.025m，分辨率：4320*1620。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图像控制模块采用二合一控制卡，支持支持3路视频信号输入（1路HDMI2.0、1路HDMI1.4和1路DVI） ，12路网口带载输出，支持视频信号输入全屏缩放及自定义缩放.支持任意切换拼接。支持多窗口显示和最多10个用户场景,可作为模板保存，可直接调用，方便使用。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配电模块配置一台10KW配电柜供LED屏使用。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通过网络的传输方式，事故视频快处中心信号可与其他一期、二期的所有房间的音视频设备实现互联互通，可显示所有房间内的任意信号。可通过后台的权限管控，针对全局化的操作人员进行精细化权限划分。</w:t>
      </w:r>
      <w:bookmarkEnd w:id="262"/>
      <w:r/>
    </w:p>
    <w:p>
      <w:pPr>
        <w:ind w:left="210" w:firstLine="211"/>
        <w:spacing w:line="360" w:lineRule="auto"/>
        <w:rPr>
          <w:rFonts w:hint="eastAsia" w:ascii="宋体" w:hAnsi="宋体" w:eastAsia="宋体" w:cs="宋体"/>
          <w:b/>
          <w:bCs/>
          <w:sz w:val="21"/>
          <w:szCs w:val="21"/>
          <w:lang w:val="en-US" w:eastAsia="zh-CN" w:bidi="ar-SA"/>
        </w:rPr>
        <w:outlineLvl w:val="2"/>
      </w:pPr>
      <w:r/>
      <w:bookmarkStart w:id="263" w:name="_Toc477"/>
      <w:r/>
      <w:bookmarkStart w:id="264" w:name="_Toc18277"/>
      <w:r/>
      <w:bookmarkStart w:id="265" w:name="_Toc24467"/>
      <w:r/>
      <w:bookmarkStart w:id="266" w:name="_Toc27871"/>
      <w:r/>
      <w:bookmarkStart w:id="267" w:name="_Toc11500"/>
      <w:r/>
      <w:bookmarkStart w:id="268" w:name="_Toc176619279"/>
      <w:r/>
      <w:bookmarkStart w:id="269" w:name="_Toc8223"/>
      <w:r>
        <w:rPr>
          <w:rFonts w:hint="eastAsia" w:ascii="宋体" w:hAnsi="宋体" w:eastAsia="宋体" w:cs="宋体"/>
          <w:b/>
          <w:bCs/>
          <w:sz w:val="21"/>
          <w:szCs w:val="21"/>
          <w:lang w:val="en-US" w:eastAsia="zh-CN" w:bidi="ar-SA"/>
        </w:rPr>
        <w:t xml:space="preserve">5.公共信息发布</w:t>
      </w:r>
      <w:bookmarkEnd w:id="263"/>
      <w:r/>
      <w:bookmarkEnd w:id="264"/>
      <w:r/>
      <w:bookmarkEnd w:id="265"/>
      <w:r/>
      <w:bookmarkEnd w:id="266"/>
      <w:r/>
      <w:bookmarkEnd w:id="267"/>
      <w:r/>
      <w:bookmarkEnd w:id="268"/>
      <w:r/>
      <w:bookmarkEnd w:id="269"/>
      <w:r>
        <w:rPr>
          <w:rFonts w:hint="eastAsia" w:ascii="宋体" w:hAnsi="宋体" w:eastAsia="宋体" w:cs="宋体"/>
          <w:b/>
          <w:bCs/>
          <w:sz w:val="21"/>
          <w:szCs w:val="21"/>
          <w:lang w:val="en-US" w:eastAsia="zh-CN" w:bidi="ar-SA"/>
        </w:rPr>
        <w:t xml:space="preserve">  </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bookmarkStart w:id="270" w:name="_Toc23095"/>
      <w:r/>
      <w:bookmarkStart w:id="271" w:name="_Toc176619280"/>
      <w:r>
        <w:rPr>
          <w:rFonts w:hint="eastAsia" w:ascii="宋体" w:hAnsi="宋体" w:eastAsia="宋体" w:cs="宋体"/>
          <w:b/>
          <w:bCs/>
          <w:sz w:val="21"/>
          <w:szCs w:val="21"/>
          <w:lang w:val="en-US" w:eastAsia="zh-CN" w:bidi="ar"/>
        </w:rPr>
        <w:t xml:space="preserve">（1）餐厅</w:t>
      </w:r>
      <w:bookmarkEnd w:id="270"/>
      <w:r/>
      <w:bookmarkEnd w:id="271"/>
      <w:r>
        <w:rPr>
          <w:rFonts w:hint="eastAsia" w:ascii="宋体" w:hAnsi="宋体" w:eastAsia="宋体" w:cs="宋体"/>
          <w:b/>
          <w:bCs/>
          <w:sz w:val="21"/>
          <w:szCs w:val="21"/>
          <w:lang w:val="en-US" w:eastAsia="zh-CN" w:bidi="ar"/>
        </w:rPr>
        <w:tab/>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餐厅新建6台电视及2套一体机播放指定内容。</w:t>
      </w:r>
      <w:r/>
    </w:p>
    <w:p>
      <w:pPr>
        <w:numPr>
          <w:ilvl w:val="0"/>
          <w:numId w:val="8"/>
        </w:num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bookmarkStart w:id="272" w:name="_Toc28683"/>
      <w:r/>
      <w:bookmarkStart w:id="273" w:name="_Toc19087"/>
      <w:r/>
      <w:bookmarkStart w:id="274" w:name="_Toc176619281"/>
      <w:r/>
      <w:bookmarkStart w:id="275" w:name="_Toc14780"/>
      <w:r>
        <w:rPr>
          <w:rFonts w:hint="eastAsia" w:ascii="宋体" w:hAnsi="宋体" w:eastAsia="宋体" w:cs="宋体"/>
          <w:b/>
          <w:bCs/>
          <w:sz w:val="21"/>
          <w:szCs w:val="21"/>
          <w:lang w:val="en-US" w:eastAsia="zh-CN" w:bidi="ar"/>
        </w:rPr>
        <w:t xml:space="preserve">查验窗口</w:t>
      </w:r>
      <w:bookmarkEnd w:id="272"/>
      <w:r/>
      <w:bookmarkEnd w:id="273"/>
      <w:r/>
      <w:bookmarkEnd w:id="274"/>
      <w:r/>
      <w:bookmarkEnd w:id="275"/>
      <w:r>
        <w:rPr>
          <w:rFonts w:hint="eastAsia" w:ascii="宋体" w:hAnsi="宋体" w:eastAsia="宋体" w:cs="宋体"/>
          <w:b/>
          <w:bCs/>
          <w:sz w:val="21"/>
          <w:szCs w:val="21"/>
          <w:lang w:val="en-US" w:eastAsia="zh-CN" w:bidi="ar"/>
        </w:rPr>
        <w:tab/>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查验窗口新建LED显示条屏，并于现有平台进行对接。</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（3）业务大厅L型条屏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业务大厅新建LED显示条屏，并于现有平台进行对接。</w:t>
      </w:r>
      <w:r/>
    </w:p>
    <w:p>
      <w:pPr>
        <w:ind w:left="210" w:firstLine="211"/>
        <w:spacing w:line="360" w:lineRule="auto"/>
        <w:rPr>
          <w:rFonts w:hint="eastAsia" w:ascii="宋体" w:hAnsi="宋体" w:eastAsia="宋体" w:cs="宋体"/>
          <w:b/>
          <w:bCs/>
          <w:sz w:val="21"/>
          <w:szCs w:val="21"/>
          <w:lang w:val="en-US" w:eastAsia="zh-CN" w:bidi="ar-SA"/>
        </w:rPr>
        <w:outlineLvl w:val="2"/>
      </w:pPr>
      <w:r/>
      <w:bookmarkStart w:id="276" w:name="_Toc21359"/>
      <w:r>
        <w:rPr>
          <w:rFonts w:hint="eastAsia" w:ascii="宋体" w:hAnsi="宋体" w:eastAsia="宋体" w:cs="宋体"/>
          <w:b/>
          <w:bCs/>
          <w:sz w:val="21"/>
          <w:szCs w:val="21"/>
          <w:lang w:val="en-US" w:eastAsia="zh-CN" w:bidi="ar-SA"/>
        </w:rPr>
        <w:t xml:space="preserve">6.中心机房建设及搬迁</w:t>
      </w:r>
      <w:bookmarkEnd w:id="248"/>
      <w:r/>
      <w:bookmarkEnd w:id="249"/>
      <w:r/>
      <w:bookmarkEnd w:id="250"/>
      <w:r/>
      <w:bookmarkEnd w:id="251"/>
      <w:r/>
      <w:bookmarkEnd w:id="252"/>
      <w:r/>
      <w:bookmarkEnd w:id="253"/>
      <w:r/>
      <w:bookmarkEnd w:id="254"/>
      <w:r/>
      <w:bookmarkEnd w:id="276"/>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bookmarkStart w:id="277" w:name="_Toc13732"/>
      <w:r/>
      <w:bookmarkStart w:id="278" w:name="_Toc5125"/>
      <w:r>
        <w:rPr>
          <w:rFonts w:hint="eastAsia" w:ascii="宋体" w:hAnsi="宋体" w:eastAsia="宋体" w:cs="宋体"/>
          <w:b/>
          <w:bCs/>
          <w:sz w:val="21"/>
          <w:szCs w:val="21"/>
          <w:lang w:val="en-US" w:eastAsia="zh-CN" w:bidi="ar"/>
        </w:rPr>
        <w:t xml:space="preserve">（1）概述</w:t>
      </w:r>
      <w:bookmarkEnd w:id="277"/>
      <w:r>
        <w:rPr>
          <w:rFonts w:hint="eastAsia" w:ascii="宋体" w:hAnsi="宋体" w:eastAsia="宋体" w:cs="宋体"/>
          <w:b/>
          <w:bCs/>
          <w:sz w:val="21"/>
          <w:szCs w:val="21"/>
          <w:lang w:val="en-US" w:eastAsia="zh-CN" w:bidi="ar"/>
        </w:rPr>
        <w:t xml:space="preserve">及必要性</w:t>
      </w:r>
      <w:bookmarkEnd w:id="278"/>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扬州交警队原机房有11个华为模块化机柜，3台25KW华为列间精密空调内机，3台华为精密空调外机，1台华为模块化ups电源以及部分动环设备及模块化通道组件。现需要将模块化电源整体搬迁至新大楼。新增设备均需与原模块化机房兼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对新大楼现有机房根据施工范围对原地面静电地板拆除，并在施工完成后做恢复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1.把现有机房空间按功能要求做隔断分隔，并在相应功能位敷设开关及插座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2.分隔后空间使用玻璃门，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3.整体顶面安装微孔铝板吊顶</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4.整体完成后，对室内空间做保洁处理，</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新增内容如下：</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根据现场勘测，新大楼需地板高度较原机房高，需要重新制作设备底座。</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原机房蓄电池内阻过大内阻已超过11毫欧，需要及时更换，以及电池监测模块</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新大楼地板下未做等电位，需要重新布置等电位铜牌</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新大楼机房需要重新制作给排水，室外机水泥基础强电桥架</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新大楼需要增加4个机柜和一台25kw列间空调以及模块化配套配件</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考虑到初期建设机房内使用过程中湿度过大增加一台除湿机</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由于部分电缆长度已经不够，部分电缆需要更换。</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将中心机房及部分服务器设在扬州市公安局交通指挥中心和车管所是非常必要的，主要原因如下：</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历史原因，本次项目中心机房大多为利旧，并且对原有分系统进行整合。故在管理和运营上，交通信号、车管应用等服务器放在独立中心机房可以保障搬迁平稳过渡，而且还可以保障后续日常24小时的运维工作。</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根据施工范围对原地面静电地板拆除，并在施工完成后做恢复</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把现有机房空间按功能要求做隔断分隔，并在相应功能位敷设开关及插座</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分隔后空间使用玻璃门，</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整体顶面安装微孔铝板吊顶</w:t>
      </w:r>
      <w:r/>
    </w:p>
    <w:p>
      <w:pPr>
        <w:numPr>
          <w:ilvl w:val="0"/>
          <w:numId w:val="9"/>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整体完成后，对室内空间做保洁处理。</w:t>
      </w:r>
      <w:r/>
    </w:p>
    <w:p>
      <w:pPr>
        <w:ind w:firstLine="422"/>
        <w:spacing w:line="360" w:lineRule="auto"/>
        <w:rPr>
          <w:rFonts w:hint="eastAsia" w:ascii="宋体" w:hAnsi="宋体" w:eastAsia="宋体" w:cs="宋体"/>
          <w:b/>
          <w:bCs/>
          <w:sz w:val="21"/>
          <w:szCs w:val="21"/>
          <w:lang w:val="en-US" w:eastAsia="zh-CN" w:bidi="ar-SA"/>
        </w:rPr>
        <w:outlineLvl w:val="2"/>
      </w:pPr>
      <w:r/>
      <w:bookmarkStart w:id="279" w:name="_Toc2801"/>
      <w:r/>
      <w:bookmarkStart w:id="280" w:name="_Toc7125"/>
      <w:r/>
      <w:bookmarkStart w:id="281" w:name="_Toc12352"/>
      <w:r/>
      <w:bookmarkStart w:id="282" w:name="_Toc549"/>
      <w:r/>
      <w:bookmarkStart w:id="283" w:name="_Toc13564"/>
      <w:r/>
      <w:bookmarkStart w:id="284" w:name="_Toc9015"/>
      <w:r/>
      <w:bookmarkStart w:id="285" w:name="_Toc28856"/>
      <w:r/>
      <w:bookmarkStart w:id="286" w:name="_Toc7575"/>
      <w:r>
        <w:rPr>
          <w:rFonts w:hint="eastAsia" w:ascii="宋体" w:hAnsi="宋体" w:eastAsia="宋体" w:cs="宋体"/>
          <w:b/>
          <w:bCs/>
          <w:sz w:val="21"/>
          <w:szCs w:val="21"/>
          <w:lang w:val="en-US" w:eastAsia="zh-CN" w:bidi="ar-SA"/>
        </w:rPr>
        <w:t xml:space="preserve">7.大楼</w:t>
      </w:r>
      <w:bookmarkEnd w:id="279"/>
      <w:r>
        <w:rPr>
          <w:rFonts w:hint="eastAsia" w:ascii="宋体" w:hAnsi="宋体" w:eastAsia="宋体" w:cs="宋体"/>
          <w:b/>
          <w:bCs/>
          <w:sz w:val="21"/>
          <w:szCs w:val="21"/>
          <w:lang w:val="en-US" w:eastAsia="zh-CN" w:bidi="ar-SA"/>
        </w:rPr>
        <w:t xml:space="preserve">网络建设</w:t>
      </w:r>
      <w:bookmarkEnd w:id="280"/>
      <w:r/>
      <w:bookmarkEnd w:id="281"/>
      <w:r/>
      <w:bookmarkEnd w:id="282"/>
      <w:r/>
      <w:bookmarkEnd w:id="283"/>
      <w:r/>
      <w:bookmarkEnd w:id="284"/>
      <w:r/>
      <w:bookmarkEnd w:id="285"/>
      <w:r/>
      <w:bookmarkEnd w:id="286"/>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（1）设备清单</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交换机分布</w:t>
      </w:r>
      <w:r/>
    </w:p>
    <w:tbl>
      <w:tblPr>
        <w:tblStyle w:val="739"/>
        <w:tblW w:w="859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5"/>
        <w:gridCol w:w="555"/>
        <w:gridCol w:w="556"/>
        <w:gridCol w:w="556"/>
        <w:gridCol w:w="556"/>
        <w:gridCol w:w="556"/>
        <w:gridCol w:w="556"/>
        <w:gridCol w:w="556"/>
        <w:gridCol w:w="971"/>
        <w:gridCol w:w="754"/>
        <w:gridCol w:w="767"/>
        <w:gridCol w:w="733"/>
      </w:tblGrid>
      <w:tr>
        <w:trPr>
          <w:trHeight w:val="280"/>
        </w:trPr>
        <w:tc>
          <w:tcPr>
            <w:tcW w:w="147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区域</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gridSpan w:val="2"/>
            <w:tcW w:w="111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视频网</w:t>
            </w:r>
            <w:r/>
          </w:p>
        </w:tc>
        <w:tc>
          <w:tcPr>
            <w:gridSpan w:val="2"/>
            <w:tcW w:w="111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公安网</w:t>
            </w:r>
            <w:r/>
          </w:p>
        </w:tc>
        <w:tc>
          <w:tcPr>
            <w:gridSpan w:val="2"/>
            <w:tcW w:w="111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车管所网</w:t>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出入境专网</w:t>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电子政务外网</w:t>
            </w:r>
            <w:r/>
          </w:p>
        </w:tc>
        <w:tc>
          <w:tcPr>
            <w:gridSpan w:val="2"/>
            <w:tcW w:w="150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互联网</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弱电间</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楼层</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w:t>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w:t>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w:t>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24口POE</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48口POE</w:t>
            </w:r>
            <w:r/>
          </w:p>
        </w:tc>
      </w:tr>
      <w:tr>
        <w:trPr>
          <w:trHeight w:val="280"/>
        </w:trPr>
        <w:tc>
          <w:tcPr>
            <w:tcW w:w="1475" w:type="dxa"/>
            <w:vAlign w:val="center"/>
            <w:vMerge w:val="restart"/>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车管所弱电间（西北）</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center"/>
            <w:vMerge w:val="restart"/>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车管所弱电间（西南）</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center"/>
            <w:vMerge w:val="restart"/>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出入境弱电间（东北）</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center"/>
            <w:vMerge w:val="restart"/>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出入境弱电间（东南）</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主楼弱电间（中）</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指挥中心弱电间</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验车业务用房</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1F</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备用设备</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280"/>
        </w:trPr>
        <w:tc>
          <w:tcPr>
            <w:tcW w:w="147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合计</w:t>
            </w:r>
            <w:r/>
          </w:p>
        </w:tc>
        <w:tc>
          <w:tcPr>
            <w:tcW w:w="555" w:type="dxa"/>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17</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W w:w="55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97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W w:w="75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W w:w="76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W w:w="73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r>
    </w:tbl>
    <w:p>
      <w:pPr>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0"/>
        </w:numPr>
        <w:ind w:firstLine="420"/>
        <w:spacing w:before="20" w:after="240"/>
        <w:tabs>
          <w:tab w:val="left" w:pos="420" w:leader="none"/>
        </w:tabs>
        <w:rPr>
          <w:rFonts w:hint="eastAsia" w:ascii="宋体" w:hAnsi="宋体" w:eastAsia="宋体" w:cs="宋体"/>
          <w:i w:val="0"/>
          <w:iCs w:val="0"/>
          <w:sz w:val="21"/>
          <w:szCs w:val="21"/>
          <w:u w:val="none"/>
          <w:lang w:val="en-US" w:eastAsia="zh-CN"/>
        </w:rPr>
        <w:outlineLvl w:val="3"/>
      </w:pPr>
      <w:r>
        <w:rPr>
          <w:rFonts w:hint="eastAsia" w:ascii="宋体" w:hAnsi="宋体" w:eastAsia="宋体" w:cs="宋体"/>
          <w:i w:val="0"/>
          <w:iCs w:val="0"/>
          <w:sz w:val="21"/>
          <w:szCs w:val="21"/>
          <w:u w:val="none"/>
          <w:lang w:val="en-US" w:eastAsia="zh-CN"/>
        </w:rPr>
        <w:t xml:space="preserve">网络设备清单</w:t>
      </w:r>
      <w:r/>
    </w:p>
    <w:p>
      <w:pPr>
        <w:rPr>
          <w:rFonts w:hint="eastAsia"/>
          <w:lang w:val="en-US" w:eastAsia="zh-CN"/>
        </w:rPr>
      </w:pPr>
      <w:r>
        <w:rPr>
          <w:rFonts w:hint="eastAsia"/>
          <w:lang w:val="en-US" w:eastAsia="zh-CN"/>
        </w:rPr>
      </w:r>
      <w:r/>
    </w:p>
    <w:tbl>
      <w:tblPr>
        <w:tblStyle w:val="739"/>
        <w:tblW w:w="8624" w:type="dxa"/>
        <w:tblInd w:w="113" w:type="dxa"/>
        <w:tblLayout w:type="autofit"/>
        <w:tblCellMar>
          <w:left w:w="108" w:type="dxa"/>
          <w:top w:w="0" w:type="dxa"/>
          <w:right w:w="108" w:type="dxa"/>
          <w:bottom w:w="0" w:type="dxa"/>
        </w:tblCellMar>
        <w:tblLook w:val="04A0" w:firstRow="1" w:lastRow="0" w:firstColumn="1" w:lastColumn="0" w:noHBand="0" w:noVBand="1"/>
      </w:tblPr>
      <w:tblGrid>
        <w:gridCol w:w="1680"/>
        <w:gridCol w:w="3394"/>
        <w:gridCol w:w="1269"/>
        <w:gridCol w:w="2281"/>
      </w:tblGrid>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楼层交换机</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总计</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24口交换机万兆上行</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32</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48口交换机万兆上行</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24口交换机千兆上行</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48口交换机千兆上行</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24口POE交换机千兆上行</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r>
      <w:tr>
        <w:trPr>
          <w:trHeight w:val="279"/>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48口POE交换机千兆上行</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r>
      <w:tr>
        <w:trPr>
          <w:trHeight w:val="272"/>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color w:val="auto"/>
                <w:szCs w:val="24"/>
                <w:lang w:val="en-US" w:eastAsia="zh-CN" w:bidi="ar-SA"/>
              </w:rPr>
            </w:pPr>
            <w:r>
              <w:rPr>
                <w:rFonts w:hint="eastAsia" w:ascii="宋体" w:hAnsi="宋体" w:eastAsia="宋体" w:cs="宋体"/>
                <w:color w:val="auto"/>
                <w:szCs w:val="24"/>
                <w:lang w:val="en-US" w:eastAsia="zh-CN" w:bidi="ar-SA"/>
              </w:rPr>
              <w:t xml:space="preserve">视频网核心交换机</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color w:val="auto"/>
                <w:szCs w:val="24"/>
                <w:lang w:val="en-US" w:eastAsia="zh-CN" w:bidi="ar-SA"/>
              </w:rPr>
            </w:pPr>
            <w:r>
              <w:rPr>
                <w:rFonts w:hint="eastAsia" w:ascii="宋体" w:hAnsi="宋体" w:eastAsia="宋体" w:cs="宋体"/>
                <w:color w:val="auto"/>
                <w:szCs w:val="24"/>
                <w:lang w:val="en-US" w:eastAsia="zh-CN" w:bidi="ar-SA"/>
              </w:rPr>
              <w:t xml:space="preserve">车管专网核心交换机</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color w:val="auto"/>
                <w:szCs w:val="24"/>
                <w:lang w:val="en-US" w:eastAsia="zh-CN" w:bidi="ar-SA"/>
              </w:rPr>
            </w:pPr>
            <w:r>
              <w:rPr>
                <w:rFonts w:hint="eastAsia" w:ascii="宋体" w:hAnsi="宋体" w:eastAsia="宋体" w:cs="宋体"/>
                <w:color w:val="auto"/>
                <w:szCs w:val="24"/>
                <w:lang w:val="en-US" w:eastAsia="zh-CN" w:bidi="ar-SA"/>
              </w:rPr>
              <w:t xml:space="preserve">出入境专网核心交换机</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color w:val="auto"/>
                <w:szCs w:val="24"/>
                <w:lang w:val="en-US" w:eastAsia="zh-CN" w:bidi="ar-SA"/>
              </w:rPr>
            </w:pPr>
            <w:r>
              <w:rPr>
                <w:rFonts w:hint="eastAsia" w:ascii="宋体" w:hAnsi="宋体" w:eastAsia="宋体" w:cs="宋体"/>
                <w:color w:val="auto"/>
                <w:szCs w:val="24"/>
                <w:lang w:val="en-US" w:eastAsia="zh-CN" w:bidi="ar-SA"/>
              </w:rPr>
              <w:t xml:space="preserve">电子政务外网核心交换机</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auto" w:sz="4" w:space="0"/>
              <w:left w:val="single" w:color="auto" w:sz="4" w:space="0"/>
              <w:bottom w:val="single" w:color="auto" w:sz="4" w:space="0"/>
              <w:right w:val="single" w:color="auto" w:sz="4" w:space="0"/>
            </w:tcBorders>
            <w:tcW w:w="3394" w:type="dxa"/>
            <w:vAlign w:val="top"/>
            <w:textDirection w:val="lrTb"/>
            <w:noWrap w:val="false"/>
          </w:tcPr>
          <w:p>
            <w:pPr>
              <w:jc w:val="center"/>
              <w:rPr>
                <w:rFonts w:hint="eastAsia" w:ascii="宋体" w:hAnsi="宋体" w:eastAsia="宋体" w:cs="宋体"/>
                <w:color w:val="auto"/>
                <w:szCs w:val="24"/>
                <w:lang w:val="en-US" w:eastAsia="zh-CN" w:bidi="ar-SA"/>
              </w:rPr>
            </w:pPr>
            <w:r>
              <w:rPr>
                <w:rFonts w:hint="eastAsia" w:ascii="宋体" w:hAnsi="宋体" w:eastAsia="宋体" w:cs="宋体"/>
                <w:color w:val="auto"/>
                <w:szCs w:val="24"/>
                <w:lang w:val="en-US" w:eastAsia="zh-CN" w:bidi="ar-SA"/>
              </w:rPr>
              <w:t xml:space="preserve">互联网核心交换机</w:t>
            </w:r>
            <w:r/>
          </w:p>
        </w:tc>
        <w:tc>
          <w:tcPr>
            <w:tcBorders>
              <w:top w:val="single" w:color="auto" w:sz="4" w:space="0"/>
              <w:left w:val="single" w:color="auto" w:sz="4" w:space="0"/>
              <w:bottom w:val="single" w:color="auto" w:sz="4" w:space="0"/>
              <w:right w:val="single" w:color="auto" w:sz="4" w:space="0"/>
            </w:tcBorders>
            <w:tcW w:w="1269"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3394"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千兆单纤单模模块1</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auto" w:sz="4" w:space="0"/>
              <w:left w:val="single" w:color="auto" w:sz="4" w:space="0"/>
              <w:bottom w:val="single" w:color="auto" w:sz="4" w:space="0"/>
              <w:right w:val="single" w:color="auto" w:sz="4" w:space="0"/>
            </w:tcBorders>
            <w:tcW w:w="3394"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千兆单纤单模模块2</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auto" w:sz="4" w:space="0"/>
              <w:left w:val="single" w:color="auto" w:sz="4" w:space="0"/>
              <w:bottom w:val="single" w:color="auto" w:sz="4" w:space="0"/>
              <w:right w:val="single" w:color="auto" w:sz="4" w:space="0"/>
            </w:tcBorders>
            <w:tcW w:w="3394"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万兆单纤单模模块1</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auto" w:sz="4" w:space="0"/>
              <w:left w:val="single" w:color="auto" w:sz="4" w:space="0"/>
              <w:bottom w:val="single" w:color="auto" w:sz="4" w:space="0"/>
              <w:right w:val="single" w:color="auto" w:sz="4" w:space="0"/>
            </w:tcBorders>
            <w:tcW w:w="3394"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万兆单纤单模模块2</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w:t>
            </w:r>
            <w:r/>
          </w:p>
        </w:tc>
        <w:tc>
          <w:tcPr>
            <w:tcBorders>
              <w:top w:val="single" w:color="auto" w:sz="4" w:space="0"/>
              <w:left w:val="single" w:color="auto" w:sz="4" w:space="0"/>
              <w:bottom w:val="single" w:color="auto" w:sz="4" w:space="0"/>
              <w:right w:val="single" w:color="auto" w:sz="4" w:space="0"/>
            </w:tcBorders>
            <w:tcW w:w="3394"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10G单模模块-40KM</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17</w:t>
            </w:r>
            <w:r/>
          </w:p>
        </w:tc>
        <w:tc>
          <w:tcPr>
            <w:tcBorders>
              <w:top w:val="single" w:color="auto" w:sz="4" w:space="0"/>
              <w:left w:val="single" w:color="auto" w:sz="4" w:space="0"/>
              <w:bottom w:val="single" w:color="auto" w:sz="4" w:space="0"/>
              <w:right w:val="single" w:color="auto" w:sz="4" w:space="0"/>
            </w:tcBorders>
            <w:tcW w:w="3394"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40G单模模块-40KM</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w:t>
            </w:r>
            <w:r/>
          </w:p>
        </w:tc>
        <w:tc>
          <w:tcPr>
            <w:tcBorders>
              <w:top w:val="single" w:color="auto" w:sz="4" w:space="0"/>
              <w:left w:val="single" w:color="auto" w:sz="4" w:space="0"/>
              <w:bottom w:val="single" w:color="auto" w:sz="4" w:space="0"/>
              <w:right w:val="single" w:color="auto" w:sz="4" w:space="0"/>
            </w:tcBorders>
            <w:tcW w:w="3394"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color w:val="ff0000"/>
                <w:szCs w:val="24"/>
                <w:lang w:val="en-US" w:eastAsia="zh-CN"/>
              </w:rPr>
              <w:t xml:space="preserve">无线控制器</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19</w:t>
            </w:r>
            <w:r/>
          </w:p>
        </w:tc>
        <w:tc>
          <w:tcPr>
            <w:tcBorders>
              <w:top w:val="single" w:color="auto" w:sz="4" w:space="0"/>
              <w:left w:val="single" w:color="auto" w:sz="4" w:space="0"/>
              <w:bottom w:val="single" w:color="auto" w:sz="4" w:space="0"/>
              <w:right w:val="single" w:color="auto" w:sz="4" w:space="0"/>
            </w:tcBorders>
            <w:tcW w:w="3394"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上网行为管理器</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bl>
    <w:p>
      <w:pPr>
        <w:jc w:val="center"/>
        <w:spacing w:line="360" w:lineRule="auto"/>
        <w:rPr>
          <w:rFonts w:hint="eastAsia" w:ascii="宋体" w:hAnsi="宋体" w:eastAsia="宋体" w:cs="宋体"/>
          <w:szCs w:val="24"/>
          <w:lang w:val="en-US" w:eastAsia="zh-CN" w:bidi="ar-SA"/>
        </w:rPr>
      </w:pPr>
      <w:r/>
      <w:bookmarkStart w:id="287" w:name="_Toc195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光模块清单</w:t>
      </w:r>
      <w:r/>
    </w:p>
    <w:tbl>
      <w:tblPr>
        <w:tblStyle w:val="739"/>
        <w:tblW w:w="5055" w:type="pct"/>
        <w:tblInd w:w="113" w:type="dxa"/>
        <w:tblLayout w:type="fixed"/>
        <w:tblCellMar>
          <w:left w:w="108" w:type="dxa"/>
          <w:top w:w="0" w:type="dxa"/>
          <w:right w:w="108" w:type="dxa"/>
          <w:bottom w:w="0" w:type="dxa"/>
        </w:tblCellMar>
        <w:tblLook w:val="04A0" w:firstRow="1" w:lastRow="0" w:firstColumn="1" w:lastColumn="0" w:noHBand="0" w:noVBand="1"/>
      </w:tblPr>
      <w:tblGrid>
        <w:gridCol w:w="822"/>
        <w:gridCol w:w="4115"/>
        <w:gridCol w:w="2202"/>
        <w:gridCol w:w="2131"/>
      </w:tblGrid>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top"/>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825"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top"/>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981" w:type="dxa"/>
            <w:vAlign w:val="top"/>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千兆单纤单模模块1</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千兆单纤单模模块2</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万兆单纤单模模块1</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万兆单纤单模模块2</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10G单模模块-40KM</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40G单模模块-40KM</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r>
    </w:tbl>
    <w:p>
      <w:pPr>
        <w:jc w:val="center"/>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安装辅材清单</w:t>
      </w:r>
      <w:r/>
    </w:p>
    <w:tbl>
      <w:tblPr>
        <w:tblStyle w:val="739"/>
        <w:tblW w:w="5061" w:type="pct"/>
        <w:tblInd w:w="113" w:type="dxa"/>
        <w:tblLayout w:type="fixed"/>
        <w:tblCellMar>
          <w:left w:w="108" w:type="dxa"/>
          <w:top w:w="0" w:type="dxa"/>
          <w:right w:w="108" w:type="dxa"/>
          <w:bottom w:w="0" w:type="dxa"/>
        </w:tblCellMar>
        <w:tblLook w:val="04A0" w:firstRow="1" w:lastRow="0" w:firstColumn="1" w:lastColumn="0" w:noHBand="0" w:noVBand="1"/>
      </w:tblPr>
      <w:tblGrid>
        <w:gridCol w:w="1017"/>
        <w:gridCol w:w="2617"/>
        <w:gridCol w:w="2732"/>
        <w:gridCol w:w="1360"/>
        <w:gridCol w:w="1555"/>
      </w:tblGrid>
      <w:tr>
        <w:trPr>
          <w:trHeight w:val="400"/>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540" w:type="dxa"/>
            <w:vAlign w:val="top"/>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规格</w:t>
            </w:r>
            <w:r/>
          </w:p>
        </w:tc>
        <w:tc>
          <w:tcPr>
            <w:tcBorders>
              <w:top w:val="single" w:color="000000" w:sz="4" w:space="0"/>
              <w:left w:val="single" w:color="000000" w:sz="4" w:space="0"/>
              <w:bottom w:val="single" w:color="000000" w:sz="4" w:space="0"/>
              <w:right w:val="single" w:color="000000" w:sz="4" w:space="0"/>
            </w:tcBorders>
            <w:tcW w:w="1264" w:type="dxa"/>
            <w:vAlign w:val="top"/>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446" w:type="dxa"/>
            <w:vAlign w:val="top"/>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12芯室内单模光缆</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500</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24芯室内单模光缆</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500</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弱电间单模尾纤</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3米SC-LC</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520</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0.5-1米</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953</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2米</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50</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3米</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5米</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10米</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理线架</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配线架</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SC-LC单模束装缆</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20米12芯</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条</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28</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室内六类网线</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室内六类网线</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箱</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六类水晶头</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RJ45</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1500</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光缆熔接</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芯</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96</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辅材</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扎带，胶布等</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约需95个工日</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bl>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bookmarkEnd w:id="287"/>
      <w:r/>
    </w:p>
    <w:p>
      <w:pPr>
        <w:numPr>
          <w:ilvl w:val="0"/>
          <w:numId w:val="10"/>
        </w:numPr>
        <w:jc w:val="left"/>
        <w:spacing w:line="360" w:lineRule="auto"/>
        <w:widowControl w:val="off"/>
        <w:rPr>
          <w:rFonts w:hint="eastAsia" w:ascii="宋体" w:hAnsi="宋体" w:eastAsia="宋体" w:cs="宋体"/>
          <w:b/>
          <w:bCs/>
          <w:sz w:val="21"/>
          <w:szCs w:val="21"/>
          <w:lang w:val="en-US" w:eastAsia="zh-CN" w:bidi="ar-SA"/>
        </w:rPr>
        <w:outlineLvl w:val="0"/>
      </w:pPr>
      <w:r/>
      <w:bookmarkStart w:id="288" w:name="_Toc25347"/>
      <w:r>
        <w:rPr>
          <w:rFonts w:hint="eastAsia" w:ascii="宋体" w:hAnsi="宋体" w:eastAsia="宋体" w:cs="宋体"/>
          <w:b/>
          <w:bCs/>
          <w:sz w:val="21"/>
          <w:szCs w:val="21"/>
          <w:lang w:val="en-US" w:eastAsia="zh-CN" w:bidi="ar-SA"/>
        </w:rPr>
        <w:t xml:space="preserve">项目清单</w:t>
      </w:r>
      <w:bookmarkEnd w:id="288"/>
      <w:r/>
      <w:r/>
    </w:p>
    <w:p>
      <w:pPr>
        <w:jc w:val="left"/>
        <w:spacing w:line="360" w:lineRule="auto"/>
        <w:widowControl/>
        <w:rPr>
          <w:rFonts w:hint="eastAsia" w:ascii="宋体" w:hAnsi="宋体" w:eastAsia="宋体" w:cs="宋体"/>
          <w:b/>
          <w:bCs/>
          <w:sz w:val="21"/>
          <w:szCs w:val="21"/>
          <w:lang w:val="en-US" w:eastAsia="zh-CN" w:bidi="ar-SA"/>
        </w:rPr>
        <w:outlineLvl w:val="1"/>
      </w:pPr>
      <w:r/>
      <w:bookmarkStart w:id="289" w:name="_Toc25750"/>
      <w:r>
        <w:rPr>
          <w:rFonts w:hint="eastAsia" w:ascii="宋体" w:hAnsi="宋体" w:eastAsia="宋体" w:cs="宋体"/>
          <w:b/>
          <w:bCs/>
          <w:sz w:val="21"/>
          <w:szCs w:val="21"/>
          <w:lang w:val="en-US" w:eastAsia="zh-CN" w:bidi="ar-SA"/>
        </w:rPr>
        <w:t xml:space="preserve">车管所</w:t>
      </w:r>
      <w:bookmarkEnd w:id="289"/>
      <w:r/>
      <w:r/>
    </w:p>
    <w:p>
      <w:pPr>
        <w:numPr>
          <w:ilvl w:val="0"/>
          <w:numId w:val="11"/>
        </w:numPr>
        <w:ind w:left="210"/>
        <w:spacing w:line="360" w:lineRule="auto"/>
        <w:rPr>
          <w:rFonts w:hint="eastAsia"/>
          <w:lang w:val="en-US" w:eastAsia="zh-CN"/>
        </w:rPr>
        <w:outlineLvl w:val="2"/>
      </w:pPr>
      <w:r/>
      <w:bookmarkStart w:id="290" w:name="_Toc29127"/>
      <w:r>
        <w:rPr>
          <w:rFonts w:hint="eastAsia" w:ascii="宋体" w:hAnsi="宋体" w:eastAsia="宋体" w:cs="宋体"/>
          <w:b/>
          <w:bCs/>
          <w:sz w:val="21"/>
          <w:szCs w:val="21"/>
          <w:lang w:val="en-US" w:eastAsia="zh-CN" w:bidi="ar-SA"/>
        </w:rPr>
        <w:t xml:space="preserve">车驾管综合监管音视频接入</w:t>
      </w:r>
      <w:bookmarkEnd w:id="290"/>
      <w:r/>
      <w:r/>
    </w:p>
    <w:tbl>
      <w:tblPr>
        <w:tblStyle w:val="7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4"/>
        <w:gridCol w:w="5033"/>
        <w:gridCol w:w="778"/>
      </w:tblGrid>
      <w:tr>
        <w:trPr>
          <w:jc w:val="center"/>
          <w:trHeight w:val="522"/>
        </w:trPr>
        <w:tc>
          <w:tcPr>
            <w:tcW w:w="406" w:type="pct"/>
            <w:vAlign w:val="center"/>
            <w:textDirection w:val="lrTb"/>
            <w:noWrap/>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W w:w="142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设备名称</w:t>
            </w:r>
            <w:r/>
          </w:p>
        </w:tc>
        <w:tc>
          <w:tcPr>
            <w:tcW w:w="274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功能描述</w:t>
            </w:r>
            <w:r/>
          </w:p>
        </w:tc>
        <w:tc>
          <w:tcPr>
            <w:tcW w:w="42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r>
      <w:tr>
        <w:trPr>
          <w:jc w:val="center"/>
          <w:trHeight w:val="20"/>
        </w:trPr>
        <w:tc>
          <w:tcPr>
            <w:tcW w:w="40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W w:w="142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专网视频汇聚一体机</w:t>
            </w:r>
            <w:r/>
          </w:p>
        </w:tc>
        <w:tc>
          <w:tcPr>
            <w:tcW w:w="27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详见车管所设备参数</w:t>
            </w:r>
            <w:r/>
          </w:p>
        </w:tc>
        <w:tc>
          <w:tcPr>
            <w:tcW w:w="42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jc w:val="center"/>
          <w:trHeight w:val="20"/>
        </w:trPr>
        <w:tc>
          <w:tcPr>
            <w:tcW w:w="40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W w:w="142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视频汇聚服务器</w:t>
            </w:r>
            <w:r/>
          </w:p>
        </w:tc>
        <w:tc>
          <w:tcPr>
            <w:tcW w:w="27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详见车管所设备参数</w:t>
            </w:r>
            <w:r/>
          </w:p>
        </w:tc>
        <w:tc>
          <w:tcPr>
            <w:tcW w:w="42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r>
      <w:tr>
        <w:trPr>
          <w:jc w:val="center"/>
          <w:trHeight w:val="20"/>
        </w:trPr>
        <w:tc>
          <w:tcPr>
            <w:tcW w:w="40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W w:w="142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视频服务网关</w:t>
            </w:r>
            <w:r/>
          </w:p>
        </w:tc>
        <w:tc>
          <w:tcPr>
            <w:tcW w:w="27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详见车管所设备参数</w:t>
            </w:r>
            <w:r/>
          </w:p>
        </w:tc>
        <w:tc>
          <w:tcPr>
            <w:tcW w:w="42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jc w:val="center"/>
          <w:trHeight w:val="20"/>
        </w:trPr>
        <w:tc>
          <w:tcPr>
            <w:tcW w:w="40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W w:w="1425" w:type="pct"/>
            <w:vAlign w:val="center"/>
            <w:textDirection w:val="lrTb"/>
            <w:noWrap w:val="false"/>
          </w:tcPr>
          <w:p>
            <w:pPr>
              <w:jc w:val="center"/>
              <w:rPr>
                <w:rFonts w:hint="eastAsia" w:ascii="宋体" w:hAnsi="宋体" w:eastAsia="宋体" w:cs="宋体"/>
                <w:color w:val="000000" w:themeColor="text1"/>
                <w:szCs w:val="24"/>
                <w:lang w:val="en-US" w:eastAsia="zh-CN" w:bidi="ar-SA"/>
                <w14:textFill>
                  <w14:solidFill>
                    <w14:schemeClr w14:val="tx1"/>
                  </w14:solidFill>
                </w14:textFill>
              </w:rPr>
            </w:pPr>
            <w:r>
              <w:rPr>
                <w:rFonts w:hint="eastAsia" w:ascii="宋体" w:hAnsi="宋体" w:eastAsia="宋体" w:cs="宋体"/>
                <w:color w:val="000000" w:themeColor="text1"/>
                <w:szCs w:val="24"/>
                <w:lang w:val="en-US" w:eastAsia="zh-CN" w:bidi="ar-SA"/>
                <w14:textFill>
                  <w14:solidFill>
                    <w14:schemeClr w14:val="tx1"/>
                  </w14:solidFill>
                </w14:textFill>
              </w:rPr>
              <w:t xml:space="preserve">防火墙</w:t>
            </w:r>
            <w:r/>
          </w:p>
        </w:tc>
        <w:tc>
          <w:tcPr>
            <w:tcW w:w="2744" w:type="pct"/>
            <w:vAlign w:val="center"/>
            <w:textDirection w:val="lrTb"/>
            <w:noWrap w:val="false"/>
          </w:tcPr>
          <w:p>
            <w:pPr>
              <w:rPr>
                <w:rFonts w:hint="eastAsia" w:ascii="宋体" w:hAnsi="宋体" w:eastAsia="宋体" w:cs="宋体"/>
                <w:color w:val="000000" w:themeColor="text1"/>
                <w:szCs w:val="24"/>
                <w:lang w:val="en-US" w:eastAsia="zh-CN" w:bidi="ar-SA"/>
                <w14:textFill>
                  <w14:solidFill>
                    <w14:schemeClr w14:val="tx1"/>
                  </w14:solidFill>
                </w14:textFill>
              </w:rPr>
            </w:pPr>
            <w:r>
              <w:rPr>
                <w:rFonts w:hint="eastAsia" w:ascii="宋体" w:hAnsi="宋体" w:eastAsia="宋体" w:cs="宋体"/>
                <w:color w:val="000000" w:themeColor="text1"/>
                <w:szCs w:val="24"/>
                <w:lang w:val="en-US" w:eastAsia="zh-CN" w:bidi="ar-SA"/>
                <w14:textFill>
                  <w14:solidFill>
                    <w14:schemeClr w14:val="tx1"/>
                  </w14:solidFill>
                </w14:textFill>
              </w:rPr>
              <w:t xml:space="preserve">三层吞吐量：4.5G；七层吞吐量：1.2G；并发连接数：120W；新建连接数：2W；推荐带机量：800</w:t>
            </w:r>
            <w:r/>
          </w:p>
        </w:tc>
        <w:tc>
          <w:tcPr>
            <w:tcW w:w="42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jc w:val="center"/>
          <w:trHeight w:val="20"/>
        </w:trPr>
        <w:tc>
          <w:tcPr>
            <w:tcW w:w="40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W w:w="1425" w:type="pct"/>
            <w:vAlign w:val="center"/>
            <w:textDirection w:val="lrTb"/>
            <w:noWrap w:val="false"/>
          </w:tcPr>
          <w:p>
            <w:pPr>
              <w:jc w:val="center"/>
              <w:rPr>
                <w:rFonts w:hint="eastAsia" w:ascii="宋体" w:hAnsi="宋体" w:eastAsia="宋体" w:cs="宋体"/>
                <w:color w:val="000000" w:themeColor="text1"/>
                <w:szCs w:val="24"/>
                <w:lang w:val="en-US" w:eastAsia="zh-CN" w:bidi="ar-SA"/>
                <w14:textFill>
                  <w14:solidFill>
                    <w14:schemeClr w14:val="tx1"/>
                  </w14:solidFill>
                </w14:textFill>
              </w:rPr>
            </w:pPr>
            <w:r>
              <w:rPr>
                <w:rFonts w:hint="eastAsia" w:ascii="宋体" w:hAnsi="宋体" w:eastAsia="宋体" w:cs="宋体"/>
                <w:color w:val="000000" w:themeColor="text1"/>
                <w:szCs w:val="24"/>
                <w:lang w:val="en-US" w:eastAsia="zh-CN" w:bidi="ar-SA"/>
                <w14:textFill>
                  <w14:solidFill>
                    <w14:schemeClr w14:val="tx1"/>
                  </w14:solidFill>
                </w14:textFill>
              </w:rPr>
              <w:t xml:space="preserve">三层交换机</w:t>
            </w:r>
            <w:r/>
          </w:p>
        </w:tc>
        <w:tc>
          <w:tcPr>
            <w:tcW w:w="2744" w:type="pct"/>
            <w:vAlign w:val="center"/>
            <w:textDirection w:val="lrTb"/>
            <w:noWrap w:val="false"/>
          </w:tcPr>
          <w:p>
            <w:pPr>
              <w:rPr>
                <w:rFonts w:hint="eastAsia" w:ascii="宋体" w:hAnsi="宋体" w:eastAsia="宋体" w:cs="宋体"/>
                <w:color w:val="000000" w:themeColor="text1"/>
                <w:szCs w:val="24"/>
                <w:lang w:val="en-US" w:eastAsia="zh-CN" w:bidi="ar-SA"/>
                <w14:textFill>
                  <w14:solidFill>
                    <w14:schemeClr w14:val="tx1"/>
                  </w14:solidFill>
                </w14:textFill>
              </w:rPr>
            </w:pPr>
            <w:r>
              <w:rPr>
                <w:rFonts w:hint="eastAsia" w:ascii="宋体" w:hAnsi="宋体" w:eastAsia="宋体" w:cs="宋体"/>
                <w:color w:val="000000" w:themeColor="text1"/>
                <w:szCs w:val="24"/>
                <w:lang w:val="en-US" w:eastAsia="zh-CN" w:bidi="ar-SA"/>
                <w14:textFill>
                  <w14:solidFill>
                    <w14:schemeClr w14:val="tx1"/>
                  </w14:solidFill>
                </w14:textFill>
              </w:rPr>
              <w:t xml:space="preserve">L3以太网交换机主机,支持48个10/100/1000 TX以太网端口,支持2个千兆SFP端口,2个万兆SFP+端口；交换容量432Gbps，包转发率148Mbps</w:t>
            </w:r>
            <w:r/>
          </w:p>
        </w:tc>
        <w:tc>
          <w:tcPr>
            <w:tcW w:w="42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r>
      <w:tr>
        <w:trPr>
          <w:jc w:val="center"/>
          <w:trHeight w:val="416"/>
        </w:trPr>
        <w:tc>
          <w:tcPr>
            <w:tcW w:w="40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W w:w="142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网络综合改造</w:t>
            </w:r>
            <w:r/>
          </w:p>
        </w:tc>
        <w:tc>
          <w:tcPr>
            <w:tcW w:w="2744" w:type="pct"/>
            <w:vAlign w:val="center"/>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利旧现有网络安全设备(包括但不限于防火墙、日志审计)，对现有各自独立的车驾专网(机动车驾驶人考试监管系统、查验监管系统、检验监管系统、专网服务系统)进行改造，即通过现有防火墙、交换机配置调整，实现机动车驾驶人考试监管系统、查验检验监管系统、专网服务系统的网络互通互联。（</w:t>
            </w:r>
            <w:r>
              <w:rPr>
                <w:rFonts w:hint="eastAsia" w:ascii="宋体" w:hAnsi="宋体" w:eastAsia="宋体" w:cs="宋体"/>
                <w:b/>
                <w:szCs w:val="24"/>
                <w:lang w:val="en-US" w:eastAsia="zh-CN" w:bidi="ar-SA"/>
              </w:rPr>
              <w:t xml:space="preserve">杨庙车管所（考试专网）12家驾考考场网络，北区车管所（检验专网）58家检验机构，田庄车管所（查验专网）登记服务站26家，实现对社会化专网平台正常访问</w:t>
            </w:r>
            <w:r>
              <w:rPr>
                <w:rFonts w:hint="eastAsia" w:ascii="宋体" w:hAnsi="宋体" w:eastAsia="宋体" w:cs="宋体"/>
                <w:szCs w:val="24"/>
                <w:lang w:val="en-US" w:eastAsia="zh-CN" w:bidi="ar-SA"/>
              </w:rPr>
              <w:t xml:space="preserve">。）</w:t>
            </w:r>
            <w:r/>
          </w:p>
        </w:tc>
        <w:tc>
          <w:tcPr>
            <w:tcW w:w="42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jc w:val="center"/>
          <w:trHeight w:val="489"/>
        </w:trPr>
        <w:tc>
          <w:tcPr>
            <w:tcW w:w="40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W w:w="142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集成实施调试服务</w:t>
            </w:r>
            <w:r/>
          </w:p>
        </w:tc>
        <w:tc>
          <w:tcPr>
            <w:tcW w:w="2744" w:type="pct"/>
            <w:vAlign w:val="center"/>
            <w:textDirection w:val="lrTb"/>
            <w:noWrap w:val="false"/>
          </w:tcPr>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各类业务场所硬件设备调研及软件情况收集；硬件设备装载及组网；应用软件安装部署；模块功能调试(视频数据接入\边界数据同步)；平台对接服务；专网音视频平台场所添加；视频数据有效性调试；公安网视频网关配置；公安网视频调阅调试；专网业务视频调阅调试。</w:t>
            </w:r>
            <w:r/>
          </w:p>
        </w:tc>
        <w:tc>
          <w:tcPr>
            <w:tcW w:w="42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r>
        <w:trPr>
          <w:jc w:val="center"/>
          <w:trHeight w:val="726"/>
        </w:trPr>
        <w:tc>
          <w:tcPr>
            <w:tcW w:w="40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W w:w="142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物联网安全监测与审计平台</w:t>
            </w:r>
            <w:r/>
          </w:p>
        </w:tc>
        <w:tc>
          <w:tcPr>
            <w:tcW w:w="27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详见车管所设备参数</w:t>
            </w:r>
            <w:r/>
          </w:p>
        </w:tc>
        <w:tc>
          <w:tcPr>
            <w:tcW w:w="42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0"/>
        </w:numPr>
        <w:ind w:firstLine="420"/>
        <w:spacing w:before="20" w:after="240"/>
        <w:tabs>
          <w:tab w:val="left" w:pos="420" w:leader="none"/>
        </w:tabs>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outlineLvl w:val="3"/>
      </w:pPr>
      <w:r/>
      <w:bookmarkStart w:id="291" w:name="_Toc22823"/>
      <w:r>
        <w:rPr>
          <w:rFonts w:hint="eastAsia" w:ascii="宋体" w:hAnsi="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以上</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项目清单中的</w:t>
      </w:r>
      <w:r>
        <w:rPr>
          <w:rFonts w:hint="eastAsia" w:ascii="宋体" w:hAnsi="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防火墙、三层交换机</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必须满足《绿色数据中心政府采购需求标准（试行）》（财库[2023]7号）关于</w:t>
      </w:r>
      <w:r>
        <w:rPr>
          <w:rFonts w:hint="eastAsia" w:ascii="宋体" w:hAnsi="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防火墙、</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以太网交换机采购需求标准（</w:t>
      </w:r>
      <w:r>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投标人须</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提供承诺函）</w:t>
      </w:r>
      <w:r/>
    </w:p>
    <w:tbl>
      <w:tblPr>
        <w:tblStyle w:val="739"/>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1220"/>
        <w:gridCol w:w="1843"/>
        <w:gridCol w:w="1418"/>
        <w:gridCol w:w="1405"/>
        <w:gridCol w:w="2138"/>
      </w:tblGrid>
      <w:tr>
        <w:trPr/>
        <w:tc>
          <w:tcPr>
            <w:shd w:val="clear" w:color="auto" w:fill="auto"/>
            <w:tcW w:w="476"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gridSpan w:val="3"/>
            <w:shd w:val="clear" w:color="auto" w:fill="d8d8d8"/>
            <w:tcW w:w="4481"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指标</w:t>
            </w:r>
            <w:r/>
          </w:p>
        </w:tc>
        <w:tc>
          <w:tcPr>
            <w:shd w:val="clear" w:color="auto" w:fill="d8d8d8"/>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限制值</w:t>
            </w:r>
            <w:r/>
          </w:p>
        </w:tc>
        <w:tc>
          <w:tcPr>
            <w:shd w:val="clear" w:color="auto" w:fill="d8d8d8"/>
            <w:tcW w:w="2138"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判定依据</w:t>
            </w: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w:t>
            </w: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方法</w:t>
            </w:r>
            <w:r/>
          </w:p>
        </w:tc>
      </w:tr>
      <w:tr>
        <w:trPr/>
        <w:tc>
          <w:tcPr>
            <w:shd w:val="clear" w:color="auto" w:fill="auto"/>
            <w:tcW w:w="476"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1</w:t>
            </w:r>
            <w:r/>
          </w:p>
        </w:tc>
        <w:tc>
          <w:tcPr>
            <w:shd w:val="clear" w:color="auto" w:fill="auto"/>
            <w:tcW w:w="1220"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固定端口防火墙产品</w:t>
            </w:r>
            <w:r>
              <w:rPr>
                <w:rFonts w:hint="eastAsia" w:ascii="Calibri" w:hAnsi="宋体" w:eastAsia="宋体" w:cs="Times New Roman"/>
                <w:color w:val="1f497d" w:themeColor="text2"/>
                <w:szCs w:val="24"/>
                <w:lang w:val="en-US" w:eastAsia="zh-CN" w:bidi="ar-SA"/>
                <w14:textFill>
                  <w14:solidFill>
                    <w14:schemeClr w14:val="tx2"/>
                  </w14:solidFill>
                </w14:textFill>
              </w:rPr>
              <w:t xml:space="preserve">轻量化指标要求</w:t>
            </w:r>
            <w:r/>
          </w:p>
        </w:tc>
        <w:tc>
          <w:tcPr>
            <w:shd w:val="clear" w:color="auto" w:fill="auto"/>
            <w:tcW w:w="1843"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吞吐量档位40G以上</w:t>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体积上限</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36 dm</w:t>
            </w:r>
            <w:r>
              <w:rPr>
                <w:rFonts w:hint="default" w:ascii="Times New Roman" w:hAnsi="Times New Roman" w:eastAsia="宋体" w:cs="Times New Roman"/>
                <w:color w:val="1f497d" w:themeColor="text2"/>
                <w:szCs w:val="21"/>
                <w:highlight w:val="none"/>
                <w:vertAlign w:val="superscript"/>
                <w:lang w:val="en-US" w:eastAsia="zh-CN" w:bidi="ar-SA"/>
                <w14:textFill>
                  <w14:solidFill>
                    <w14:schemeClr w14:val="tx2"/>
                  </w14:solidFill>
                </w14:textFill>
              </w:rPr>
              <w:t xml:space="preserve">3</w:t>
            </w:r>
            <w:r/>
          </w:p>
        </w:tc>
        <w:tc>
          <w:tcPr>
            <w:shd w:val="clear" w:color="auto" w:fill="auto"/>
            <w:tcW w:w="2138"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1．体积指产品长*高*深（不含挂耳、走线齿）</w:t>
            </w:r>
            <w:r/>
          </w:p>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2．吞吐量采用IPV4协议类型</w:t>
            </w:r>
            <w:r/>
          </w:p>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3. 附录</w:t>
            </w: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F要求</w:t>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功耗</w:t>
            </w:r>
            <w:r>
              <w:rPr>
                <w:rFonts w:hint="default" w:ascii="Calibri" w:hAnsi="Calibri" w:eastAsia="宋体" w:cs="Times New Roman"/>
                <w:color w:val="1f497d" w:themeColor="text2"/>
                <w:szCs w:val="21"/>
                <w:lang w:val="en-US" w:eastAsia="zh-CN" w:bidi="ar-SA"/>
                <w14:textFill>
                  <w14:solidFill>
                    <w14:schemeClr w14:val="tx2"/>
                  </w14:solidFill>
                </w14:textFill>
              </w:rPr>
              <w:t xml:space="preserve">/</w:t>
            </w: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吞吐量</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eastAsia" w:ascii="宋体" w:hAnsi="宋体" w:eastAsia="宋体" w:cs="宋体"/>
                <w:color w:val="1f497d" w:themeColor="text2"/>
                <w:szCs w:val="21"/>
                <w:highlight w:val="none"/>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5 W/Gbps</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吞吐量档位30G以上~40G</w:t>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体积上限</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18 dm</w:t>
            </w:r>
            <w:r>
              <w:rPr>
                <w:rFonts w:hint="default" w:ascii="Times New Roman" w:hAnsi="Times New Roman" w:eastAsia="宋体" w:cs="Times New Roman"/>
                <w:color w:val="1f497d" w:themeColor="text2"/>
                <w:szCs w:val="21"/>
                <w:highlight w:val="none"/>
                <w:vertAlign w:val="superscript"/>
                <w:lang w:val="en-US" w:eastAsia="zh-CN" w:bidi="ar-SA"/>
                <w14:textFill>
                  <w14:solidFill>
                    <w14:schemeClr w14:val="tx2"/>
                  </w14:solidFill>
                </w14:textFill>
              </w:rPr>
              <w:t xml:space="preserve">3</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功耗</w:t>
            </w:r>
            <w:r>
              <w:rPr>
                <w:rFonts w:hint="default" w:ascii="Calibri" w:hAnsi="Calibri" w:eastAsia="宋体" w:cs="Times New Roman"/>
                <w:color w:val="1f497d" w:themeColor="text2"/>
                <w:szCs w:val="21"/>
                <w:lang w:val="en-US" w:eastAsia="zh-CN" w:bidi="ar-SA"/>
                <w14:textFill>
                  <w14:solidFill>
                    <w14:schemeClr w14:val="tx2"/>
                  </w14:solidFill>
                </w14:textFill>
              </w:rPr>
              <w:t xml:space="preserve">/</w:t>
            </w: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吞吐量</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eastAsia" w:ascii="宋体" w:hAnsi="宋体" w:eastAsia="宋体" w:cs="宋体"/>
                <w:color w:val="1f497d" w:themeColor="text2"/>
                <w:szCs w:val="21"/>
                <w:highlight w:val="none"/>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6 W/Gbps</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吞吐量档位20G以上~30G</w:t>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体积上限</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18 dm</w:t>
            </w:r>
            <w:r>
              <w:rPr>
                <w:rFonts w:hint="default" w:ascii="Times New Roman" w:hAnsi="Times New Roman" w:eastAsia="宋体" w:cs="Times New Roman"/>
                <w:color w:val="1f497d" w:themeColor="text2"/>
                <w:szCs w:val="21"/>
                <w:highlight w:val="none"/>
                <w:vertAlign w:val="superscript"/>
                <w:lang w:val="en-US" w:eastAsia="zh-CN" w:bidi="ar-SA"/>
                <w14:textFill>
                  <w14:solidFill>
                    <w14:schemeClr w14:val="tx2"/>
                  </w14:solidFill>
                </w14:textFill>
              </w:rPr>
              <w:t xml:space="preserve">3</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功耗</w:t>
            </w:r>
            <w:r>
              <w:rPr>
                <w:rFonts w:hint="default" w:ascii="Calibri" w:hAnsi="Calibri" w:eastAsia="宋体" w:cs="Times New Roman"/>
                <w:color w:val="1f497d" w:themeColor="text2"/>
                <w:szCs w:val="21"/>
                <w:lang w:val="en-US" w:eastAsia="zh-CN" w:bidi="ar-SA"/>
                <w14:textFill>
                  <w14:solidFill>
                    <w14:schemeClr w14:val="tx2"/>
                  </w14:solidFill>
                </w14:textFill>
              </w:rPr>
              <w:t xml:space="preserve">/</w:t>
            </w: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吞吐量</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eastAsia" w:ascii="宋体" w:hAnsi="宋体" w:eastAsia="宋体" w:cs="宋体"/>
                <w:color w:val="1f497d" w:themeColor="text2"/>
                <w:szCs w:val="21"/>
                <w:highlight w:val="none"/>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16 W/Gbps</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吞吐量档位10G以上~20G</w:t>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体积上限</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12 dm</w:t>
            </w:r>
            <w:r>
              <w:rPr>
                <w:rFonts w:hint="default" w:ascii="Times New Roman" w:hAnsi="Times New Roman" w:eastAsia="宋体" w:cs="Times New Roman"/>
                <w:color w:val="1f497d" w:themeColor="text2"/>
                <w:szCs w:val="21"/>
                <w:highlight w:val="none"/>
                <w:vertAlign w:val="superscript"/>
                <w:lang w:val="en-US" w:eastAsia="zh-CN" w:bidi="ar-SA"/>
                <w14:textFill>
                  <w14:solidFill>
                    <w14:schemeClr w14:val="tx2"/>
                  </w14:solidFill>
                </w14:textFill>
              </w:rPr>
              <w:t xml:space="preserve">3</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rHeight w:val="336"/>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功耗</w:t>
            </w:r>
            <w:r>
              <w:rPr>
                <w:rFonts w:hint="default" w:ascii="Calibri" w:hAnsi="Calibri" w:eastAsia="宋体" w:cs="Times New Roman"/>
                <w:color w:val="1f497d" w:themeColor="text2"/>
                <w:szCs w:val="21"/>
                <w:lang w:val="en-US" w:eastAsia="zh-CN" w:bidi="ar-SA"/>
                <w14:textFill>
                  <w14:solidFill>
                    <w14:schemeClr w14:val="tx2"/>
                  </w14:solidFill>
                </w14:textFill>
              </w:rPr>
              <w:t xml:space="preserve">/</w:t>
            </w: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吞吐量</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eastAsia" w:ascii="宋体" w:hAnsi="宋体" w:eastAsia="宋体" w:cs="宋体"/>
                <w:color w:val="1f497d" w:themeColor="text2"/>
                <w:szCs w:val="21"/>
                <w:highlight w:val="none"/>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23</w:t>
            </w: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 W/Gbps</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吞吐量档位1G以上~10G</w:t>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体积上限</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12 dm</w:t>
            </w:r>
            <w:r>
              <w:rPr>
                <w:rFonts w:hint="default" w:ascii="Times New Roman" w:hAnsi="Times New Roman" w:eastAsia="宋体" w:cs="Times New Roman"/>
                <w:color w:val="1f497d" w:themeColor="text2"/>
                <w:szCs w:val="21"/>
                <w:highlight w:val="none"/>
                <w:vertAlign w:val="superscript"/>
                <w:lang w:val="en-US" w:eastAsia="zh-CN" w:bidi="ar-SA"/>
                <w14:textFill>
                  <w14:solidFill>
                    <w14:schemeClr w14:val="tx2"/>
                  </w14:solidFill>
                </w14:textFill>
              </w:rPr>
              <w:t xml:space="preserve">3</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功耗</w:t>
            </w:r>
            <w:r>
              <w:rPr>
                <w:rFonts w:hint="default" w:ascii="Calibri" w:hAnsi="Calibri" w:eastAsia="宋体" w:cs="Times New Roman"/>
                <w:color w:val="1f497d" w:themeColor="text2"/>
                <w:szCs w:val="21"/>
                <w:lang w:val="en-US" w:eastAsia="zh-CN" w:bidi="ar-SA"/>
                <w14:textFill>
                  <w14:solidFill>
                    <w14:schemeClr w14:val="tx2"/>
                  </w14:solidFill>
                </w14:textFill>
              </w:rPr>
              <w:t xml:space="preserve">/</w:t>
            </w: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吞吐量</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eastAsia" w:ascii="宋体" w:hAnsi="宋体" w:eastAsia="宋体" w:cs="宋体"/>
                <w:color w:val="1f497d" w:themeColor="text2"/>
                <w:szCs w:val="21"/>
                <w:highlight w:val="none"/>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25 W/Gbps</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吞吐量档位1G及以下</w:t>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体积上限</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10 dm</w:t>
            </w:r>
            <w:r>
              <w:rPr>
                <w:rFonts w:hint="default" w:ascii="Times New Roman" w:hAnsi="Times New Roman" w:eastAsia="宋体" w:cs="Times New Roman"/>
                <w:color w:val="1f497d" w:themeColor="text2"/>
                <w:szCs w:val="21"/>
                <w:highlight w:val="none"/>
                <w:vertAlign w:val="superscript"/>
                <w:lang w:val="en-US" w:eastAsia="zh-CN" w:bidi="ar-SA"/>
                <w14:textFill>
                  <w14:solidFill>
                    <w14:schemeClr w14:val="tx2"/>
                  </w14:solidFill>
                </w14:textFill>
              </w:rPr>
              <w:t xml:space="preserve">3</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220"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843"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功耗</w:t>
            </w:r>
            <w:r>
              <w:rPr>
                <w:rFonts w:hint="default" w:ascii="Calibri" w:hAnsi="Calibri" w:eastAsia="宋体" w:cs="Times New Roman"/>
                <w:color w:val="1f497d" w:themeColor="text2"/>
                <w:szCs w:val="21"/>
                <w:lang w:val="en-US" w:eastAsia="zh-CN" w:bidi="ar-SA"/>
                <w14:textFill>
                  <w14:solidFill>
                    <w14:schemeClr w14:val="tx2"/>
                  </w14:solidFill>
                </w14:textFill>
              </w:rPr>
              <w:t xml:space="preserve">/</w:t>
            </w:r>
            <w:r>
              <w:rPr>
                <w:rFonts w:hint="eastAsia" w:ascii="Calibri" w:hAnsi="Calibri" w:eastAsia="宋体" w:cs="Times New Roman"/>
                <w:color w:val="1f497d" w:themeColor="text2"/>
                <w:szCs w:val="21"/>
                <w:lang w:val="en-US" w:eastAsia="zh-CN" w:bidi="ar-SA"/>
                <w14:textFill>
                  <w14:solidFill>
                    <w14:schemeClr w14:val="tx2"/>
                  </w14:solidFill>
                </w14:textFill>
              </w:rPr>
              <w:t xml:space="preserve">吞吐量</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pPr>
            <w:r>
              <w:rPr>
                <w:rFonts w:hint="eastAsia" w:ascii="宋体" w:hAnsi="宋体" w:eastAsia="宋体" w:cs="宋体"/>
                <w:color w:val="1f497d" w:themeColor="text2"/>
                <w:szCs w:val="21"/>
                <w:highlight w:val="none"/>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65</w:t>
            </w:r>
            <w:r>
              <w:rPr>
                <w:rFonts w:hint="default" w:ascii="Times New Roman" w:hAnsi="Times New Roman" w:eastAsia="宋体" w:cs="Times New Roman"/>
                <w:color w:val="1f497d" w:themeColor="text2"/>
                <w:szCs w:val="21"/>
                <w:highlight w:val="none"/>
                <w:lang w:val="en-US" w:eastAsia="zh-CN" w:bidi="ar-SA"/>
                <w14:textFill>
                  <w14:solidFill>
                    <w14:schemeClr w14:val="tx2"/>
                  </w14:solidFill>
                </w14:textFill>
              </w:rPr>
              <w:t xml:space="preserve"> W/Gbps</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2</w:t>
            </w:r>
            <w:r/>
          </w:p>
        </w:tc>
        <w:tc>
          <w:tcPr>
            <w:gridSpan w:val="2"/>
            <w:shd w:val="clear" w:color="auto" w:fill="auto"/>
            <w:tcW w:w="3063"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固定端口防火墙外部电源</w:t>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能耗</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GB20943</w:t>
            </w: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的节能评价值</w:t>
            </w:r>
            <w:r/>
          </w:p>
        </w:tc>
        <w:tc>
          <w:tcPr>
            <w:shd w:val="clear" w:color="auto" w:fill="auto"/>
            <w:tcW w:w="2138" w:type="dxa"/>
            <w:vAlign w:val="center"/>
            <w:textDirection w:val="lrTb"/>
            <w:noWrap w:val="false"/>
          </w:tcPr>
          <w:p>
            <w:pPr>
              <w:spacing w:line="276" w:lineRule="auto"/>
              <w:rPr>
                <w:rFonts w:hint="eastAsia"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18"/>
                <w:lang w:val="en-US" w:eastAsia="zh-CN" w:bidi="ar-SA"/>
                <w14:textFill>
                  <w14:solidFill>
                    <w14:schemeClr w14:val="tx2"/>
                  </w14:solidFill>
                </w14:textFill>
              </w:rPr>
              <w:t xml:space="preserve">检测方法依据</w:t>
            </w: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GB 20943</w:t>
            </w:r>
            <w:r>
              <w:rPr>
                <w:rFonts w:hint="eastAsia" w:ascii="Times New Roman" w:hAnsi="Times New Roman" w:eastAsia="宋体" w:cs="Times New Roman"/>
                <w:color w:val="1f497d" w:themeColor="text2"/>
                <w:szCs w:val="18"/>
                <w:lang w:val="en-US" w:eastAsia="zh-CN" w:bidi="ar-SA"/>
                <w14:textFill>
                  <w14:solidFill>
                    <w14:schemeClr w14:val="tx2"/>
                  </w14:solidFill>
                </w14:textFill>
              </w:rPr>
              <w:t xml:space="preserve">要求执行</w:t>
            </w:r>
            <w:r/>
          </w:p>
        </w:tc>
      </w:tr>
      <w:tr>
        <w:trPr/>
        <w:tc>
          <w:tcPr>
            <w:shd w:val="clear" w:color="auto" w:fill="auto"/>
            <w:tcW w:w="476"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3</w:t>
            </w:r>
            <w:r/>
          </w:p>
        </w:tc>
        <w:tc>
          <w:tcPr>
            <w:gridSpan w:val="2"/>
            <w:shd w:val="clear" w:color="auto" w:fill="auto"/>
            <w:tcW w:w="3063" w:type="dxa"/>
            <w:vAlign w:val="center"/>
            <w:vMerge w:val="restart"/>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内部电源输出效率</w:t>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4"/>
                <w:lang w:val="en-US" w:eastAsia="zh-CN" w:bidi="ar-SA"/>
                <w14:textFill>
                  <w14:solidFill>
                    <w14:schemeClr w14:val="tx2"/>
                  </w14:solidFill>
                </w14:textFill>
              </w:rPr>
              <w:t xml:space="preserve">20%负载</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85%</w:t>
            </w:r>
            <w:r/>
          </w:p>
        </w:tc>
        <w:tc>
          <w:tcPr>
            <w:shd w:val="clear" w:color="auto" w:fill="auto"/>
            <w:tcW w:w="2138" w:type="dxa"/>
            <w:vAlign w:val="center"/>
            <w:vMerge w:val="restart"/>
            <w:textDirection w:val="lrTb"/>
            <w:noWrap w:val="false"/>
          </w:tcPr>
          <w:p>
            <w:pPr>
              <w:spacing w:line="276" w:lineRule="auto"/>
              <w:rPr>
                <w:rFonts w:hint="eastAsia"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18"/>
                <w:lang w:val="en-US" w:eastAsia="zh-CN" w:bidi="ar-SA"/>
                <w14:textFill>
                  <w14:solidFill>
                    <w14:schemeClr w14:val="tx2"/>
                  </w14:solidFill>
                </w14:textFill>
              </w:rPr>
              <w:t xml:space="preserve">检测方法依据</w:t>
            </w:r>
            <w:r>
              <w:rPr>
                <w:rFonts w:hint="default" w:ascii="Times New Roman" w:hAnsi="Times New Roman" w:eastAsia="宋体" w:cs="Times New Roman"/>
                <w:color w:val="1f497d" w:themeColor="text2"/>
                <w:szCs w:val="18"/>
                <w:lang w:val="en-US" w:eastAsia="zh-CN" w:bidi="ar-SA"/>
                <w14:textFill>
                  <w14:solidFill>
                    <w14:schemeClr w14:val="tx2"/>
                  </w14:solidFill>
                </w14:textFill>
              </w:rPr>
              <w:t xml:space="preserve">HJ 2507</w:t>
            </w:r>
            <w:r>
              <w:rPr>
                <w:rFonts w:hint="eastAsia" w:ascii="Times New Roman" w:hAnsi="Times New Roman" w:eastAsia="宋体" w:cs="Times New Roman"/>
                <w:color w:val="1f497d" w:themeColor="text2"/>
                <w:szCs w:val="18"/>
                <w:lang w:val="en-US" w:eastAsia="zh-CN" w:bidi="ar-SA"/>
                <w14:textFill>
                  <w14:solidFill>
                    <w14:schemeClr w14:val="tx2"/>
                  </w14:solidFill>
                </w14:textFill>
              </w:rPr>
              <w:t xml:space="preserve">附录</w:t>
            </w:r>
            <w:r>
              <w:rPr>
                <w:rFonts w:hint="default" w:ascii="Times New Roman" w:hAnsi="Times New Roman" w:eastAsia="宋体" w:cs="Times New Roman"/>
                <w:color w:val="1f497d" w:themeColor="text2"/>
                <w:szCs w:val="18"/>
                <w:lang w:val="en-US" w:eastAsia="zh-CN" w:bidi="ar-SA"/>
                <w14:textFill>
                  <w14:solidFill>
                    <w14:schemeClr w14:val="tx2"/>
                  </w14:solidFill>
                </w14:textFill>
              </w:rPr>
              <w:t xml:space="preserve">B</w:t>
            </w:r>
            <w:r>
              <w:rPr>
                <w:rFonts w:hint="eastAsia" w:ascii="Times New Roman" w:hAnsi="Times New Roman" w:eastAsia="宋体" w:cs="Times New Roman"/>
                <w:color w:val="1f497d" w:themeColor="text2"/>
                <w:szCs w:val="18"/>
                <w:lang w:val="en-US" w:eastAsia="zh-CN" w:bidi="ar-SA"/>
                <w14:textFill>
                  <w14:solidFill>
                    <w14:schemeClr w14:val="tx2"/>
                  </w14:solidFill>
                </w14:textFill>
              </w:rPr>
              <w:t xml:space="preserve">要求执行</w:t>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gridSpan w:val="2"/>
            <w:shd w:val="clear" w:color="auto" w:fill="auto"/>
            <w:tcW w:w="3063"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4"/>
                <w:lang w:val="en-US" w:eastAsia="zh-CN" w:bidi="ar-SA"/>
                <w14:textFill>
                  <w14:solidFill>
                    <w14:schemeClr w14:val="tx2"/>
                  </w14:solidFill>
                </w14:textFill>
              </w:rPr>
            </w:pPr>
            <w:r>
              <w:rPr>
                <w:rFonts w:hint="default" w:ascii="Times New Roman" w:hAnsi="Times New Roman" w:eastAsia="宋体" w:cs="Times New Roman"/>
                <w:color w:val="1f497d" w:themeColor="text2"/>
                <w:szCs w:val="24"/>
                <w:lang w:val="en-US" w:eastAsia="zh-CN" w:bidi="ar-SA"/>
                <w14:textFill>
                  <w14:solidFill>
                    <w14:schemeClr w14:val="tx2"/>
                  </w14:solidFill>
                </w14:textFill>
              </w:rPr>
              <w:t xml:space="preserve">50%负载</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89%</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gridSpan w:val="2"/>
            <w:shd w:val="clear" w:color="auto" w:fill="auto"/>
            <w:tcW w:w="3063"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c>
          <w:tcPr>
            <w:shd w:val="clear" w:color="auto" w:fill="auto"/>
            <w:tcW w:w="1418" w:type="dxa"/>
            <w:vAlign w:val="center"/>
            <w:textDirection w:val="lrTb"/>
            <w:noWrap w:val="false"/>
          </w:tcPr>
          <w:p>
            <w:pPr>
              <w:spacing w:line="276" w:lineRule="auto"/>
              <w:rPr>
                <w:rFonts w:hint="default" w:ascii="Times New Roman" w:hAnsi="Times New Roman" w:eastAsia="宋体" w:cs="Times New Roman"/>
                <w:color w:val="1f497d" w:themeColor="text2"/>
                <w:szCs w:val="24"/>
                <w:lang w:val="en-US" w:eastAsia="zh-CN" w:bidi="ar-SA"/>
                <w14:textFill>
                  <w14:solidFill>
                    <w14:schemeClr w14:val="tx2"/>
                  </w14:solidFill>
                </w14:textFill>
              </w:rPr>
            </w:pPr>
            <w:r>
              <w:rPr>
                <w:rFonts w:hint="default" w:ascii="Times New Roman" w:hAnsi="Times New Roman" w:eastAsia="宋体" w:cs="Times New Roman"/>
                <w:color w:val="1f497d" w:themeColor="text2"/>
                <w:szCs w:val="24"/>
                <w:lang w:val="en-US" w:eastAsia="zh-CN" w:bidi="ar-SA"/>
                <w14:textFill>
                  <w14:solidFill>
                    <w14:schemeClr w14:val="tx2"/>
                  </w14:solidFill>
                </w14:textFill>
              </w:rPr>
              <w:t xml:space="preserve">100%负载</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85%</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c>
          <w:tcPr>
            <w:shd w:val="clear" w:color="auto" w:fill="auto"/>
            <w:tcW w:w="476" w:type="dxa"/>
            <w:vAlign w:val="center"/>
            <w:textDirection w:val="lrTb"/>
            <w:noWrap w:val="false"/>
          </w:tcPr>
          <w:p>
            <w:pPr>
              <w:ind w:left="0" w:right="155" w:firstLine="0"/>
              <w:jc w:val="left"/>
              <w:spacing w:after="0" w:line="276" w:lineRule="auto"/>
              <w:widowControl/>
              <w:rPr>
                <w:rFonts w:ascii="Times New Roman" w:hAnsi="Times New Roman" w:eastAsia="宋体" w:cs="Times New Roman"/>
                <w:color w:val="1f497d" w:themeColor="text2"/>
                <w:sz w:val="21"/>
                <w:szCs w:val="21"/>
                <w:lang w:val="en-US" w:eastAsia="zh-CN" w:bidi="ar-SA"/>
                <w14:textFill>
                  <w14:solidFill>
                    <w14:schemeClr w14:val="tx2"/>
                  </w14:solidFill>
                </w14:textFill>
              </w:rPr>
            </w:pPr>
            <w:r>
              <w:rPr>
                <w:rFonts w:ascii="Times New Roman" w:hAnsi="Times New Roman" w:eastAsia="宋体" w:cs="Times New Roman"/>
                <w:color w:val="1f497d" w:themeColor="text2"/>
                <w:sz w:val="21"/>
                <w:szCs w:val="21"/>
                <w:lang w:val="en-US" w:eastAsia="zh-CN" w:bidi="ar-SA"/>
                <w14:textFill>
                  <w14:solidFill>
                    <w14:schemeClr w14:val="tx2"/>
                  </w14:solidFill>
                </w14:textFill>
              </w:rPr>
              <w:t xml:space="preserve">4</w:t>
            </w:r>
            <w:r/>
          </w:p>
        </w:tc>
        <w:tc>
          <w:tcPr>
            <w:gridSpan w:val="3"/>
            <w:shd w:val="clear" w:color="auto" w:fill="auto"/>
            <w:tcW w:w="4481" w:type="dxa"/>
            <w:vAlign w:val="center"/>
            <w:textDirection w:val="lrTb"/>
            <w:noWrap w:val="false"/>
          </w:tcPr>
          <w:p>
            <w:pPr>
              <w:ind w:left="0" w:right="155" w:firstLine="0"/>
              <w:jc w:val="left"/>
              <w:spacing w:after="0" w:line="276" w:lineRule="auto"/>
              <w:widowControl/>
              <w:rPr>
                <w:rFonts w:ascii="Times New Roman" w:hAnsi="Times New Roman" w:eastAsia="宋体" w:cs="Times New Roman"/>
                <w:color w:val="1f497d" w:themeColor="text2"/>
                <w:sz w:val="18"/>
                <w:szCs w:val="24"/>
                <w:lang w:val="en-US" w:eastAsia="zh-CN" w:bidi="ar-SA"/>
                <w14:textFill>
                  <w14:solidFill>
                    <w14:schemeClr w14:val="tx2"/>
                  </w14:solidFill>
                </w14:textFill>
              </w:rPr>
            </w:pPr>
            <w:r>
              <w:rPr>
                <w:rFonts w:hint="eastAsia" w:ascii="Times New Roman" w:hAnsi="Times New Roman" w:eastAsia="宋体" w:cs="Times New Roman"/>
                <w:color w:val="1f497d" w:themeColor="text2"/>
                <w:sz w:val="21"/>
                <w:szCs w:val="21"/>
                <w:lang w:val="en-US" w:eastAsia="zh-CN" w:bidi="ar-SA"/>
                <w14:textFill>
                  <w14:solidFill>
                    <w14:schemeClr w14:val="tx2"/>
                  </w14:solidFill>
                </w14:textFill>
              </w:rPr>
              <w:t xml:space="preserve">单路电源最低功率因数</w:t>
            </w:r>
            <w:r>
              <w:rPr>
                <w:rFonts w:ascii="Times New Roman" w:hAnsi="Times New Roman" w:eastAsia="宋体" w:cs="Times New Roman"/>
                <w:color w:val="1f497d" w:themeColor="text2"/>
                <w:sz w:val="21"/>
                <w:szCs w:val="21"/>
                <w:lang w:val="en-US" w:eastAsia="zh-CN" w:bidi="ar-SA"/>
                <w14:textFill>
                  <w14:solidFill>
                    <w14:schemeClr w14:val="tx2"/>
                  </w14:solidFill>
                </w14:textFill>
              </w:rPr>
              <w:t xml:space="preserve">(50%</w:t>
            </w:r>
            <w:r>
              <w:rPr>
                <w:rFonts w:hint="eastAsia" w:ascii="Times New Roman" w:hAnsi="Times New Roman" w:eastAsia="宋体" w:cs="Times New Roman"/>
                <w:color w:val="1f497d" w:themeColor="text2"/>
                <w:sz w:val="21"/>
                <w:szCs w:val="21"/>
                <w:lang w:val="en-US" w:eastAsia="zh-CN" w:bidi="ar-SA"/>
                <w14:textFill>
                  <w14:solidFill>
                    <w14:schemeClr w14:val="tx2"/>
                  </w14:solidFill>
                </w14:textFill>
              </w:rPr>
              <w:t xml:space="preserve">负载下的</w:t>
            </w:r>
            <w:r>
              <w:rPr>
                <w:rFonts w:ascii="Times New Roman" w:hAnsi="Times New Roman" w:eastAsia="宋体" w:cs="Times New Roman"/>
                <w:color w:val="1f497d" w:themeColor="text2"/>
                <w:sz w:val="21"/>
                <w:szCs w:val="21"/>
                <w:lang w:val="en-US" w:eastAsia="zh-CN" w:bidi="ar-SA"/>
                <w14:textFill>
                  <w14:solidFill>
                    <w14:schemeClr w14:val="tx2"/>
                  </w14:solidFill>
                </w14:textFill>
              </w:rPr>
              <w:t xml:space="preserve">)</w:t>
            </w:r>
            <w:r>
              <w:rPr>
                <w:rFonts w:ascii="Times New Roman" w:hAnsi="Times New Roman" w:eastAsia="宋体" w:cs="Times New Roman"/>
                <w:color w:val="1f497d" w:themeColor="text2"/>
                <w:sz w:val="18"/>
                <w:szCs w:val="24"/>
                <w:lang w:val="en-US" w:eastAsia="zh-CN" w:bidi="ar-SA"/>
                <w14:textFill>
                  <w14:solidFill>
                    <w14:schemeClr w14:val="tx2"/>
                  </w14:solidFill>
                </w14:textFill>
              </w:rPr>
              <w:t xml:space="preserve">     </w:t>
            </w:r>
            <w:r/>
          </w:p>
        </w:tc>
        <w:tc>
          <w:tcPr>
            <w:shd w:val="clear" w:color="auto" w:fill="auto"/>
            <w:tcW w:w="1405" w:type="dxa"/>
            <w:vAlign w:val="center"/>
            <w:textDirection w:val="lrTb"/>
            <w:noWrap w:val="false"/>
          </w:tcPr>
          <w:p>
            <w:pPr>
              <w:jc w:val="cente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w:t>
            </w: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0.90</w:t>
            </w:r>
            <w:r/>
          </w:p>
        </w:tc>
        <w:tc>
          <w:tcPr>
            <w:shd w:val="clear" w:color="auto" w:fill="auto"/>
            <w:tcW w:w="2138" w:type="dxa"/>
            <w:vAlign w:val="center"/>
            <w:vMerge w:val="continue"/>
            <w:textDirection w:val="lrTb"/>
            <w:noWrap w:val="false"/>
          </w:tcPr>
          <w:p>
            <w:pPr>
              <w:spacing w:line="276" w:lineRule="auto"/>
              <w:rPr>
                <w:rFonts w:hint="default" w:ascii="Times New Roman" w:hAnsi="Times New Roman" w:eastAsia="宋体" w:cs="Times New Roman"/>
                <w:color w:val="1f497d" w:themeColor="text2"/>
                <w:szCs w:val="21"/>
                <w:lang w:val="en-US" w:eastAsia="zh-CN" w:bidi="ar-SA"/>
                <w14:textFill>
                  <w14:solidFill>
                    <w14:schemeClr w14:val="tx2"/>
                  </w14:solidFill>
                </w14:textFill>
              </w:rPr>
            </w:pPr>
            <w:r>
              <w:rPr>
                <w:rFonts w:hint="default" w:ascii="Times New Roman" w:hAnsi="Times New Roman" w:eastAsia="宋体" w:cs="Times New Roman"/>
                <w:color w:val="1f497d" w:themeColor="text2"/>
                <w:szCs w:val="21"/>
                <w:lang w:val="en-US" w:eastAsia="zh-CN" w:bidi="ar-SA"/>
                <w14:textFill>
                  <w14:solidFill>
                    <w14:schemeClr w14:val="tx2"/>
                  </w14:solidFill>
                </w14:textFill>
              </w:rPr>
            </w:r>
            <w:r/>
          </w:p>
        </w:tc>
      </w:tr>
      <w:tr>
        <w:trPr>
          <w:trHeight w:val="358"/>
        </w:trPr>
        <w:tc>
          <w:tcPr>
            <w:shd w:val="clear" w:color="auto" w:fill="auto"/>
            <w:tcW w:w="476" w:type="dxa"/>
            <w:vAlign w:val="center"/>
            <w:vMerge w:val="restart"/>
            <w:textDirection w:val="lrTb"/>
            <w:noWrap w:val="false"/>
          </w:tcPr>
          <w:p>
            <w:pPr>
              <w:ind w:left="0" w:right="155" w:firstLine="0"/>
              <w:jc w:val="left"/>
              <w:spacing w:after="0" w:line="276" w:lineRule="auto"/>
              <w:widowControl/>
              <w:rPr>
                <w:rFonts w:ascii="Times New Roman" w:hAnsi="Times New Roman" w:eastAsia="宋体" w:cs="Times New Roman"/>
                <w:color w:val="1f497d" w:themeColor="text2"/>
                <w:sz w:val="21"/>
                <w:szCs w:val="21"/>
                <w:lang w:val="en-US" w:eastAsia="zh-CN" w:bidi="ar-SA"/>
                <w14:textFill>
                  <w14:solidFill>
                    <w14:schemeClr w14:val="tx2"/>
                  </w14:solidFill>
                </w14:textFill>
              </w:rPr>
            </w:pPr>
            <w:r>
              <w:rPr>
                <w:rFonts w:ascii="Times New Roman" w:hAnsi="Times New Roman" w:eastAsia="宋体" w:cs="Times New Roman"/>
                <w:color w:val="1f497d" w:themeColor="text2"/>
                <w:sz w:val="21"/>
                <w:szCs w:val="21"/>
                <w:lang w:val="en-US" w:eastAsia="zh-CN" w:bidi="ar-SA"/>
                <w14:textFill>
                  <w14:solidFill>
                    <w14:schemeClr w14:val="tx2"/>
                  </w14:solidFill>
                </w14:textFill>
              </w:rPr>
              <w:t xml:space="preserve">5</w:t>
            </w:r>
            <w:r/>
          </w:p>
        </w:tc>
        <w:tc>
          <w:tcPr>
            <w:gridSpan w:val="2"/>
            <w:shd w:val="clear" w:color="auto" w:fill="auto"/>
            <w:tcW w:w="3063" w:type="dxa"/>
            <w:vAlign w:val="center"/>
            <w:vMerge w:val="restart"/>
            <w:textDirection w:val="lrTb"/>
            <w:noWrap w:val="false"/>
          </w:tcPr>
          <w:p>
            <w:pPr>
              <w:ind w:left="0" w:right="155" w:firstLine="0"/>
              <w:jc w:val="left"/>
              <w:spacing w:after="0" w:line="276" w:lineRule="auto"/>
              <w:widowControl/>
              <w:rPr>
                <w:rFonts w:ascii="Times New Roman" w:hAnsi="Times New Roman" w:eastAsia="宋体" w:cs="Times New Roman"/>
                <w:color w:val="1f497d" w:themeColor="text2"/>
                <w:sz w:val="21"/>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 w:val="21"/>
                <w:szCs w:val="21"/>
                <w:lang w:val="en-US" w:eastAsia="zh-CN" w:bidi="ar-SA"/>
                <w14:textFill>
                  <w14:solidFill>
                    <w14:schemeClr w14:val="tx2"/>
                  </w14:solidFill>
                </w14:textFill>
              </w:rPr>
              <w:t xml:space="preserve">噪声发射</w:t>
            </w:r>
            <w:r/>
          </w:p>
        </w:tc>
        <w:tc>
          <w:tcPr>
            <w:shd w:val="clear" w:color="auto" w:fill="auto"/>
            <w:tcW w:w="1418" w:type="dxa"/>
            <w:vAlign w:val="center"/>
            <w:textDirection w:val="lrTb"/>
            <w:noWrap w:val="false"/>
          </w:tcPr>
          <w:p>
            <w:pPr>
              <w:ind w:left="0" w:right="153" w:firstLine="0"/>
              <w:jc w:val="left"/>
              <w:spacing w:after="0" w:line="276" w:lineRule="auto"/>
              <w:widowControl/>
              <w:rPr>
                <w:rFonts w:ascii="Times New Roman" w:hAnsi="Times New Roman" w:eastAsia="宋体" w:cs="Times New Roman"/>
                <w:color w:val="1f497d" w:themeColor="text2"/>
                <w:sz w:val="21"/>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 w:val="21"/>
                <w:szCs w:val="21"/>
                <w:lang w:val="en-US" w:eastAsia="zh-CN" w:bidi="ar-SA"/>
                <w14:textFill>
                  <w14:solidFill>
                    <w14:schemeClr w14:val="tx2"/>
                  </w14:solidFill>
                </w14:textFill>
              </w:rPr>
              <w:t xml:space="preserve">有人值守</w:t>
            </w:r>
            <w:r/>
          </w:p>
        </w:tc>
        <w:tc>
          <w:tcPr>
            <w:shd w:val="clear" w:color="auto" w:fill="auto"/>
            <w:tcW w:w="1405" w:type="dxa"/>
            <w:vAlign w:val="center"/>
            <w:textDirection w:val="lrTb"/>
            <w:noWrap w:val="false"/>
          </w:tcPr>
          <w:p>
            <w:pPr>
              <w:ind w:left="0" w:right="153" w:firstLine="0"/>
              <w:jc w:val="center"/>
              <w:spacing w:after="0" w:line="276" w:lineRule="auto"/>
              <w:widowControl/>
              <w:rPr>
                <w:rFonts w:ascii="Times New Roman" w:hAnsi="Times New Roman" w:eastAsia="宋体" w:cs="Times New Roman"/>
                <w:color w:val="1f497d" w:themeColor="text2"/>
                <w:sz w:val="21"/>
                <w:szCs w:val="21"/>
                <w:highlight w:val="none"/>
                <w:lang w:val="en-US" w:eastAsia="zh-CN" w:bidi="ar-SA"/>
                <w14:textFill>
                  <w14:solidFill>
                    <w14:schemeClr w14:val="tx2"/>
                  </w14:solidFill>
                </w14:textFill>
              </w:rPr>
            </w:pPr>
            <w:r>
              <w:rPr>
                <w:rFonts w:hint="eastAsia" w:ascii="宋体" w:hAnsi="宋体" w:eastAsia="宋体" w:cs="宋体"/>
                <w:color w:val="1f497d" w:themeColor="text2"/>
                <w:sz w:val="18"/>
                <w:szCs w:val="21"/>
                <w:highlight w:val="none"/>
                <w:lang w:val="en-US" w:eastAsia="zh-CN" w:bidi="ar-SA"/>
                <w14:textFill>
                  <w14:solidFill>
                    <w14:schemeClr w14:val="tx2"/>
                  </w14:solidFill>
                </w14:textFill>
              </w:rPr>
              <w:t xml:space="preserve">≤</w:t>
            </w:r>
            <w:r>
              <w:rPr>
                <w:rFonts w:ascii="Times New Roman" w:hAnsi="Times New Roman" w:eastAsia="宋体" w:cs="Times New Roman"/>
                <w:color w:val="1f497d" w:themeColor="text2"/>
                <w:sz w:val="21"/>
                <w:szCs w:val="21"/>
                <w:highlight w:val="none"/>
                <w:lang w:val="en-US" w:eastAsia="zh-CN" w:bidi="ar-SA"/>
                <w14:textFill>
                  <w14:solidFill>
                    <w14:schemeClr w14:val="tx2"/>
                  </w14:solidFill>
                </w14:textFill>
              </w:rPr>
              <w:t xml:space="preserve">7.6 Bels</w:t>
            </w:r>
            <w:r/>
          </w:p>
        </w:tc>
        <w:tc>
          <w:tcPr>
            <w:shd w:val="clear" w:color="auto" w:fill="auto"/>
            <w:tcW w:w="2138" w:type="dxa"/>
            <w:vAlign w:val="center"/>
            <w:vMerge w:val="restart"/>
            <w:textDirection w:val="lrTb"/>
            <w:noWrap w:val="false"/>
          </w:tcPr>
          <w:p>
            <w:pPr>
              <w:spacing w:line="276" w:lineRule="auto"/>
              <w:rPr>
                <w:rFonts w:hint="eastAsia" w:ascii="Times New Roman" w:hAnsi="Times New Roman" w:eastAsia="宋体" w:cs="Times New Roman"/>
                <w:color w:val="1f497d" w:themeColor="text2"/>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检测方法依据</w:t>
            </w:r>
            <w:r>
              <w:rPr>
                <w:rFonts w:hint="default" w:ascii="Times New Roman" w:hAnsi="Times New Roman" w:eastAsia="宋体" w:cs="Times New Roman"/>
                <w:color w:val="1f497d" w:themeColor="text2"/>
                <w:szCs w:val="21"/>
                <w:lang w:val="en-US" w:eastAsia="zh-CN" w:bidi="ar-SA"/>
                <w14:textFill>
                  <w14:solidFill>
                    <w14:schemeClr w14:val="tx2"/>
                  </w14:solidFill>
                </w14:textFill>
              </w:rPr>
              <w:t xml:space="preserve">YD/T 1816</w:t>
            </w:r>
            <w:r>
              <w:rPr>
                <w:rFonts w:hint="eastAsia" w:ascii="Times New Roman" w:hAnsi="Times New Roman" w:eastAsia="宋体" w:cs="Times New Roman"/>
                <w:color w:val="1f497d" w:themeColor="text2"/>
                <w:szCs w:val="21"/>
                <w:lang w:val="en-US" w:eastAsia="zh-CN" w:bidi="ar-SA"/>
                <w14:textFill>
                  <w14:solidFill>
                    <w14:schemeClr w14:val="tx2"/>
                  </w14:solidFill>
                </w14:textFill>
              </w:rPr>
              <w:t xml:space="preserve">要求执行</w:t>
            </w:r>
            <w:r/>
          </w:p>
        </w:tc>
      </w:tr>
      <w:tr>
        <w:trPr>
          <w:trHeight w:val="358"/>
        </w:trPr>
        <w:tc>
          <w:tcPr>
            <w:shd w:val="clear" w:color="auto" w:fill="auto"/>
            <w:tcW w:w="476" w:type="dxa"/>
            <w:vAlign w:val="center"/>
            <w:vMerge w:val="continue"/>
            <w:textDirection w:val="lrTb"/>
            <w:noWrap w:val="false"/>
          </w:tcPr>
          <w:p>
            <w:pPr>
              <w:ind w:left="0" w:right="155" w:firstLine="0"/>
              <w:jc w:val="left"/>
              <w:spacing w:after="0" w:line="276" w:lineRule="auto"/>
              <w:widowControl/>
              <w:rPr>
                <w:rFonts w:ascii="宋体" w:hAnsi="宋体" w:eastAsia="宋体" w:cs="宋体"/>
                <w:color w:val="1f497d" w:themeColor="text2"/>
                <w:sz w:val="18"/>
                <w:szCs w:val="24"/>
                <w:lang w:val="en-US" w:eastAsia="zh-CN" w:bidi="ar-SA"/>
                <w14:textFill>
                  <w14:solidFill>
                    <w14:schemeClr w14:val="tx2"/>
                  </w14:solidFill>
                </w14:textFill>
              </w:rPr>
            </w:pPr>
            <w:r>
              <w:rPr>
                <w:rFonts w:ascii="宋体" w:hAnsi="宋体" w:eastAsia="宋体" w:cs="宋体"/>
                <w:color w:val="1f497d" w:themeColor="text2"/>
                <w:sz w:val="18"/>
                <w:szCs w:val="24"/>
                <w:lang w:val="en-US" w:eastAsia="zh-CN" w:bidi="ar-SA"/>
                <w14:textFill>
                  <w14:solidFill>
                    <w14:schemeClr w14:val="tx2"/>
                  </w14:solidFill>
                </w14:textFill>
              </w:rPr>
            </w:r>
            <w:r/>
          </w:p>
        </w:tc>
        <w:tc>
          <w:tcPr>
            <w:gridSpan w:val="2"/>
            <w:shd w:val="clear" w:color="auto" w:fill="auto"/>
            <w:tcW w:w="3063" w:type="dxa"/>
            <w:vAlign w:val="center"/>
            <w:vMerge w:val="continue"/>
            <w:textDirection w:val="lrTb"/>
            <w:noWrap w:val="false"/>
          </w:tcPr>
          <w:p>
            <w:pPr>
              <w:ind w:left="0" w:right="155" w:firstLine="0"/>
              <w:jc w:val="left"/>
              <w:spacing w:after="0" w:line="276" w:lineRule="auto"/>
              <w:widowControl/>
              <w:rPr>
                <w:rFonts w:ascii="宋体" w:hAnsi="宋体" w:eastAsia="宋体" w:cs="宋体"/>
                <w:color w:val="1f497d" w:themeColor="text2"/>
                <w:sz w:val="18"/>
                <w:szCs w:val="24"/>
                <w:lang w:val="en-US" w:eastAsia="zh-CN" w:bidi="ar-SA"/>
                <w14:textFill>
                  <w14:solidFill>
                    <w14:schemeClr w14:val="tx2"/>
                  </w14:solidFill>
                </w14:textFill>
              </w:rPr>
            </w:pPr>
            <w:r>
              <w:rPr>
                <w:rFonts w:ascii="宋体" w:hAnsi="宋体" w:eastAsia="宋体" w:cs="宋体"/>
                <w:color w:val="1f497d" w:themeColor="text2"/>
                <w:sz w:val="18"/>
                <w:szCs w:val="24"/>
                <w:lang w:val="en-US" w:eastAsia="zh-CN" w:bidi="ar-SA"/>
                <w14:textFill>
                  <w14:solidFill>
                    <w14:schemeClr w14:val="tx2"/>
                  </w14:solidFill>
                </w14:textFill>
              </w:rPr>
            </w:r>
            <w:r/>
          </w:p>
        </w:tc>
        <w:tc>
          <w:tcPr>
            <w:shd w:val="clear" w:color="auto" w:fill="auto"/>
            <w:tcW w:w="1418" w:type="dxa"/>
            <w:vAlign w:val="center"/>
            <w:textDirection w:val="lrTb"/>
            <w:noWrap w:val="false"/>
          </w:tcPr>
          <w:p>
            <w:pPr>
              <w:ind w:left="0" w:right="153" w:firstLine="0"/>
              <w:jc w:val="left"/>
              <w:spacing w:after="0" w:line="276" w:lineRule="auto"/>
              <w:widowControl/>
              <w:rPr>
                <w:rFonts w:ascii="Times New Roman" w:hAnsi="Times New Roman" w:eastAsia="宋体" w:cs="Times New Roman"/>
                <w:color w:val="1f497d" w:themeColor="text2"/>
                <w:sz w:val="21"/>
                <w:szCs w:val="21"/>
                <w:lang w:val="en-US" w:eastAsia="zh-CN" w:bidi="ar-SA"/>
                <w14:textFill>
                  <w14:solidFill>
                    <w14:schemeClr w14:val="tx2"/>
                  </w14:solidFill>
                </w14:textFill>
              </w:rPr>
            </w:pPr>
            <w:r>
              <w:rPr>
                <w:rFonts w:hint="eastAsia" w:ascii="Times New Roman" w:hAnsi="Times New Roman" w:eastAsia="宋体" w:cs="Times New Roman"/>
                <w:color w:val="1f497d" w:themeColor="text2"/>
                <w:sz w:val="21"/>
                <w:szCs w:val="21"/>
                <w:lang w:val="en-US" w:eastAsia="zh-CN" w:bidi="ar-SA"/>
                <w14:textFill>
                  <w14:solidFill>
                    <w14:schemeClr w14:val="tx2"/>
                  </w14:solidFill>
                </w14:textFill>
              </w:rPr>
              <w:t xml:space="preserve">无人值守</w:t>
            </w:r>
            <w:r/>
          </w:p>
        </w:tc>
        <w:tc>
          <w:tcPr>
            <w:shd w:val="clear" w:color="auto" w:fill="auto"/>
            <w:tcW w:w="1405" w:type="dxa"/>
            <w:vAlign w:val="center"/>
            <w:textDirection w:val="lrTb"/>
            <w:noWrap w:val="false"/>
          </w:tcPr>
          <w:p>
            <w:pPr>
              <w:ind w:left="0" w:right="153" w:firstLine="0"/>
              <w:jc w:val="center"/>
              <w:spacing w:after="0" w:line="276" w:lineRule="auto"/>
              <w:widowControl/>
              <w:rPr>
                <w:rFonts w:ascii="Times New Roman" w:hAnsi="Times New Roman" w:eastAsia="宋体" w:cs="Times New Roman"/>
                <w:color w:val="1f497d" w:themeColor="text2"/>
                <w:sz w:val="21"/>
                <w:szCs w:val="21"/>
                <w:highlight w:val="none"/>
                <w:lang w:val="en-US" w:eastAsia="zh-CN" w:bidi="ar-SA"/>
                <w14:textFill>
                  <w14:solidFill>
                    <w14:schemeClr w14:val="tx2"/>
                  </w14:solidFill>
                </w14:textFill>
              </w:rPr>
            </w:pPr>
            <w:r>
              <w:rPr>
                <w:rFonts w:hint="eastAsia" w:ascii="宋体" w:hAnsi="宋体" w:eastAsia="宋体" w:cs="宋体"/>
                <w:color w:val="1f497d" w:themeColor="text2"/>
                <w:sz w:val="18"/>
                <w:szCs w:val="21"/>
                <w:highlight w:val="none"/>
                <w:lang w:val="en-US" w:eastAsia="zh-CN" w:bidi="ar-SA"/>
                <w14:textFill>
                  <w14:solidFill>
                    <w14:schemeClr w14:val="tx2"/>
                  </w14:solidFill>
                </w14:textFill>
              </w:rPr>
              <w:t xml:space="preserve">≤</w:t>
            </w:r>
            <w:r>
              <w:rPr>
                <w:rFonts w:ascii="Times New Roman" w:hAnsi="Times New Roman" w:eastAsia="宋体" w:cs="Times New Roman"/>
                <w:color w:val="1f497d" w:themeColor="text2"/>
                <w:sz w:val="21"/>
                <w:szCs w:val="21"/>
                <w:highlight w:val="none"/>
                <w:lang w:val="en-US" w:eastAsia="zh-CN" w:bidi="ar-SA"/>
                <w14:textFill>
                  <w14:solidFill>
                    <w14:schemeClr w14:val="tx2"/>
                  </w14:solidFill>
                </w14:textFill>
              </w:rPr>
              <w:t xml:space="preserve">8.1 Bels</w:t>
            </w:r>
            <w:r/>
          </w:p>
        </w:tc>
        <w:tc>
          <w:tcPr>
            <w:shd w:val="clear" w:color="auto" w:fill="auto"/>
            <w:tcW w:w="2138" w:type="dxa"/>
            <w:vAlign w:val="center"/>
            <w:vMerge w:val="continue"/>
            <w:textDirection w:val="lrTb"/>
            <w:noWrap w:val="false"/>
          </w:tcPr>
          <w:p>
            <w:pPr>
              <w:ind w:left="0" w:right="155" w:firstLine="0"/>
              <w:jc w:val="left"/>
              <w:spacing w:after="0" w:line="276" w:lineRule="auto"/>
              <w:widowControl/>
              <w:rPr>
                <w:rFonts w:ascii="Times New Roman" w:hAnsi="Times New Roman" w:eastAsia="宋体" w:cs="Times New Roman"/>
                <w:color w:val="1f497d" w:themeColor="text2"/>
                <w:sz w:val="21"/>
                <w:szCs w:val="21"/>
                <w:lang w:val="en-US" w:eastAsia="zh-CN" w:bidi="ar-SA"/>
                <w14:textFill>
                  <w14:solidFill>
                    <w14:schemeClr w14:val="tx2"/>
                  </w14:solidFill>
                </w14:textFill>
              </w:rPr>
            </w:pPr>
            <w:r>
              <w:rPr>
                <w:rFonts w:ascii="Times New Roman" w:hAnsi="Times New Roman" w:eastAsia="宋体" w:cs="Times New Roman"/>
                <w:color w:val="1f497d" w:themeColor="text2"/>
                <w:sz w:val="21"/>
                <w:szCs w:val="21"/>
                <w:lang w:val="en-US" w:eastAsia="zh-CN" w:bidi="ar-SA"/>
                <w14:textFill>
                  <w14:solidFill>
                    <w14:schemeClr w14:val="tx2"/>
                  </w14:solidFill>
                </w14:textFill>
              </w:rPr>
            </w:r>
            <w:r/>
          </w:p>
        </w:tc>
      </w:tr>
    </w:tbl>
    <w:p>
      <w:pPr>
        <w:rPr>
          <w:rFonts w:hint="eastAsia"/>
          <w:lang w:val="en-US" w:eastAsia="zh-CN"/>
        </w:rPr>
      </w:pPr>
      <w:r>
        <w:rPr>
          <w:rFonts w:hint="eastAsia"/>
          <w:lang w:val="en-US" w:eastAsia="zh-CN"/>
        </w:rPr>
      </w:r>
      <w:r/>
    </w:p>
    <w:p>
      <w:pPr>
        <w:ind w:firstLine="420"/>
        <w:spacing w:line="360" w:lineRule="auto"/>
        <w:rPr>
          <w:rFonts w:hint="eastAsia" w:ascii="宋体" w:hAnsi="宋体" w:eastAsia="宋体" w:cs="宋体"/>
          <w:b w:val="0"/>
          <w:bCs w:val="0"/>
          <w:i w:val="0"/>
          <w:iCs w:val="0"/>
          <w:color w:val="0000ff"/>
          <w:sz w:val="21"/>
          <w:szCs w:val="21"/>
          <w:u w:val="none"/>
          <w:lang w:val="en-US" w:eastAsia="zh-CN" w:bidi="ar-SA"/>
        </w:rPr>
        <w:outlineLvl w:val="2"/>
      </w:pPr>
      <w:r>
        <w:rPr>
          <w:rFonts w:hint="eastAsia" w:ascii="宋体" w:hAnsi="宋体" w:eastAsia="宋体" w:cs="宋体"/>
          <w:b w:val="0"/>
          <w:bCs w:val="0"/>
          <w:i w:val="0"/>
          <w:iCs w:val="0"/>
          <w:color w:val="0000ff"/>
          <w:sz w:val="21"/>
          <w:szCs w:val="21"/>
          <w:u w:val="none"/>
          <w:lang w:val="en-US" w:eastAsia="zh-CN" w:bidi="ar-SA"/>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210"/>
        <w:spacing w:line="360" w:lineRule="auto"/>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r>
      <w:r/>
    </w:p>
    <w:p>
      <w:pPr>
        <w:ind w:left="210"/>
        <w:spacing w:line="360" w:lineRule="auto"/>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2.升级大厅综合服务管理平台</w:t>
      </w:r>
      <w:bookmarkEnd w:id="291"/>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801"/>
        <w:gridCol w:w="1898"/>
        <w:gridCol w:w="5004"/>
        <w:gridCol w:w="601"/>
        <w:gridCol w:w="865"/>
      </w:tblGrid>
      <w:tr>
        <w:trPr>
          <w:trHeight w:val="5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升级大厅综合服务管理平台</w:t>
            </w:r>
            <w:r/>
          </w:p>
        </w:tc>
      </w:tr>
      <w:tr>
        <w:trPr>
          <w:trHeight w:val="580"/>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27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372"/>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gridSpan w:val="2"/>
            <w:tcBorders>
              <w:top w:val="single" w:color="000000" w:sz="4" w:space="0"/>
              <w:left w:val="single" w:color="000000" w:sz="4" w:space="0"/>
              <w:bottom w:val="single" w:color="000000" w:sz="4" w:space="0"/>
              <w:right w:val="single" w:color="000000" w:sz="4" w:space="0"/>
            </w:tcBorders>
            <w:tcW w:w="376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车驾管业务和非现场违法处理业务、大队违法业务的融合排队叫号</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gridSpan w:val="2"/>
            <w:tcBorders>
              <w:top w:val="single" w:color="000000" w:sz="4" w:space="0"/>
              <w:left w:val="single" w:color="000000" w:sz="4" w:space="0"/>
              <w:bottom w:val="single" w:color="000000" w:sz="4" w:space="0"/>
              <w:right w:val="single" w:color="000000" w:sz="4" w:space="0"/>
            </w:tcBorders>
            <w:tcW w:w="376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综合信息屏显示</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gridSpan w:val="2"/>
            <w:tcBorders>
              <w:top w:val="single" w:color="000000" w:sz="4" w:space="0"/>
              <w:left w:val="single" w:color="000000" w:sz="4" w:space="0"/>
              <w:bottom w:val="single" w:color="000000" w:sz="4" w:space="0"/>
              <w:right w:val="single" w:color="000000" w:sz="4" w:space="0"/>
            </w:tcBorders>
            <w:tcW w:w="376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考核服务评价等</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gridSpan w:val="2"/>
            <w:tcBorders>
              <w:top w:val="single" w:color="000000" w:sz="4" w:space="0"/>
              <w:left w:val="single" w:color="000000" w:sz="4" w:space="0"/>
              <w:bottom w:val="single" w:color="000000" w:sz="4" w:space="0"/>
              <w:right w:val="single" w:color="000000" w:sz="4" w:space="0"/>
            </w:tcBorders>
            <w:tcW w:w="376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实现一码通行</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gridSpan w:val="2"/>
            <w:tcBorders>
              <w:top w:val="single" w:color="000000" w:sz="4" w:space="0"/>
              <w:left w:val="single" w:color="000000" w:sz="4" w:space="0"/>
              <w:bottom w:val="single" w:color="000000" w:sz="4" w:space="0"/>
              <w:right w:val="single" w:color="000000" w:sz="4" w:space="0"/>
            </w:tcBorders>
            <w:tcW w:w="376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受理和办理业务的分离</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gridSpan w:val="2"/>
            <w:tcBorders>
              <w:top w:val="single" w:color="000000" w:sz="4" w:space="0"/>
              <w:left w:val="single" w:color="000000" w:sz="4" w:space="0"/>
              <w:bottom w:val="single" w:color="000000" w:sz="4" w:space="0"/>
              <w:right w:val="single" w:color="000000" w:sz="4" w:space="0"/>
            </w:tcBorders>
            <w:tcW w:w="376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业务的领办和导办</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521"/>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配送机器人</w:t>
            </w:r>
            <w:r/>
          </w:p>
        </w:tc>
        <w:tc>
          <w:tcPr>
            <w:tcBorders>
              <w:top w:val="single" w:color="000000" w:sz="4" w:space="0"/>
              <w:left w:val="single" w:color="000000" w:sz="4" w:space="0"/>
              <w:bottom w:val="single" w:color="000000" w:sz="4" w:space="0"/>
              <w:right w:val="single" w:color="000000" w:sz="4" w:space="0"/>
            </w:tcBorders>
            <w:tcW w:w="27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见配送机器人参数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53"/>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梯控模块</w:t>
            </w:r>
            <w:r/>
          </w:p>
        </w:tc>
        <w:tc>
          <w:tcPr>
            <w:tcBorders>
              <w:top w:val="single" w:color="000000" w:sz="4" w:space="0"/>
              <w:left w:val="single" w:color="000000" w:sz="4" w:space="0"/>
              <w:bottom w:val="single" w:color="000000" w:sz="4" w:space="0"/>
              <w:right w:val="single" w:color="000000" w:sz="4" w:space="0"/>
            </w:tcBorders>
            <w:tcW w:w="27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电梯控制模块，与现场电梯对接</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573"/>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电话模块</w:t>
            </w:r>
            <w:r/>
          </w:p>
        </w:tc>
        <w:tc>
          <w:tcPr>
            <w:tcBorders>
              <w:top w:val="single" w:color="000000" w:sz="4" w:space="0"/>
              <w:left w:val="single" w:color="000000" w:sz="4" w:space="0"/>
              <w:bottom w:val="single" w:color="000000" w:sz="4" w:space="0"/>
              <w:right w:val="single" w:color="000000" w:sz="4" w:space="0"/>
            </w:tcBorders>
            <w:tcW w:w="27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电话外呼模块，全网通</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537"/>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default" w:ascii="宋体" w:hAnsi="宋体" w:eastAsia="宋体" w:cs="宋体"/>
                <w:szCs w:val="24"/>
                <w:lang w:val="en-US" w:eastAsia="zh-CN" w:bidi="ar-SA"/>
              </w:rPr>
            </w:pPr>
            <w:r>
              <w:rPr>
                <w:rFonts w:hint="eastAsia" w:ascii="宋体" w:hAnsi="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7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线路定位、梯控调试等</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332"/>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rPr>
                <w:rFonts w:hint="default" w:ascii="宋体" w:hAnsi="宋体" w:eastAsia="宋体" w:cs="宋体"/>
                <w:szCs w:val="24"/>
                <w:lang w:val="en-US" w:eastAsia="zh-CN" w:bidi="ar-SA"/>
              </w:rPr>
            </w:pPr>
            <w:r>
              <w:rPr>
                <w:rFonts w:hint="eastAsia" w:ascii="宋体" w:hAnsi="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自助取号机</w:t>
            </w:r>
            <w:r/>
          </w:p>
        </w:tc>
        <w:tc>
          <w:tcPr>
            <w:tcBorders>
              <w:top w:val="single" w:color="000000" w:sz="4" w:space="0"/>
              <w:left w:val="single" w:color="000000" w:sz="4" w:space="0"/>
              <w:bottom w:val="single" w:color="000000" w:sz="4" w:space="0"/>
              <w:right w:val="single" w:color="000000" w:sz="4" w:space="0"/>
            </w:tcBorders>
            <w:tcW w:w="27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见自助取号机参数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left="210"/>
        <w:spacing w:line="360" w:lineRule="auto"/>
        <w:rPr>
          <w:rFonts w:hint="eastAsia" w:ascii="宋体" w:hAnsi="宋体" w:eastAsia="宋体" w:cs="宋体"/>
          <w:b/>
          <w:bCs/>
          <w:sz w:val="21"/>
          <w:szCs w:val="21"/>
          <w:lang w:val="en-US" w:eastAsia="zh-CN" w:bidi="ar-SA"/>
        </w:rPr>
        <w:outlineLvl w:val="2"/>
      </w:pPr>
      <w:r/>
      <w:bookmarkStart w:id="292" w:name="_Toc26652"/>
      <w:r>
        <w:rPr>
          <w:rFonts w:hint="eastAsia" w:ascii="宋体" w:hAnsi="宋体" w:eastAsia="宋体" w:cs="宋体"/>
          <w:b/>
          <w:bCs/>
          <w:sz w:val="21"/>
          <w:szCs w:val="21"/>
          <w:lang w:val="en-US" w:eastAsia="zh-CN" w:bidi="ar-SA"/>
        </w:rPr>
        <w:t xml:space="preserve">3.信息化设备搬迁</w:t>
      </w:r>
      <w:bookmarkEnd w:id="292"/>
      <w:r/>
      <w:r/>
    </w:p>
    <w:tbl>
      <w:tblPr>
        <w:tblStyle w:val="739"/>
        <w:tblW w:w="4805" w:type="pct"/>
        <w:tblInd w:w="162" w:type="dxa"/>
        <w:tblLayout w:type="autofit"/>
        <w:tblCellMar>
          <w:left w:w="108" w:type="dxa"/>
          <w:top w:w="0" w:type="dxa"/>
          <w:right w:w="108" w:type="dxa"/>
          <w:bottom w:w="0" w:type="dxa"/>
        </w:tblCellMar>
        <w:tblLook w:val="04A0" w:firstRow="1" w:lastRow="0" w:firstColumn="1" w:lastColumn="0" w:noHBand="0" w:noVBand="1"/>
      </w:tblPr>
      <w:tblGrid>
        <w:gridCol w:w="1149"/>
        <w:gridCol w:w="5130"/>
        <w:gridCol w:w="1220"/>
        <w:gridCol w:w="1312"/>
      </w:tblGrid>
      <w:tr>
        <w:trPr>
          <w:trHeight w:val="28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设备名称</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规格</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28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理论考试模块迁移调试</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排队叫号模块迁移调试</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电子档案模块迁移调试</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设备拆除</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r>
      <w:tr>
        <w:trPr>
          <w:trHeight w:val="28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车辆使用</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r>
      <w:tr>
        <w:trPr>
          <w:trHeight w:val="28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机房施工</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人/天</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jc w:val="left"/>
        <w:spacing w:line="360" w:lineRule="auto"/>
        <w:widowControl/>
        <w:rPr>
          <w:rFonts w:hint="eastAsia" w:ascii="宋体" w:hAnsi="宋体" w:eastAsia="宋体" w:cs="宋体"/>
          <w:b/>
          <w:bCs/>
          <w:sz w:val="21"/>
          <w:szCs w:val="21"/>
          <w:lang w:val="en-US" w:eastAsia="zh-CN" w:bidi="ar-SA"/>
        </w:rPr>
        <w:outlineLvl w:val="1"/>
      </w:pPr>
      <w:r/>
      <w:bookmarkStart w:id="293" w:name="_Toc22062"/>
      <w:r>
        <w:rPr>
          <w:rFonts w:hint="eastAsia" w:ascii="宋体" w:hAnsi="宋体" w:eastAsia="宋体" w:cs="宋体"/>
          <w:b/>
          <w:bCs/>
          <w:sz w:val="21"/>
          <w:szCs w:val="21"/>
          <w:lang w:val="en-US" w:eastAsia="zh-CN" w:bidi="ar-SA"/>
        </w:rPr>
        <w:t xml:space="preserve">基础设施</w:t>
      </w:r>
      <w:bookmarkEnd w:id="293"/>
      <w:r/>
      <w:r/>
    </w:p>
    <w:p>
      <w:pPr>
        <w:ind w:left="210"/>
        <w:spacing w:line="360" w:lineRule="auto"/>
        <w:rPr>
          <w:rFonts w:hint="eastAsia" w:ascii="宋体" w:hAnsi="宋体" w:eastAsia="宋体" w:cs="宋体"/>
          <w:b/>
          <w:bCs/>
          <w:sz w:val="21"/>
          <w:szCs w:val="21"/>
          <w:lang w:val="en-US" w:eastAsia="zh-CN" w:bidi="ar-SA"/>
        </w:rPr>
        <w:outlineLvl w:val="2"/>
      </w:pPr>
      <w:r/>
      <w:bookmarkStart w:id="294" w:name="_Toc15509"/>
      <w:r>
        <w:rPr>
          <w:rFonts w:hint="eastAsia" w:ascii="宋体" w:hAnsi="宋体" w:eastAsia="宋体" w:cs="宋体"/>
          <w:b/>
          <w:bCs/>
          <w:sz w:val="21"/>
          <w:szCs w:val="21"/>
          <w:lang w:val="en-US" w:eastAsia="zh-CN" w:bidi="ar-SA"/>
        </w:rPr>
        <w:t xml:space="preserve">1.执勤音视频管理模块升级</w:t>
      </w:r>
      <w:bookmarkEnd w:id="294"/>
      <w:r/>
      <w:r/>
    </w:p>
    <w:tbl>
      <w:tblPr>
        <w:tblStyle w:val="739"/>
        <w:tblW w:w="4974" w:type="pct"/>
        <w:tblInd w:w="113" w:type="dxa"/>
        <w:tblLayout w:type="autofit"/>
        <w:tblCellMar>
          <w:left w:w="108" w:type="dxa"/>
          <w:top w:w="0" w:type="dxa"/>
          <w:right w:w="108" w:type="dxa"/>
          <w:bottom w:w="0" w:type="dxa"/>
        </w:tblCellMar>
        <w:tblLook w:val="04A0" w:firstRow="1" w:lastRow="0" w:firstColumn="1" w:lastColumn="0" w:noHBand="0" w:noVBand="1"/>
      </w:tblPr>
      <w:tblGrid>
        <w:gridCol w:w="458"/>
        <w:gridCol w:w="1417"/>
        <w:gridCol w:w="5031"/>
        <w:gridCol w:w="1096"/>
        <w:gridCol w:w="1119"/>
      </w:tblGrid>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单警执法视音频记录仪</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备用电池</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2700mAH执法记录仪终端配套锂电池</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连接线</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执法仪与采集站配套连接线</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执法仪电池座式充电器</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执法仪电池座式充电器，可对记录仪电池进行脱机充电；实时显示电池电量，USB接口可同时对其他设备进行有线充电，充电电流：DC4.2V~5.2 800~2000mA，工作电流： AC110V-220V~50/60HZ 200mA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530</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平台接入授权</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监控平台接入授权硬key单路监控点的接入许可，接入现有音视频管理平台</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4G网络租用</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运营商定制</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张</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IP磁盘存储阵列</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执法音视频电子证据升级模块</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系统硬件要求：</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≥1颗国产化高性能处理器；≥64GB内存；≥1块240GB SSD系统盘；≥8个硬盘插槽，支持2.5寸/3.5寸SATA机械硬盘或SSD固态硬盘；1+1冗余备份电源，单个电源功率≥550W；≥4个1000BASE-T(RJ45千兆电口)；</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系统软件要求：</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预装执法音视频电子证据平台软件升级服务，含执法音视频电子平台、视图库软件、视讯通软件的升级扩容服务。</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云存储</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驻场服务</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提供不低于1人执法记录仪设备厂商原厂驻场服务</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年</w:t>
            </w:r>
            <w:r/>
          </w:p>
        </w:tc>
      </w:tr>
      <w:tr>
        <w:trPr>
          <w:trHeight w:val="40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7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合计</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left="210"/>
        <w:spacing w:line="360" w:lineRule="auto"/>
        <w:rPr>
          <w:rFonts w:hint="eastAsia" w:ascii="宋体" w:hAnsi="宋体" w:eastAsia="宋体" w:cs="宋体"/>
          <w:b/>
          <w:bCs/>
          <w:sz w:val="21"/>
          <w:szCs w:val="21"/>
          <w:lang w:val="en-US" w:eastAsia="zh-CN" w:bidi="ar-SA"/>
        </w:rPr>
        <w:outlineLvl w:val="2"/>
      </w:pPr>
      <w:r/>
      <w:bookmarkStart w:id="295" w:name="_Toc13117"/>
      <w:r>
        <w:rPr>
          <w:rFonts w:hint="eastAsia" w:ascii="宋体" w:hAnsi="宋体" w:eastAsia="宋体" w:cs="宋体"/>
          <w:b/>
          <w:bCs/>
          <w:sz w:val="21"/>
          <w:szCs w:val="21"/>
          <w:lang w:val="en-US" w:eastAsia="zh-CN" w:bidi="ar-SA"/>
        </w:rPr>
        <w:t xml:space="preserve">2.分布式显示控制系统</w:t>
      </w:r>
      <w:bookmarkEnd w:id="295"/>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515"/>
        <w:gridCol w:w="3028"/>
        <w:gridCol w:w="4590"/>
        <w:gridCol w:w="515"/>
        <w:gridCol w:w="521"/>
      </w:tblGrid>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分布式显示控制系统</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分布式坐席输入节点</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详见设备技术参数要求</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分布式坐席输出节点</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tcPr>
          <w:p>
            <w:pPr>
              <w:ind w:firstLine="420"/>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详见设备技术参数要求</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分布式拼接节点</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tcPr>
          <w:p>
            <w:pPr>
              <w:ind w:firstLine="420"/>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详见设备技术参数要求</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48千兆网口接入交换机</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tcPr>
          <w:p>
            <w:pPr>
              <w:ind w:firstLine="420"/>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详见设备技术参数要求</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分布式管控平台</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tcPr>
          <w:p>
            <w:pPr>
              <w:ind w:firstLine="420"/>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详见设备技术参数要求</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分布式节点机架</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tcPr>
          <w:p>
            <w:pPr>
              <w:ind w:firstLine="420"/>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详见设备技术参数要求</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48万兆光口汇聚交换机</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tcPr>
          <w:p>
            <w:pPr>
              <w:ind w:firstLine="420"/>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详见设备技术参数要求</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万兆单模光模块</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tcPr>
          <w:p>
            <w:pPr>
              <w:ind w:firstLine="420"/>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详见设备技术参数要求</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50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left="210"/>
        <w:spacing w:line="360" w:lineRule="auto"/>
        <w:rPr>
          <w:rFonts w:hint="eastAsia" w:ascii="宋体" w:hAnsi="宋体" w:eastAsia="宋体" w:cs="宋体"/>
          <w:b/>
          <w:bCs/>
          <w:sz w:val="21"/>
          <w:szCs w:val="21"/>
          <w:lang w:val="en-US" w:eastAsia="zh-CN" w:bidi="ar-SA"/>
        </w:rPr>
        <w:outlineLvl w:val="2"/>
      </w:pPr>
      <w:r/>
      <w:bookmarkStart w:id="296" w:name="_Toc24218"/>
      <w:r>
        <w:rPr>
          <w:rFonts w:hint="eastAsia" w:ascii="宋体" w:hAnsi="宋体" w:eastAsia="宋体" w:cs="宋体"/>
          <w:b/>
          <w:bCs/>
          <w:sz w:val="21"/>
          <w:szCs w:val="21"/>
          <w:lang w:val="en-US" w:eastAsia="zh-CN" w:bidi="ar-SA"/>
        </w:rPr>
        <w:t xml:space="preserve">3.业务中心</w:t>
      </w:r>
      <w:bookmarkEnd w:id="296"/>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（1）信号优化中心</w:t>
      </w:r>
      <w:r/>
    </w:p>
    <w:tbl>
      <w:tblPr>
        <w:tblStyle w:val="739"/>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5"/>
        <w:gridCol w:w="959"/>
        <w:gridCol w:w="6634"/>
        <w:gridCol w:w="525"/>
        <w:gridCol w:w="526"/>
      </w:tblGrid>
      <w:tr>
        <w:trPr>
          <w:jc w:val="right"/>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单位</w:t>
            </w:r>
            <w:r/>
          </w:p>
        </w:tc>
      </w:tr>
      <w:tr>
        <w:trPr>
          <w:jc w:val="right"/>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98寸电视机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色域值：95%；色域标准：DCI-P3；屏幕尺寸：98英寸；屏幕分辨率：超高清4K；屏幕比例：16:9；亮度：400-600尼特；响应时间：5.2ms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伸缩式支架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电源线网线等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bl>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（2）数据赋能中心</w:t>
      </w:r>
      <w:r/>
    </w:p>
    <w:tbl>
      <w:tblPr>
        <w:tblStyle w:val="739"/>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5"/>
        <w:gridCol w:w="959"/>
        <w:gridCol w:w="6634"/>
        <w:gridCol w:w="525"/>
        <w:gridCol w:w="526"/>
      </w:tblGrid>
      <w:tr>
        <w:trPr>
          <w:jc w:val="right"/>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单位</w:t>
            </w:r>
            <w:r/>
          </w:p>
        </w:tc>
      </w:tr>
      <w:tr>
        <w:trPr>
          <w:jc w:val="right"/>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98寸电视机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色域值：95%；色域标准：DCI-P3；屏幕尺寸：98英寸；屏幕分辨率：超高清4K；屏幕比例：16:9；亮度：400-600尼特；响应时间：5.2ms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伸缩式支架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电源线网线等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bl>
    <w:p>
      <w:pPr>
        <w:ind w:left="420"/>
        <w:jc w:val="left"/>
        <w:spacing w:line="360" w:lineRule="auto"/>
        <w:widowControl w:val="off"/>
        <w:rPr>
          <w:rFonts w:hint="eastAsia" w:ascii="宋体" w:hAnsi="宋体" w:eastAsia="宋体" w:cs="宋体"/>
          <w:szCs w:val="24"/>
          <w:lang w:val="en-US" w:eastAsia="zh-CN" w:bidi="ar-SA"/>
        </w:rPr>
        <w:outlineLvl w:val="4"/>
      </w:pPr>
      <w:r>
        <w:rPr>
          <w:rFonts w:hint="eastAsia" w:ascii="宋体" w:hAnsi="宋体" w:eastAsia="宋体" w:cs="宋体"/>
          <w:b/>
          <w:bCs/>
          <w:sz w:val="21"/>
          <w:szCs w:val="21"/>
          <w:lang w:val="en-US" w:eastAsia="zh-CN" w:bidi="ar-SA"/>
        </w:rPr>
        <w:t xml:space="preserve">（3）风险管控中心</w:t>
      </w:r>
      <w:r/>
    </w:p>
    <w:tbl>
      <w:tblPr>
        <w:tblStyle w:val="739"/>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5"/>
        <w:gridCol w:w="959"/>
        <w:gridCol w:w="6634"/>
        <w:gridCol w:w="525"/>
        <w:gridCol w:w="526"/>
      </w:tblGrid>
      <w:tr>
        <w:trPr>
          <w:jc w:val="right"/>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单位</w:t>
            </w:r>
            <w:r/>
          </w:p>
        </w:tc>
      </w:tr>
      <w:tr>
        <w:trPr>
          <w:jc w:val="right"/>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98寸电视机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色域值：95%；色域标准：DCI-P3；屏幕尺寸：98英寸；屏幕分辨率：超高清4K；屏幕比例：16:9；亮度：400-600尼特；响应时间：5.2ms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伸缩式支架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电源线网线等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bl>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（4）联动服务中心</w:t>
      </w:r>
      <w:r/>
    </w:p>
    <w:tbl>
      <w:tblPr>
        <w:tblStyle w:val="739"/>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5"/>
        <w:gridCol w:w="959"/>
        <w:gridCol w:w="6634"/>
        <w:gridCol w:w="525"/>
        <w:gridCol w:w="526"/>
      </w:tblGrid>
      <w:tr>
        <w:trPr>
          <w:jc w:val="right"/>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单位</w:t>
            </w:r>
            <w:r/>
          </w:p>
        </w:tc>
      </w:tr>
      <w:tr>
        <w:trPr>
          <w:jc w:val="right"/>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98寸电视机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色域值：95%；色域标准：DCI-P3；屏幕尺寸：98英寸；屏幕分辨率：超高清4K；屏幕比例：16:9；亮度：400-600尼特；响应时间：5.2ms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伸缩式支架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2</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电源线网线等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r>
        <w:trPr>
          <w:jc w:val="right"/>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lang w:val="en-US" w:eastAsia="zh-CN"/>
              </w:rPr>
              <w:t xml:space="preserve">1</w:t>
            </w:r>
            <w:r/>
          </w:p>
        </w:tc>
      </w:tr>
    </w:tbl>
    <w:p>
      <w:pPr>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（5）事故视频快处中心</w:t>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998"/>
        <w:gridCol w:w="1421"/>
        <w:gridCol w:w="4652"/>
        <w:gridCol w:w="1049"/>
        <w:gridCol w:w="1049"/>
      </w:tblGrid>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P1.25全彩LED</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14.58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支架</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LED壁挂支架</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14.58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LED二合一拼控卡</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LED配电柜</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额定功率：10KW</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HDMI光纤视频线</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10米HDMI光纤视频线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支持HDMI 2.0标准，最高支持4K@60Hz超高清显示。</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支持HDCP 2.2。</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即插即用，无需驱动程序。</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接收卡</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集成8个标准HUB75接口，免接HUB板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采用千兆网口通信，可以连接PC</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支持亮色度逐点校正</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支持接收卡预存画面设置。</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支持温度、电压、网线通讯和视频源信号状态检测。</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 5Pin 液晶模块</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张</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直流电压 4.5V</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额定电流 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电流范围 0～40A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额定功率 180W</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电源线</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内部电源3*2.5连接线</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网线</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网络跳线，数据排线</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1、图纸方案 2、支架安装 3、屏幕及发送卡安装 4、配电柜安装（不含380V强电接线） 5、出货线缆布线（不含桥架、线管） 6、系统调试 7、使用培训 8、施工区域产生的垃圾清理（含远距离车辆运输） 9、不同楼层支架/屏幕搬运 10、380V配电柜强电进线接线 11、墙面开孔走线</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14.58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主扩音箱</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辅助音箱</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调音台</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音频处理器</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电源管理器</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无线双手持话筒</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话筒天线</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多媒体信息插座</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主扩音箱支架</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音箱支架</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辅助音箱支架</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音箱支架</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全数字会议系统主机</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音频隔离器</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会议话筒处理器</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会议主席话筒</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会议代表话筒</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发射器</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29</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color w:val="000000" w:themeColor="text1"/>
                <w:szCs w:val="24"/>
                <w:lang w:val="en-US" w:eastAsia="zh-CN" w:bidi="ar-SA"/>
                <w14:textFill>
                  <w14:solidFill>
                    <w14:schemeClr w14:val="tx1"/>
                  </w14:solidFill>
                </w14:textFill>
              </w:rPr>
            </w:pPr>
            <w:r>
              <w:rPr>
                <w:rFonts w:hint="eastAsia" w:ascii="宋体" w:hAnsi="宋体" w:eastAsia="宋体" w:cs="宋体"/>
                <w:color w:val="000000" w:themeColor="text1"/>
                <w:szCs w:val="24"/>
                <w:lang w:val="en-US" w:eastAsia="zh-CN" w:bidi="ar-SA"/>
                <w14:textFill>
                  <w14:solidFill>
                    <w14:schemeClr w14:val="tx1"/>
                  </w14:solidFill>
                </w14:textFill>
              </w:rPr>
              <w:t xml:space="preserve">交换机</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color w:val="000000" w:themeColor="text1"/>
                <w:szCs w:val="24"/>
                <w:lang w:val="en-US" w:eastAsia="zh-CN" w:bidi="ar-SA"/>
                <w14:textFill>
                  <w14:solidFill>
                    <w14:schemeClr w14:val="tx1"/>
                  </w14:solidFill>
                </w14:textFill>
              </w:rPr>
            </w:pPr>
            <w:r>
              <w:rPr>
                <w:rFonts w:hint="eastAsia" w:ascii="宋体" w:hAnsi="宋体" w:eastAsia="宋体" w:cs="宋体"/>
                <w:color w:val="000000" w:themeColor="text1"/>
                <w:szCs w:val="24"/>
                <w:lang w:val="en-US" w:eastAsia="zh-CN" w:bidi="ar-SA"/>
                <w14:textFill>
                  <w14:solidFill>
                    <w14:schemeClr w14:val="tx1"/>
                  </w14:solidFill>
                </w14:textFill>
              </w:rPr>
              <w:t xml:space="preserve">1.端口描述：9个10/100Mbps RJ45端口，其中1-8端口支持PoE功能</w:t>
            </w:r>
            <w:r>
              <w:rPr>
                <w:rFonts w:hint="eastAsia" w:ascii="宋体" w:hAnsi="宋体" w:eastAsia="宋体" w:cs="宋体"/>
                <w:color w:val="000000" w:themeColor="text1"/>
                <w:szCs w:val="24"/>
                <w:lang w:val="en-US" w:eastAsia="zh-CN" w:bidi="ar-SA"/>
                <w14:textFill>
                  <w14:solidFill>
                    <w14:schemeClr w14:val="tx1"/>
                  </w14:solidFill>
                </w14:textFill>
              </w:rPr>
              <w:br/>
            </w:r>
            <w:r>
              <w:rPr>
                <w:rFonts w:hint="eastAsia" w:ascii="宋体" w:hAnsi="宋体" w:eastAsia="宋体" w:cs="宋体"/>
                <w:color w:val="000000" w:themeColor="text1"/>
                <w:szCs w:val="24"/>
                <w:lang w:val="en-US" w:eastAsia="zh-CN" w:bidi="ar-SA"/>
                <w14:textFill>
                  <w14:solidFill>
                    <w14:schemeClr w14:val="tx1"/>
                  </w14:solidFill>
                </w14:textFill>
              </w:rPr>
              <w:t xml:space="preserve">2.传输模式：全双工/半双工自适应</w:t>
            </w:r>
            <w:r>
              <w:rPr>
                <w:rFonts w:hint="eastAsia" w:ascii="宋体" w:hAnsi="宋体" w:eastAsia="宋体" w:cs="宋体"/>
                <w:color w:val="000000" w:themeColor="text1"/>
                <w:szCs w:val="24"/>
                <w:lang w:val="en-US" w:eastAsia="zh-CN" w:bidi="ar-SA"/>
                <w14:textFill>
                  <w14:solidFill>
                    <w14:schemeClr w14:val="tx1"/>
                  </w14:solidFill>
                </w14:textFill>
              </w:rPr>
              <w:br/>
            </w:r>
            <w:r>
              <w:rPr>
                <w:rFonts w:hint="eastAsia" w:ascii="宋体" w:hAnsi="宋体" w:eastAsia="宋体" w:cs="宋体"/>
                <w:color w:val="000000" w:themeColor="text1"/>
                <w:szCs w:val="24"/>
                <w:lang w:val="en-US" w:eastAsia="zh-CN" w:bidi="ar-SA"/>
                <w14:textFill>
                  <w14:solidFill>
                    <w14:schemeClr w14:val="tx1"/>
                  </w14:solidFill>
                </w14:textFill>
              </w:rPr>
              <w:t xml:space="preserve">3.网络标准：IEEE 802.3、IEEE 802.3u、IEEE 802.3x、IEEE 802.af、IEEE 802.at</w:t>
            </w:r>
            <w:r>
              <w:rPr>
                <w:rFonts w:hint="eastAsia" w:ascii="宋体" w:hAnsi="宋体" w:eastAsia="宋体" w:cs="宋体"/>
                <w:color w:val="000000" w:themeColor="text1"/>
                <w:szCs w:val="24"/>
                <w:lang w:val="en-US" w:eastAsia="zh-CN" w:bidi="ar-SA"/>
                <w14:textFill>
                  <w14:solidFill>
                    <w14:schemeClr w14:val="tx1"/>
                  </w14:solidFill>
                </w14:textFill>
              </w:rPr>
              <w:br/>
            </w:r>
            <w:r>
              <w:rPr>
                <w:rFonts w:hint="eastAsia" w:ascii="宋体" w:hAnsi="宋体" w:eastAsia="宋体" w:cs="宋体"/>
                <w:color w:val="000000" w:themeColor="text1"/>
                <w:szCs w:val="24"/>
                <w:lang w:val="en-US" w:eastAsia="zh-CN" w:bidi="ar-SA"/>
                <w14:textFill>
                  <w14:solidFill>
                    <w14:schemeClr w14:val="tx1"/>
                  </w14:solidFill>
                </w14:textFill>
              </w:rPr>
              <w:t xml:space="preserve">4.尺寸：250×158×44mm</w:t>
            </w:r>
            <w:r>
              <w:rPr>
                <w:rFonts w:hint="eastAsia" w:ascii="宋体" w:hAnsi="宋体" w:eastAsia="宋体" w:cs="宋体"/>
                <w:color w:val="000000" w:themeColor="text1"/>
                <w:szCs w:val="24"/>
                <w:lang w:val="en-US" w:eastAsia="zh-CN" w:bidi="ar-SA"/>
                <w14:textFill>
                  <w14:solidFill>
                    <w14:schemeClr w14:val="tx1"/>
                  </w14:solidFill>
                </w14:textFill>
              </w:rPr>
              <w:br/>
            </w:r>
            <w:r>
              <w:rPr>
                <w:rFonts w:hint="eastAsia" w:ascii="宋体" w:hAnsi="宋体" w:eastAsia="宋体" w:cs="宋体"/>
                <w:color w:val="000000" w:themeColor="text1"/>
                <w:szCs w:val="24"/>
                <w:lang w:val="en-US" w:eastAsia="zh-CN" w:bidi="ar-SA"/>
                <w14:textFill>
                  <w14:solidFill>
                    <w14:schemeClr w14:val="tx1"/>
                  </w14:solidFill>
                </w14:textFill>
              </w:rPr>
              <w:t xml:space="preserve">5.单端口PoE功率可达30W，整机最大PoE输出功率为125W</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机柜</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12U</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32</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non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1.8米音频连接线：3.5（耳机插头）-双6.35话筒插头</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33</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网线</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六类网线</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34</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音箱线</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2-金银线(300*0.1)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35</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电源线</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RVV3*2.5MM</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36</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镀锌管</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37</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分布式拼接节点</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38</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分布式音视频输入节点</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39</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分布式音视频输出节点</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24千兆网口接入交换机</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41</w:t>
            </w:r>
            <w:r/>
          </w:p>
        </w:tc>
        <w:tc>
          <w:tcPr>
            <w:tcBorders>
              <w:top w:val="single" w:color="000000" w:sz="4" w:space="0"/>
              <w:left w:val="single" w:color="000000" w:sz="4" w:space="0"/>
              <w:bottom w:val="non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万兆单模光模块</w:t>
            </w:r>
            <w:r/>
          </w:p>
        </w:tc>
        <w:tc>
          <w:tcPr>
            <w:tcBorders>
              <w:top w:val="none" w:color="000000" w:sz="4" w:space="0"/>
              <w:left w:val="none" w:color="000000" w:sz="4" w:space="0"/>
              <w:bottom w:val="none" w:color="000000" w:sz="4" w:space="0"/>
              <w:right w:val="none" w:color="000000" w:sz="4" w:space="0"/>
            </w:tcBorders>
            <w:tcW w:w="253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non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none" w:color="000000" w:sz="4" w:space="0"/>
              <w:right w:val="single" w:color="000000" w:sz="4" w:space="0"/>
            </w:tcBorders>
            <w:tcW w:w="57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42</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轻钢龙骨石膏板隔断</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1、轻钢龙骨骨架</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2、内填隔音棉</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3、双面双层石膏板，0.9厚纸面石膏板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4、表面刮腻子，辊刷乳胶漆</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43</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储物柜</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1、执法监督中心储物柜定制</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2、多层实木板柜体+欧松板柜门(平面无造型)</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44</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平开门</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1、多层实木定制木门</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45</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强电电路改造</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1、大屏供电线缆</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2、线缆：YJV-5*16线缆，  KBG 50穿线管铺设</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46</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强电电路改造</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1、办公工位电源</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2、线缆：YJV-5*10线缆，  KBG 40穿线管铺设</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47</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强电电路改造</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1、办公座席工位电源</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2、线缆：BV4电源线，  KBG 25穿线管铺设</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462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强电电路改造</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1、办公座席工位电源</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2、线缆：BV2.5电源线，  KBG 25穿线管铺设</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825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49</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强电电路改造</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1、办公座席工位电源空开，在原电箱内增加空气开关</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2、C60 3P 380V 60A</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50</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弱电线路改造</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1、办公座席工位网络线缆</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2、线缆：CAT6网线，  KBG 25穿线管铺设</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2950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rPr>
                <w:rFonts w:hint="default" w:ascii="宋体" w:hAnsi="宋体" w:eastAsia="宋体" w:cs="宋体"/>
                <w:szCs w:val="24"/>
                <w:lang w:val="en-US" w:eastAsia="zh-CN" w:bidi="ar-SA"/>
              </w:rPr>
            </w:pPr>
            <w:r>
              <w:rPr>
                <w:rFonts w:hint="eastAsia" w:ascii="宋体" w:hAnsi="宋体" w:cs="宋体"/>
                <w:szCs w:val="24"/>
                <w:lang w:val="en-US" w:eastAsia="zh-CN" w:bidi="ar-SA"/>
              </w:rPr>
              <w:t xml:space="preserve">安装调整</w:t>
            </w:r>
            <w:r/>
          </w:p>
        </w:tc>
        <w:tc>
          <w:tcPr>
            <w:tcBorders>
              <w:top w:val="single" w:color="000000" w:sz="4" w:space="0"/>
              <w:left w:val="single" w:color="000000" w:sz="4" w:space="0"/>
              <w:bottom w:val="single" w:color="000000" w:sz="4" w:space="0"/>
              <w:right w:val="single" w:color="000000" w:sz="4" w:space="0"/>
            </w:tcBorders>
            <w:tcW w:w="253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1、人工费</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left="210"/>
        <w:spacing w:line="360" w:lineRule="auto"/>
        <w:rPr>
          <w:rFonts w:hint="eastAsia" w:ascii="宋体" w:hAnsi="宋体" w:eastAsia="宋体" w:cs="宋体"/>
          <w:b/>
          <w:bCs/>
          <w:sz w:val="21"/>
          <w:szCs w:val="21"/>
          <w:lang w:val="en-US" w:eastAsia="zh-CN" w:bidi="ar-SA"/>
        </w:rPr>
        <w:outlineLvl w:val="2"/>
      </w:pPr>
      <w:r/>
      <w:bookmarkStart w:id="297" w:name="_Toc16189"/>
      <w:r>
        <w:rPr>
          <w:rFonts w:hint="eastAsia" w:ascii="宋体" w:hAnsi="宋体" w:eastAsia="宋体" w:cs="宋体"/>
          <w:b/>
          <w:bCs/>
          <w:sz w:val="21"/>
          <w:szCs w:val="21"/>
          <w:lang w:val="en-US" w:eastAsia="zh-CN" w:bidi="ar-SA"/>
        </w:rPr>
        <w:t xml:space="preserve">4.会议室</w:t>
      </w:r>
      <w:bookmarkEnd w:id="297"/>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（1）30人中型会议室</w:t>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650"/>
        <w:gridCol w:w="2267"/>
        <w:gridCol w:w="3899"/>
        <w:gridCol w:w="1174"/>
        <w:gridCol w:w="1179"/>
      </w:tblGrid>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30人中型会议室</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专业音箱</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调音台</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音频处理器</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电源管理器</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桌插</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支架</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一拖八无线话筒</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机柜</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12U</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1.8米音频连接线：3.5（耳机插头）-双6.35话筒插头</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网线</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六类网线</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音箱线</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2-金银线(300*0.1)</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电源线</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RVV3*2.5MM</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镀锌管</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其它附材</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接插件、专用插座等</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r>
      <w:tr>
        <w:trPr>
          <w:trHeight w:val="40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12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（2）90人会议室</w:t>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1357"/>
        <w:gridCol w:w="1357"/>
        <w:gridCol w:w="3734"/>
        <w:gridCol w:w="1357"/>
        <w:gridCol w:w="1364"/>
      </w:tblGrid>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90人会议室</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扩声系统</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主扩音箱</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辅助音箱</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调音台</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音频处理器</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电源管理器</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无线双手持话筒</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话筒天线</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多媒体信息插座</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主扩音箱支架</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辅助音箱支架</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全数字会议系统</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全数字会议系统主机</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音频隔离器</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会议话筒处理器</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会议主席话筒</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会议代表话筒</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发射器</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交换机</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辅助材料</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机柜</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lang w:val="en-US" w:eastAsia="zh-CN" w:bidi="ar-SA"/>
              </w:rPr>
              <w:t xml:space="preserve">3</w:t>
            </w:r>
            <w:r>
              <w:rPr>
                <w:rFonts w:hint="eastAsia" w:ascii="宋体" w:hAnsi="宋体" w:eastAsia="宋体" w:cs="宋体"/>
                <w:szCs w:val="24"/>
                <w:lang w:val="en-US" w:eastAsia="zh-CN" w:bidi="ar-SA"/>
              </w:rPr>
              <w:t xml:space="preserve">2U</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1.8米音频连接线：3.5（耳机插头）-双6.35话筒插头</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网线</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六类网线</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音箱线</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2-金银线(300*0.1)</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电源线</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RVV3*2.5MM</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镀锌管</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其它附材</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接插件、专用插座等</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r>
      <w:tr>
        <w:trPr>
          <w:trHeight w:val="400"/>
        </w:trPr>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03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12"/>
        </w:num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报告厅扩声</w:t>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1204"/>
        <w:gridCol w:w="1205"/>
        <w:gridCol w:w="4341"/>
        <w:gridCol w:w="1205"/>
        <w:gridCol w:w="1214"/>
      </w:tblGrid>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报告厅扩声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扩声系统</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专业音箱</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专业音箱</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专业音箱</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专业音箱</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调音台</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音频处理器</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抑制器</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电源管理器</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电源管理器</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无线双手持话筒</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无线双头戴话筒</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一拖八无线话筒</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天线分配器</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话筒天线</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多媒体信息插座</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支架</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辅助材料</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机柜</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12U</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1.8米音频连接线：3.5（耳机插头）-双6.35话筒插头</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1.8米音频连接线：6.35话筒插头-卡侬头（公）</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HDMI</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default" w:ascii="宋体" w:hAnsi="宋体" w:eastAsia="宋体" w:cs="宋体"/>
                <w:szCs w:val="24"/>
                <w:lang w:val="en-US" w:eastAsia="zh-CN" w:bidi="ar-SA"/>
              </w:rPr>
            </w:pPr>
            <w:r>
              <w:rPr>
                <w:rFonts w:hint="eastAsia" w:ascii="宋体" w:hAnsi="宋体" w:cs="宋体"/>
                <w:szCs w:val="24"/>
                <w:lang w:val="en-US" w:eastAsia="zh-CN" w:bidi="ar-SA"/>
              </w:rPr>
              <w:t xml:space="preserve">10米</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网线</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六类网线</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300</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音频线</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RVPE2*0.5</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音箱线</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2-金银线(300*0.1/500*0.1)</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300</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电源线(强电)</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RVV3*2.5MM</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镀锌管</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镀锌管</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32</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其它附材</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接插件、专用插座等</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r>
      <w:tr>
        <w:trPr>
          <w:trHeight w:val="40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12"/>
        </w:num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指挥决策会议室</w:t>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1067"/>
        <w:gridCol w:w="1610"/>
        <w:gridCol w:w="4251"/>
        <w:gridCol w:w="1229"/>
        <w:gridCol w:w="1012"/>
      </w:tblGrid>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指挥决策会议室</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LED拼接屏1块，P1.25全彩，屏幕净尺寸3.6*1.6875m</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P1.25全彩LED</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6.075</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支架</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订制</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6.075</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LED二合一拼控卡</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LED配电柜</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 </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HDMI光纤视频线</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10米HDMI光纤视频线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支持HDMI 2.0标准，最高支持4K@60Hz超高清显示。</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支持HDCP 2.2。</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即插即用，无需驱动程序。</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接收卡</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集成8个标准HUB75接口，免接HUB板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采用千兆网口通信，可以连接PC</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支持亮色度逐点校正</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支持接收卡预存画面设置。</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支持温度、电压、网线通讯和视频源信号状态检测。</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 5Pin 液晶模块</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张</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直流电压 4.5V</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额定电流 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电流范围 0～40A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额定功率 180W</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电源线</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内部电源3*2.5连接线</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网线</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网络跳线，数据排线</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1、图纸方案 2、支架安装 3、屏幕及发送卡安装 4、配电柜安装（不含380V强电接线） 5、出货线缆布线（不含桥架、线管） 6、系统调试 7、使用培训 8、施工区域产生的垃圾清理（含远距离车辆运输） 9、不同楼层支架/屏幕搬运 10、380V配电柜强电进线接线 11、墙面开孔走线</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6.075</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分布式坐席输出节点</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分布式拼接节点</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分布式音视频输入节点</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分布式音视频输出节点</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24千兆网口接入交换机</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万兆单模光模块</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高清会议摄像机</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智能PTZ摄像机,1080P60,摄像机*2,12倍光学变焦,最低照度0.1Lx,F1.6,支持HDBaseT输出,支持正装或倒装,黑色</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扩声系统</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天花喇叭</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调音台</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音频处理器VN.79280WS</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电源管理器</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桌插</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一拖八无线话筒</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gridSpan w:val="5"/>
            <w:tcBorders>
              <w:top w:val="single" w:color="000000" w:sz="4" w:space="0"/>
              <w:left w:val="single" w:color="000000" w:sz="4" w:space="0"/>
              <w:bottom w:val="single" w:color="000000" w:sz="4" w:space="0"/>
              <w:right w:val="non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辅助材料</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机柜</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lang w:val="en-US" w:eastAsia="zh-CN" w:bidi="ar-SA"/>
              </w:rPr>
              <w:t xml:space="preserve">3</w:t>
            </w:r>
            <w:r>
              <w:rPr>
                <w:rFonts w:hint="eastAsia" w:ascii="宋体" w:hAnsi="宋体" w:eastAsia="宋体" w:cs="宋体"/>
                <w:szCs w:val="24"/>
                <w:lang w:val="en-US" w:eastAsia="zh-CN" w:bidi="ar-SA"/>
              </w:rPr>
              <w:t xml:space="preserve">2U</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non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none" w:color="000000" w:sz="4" w:space="0"/>
              <w:bottom w:val="single" w:color="000000" w:sz="4" w:space="0"/>
              <w:right w:val="single" w:color="000000" w:sz="4" w:space="0"/>
            </w:tcBorders>
            <w:tcW w:w="231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1.8米音频连接线：3.5（耳机插头）-双6.35话筒插头</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网线</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六类网线</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音箱线</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2-金银线(300*0.1)</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电源线</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RVV3*2.5MM</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镀锌管</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其它附材</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接插件、专用插座等</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r>
      <w:tr>
        <w:trPr>
          <w:trHeight w:val="40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12"/>
        </w:num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党委会议室</w:t>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968"/>
        <w:gridCol w:w="968"/>
        <w:gridCol w:w="5287"/>
        <w:gridCol w:w="968"/>
        <w:gridCol w:w="978"/>
      </w:tblGrid>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党委会议室</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LED拼接屏1块，P1.25全彩，屏幕净尺寸5.4*2.025m</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P1.25全彩LED</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10.935</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支架</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订制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10.935</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LED二合一拼控卡</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LED配电柜</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HDMI光纤视频线</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10米HDMI光纤视频线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支持HDMI 2.0标准，最高支持4K@60Hz超高清显示。</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支持HDCP 2.2。</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即插即用，无需驱动程序。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接收卡</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集成8个标准HUB75接口，免接HUB板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采用千兆网口通信，可以连接PC</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支持亮色度逐点校正</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支持接收卡预存画面设置。</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支持温度、电压、网线通讯和视频源信号状态检测。</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 5Pin 液晶模块</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张</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直流电压 4.5V</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额定电流 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电流范围 0～40A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额定功率 180W</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电源线</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内部电源3*2.5连接线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网线</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网络跳线，数据排线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1、图纸方案 2、支架安装 3、屏幕及发送卡安装 4、配电柜安装（不含380V强电接线） 5、出货线缆布线（不含桥架、线管） 6、系统调试 7、使用培训 8、施工区域产生的垃圾清理（含远距离车辆运输） 9、不同楼层支架/屏幕搬运 10、380V配电柜强电进线接线 11、墙面开孔走线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10.935</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分布式拼接节点</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分布式音视频输入节点</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分布式音视频输出节点</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24千兆网口接入交换机</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万兆单模光模块</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高清会议摄像机</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智能PTZ摄像机,1080P60,摄像机*2,12倍光学变焦,最低照度0.1Lx,F1.6,支持HDBaseT输出,支持正装或倒装,黑色</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color w:val="ff0000"/>
                <w:szCs w:val="24"/>
                <w:lang w:val="en-US" w:eastAsia="zh-CN" w:bidi="ar-SA"/>
              </w:rPr>
            </w:pPr>
            <w:r>
              <w:rPr>
                <w:rFonts w:hint="eastAsia" w:ascii="宋体" w:hAnsi="宋体" w:eastAsia="宋体" w:cs="宋体"/>
                <w:color w:val="ff0000"/>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color w:val="ff0000"/>
                <w:szCs w:val="24"/>
                <w:lang w:val="en-US" w:eastAsia="zh-CN" w:bidi="ar-SA"/>
              </w:rPr>
            </w:pPr>
            <w:r>
              <w:rPr>
                <w:rFonts w:hint="eastAsia" w:ascii="宋体" w:hAnsi="宋体" w:eastAsia="宋体" w:cs="宋体"/>
                <w:color w:val="ff0000"/>
                <w:szCs w:val="24"/>
                <w:lang w:val="en-US" w:eastAsia="zh-CN" w:bidi="ar-SA"/>
              </w:rPr>
              <w:t xml:space="preserve">台</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扩声系统</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专业音箱</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专业功放</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调音台</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音频处理器</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电源管理器</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桌插</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支架</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只</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全数字会议系统</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全数字会议系统主机</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音频隔离器</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会议话筒处理器</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会议主席话筒</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会议代表话筒</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连接线</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插座</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辅助材料</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机柜</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lang w:val="en-US" w:eastAsia="zh-CN" w:bidi="ar-SA"/>
              </w:rPr>
              <w:t xml:space="preserve">3</w:t>
            </w:r>
            <w:r>
              <w:rPr>
                <w:rFonts w:hint="eastAsia" w:ascii="宋体" w:hAnsi="宋体" w:eastAsia="宋体" w:cs="宋体"/>
                <w:szCs w:val="24"/>
                <w:lang w:val="en-US" w:eastAsia="zh-CN" w:bidi="ar-SA"/>
              </w:rPr>
              <w:t xml:space="preserve">2U</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音频连接线</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1.8米音频连接线：3.5（耳机插头）-双6.35话筒插头</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HDMI</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网线</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六类网线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200</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音箱线</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2-金银线(300*0.1)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150</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电源线</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RVV3*2.5MM</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150</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镀锌管</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其它附材</w:t>
            </w:r>
            <w:r/>
          </w:p>
        </w:tc>
        <w:tc>
          <w:tcPr>
            <w:tcBorders>
              <w:top w:val="single" w:color="000000" w:sz="4" w:space="0"/>
              <w:left w:val="single" w:color="000000" w:sz="4" w:space="0"/>
              <w:bottom w:val="single" w:color="000000" w:sz="4" w:space="0"/>
              <w:right w:val="single" w:color="000000" w:sz="4" w:space="0"/>
            </w:tcBorders>
            <w:tcW w:w="288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接插件、专用插座等</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r>
      <w:tr>
        <w:trPr>
          <w:trHeight w:val="400"/>
        </w:trPr>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none" w:color="000000" w:sz="4" w:space="0"/>
              <w:bottom w:val="single" w:color="000000" w:sz="4" w:space="0"/>
              <w:right w:val="none" w:color="000000" w:sz="4" w:space="0"/>
            </w:tcBorders>
            <w:tcW w:w="52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none" w:color="000000" w:sz="4" w:space="0"/>
              <w:bottom w:val="single" w:color="000000" w:sz="4" w:space="0"/>
              <w:right w:val="none" w:color="000000" w:sz="4" w:space="0"/>
            </w:tcBorders>
            <w:tcW w:w="288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none" w:color="000000" w:sz="4" w:space="0"/>
              <w:bottom w:val="single" w:color="000000" w:sz="4" w:space="0"/>
              <w:right w:val="none" w:color="000000" w:sz="4" w:space="0"/>
            </w:tcBorders>
            <w:tcW w:w="528"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none" w:color="000000" w:sz="4" w:space="0"/>
              <w:bottom w:val="single" w:color="000000" w:sz="4" w:space="0"/>
              <w:right w:val="none" w:color="000000" w:sz="4" w:space="0"/>
            </w:tcBorders>
            <w:tcW w:w="53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13"/>
        </w:numPr>
        <w:ind w:left="210"/>
        <w:spacing w:line="360" w:lineRule="auto"/>
        <w:rPr>
          <w:rFonts w:hint="eastAsia" w:ascii="宋体" w:hAnsi="宋体" w:eastAsia="宋体" w:cs="宋体"/>
          <w:b/>
          <w:bCs/>
          <w:sz w:val="21"/>
          <w:szCs w:val="21"/>
          <w:lang w:val="en-US" w:eastAsia="zh-CN" w:bidi="ar-SA"/>
        </w:rPr>
        <w:outlineLvl w:val="2"/>
      </w:pPr>
      <w:r/>
      <w:bookmarkStart w:id="298" w:name="_Toc8908"/>
      <w:r>
        <w:rPr>
          <w:rFonts w:hint="eastAsia" w:ascii="宋体" w:hAnsi="宋体" w:eastAsia="宋体" w:cs="宋体"/>
          <w:b/>
          <w:bCs/>
          <w:sz w:val="21"/>
          <w:szCs w:val="21"/>
          <w:lang w:val="en-US" w:eastAsia="zh-CN" w:bidi="ar-SA"/>
        </w:rPr>
        <w:t xml:space="preserve">中心机房建设及搬迁</w:t>
      </w:r>
      <w:bookmarkEnd w:id="298"/>
      <w:r/>
      <w:r/>
    </w:p>
    <w:p>
      <w:pPr>
        <w:numPr>
          <w:ilvl w:val="0"/>
          <w:numId w:val="0"/>
        </w:numPr>
        <w:contextualSpacing/>
        <w:ind w:firstLine="420"/>
        <w:jc w:val="both"/>
        <w:spacing w:line="360" w:lineRule="auto"/>
        <w:widowControl w:val="off"/>
        <w:rPr>
          <w:rFonts w:hint="eastAsia" w:ascii="宋体" w:hAnsi="宋体" w:eastAsia="宋体" w:cs="宋体"/>
          <w:i/>
          <w:iCs/>
          <w:color w:val="4f81bd" w:themeColor="accent1"/>
          <w:sz w:val="21"/>
          <w:szCs w:val="21"/>
          <w:u w:val="single"/>
          <w:lang w:val="en-US" w:eastAsia="zh-CN" w:bidi="ar-SA"/>
          <w14:textFill>
            <w14:solidFill>
              <w14:schemeClr w14:val="accent1"/>
            </w14:solidFill>
          </w14:textFill>
        </w:rPr>
      </w:pPr>
      <w:r>
        <w:rPr>
          <w:rFonts w:hint="eastAsia" w:ascii="宋体" w:hAnsi="宋体" w:eastAsia="宋体" w:cs="宋体"/>
          <w:i/>
          <w:iCs/>
          <w:color w:val="4f81bd" w:themeColor="accent1"/>
          <w:sz w:val="21"/>
          <w:szCs w:val="21"/>
          <w:u w:val="single"/>
          <w:lang w:val="en-US" w:eastAsia="zh-CN" w:bidi="ar-SA"/>
          <w14:textFill>
            <w14:solidFill>
              <w14:schemeClr w14:val="accent1"/>
            </w14:solidFill>
          </w14:textFill>
        </w:rPr>
        <w:t xml:space="preserve">项目清单中的线缆必须满足《绿色数据中心政府采购需求标准（试行）》（财库[2023]7号）关于电线电缆中氟含量不得大于0.1%、烟气最小透光率不得小于60%的要求（投标人需提供承诺函加盖公章扫描上传）</w:t>
      </w:r>
      <w:r/>
    </w:p>
    <w:p>
      <w:pPr>
        <w:numPr>
          <w:ilvl w:val="0"/>
          <w:numId w:val="0"/>
        </w:numPr>
        <w:contextualSpacing/>
        <w:ind w:firstLine="420"/>
        <w:jc w:val="both"/>
        <w:spacing w:line="360" w:lineRule="auto"/>
        <w:widowControl w:val="off"/>
        <w:rPr>
          <w:rFonts w:hint="eastAsia"/>
          <w:lang w:val="en-US" w:eastAsia="zh-CN"/>
        </w:rPr>
      </w:pPr>
      <w:r>
        <w:rPr>
          <w:rFonts w:hint="eastAsia" w:ascii="宋体" w:hAnsi="宋体" w:eastAsia="宋体" w:cs="宋体"/>
          <w:i/>
          <w:iCs/>
          <w:color w:val="4f81bd" w:themeColor="accent1"/>
          <w:sz w:val="21"/>
          <w:szCs w:val="21"/>
          <w:u w:val="single"/>
          <w:lang w:val="en-US" w:eastAsia="zh-CN" w:bidi="ar-SA"/>
          <w14:textFill>
            <w14:solidFill>
              <w14:schemeClr w14:val="accent1"/>
            </w14:solidFill>
          </w14:textFill>
        </w:rPr>
        <w:t xml:space="preserve">项目清单中的UPS不间断电源必须满足《绿色数据中心政府采购需求标准（试行）》（财库[2023]7号）关于不间断电源能效应符合GB/T 14715中一级能效要求（投标人提供承诺函）</w:t>
      </w:r>
      <w:r/>
    </w:p>
    <w:p>
      <w:pPr>
        <w:ind w:firstLine="420"/>
        <w:spacing w:line="360" w:lineRule="auto"/>
        <w:rPr>
          <w:rFonts w:hint="eastAsia" w:ascii="宋体" w:hAnsi="宋体" w:eastAsia="宋体" w:cs="宋体"/>
          <w:b w:val="0"/>
          <w:bCs w:val="0"/>
          <w:i w:val="0"/>
          <w:iCs w:val="0"/>
          <w:color w:val="0000ff"/>
          <w:sz w:val="21"/>
          <w:szCs w:val="21"/>
          <w:u w:val="none"/>
          <w:lang w:val="en-US" w:eastAsia="zh-CN" w:bidi="ar-SA"/>
        </w:rPr>
        <w:outlineLvl w:val="2"/>
      </w:pPr>
      <w:r>
        <w:rPr>
          <w:rFonts w:hint="eastAsia" w:ascii="宋体" w:hAnsi="宋体" w:eastAsia="宋体" w:cs="宋体"/>
          <w:b w:val="0"/>
          <w:bCs w:val="0"/>
          <w:i w:val="0"/>
          <w:iCs w:val="0"/>
          <w:color w:val="0000ff"/>
          <w:sz w:val="21"/>
          <w:szCs w:val="21"/>
          <w:u w:val="none"/>
          <w:lang w:val="en-US" w:eastAsia="zh-CN" w:bidi="ar-SA"/>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2"/>
        <w:rPr>
          <w:rFonts w:hint="eastAsia"/>
          <w:lang w:val="en-US" w:eastAsia="zh-CN"/>
        </w:rPr>
      </w:pPr>
      <w:r>
        <w:rPr>
          <w:rFonts w:hint="eastAsia"/>
          <w:lang w:val="en-US" w:eastAsia="zh-CN"/>
        </w:rPr>
      </w:r>
      <w:r/>
    </w:p>
    <w:p>
      <w:pPr>
        <w:pStyle w:val="742"/>
        <w:numPr>
          <w:ilvl w:val="0"/>
          <w:numId w:val="0"/>
        </w:numPr>
        <w:rPr>
          <w:rFonts w:hint="eastAsia"/>
          <w:lang w:val="en-US" w:eastAsia="zh-CN"/>
        </w:rPr>
      </w:pPr>
      <w:r>
        <w:rPr>
          <w:rFonts w:hint="eastAsia"/>
          <w:lang w:val="en-US" w:eastAsia="zh-CN"/>
        </w:rPr>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634"/>
        <w:gridCol w:w="2736"/>
        <w:gridCol w:w="4128"/>
        <w:gridCol w:w="1065"/>
        <w:gridCol w:w="606"/>
      </w:tblGrid>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中心机房建设及搬迁</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产品描述名称</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设备底座</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五号角铁定制，高度与地板平齐，包含机柜底座、电池架底座、空调内机底座</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机柜</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翻转天窗</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600宽全玻璃天窗-用于1200mm密封通道</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线槽</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线槽-用于600mm宽机柜-每2台600mm宽柜体配置1pcs</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围板</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300mm宽机柜顶部围板-用于密封300mm宽机柜顶部线槽-每2台机柜配置1PCS</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围板</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600mm宽机柜顶部围板-用于密封600mm宽机柜顶部线槽-每2台机柜配置1PCS</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通道照明</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LED灯具-通道级照明灯-220-240V-单相-50/60Hz-不超过12W-0.6m</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蓄电池单体监测模块</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蓄电池单体监测模块</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热敏电阻</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国产定制</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160</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电量传感器</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国产定制</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平板PAD</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用于显示动环</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地板拆除及恢复</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制作底座前拆除地板、底座制作完毕补齐地板</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蓄电池（12V200AH)</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160</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节</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电池架</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可容纳40节12V200AH铅酸电池开放式电池架</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电池连接铜牌</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3*30紫铜排</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160</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精密空调</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空调外机</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智能温控产品-风冷-室外机-NetCol500-A060-1107H*1356W*1094D-国际包装</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工业级除湿机</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工业大功率除湿机适用160平方到300平方空间</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技术支持服务</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新增空调质保</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精密空调安装及辅材</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新增空调安装铜管含制冷剂，氮气氧气保温等材料</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模块化机房搬迁</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含整套模块化机柜搬迁</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搬迁精密空调</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冷媒管路定制#19#16</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精密空调配件</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安装、氮气、氧气、支架</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制冷剂</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R410A</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罐</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强电桥架</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300*100</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外机基础</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水泥浇筑空调外机安装基础，不低于20公分</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线缆</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YJV-4*95+1*50 市电柜到UPS电源线缆</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线缆</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YJV-4*16+1*10 列头柜柜到列间空调线缆</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50</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29</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线缆</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WDZ-YJV-3*6   列头柜到PDU和输出柜到汇聚机房线缆</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80</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线缆</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BVR50蓄电池到UPS主机连接线</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80</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31</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监控中心 UPS主机</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32</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蓄电池（12V100AH)</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64</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节</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33</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电池柜</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可容纳32节12V100AH铅酸电池拼装电池柜</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34</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等电位箱</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300*200</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35</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接地铜排</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3*30紫铜排含绝缘子</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160</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36</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接地线国产BVR-6mm2</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BVR-6mm2</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37</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接地线国产BVR-50mm2</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BVR-50mm2</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38</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督导服务</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开机调试</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39</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静电地板拆除</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numPr>
                <w:ilvl w:val="0"/>
                <w:numId w:val="14"/>
              </w:numPr>
              <w:jc w:val="center"/>
              <w:rPr>
                <w:rFonts w:hint="eastAsia" w:ascii="宋体" w:hAnsi="宋体" w:cs="宋体"/>
                <w:szCs w:val="24"/>
              </w:rPr>
            </w:pPr>
            <w:r>
              <w:rPr>
                <w:rFonts w:hint="eastAsia" w:ascii="宋体" w:hAnsi="宋体" w:cs="宋体"/>
                <w:szCs w:val="24"/>
              </w:rPr>
              <w:t xml:space="preserve">人工费</w:t>
            </w:r>
            <w:r>
              <w:rPr>
                <w:rFonts w:hint="eastAsia" w:ascii="宋体" w:hAnsi="宋体" w:cs="宋体"/>
                <w:szCs w:val="24"/>
              </w:rPr>
              <w:br/>
            </w:r>
            <w:r>
              <w:rPr>
                <w:rFonts w:hint="eastAsia" w:ascii="宋体" w:hAnsi="宋体" w:cs="宋体"/>
                <w:szCs w:val="24"/>
              </w:rPr>
              <w:t xml:space="preserve">2、施工区域：隔断相关区域，其他区域不变</w:t>
            </w:r>
            <w:r/>
          </w:p>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3、在施工期间对地板及骨架进行现场拆除，隔断施工完成后再恢复，且结合隔断进行调整安装</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 </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轻钢龙骨石膏板隔断</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1、轻钢龙骨骨架</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2、内填隔音棉</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3、双面双层石膏板，0.9厚纸面石膏板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4、表面刮腻子，辊刷乳胶漆</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14.40 </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平米</w:t>
            </w:r>
            <w:r/>
          </w:p>
        </w:tc>
      </w:tr>
      <w:tr>
        <w:trPr>
          <w:trHeight w:val="400"/>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rPr>
              <w:t xml:space="preserve">41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rPr>
              <w:t xml:space="preserve">钢材</w:t>
            </w:r>
            <w:r/>
          </w:p>
          <w:p>
            <w:pPr>
              <w:jc w:val="center"/>
              <w:rPr>
                <w:rFonts w:hint="eastAsia" w:ascii="宋体" w:hAnsi="宋体" w:cs="宋体"/>
                <w:color w:val="ff0000"/>
                <w:szCs w:val="24"/>
              </w:rPr>
            </w:pPr>
            <w:r>
              <w:rPr>
                <w:rFonts w:hint="eastAsia" w:ascii="宋体" w:hAnsi="宋体" w:cs="宋体"/>
                <w:color w:val="ff0000"/>
                <w:szCs w:val="24"/>
              </w:rPr>
              <w:t xml:space="preserve">阻燃板</w:t>
            </w:r>
            <w:r/>
          </w:p>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不锈钢</w:t>
            </w:r>
            <w:r/>
          </w:p>
        </w:tc>
        <w:tc>
          <w:tcPr>
            <w:tcBorders>
              <w:top w:val="single" w:color="000000" w:sz="4" w:space="0"/>
              <w:left w:val="single" w:color="000000" w:sz="4" w:space="0"/>
              <w:bottom w:val="single" w:color="000000" w:sz="4" w:space="0"/>
              <w:right w:val="single" w:color="000000" w:sz="4" w:space="0"/>
            </w:tcBorders>
            <w:tcW w:w="4128" w:type="dxa"/>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rPr>
              <w:t xml:space="preserve">1、3*3国标方形矩管支架，1.0厚阻燃板封面</w:t>
            </w:r>
            <w:r/>
          </w:p>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2、外露表面不锈钢封边(1.0厚 304 不锈钢（本色/黑色）)</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szCs w:val="24"/>
              </w:rPr>
              <w:t xml:space="preserve">47.54 </w:t>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szCs w:val="24"/>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rPr>
              <w:t xml:space="preserve">42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玻璃</w:t>
            </w:r>
            <w:r/>
          </w:p>
        </w:tc>
        <w:tc>
          <w:tcPr>
            <w:tcBorders>
              <w:top w:val="single" w:color="000000" w:sz="4" w:space="0"/>
              <w:left w:val="single" w:color="000000" w:sz="4" w:space="0"/>
              <w:bottom w:val="single" w:color="000000" w:sz="4" w:space="0"/>
              <w:right w:val="single" w:color="000000" w:sz="4" w:space="0"/>
            </w:tcBorders>
            <w:tcW w:w="4128" w:type="dxa"/>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rPr>
              <w:t xml:space="preserve">1、12MM厚钢化防火玻璃，A级防火</w:t>
            </w:r>
            <w:r/>
          </w:p>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2、无框安装工艺</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szCs w:val="24"/>
              </w:rPr>
              <w:t xml:space="preserve">64.18 </w:t>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szCs w:val="24"/>
              </w:rPr>
              <w:t xml:space="preserve">平米</w:t>
            </w:r>
            <w:r/>
          </w:p>
        </w:tc>
      </w:tr>
      <w:tr>
        <w:trPr>
          <w:trHeight w:val="400"/>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rPr>
              <w:t xml:space="preserve">43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rPr>
              <w:t xml:space="preserve">电机</w:t>
            </w:r>
            <w:r/>
          </w:p>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玻璃</w:t>
            </w:r>
            <w:r/>
          </w:p>
        </w:tc>
        <w:tc>
          <w:tcPr>
            <w:tcBorders>
              <w:top w:val="single" w:color="000000" w:sz="4" w:space="0"/>
              <w:left w:val="single" w:color="000000" w:sz="4" w:space="0"/>
              <w:bottom w:val="single" w:color="000000" w:sz="4" w:space="0"/>
              <w:right w:val="single" w:color="000000" w:sz="4" w:space="0"/>
            </w:tcBorders>
            <w:tcW w:w="4128" w:type="dxa"/>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rPr>
              <w:t xml:space="preserve">1、电动移门电机及轨道：承重≦150Kg，50W 无刷马达，开启及关闭速度 100-400mm/s 可调，开放时间 0～60s 可调，手动开关力小于 100N,滑轮使用 POM 材质（更降噪，更耐磨）</w:t>
            </w:r>
            <w:r/>
          </w:p>
          <w:p>
            <w:pPr>
              <w:jc w:val="center"/>
              <w:rPr>
                <w:rFonts w:hint="eastAsia" w:ascii="宋体" w:hAnsi="宋体" w:cs="宋体"/>
                <w:color w:val="ff0000"/>
                <w:szCs w:val="24"/>
              </w:rPr>
            </w:pPr>
            <w:r>
              <w:rPr>
                <w:rFonts w:hint="eastAsia" w:ascii="宋体" w:hAnsi="宋体" w:cs="宋体"/>
                <w:color w:val="ff0000"/>
                <w:szCs w:val="24"/>
              </w:rPr>
              <w:t xml:space="preserve">2、承重支撑：14 号槽钢焊接固定</w:t>
            </w:r>
            <w:r/>
          </w:p>
          <w:p>
            <w:pPr>
              <w:jc w:val="center"/>
              <w:rPr>
                <w:rFonts w:hint="eastAsia" w:ascii="宋体" w:hAnsi="宋体" w:cs="宋体"/>
                <w:color w:val="ff0000"/>
                <w:szCs w:val="24"/>
              </w:rPr>
            </w:pPr>
            <w:r>
              <w:rPr>
                <w:rFonts w:hint="eastAsia" w:ascii="宋体" w:hAnsi="宋体" w:cs="宋体"/>
                <w:color w:val="ff0000"/>
                <w:szCs w:val="24"/>
              </w:rPr>
              <w:t xml:space="preserve">3、12MM厚钢化防火玻璃，无框工艺</w:t>
            </w:r>
            <w:r/>
          </w:p>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4、电机及支撑结构表面处理：外露表面不锈钢封边(1.0厚 304 不锈钢（本色/黑色）)</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szCs w:val="24"/>
              </w:rPr>
              <w:t xml:space="preserve">6.60 </w:t>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szCs w:val="24"/>
              </w:rPr>
              <w:t xml:space="preserve">平米</w:t>
            </w:r>
            <w:r/>
          </w:p>
        </w:tc>
      </w:tr>
      <w:tr>
        <w:trPr>
          <w:trHeight w:val="400"/>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rPr>
                <w:rFonts w:hint="eastAsia" w:ascii="宋体" w:hAnsi="宋体" w:eastAsia="宋体" w:cs="宋体"/>
                <w:szCs w:val="24"/>
                <w:lang w:val="en-US" w:eastAsia="zh-CN" w:bidi="ar-SA"/>
              </w:rPr>
            </w:pPr>
            <w:r>
              <w:rPr>
                <w:rFonts w:hint="eastAsia" w:ascii="宋体" w:hAnsi="宋体" w:cs="宋体"/>
                <w:szCs w:val="24"/>
              </w:rPr>
              <w:t xml:space="preserve">44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rPr>
              <w:t xml:space="preserve">地簧及配件</w:t>
            </w:r>
            <w:r/>
          </w:p>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玻璃</w:t>
            </w:r>
            <w:r/>
          </w:p>
        </w:tc>
        <w:tc>
          <w:tcPr>
            <w:tcBorders>
              <w:top w:val="single" w:color="000000" w:sz="4" w:space="0"/>
              <w:left w:val="single" w:color="000000" w:sz="4" w:space="0"/>
              <w:bottom w:val="single" w:color="000000" w:sz="4" w:space="0"/>
              <w:right w:val="single" w:color="000000" w:sz="4" w:space="0"/>
            </w:tcBorders>
            <w:tcW w:w="4128" w:type="dxa"/>
            <w:vAlign w:val="center"/>
            <w:textDirection w:val="lrTb"/>
            <w:noWrap w:val="false"/>
          </w:tcPr>
          <w:p>
            <w:pPr>
              <w:jc w:val="center"/>
              <w:rPr>
                <w:rFonts w:hint="eastAsia" w:ascii="宋体" w:hAnsi="宋体" w:cs="宋体"/>
                <w:color w:val="ff0000"/>
                <w:szCs w:val="24"/>
              </w:rPr>
            </w:pPr>
            <w:r>
              <w:rPr>
                <w:rFonts w:hint="eastAsia" w:ascii="宋体" w:hAnsi="宋体" w:cs="宋体"/>
                <w:color w:val="ff0000"/>
                <w:szCs w:val="24"/>
              </w:rPr>
              <w:t xml:space="preserve">1、90度不定位地簧，承重≦105KG，曲夹工艺</w:t>
            </w:r>
            <w:r/>
          </w:p>
          <w:p>
            <w:pPr>
              <w:jc w:val="center"/>
              <w:rPr>
                <w:rFonts w:hint="eastAsia" w:ascii="宋体" w:hAnsi="宋体" w:cs="宋体"/>
                <w:color w:val="ff0000"/>
                <w:szCs w:val="24"/>
              </w:rPr>
            </w:pPr>
            <w:r>
              <w:rPr>
                <w:rFonts w:hint="eastAsia" w:ascii="宋体" w:hAnsi="宋体" w:cs="宋体"/>
                <w:color w:val="ff0000"/>
                <w:szCs w:val="24"/>
              </w:rPr>
              <w:t xml:space="preserve">2、明装304不锈钢把手，砂光工艺，加厚精抛，脚厚2.33MM，管厚0.6MM，总长：1200MM</w:t>
            </w:r>
            <w:r/>
          </w:p>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3、12MM厚钢化防火玻璃，</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szCs w:val="24"/>
              </w:rPr>
              <w:t xml:space="preserve">5.28 </w:t>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szCs w:val="24"/>
              </w:rPr>
              <w:t xml:space="preserve">平米</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45</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微孔铝板吊顶</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1、轻钢龙骨骨架</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2、0.8MM厚微孔铝板(规格：600*600)</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256.00 </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平米</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46</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灯具移位及安装</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1、原灯具改装吊顶下，</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2、增加4组灯具</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47</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配套照明电路改造</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1、根据新建隔断及吊顶情况，对原灯具回路及开关位置重新改造</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 </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垃圾清理及竣工保洁</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256.00 </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平米</w:t>
            </w:r>
            <w:r/>
          </w:p>
        </w:tc>
      </w:tr>
      <w:tr>
        <w:trPr>
          <w:trHeight w:val="40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49</w:t>
            </w:r>
            <w:r/>
          </w:p>
        </w:tc>
        <w:tc>
          <w:tcPr>
            <w:tcBorders>
              <w:top w:val="single" w:color="000000" w:sz="4" w:space="0"/>
              <w:left w:val="single" w:color="000000" w:sz="4" w:space="0"/>
              <w:bottom w:val="single" w:color="000000" w:sz="4" w:space="0"/>
              <w:right w:val="single" w:color="000000" w:sz="4" w:space="0"/>
            </w:tcBorders>
            <w:tcW w:w="149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安装调整</w:t>
            </w:r>
            <w:r/>
          </w:p>
        </w:tc>
        <w:tc>
          <w:tcPr>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numPr>
          <w:ilvl w:val="0"/>
          <w:numId w:val="0"/>
        </w:numPr>
        <w:spacing w:line="360" w:lineRule="auto"/>
        <w:rPr>
          <w:rFonts w:hint="eastAsia"/>
          <w:lang w:eastAsia="zh-CN"/>
        </w:rPr>
        <w:outlineLvl w:val="2"/>
      </w:pPr>
      <w:r/>
      <w:bookmarkStart w:id="299" w:name="_Toc12703"/>
      <w:r>
        <w:rPr>
          <w:rFonts w:hint="eastAsia" w:ascii="宋体" w:hAnsi="宋体" w:eastAsia="宋体" w:cs="宋体"/>
          <w:b/>
          <w:bCs/>
          <w:sz w:val="21"/>
          <w:szCs w:val="21"/>
          <w:lang w:val="en-US" w:eastAsia="zh-CN" w:bidi="ar-SA"/>
        </w:rPr>
        <w:t xml:space="preserve">6.大楼网络建设</w:t>
      </w:r>
      <w:bookmarkEnd w:id="299"/>
      <w:r/>
      <w:r/>
    </w:p>
    <w:p>
      <w:pPr>
        <w:numPr>
          <w:ilvl w:val="0"/>
          <w:numId w:val="0"/>
        </w:numPr>
        <w:ind w:firstLine="420"/>
        <w:spacing w:before="20" w:after="240"/>
        <w:tabs>
          <w:tab w:val="left" w:pos="420" w:leader="none"/>
        </w:tabs>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outlineLvl w:val="3"/>
      </w:pPr>
      <w:r>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以下项目清单</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项目清单中的</w:t>
      </w:r>
      <w:r>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视频网核心交换机</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w:t>
      </w:r>
      <w:r>
        <w:rPr>
          <w:rFonts w:hint="eastAsia" w:ascii="宋体" w:hAnsi="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公安网核心交换机、</w:t>
      </w:r>
      <w:r>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车管专网核心交换机</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w:t>
      </w:r>
      <w:r>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出入境专网核心交换机</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w:t>
      </w:r>
      <w:r>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电子政务外网核心交换机</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w:t>
      </w:r>
      <w:r>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互联网核心交换机</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必须满足《绿色数据中心政府采购需求标准（试行）》（财库[2023]7号）关于以太网交换机采购需求标准（</w:t>
      </w:r>
      <w:r>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投标人须</w:t>
      </w:r>
      <w:r>
        <w:rPr>
          <w:rFonts w:hint="eastAsia" w:ascii="宋体" w:hAnsi="宋体" w:eastAsia="宋体" w:cs="宋体"/>
          <w:i/>
          <w:iCs/>
          <w:color w:val="558ed5" w:themeColor="text2" w:themeTint="99"/>
          <w:sz w:val="21"/>
          <w:szCs w:val="21"/>
          <w:u w:val="single"/>
          <w:lang w:eastAsia="zh-CN"/>
          <w14:textFill>
            <w14:solidFill>
              <w14:schemeClr w14:val="tx2">
                <w14:lumMod w14:val="60000"/>
                <w14:lumOff w14:val="40000"/>
              </w14:schemeClr>
            </w14:solidFill>
          </w14:textFill>
        </w:rPr>
        <w:t xml:space="preserve">提供承诺函）</w:t>
      </w:r>
      <w:r/>
    </w:p>
    <w:p>
      <w:pPr>
        <w:ind w:firstLine="708"/>
        <w:jc w:val="both"/>
        <w:spacing w:after="120"/>
        <w:widowControl w:val="off"/>
        <w:rPr>
          <w:rFonts w:hint="eastAsia" w:ascii="宋体" w:hAnsi="宋体" w:eastAsia="宋体" w:cs="宋体"/>
          <w:color w:val="558ed5" w:themeColor="text2" w:themeTint="99"/>
          <w:sz w:val="24"/>
          <w:szCs w:val="24"/>
          <w:lang w:val="en-US" w:eastAsia="zh-CN" w:bidi="ar-SA"/>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lang w:val="en-US" w:eastAsia="zh-CN" w:bidi="ar-SA"/>
          <w14:textFill>
            <w14:solidFill>
              <w14:schemeClr w14:val="tx2">
                <w14:lumMod w14:val="60000"/>
                <w14:lumOff w14:val="40000"/>
              </w14:schemeClr>
            </w14:solidFill>
          </w14:textFill>
        </w:rPr>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2190"/>
        <w:gridCol w:w="18"/>
        <w:gridCol w:w="1684"/>
        <w:gridCol w:w="1266"/>
      </w:tblGrid>
      <w:tr>
        <w:trPr>
          <w:jc w:val="center"/>
        </w:trPr>
        <w:tc>
          <w:tcPr>
            <w:shd w:val="clear" w:color="auto" w:fill="auto"/>
            <w:tcW w:w="492"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lang w:eastAsia="zh-CN"/>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lang w:eastAsia="zh-CN"/>
                <w14:textFill>
                  <w14:solidFill>
                    <w14:schemeClr w14:val="tx2">
                      <w14:lumMod w14:val="60000"/>
                      <w14:lumOff w14:val="40000"/>
                    </w14:schemeClr>
                  </w14:solidFill>
                </w14:textFill>
              </w:rPr>
            </w:r>
            <w:r/>
          </w:p>
        </w:tc>
        <w:tc>
          <w:tcPr>
            <w:gridSpan w:val="3"/>
            <w:shd w:val="clear" w:color="auto" w:fill="d8d8d8"/>
            <w:tcW w:w="3892"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指标</w:t>
            </w:r>
            <w:r/>
          </w:p>
        </w:tc>
        <w:tc>
          <w:tcPr>
            <w:shd w:val="clear" w:color="auto" w:fill="d8d8d8"/>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限制值</w:t>
            </w:r>
            <w:r/>
          </w:p>
        </w:tc>
      </w:tr>
      <w:tr>
        <w:trPr>
          <w:jc w:val="center"/>
        </w:trPr>
        <w:tc>
          <w:tcPr>
            <w:shd w:val="clear" w:color="auto" w:fill="auto"/>
            <w:tcW w:w="492"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1</w:t>
            </w:r>
            <w:r/>
          </w:p>
        </w:tc>
        <w:tc>
          <w:tcPr>
            <w:gridSpan w:val="3"/>
            <w:shd w:val="clear" w:color="auto" w:fill="auto"/>
            <w:tcW w:w="3892"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固定端口以太网交换机能效比值（TEER）</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≥300</w:t>
            </w:r>
            <w:r/>
          </w:p>
        </w:tc>
      </w:tr>
      <w:tr>
        <w:trPr>
          <w:jc w:val="center"/>
        </w:trPr>
        <w:tc>
          <w:tcPr>
            <w:shd w:val="clear" w:color="auto" w:fill="auto"/>
            <w:tcW w:w="492" w:type="dxa"/>
            <w:vAlign w:val="center"/>
            <w:vMerge w:val="restart"/>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2</w:t>
            </w:r>
            <w:r/>
          </w:p>
        </w:tc>
        <w:tc>
          <w:tcPr>
            <w:gridSpan w:val="2"/>
            <w:shd w:val="clear" w:color="auto" w:fill="auto"/>
            <w:tcW w:w="2208" w:type="dxa"/>
            <w:vAlign w:val="center"/>
            <w:vMerge w:val="restart"/>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单路电源输出效率</w:t>
            </w:r>
            <w:r/>
          </w:p>
        </w:tc>
        <w:tc>
          <w:tcPr>
            <w:shd w:val="clear" w:color="auto" w:fill="auto"/>
            <w:tcW w:w="1684"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20%负载</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≥88%</w:t>
            </w:r>
            <w:r/>
          </w:p>
        </w:tc>
      </w:tr>
      <w:tr>
        <w:trPr>
          <w:jc w:val="center"/>
          <w:trHeight w:val="544"/>
        </w:trPr>
        <w:tc>
          <w:tcPr>
            <w:shd w:val="clear" w:color="auto" w:fill="auto"/>
            <w:tcW w:w="492" w:type="dxa"/>
            <w:vAlign w:val="center"/>
            <w:vMerge w:val="continue"/>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r>
            <w:r/>
          </w:p>
        </w:tc>
        <w:tc>
          <w:tcPr>
            <w:gridSpan w:val="2"/>
            <w:shd w:val="clear" w:color="auto" w:fill="auto"/>
            <w:tcW w:w="2208" w:type="dxa"/>
            <w:vAlign w:val="center"/>
            <w:vMerge w:val="continue"/>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r>
            <w:r/>
          </w:p>
        </w:tc>
        <w:tc>
          <w:tcPr>
            <w:shd w:val="clear" w:color="auto" w:fill="auto"/>
            <w:tcW w:w="1684"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50%负载</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≥92%</w:t>
            </w:r>
            <w:r/>
          </w:p>
        </w:tc>
      </w:tr>
      <w:tr>
        <w:trPr>
          <w:jc w:val="center"/>
        </w:trPr>
        <w:tc>
          <w:tcPr>
            <w:shd w:val="clear" w:color="auto" w:fill="auto"/>
            <w:tcW w:w="492" w:type="dxa"/>
            <w:vAlign w:val="center"/>
            <w:vMerge w:val="continue"/>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r>
            <w:r/>
          </w:p>
        </w:tc>
        <w:tc>
          <w:tcPr>
            <w:gridSpan w:val="2"/>
            <w:shd w:val="clear" w:color="auto" w:fill="auto"/>
            <w:tcW w:w="2208" w:type="dxa"/>
            <w:vAlign w:val="center"/>
            <w:vMerge w:val="continue"/>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r>
            <w:r/>
          </w:p>
        </w:tc>
        <w:tc>
          <w:tcPr>
            <w:shd w:val="clear" w:color="auto" w:fill="auto"/>
            <w:tcW w:w="1684"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100%负载</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≥88%</w:t>
            </w:r>
            <w:r/>
          </w:p>
        </w:tc>
      </w:tr>
      <w:tr>
        <w:trPr>
          <w:jc w:val="center"/>
        </w:trPr>
        <w:tc>
          <w:tcPr>
            <w:shd w:val="clear" w:color="auto" w:fill="auto"/>
            <w:tcW w:w="492"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3</w:t>
            </w:r>
            <w:r/>
          </w:p>
        </w:tc>
        <w:tc>
          <w:tcPr>
            <w:gridSpan w:val="3"/>
            <w:shd w:val="clear" w:color="auto" w:fill="auto"/>
            <w:tcW w:w="3892"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lang w:eastAsia="zh-CN"/>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lang w:eastAsia="zh-CN"/>
                <w14:textFill>
                  <w14:solidFill>
                    <w14:schemeClr w14:val="tx2">
                      <w14:lumMod w14:val="60000"/>
                      <w14:lumOff w14:val="40000"/>
                    </w14:schemeClr>
                  </w14:solidFill>
                </w14:textFill>
              </w:rPr>
              <w:t xml:space="preserve">单路电源最低功率因数(50%负载下的)     </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≥0.90</w:t>
            </w:r>
            <w:r/>
          </w:p>
        </w:tc>
      </w:tr>
      <w:tr>
        <w:trPr>
          <w:jc w:val="center"/>
        </w:trPr>
        <w:tc>
          <w:tcPr>
            <w:shd w:val="clear" w:color="auto" w:fill="auto"/>
            <w:tcW w:w="492" w:type="dxa"/>
            <w:vAlign w:val="center"/>
            <w:vMerge w:val="restart"/>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4</w:t>
            </w:r>
            <w:r/>
          </w:p>
        </w:tc>
        <w:tc>
          <w:tcPr>
            <w:gridSpan w:val="2"/>
            <w:shd w:val="clear" w:color="auto" w:fill="auto"/>
            <w:tcW w:w="2208" w:type="dxa"/>
            <w:vAlign w:val="center"/>
            <w:vMerge w:val="restart"/>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多路电源输出效率</w:t>
            </w:r>
            <w:r/>
          </w:p>
        </w:tc>
        <w:tc>
          <w:tcPr>
            <w:shd w:val="clear" w:color="auto" w:fill="auto"/>
            <w:tcW w:w="1684"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20%负载</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≥85%</w:t>
            </w:r>
            <w:r/>
          </w:p>
        </w:tc>
      </w:tr>
      <w:tr>
        <w:trPr>
          <w:jc w:val="center"/>
        </w:trPr>
        <w:tc>
          <w:tcPr>
            <w:shd w:val="clear" w:color="auto" w:fill="auto"/>
            <w:tcW w:w="492" w:type="dxa"/>
            <w:vAlign w:val="center"/>
            <w:vMerge w:val="continue"/>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r>
            <w:r/>
          </w:p>
        </w:tc>
        <w:tc>
          <w:tcPr>
            <w:gridSpan w:val="2"/>
            <w:shd w:val="clear" w:color="auto" w:fill="auto"/>
            <w:tcW w:w="2208" w:type="dxa"/>
            <w:vAlign w:val="center"/>
            <w:vMerge w:val="continue"/>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r>
            <w:r/>
          </w:p>
        </w:tc>
        <w:tc>
          <w:tcPr>
            <w:shd w:val="clear" w:color="auto" w:fill="auto"/>
            <w:tcW w:w="1684"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50%负载</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≥89%</w:t>
            </w:r>
            <w:r/>
          </w:p>
        </w:tc>
      </w:tr>
      <w:tr>
        <w:trPr>
          <w:jc w:val="center"/>
        </w:trPr>
        <w:tc>
          <w:tcPr>
            <w:shd w:val="clear" w:color="auto" w:fill="auto"/>
            <w:tcW w:w="492" w:type="dxa"/>
            <w:vAlign w:val="center"/>
            <w:vMerge w:val="continue"/>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r>
            <w:r/>
          </w:p>
        </w:tc>
        <w:tc>
          <w:tcPr>
            <w:gridSpan w:val="2"/>
            <w:shd w:val="clear" w:color="auto" w:fill="auto"/>
            <w:tcW w:w="2208" w:type="dxa"/>
            <w:vAlign w:val="center"/>
            <w:vMerge w:val="continue"/>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r>
            <w:r/>
          </w:p>
        </w:tc>
        <w:tc>
          <w:tcPr>
            <w:shd w:val="clear" w:color="auto" w:fill="auto"/>
            <w:tcW w:w="1684"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100%负载</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≥85%</w:t>
            </w:r>
            <w:r/>
          </w:p>
        </w:tc>
      </w:tr>
      <w:tr>
        <w:trPr>
          <w:jc w:val="center"/>
        </w:trPr>
        <w:tc>
          <w:tcPr>
            <w:shd w:val="clear" w:color="auto" w:fill="auto"/>
            <w:tcW w:w="492"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5</w:t>
            </w:r>
            <w:r/>
          </w:p>
        </w:tc>
        <w:tc>
          <w:tcPr>
            <w:gridSpan w:val="3"/>
            <w:shd w:val="clear" w:color="auto" w:fill="auto"/>
            <w:tcW w:w="3892"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lang w:eastAsia="zh-CN"/>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lang w:eastAsia="zh-CN"/>
                <w14:textFill>
                  <w14:solidFill>
                    <w14:schemeClr w14:val="tx2">
                      <w14:lumMod w14:val="60000"/>
                      <w14:lumOff w14:val="40000"/>
                    </w14:schemeClr>
                  </w14:solidFill>
                </w14:textFill>
              </w:rPr>
              <w:t xml:space="preserve">多路电源最低功率因数(50%负载下的)</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≥0.90</w:t>
            </w:r>
            <w:r/>
          </w:p>
        </w:tc>
      </w:tr>
      <w:tr>
        <w:trPr>
          <w:jc w:val="center"/>
        </w:trPr>
        <w:tc>
          <w:tcPr>
            <w:shd w:val="clear" w:color="auto" w:fill="auto"/>
            <w:tcW w:w="492"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6</w:t>
            </w:r>
            <w:r/>
          </w:p>
        </w:tc>
        <w:tc>
          <w:tcPr>
            <w:shd w:val="clear" w:color="auto" w:fill="auto"/>
            <w:tcW w:w="2190"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噪声发射</w:t>
            </w:r>
            <w:r/>
          </w:p>
        </w:tc>
        <w:tc>
          <w:tcPr>
            <w:gridSpan w:val="2"/>
            <w:shd w:val="clear" w:color="auto" w:fill="auto"/>
            <w:tcW w:w="1702" w:type="dxa"/>
            <w:vAlign w:val="center"/>
            <w:textDirection w:val="lrTb"/>
            <w:noWrap w:val="false"/>
          </w:tcPr>
          <w:p>
            <w:pPr>
              <w:contextualSpacing/>
              <w:ind w:left="0" w:right="153"/>
              <w:jc w:val="both"/>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有人值守</w:t>
            </w:r>
            <w:r/>
          </w:p>
        </w:tc>
        <w:tc>
          <w:tcPr>
            <w:shd w:val="clear" w:color="auto" w:fill="auto"/>
            <w:tcW w:w="1266" w:type="dxa"/>
            <w:vAlign w:val="center"/>
            <w:textDirection w:val="lrTb"/>
            <w:noWrap w:val="false"/>
          </w:tcPr>
          <w:p>
            <w:pPr>
              <w:contextualSpacing/>
              <w:ind w:left="0" w:right="153"/>
              <w:jc w:val="center"/>
              <w:spacing w:after="0"/>
              <w:widowControl w:val="off"/>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pPr>
            <w:r>
              <w:rPr>
                <w:rFonts w:hint="eastAsia" w:ascii="宋体" w:hAnsi="宋体" w:eastAsia="宋体" w:cs="宋体"/>
                <w:color w:val="558ed5" w:themeColor="text2" w:themeTint="99"/>
                <w:sz w:val="24"/>
                <w:szCs w:val="24"/>
                <w14:textFill>
                  <w14:solidFill>
                    <w14:schemeClr w14:val="tx2">
                      <w14:lumMod w14:val="60000"/>
                      <w14:lumOff w14:val="40000"/>
                    </w14:schemeClr>
                  </w14:solidFill>
                </w14:textFill>
              </w:rPr>
              <w:t xml:space="preserve">≤7.6 Bels</w:t>
            </w:r>
            <w:r/>
          </w:p>
        </w:tc>
      </w:tr>
    </w:tbl>
    <w:p>
      <w:pPr>
        <w:pStyle w:val="730"/>
        <w:ind w:firstLine="420"/>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pPr>
      <w:r>
        <w:rPr>
          <w:rFonts w:hint="eastAsia" w:ascii="宋体" w:hAnsi="宋体" w:eastAsia="宋体" w:cs="宋体"/>
          <w:i/>
          <w:iCs/>
          <w:color w:val="558ed5" w:themeColor="text2" w:themeTint="99"/>
          <w:sz w:val="21"/>
          <w:szCs w:val="21"/>
          <w:u w:val="single"/>
          <w:lang w:val="en-US" w:eastAsia="zh-CN"/>
          <w14:textFill>
            <w14:solidFill>
              <w14:schemeClr w14:val="tx2">
                <w14:lumMod w14:val="60000"/>
                <w14:lumOff w14:val="40000"/>
              </w14:schemeClr>
            </w14:solidFill>
          </w14:textFill>
        </w:rPr>
        <w:t xml:space="preserve">以下清单中的光缆必须满足《绿色数据中心政府采购需求标准（试行）》（财库[2023]7号）关于电线电缆中氟含量不得大于0.1%、烟气最小透光率不得小于60%的要求（投标人需提供承诺函加盖公章扫描上传）</w:t>
      </w:r>
      <w:r/>
    </w:p>
    <w:p>
      <w:pPr>
        <w:ind w:firstLine="420"/>
        <w:spacing w:line="360" w:lineRule="auto"/>
        <w:rPr>
          <w:rFonts w:hint="eastAsia" w:ascii="宋体" w:hAnsi="宋体" w:eastAsia="宋体" w:cs="宋体"/>
          <w:b w:val="0"/>
          <w:bCs w:val="0"/>
          <w:i w:val="0"/>
          <w:iCs w:val="0"/>
          <w:color w:val="0000ff"/>
          <w:sz w:val="21"/>
          <w:szCs w:val="21"/>
          <w:u w:val="none"/>
          <w:lang w:val="en-US" w:eastAsia="zh-CN" w:bidi="ar-SA"/>
        </w:rPr>
        <w:outlineLvl w:val="2"/>
      </w:pPr>
      <w:r>
        <w:rPr>
          <w:rFonts w:hint="eastAsia" w:ascii="宋体" w:hAnsi="宋体" w:eastAsia="宋体" w:cs="宋体"/>
          <w:b w:val="0"/>
          <w:bCs w:val="0"/>
          <w:i w:val="0"/>
          <w:iCs w:val="0"/>
          <w:color w:val="0000ff"/>
          <w:sz w:val="21"/>
          <w:szCs w:val="21"/>
          <w:u w:val="none"/>
          <w:lang w:val="en-US" w:eastAsia="zh-CN" w:bidi="ar-SA"/>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rPr>
          <w:rFonts w:hint="eastAsia"/>
          <w:lang w:val="en-US" w:eastAsia="zh-CN"/>
        </w:rPr>
      </w:pPr>
      <w:r>
        <w:rPr>
          <w:rFonts w:hint="eastAsia"/>
          <w:lang w:val="en-US" w:eastAsia="zh-CN"/>
        </w:rPr>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465"/>
        <w:gridCol w:w="2256"/>
        <w:gridCol w:w="4847"/>
        <w:gridCol w:w="719"/>
        <w:gridCol w:w="882"/>
      </w:tblGrid>
      <w:tr>
        <w:trP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大楼网络建设</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产品描述名称</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400"/>
        </w:trPr>
        <w:tc>
          <w:tcPr>
            <w:gridSpan w:val="4"/>
            <w:shd w:val="clear" w:color="auto" w:fill="ffffff"/>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视频网</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核心交换机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4"/>
            <w:shd w:val="clear" w:color="auto" w:fill="ffffff"/>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公安网</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4"/>
            <w:shd w:val="clear" w:color="auto" w:fill="ffffff"/>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车管网</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核心交换机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4"/>
            <w:shd w:val="clear" w:color="auto" w:fill="ffffff"/>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出入境专网</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核心交换机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4"/>
            <w:shd w:val="clear" w:color="auto" w:fill="ffffff"/>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电子政务外网</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核心交换机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4"/>
            <w:shd w:val="clear" w:color="auto" w:fill="ffffff"/>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互联网</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核心交换机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24口POE交换机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48口POE交换机</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AP接入，AC系统</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无线控制器</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上网行为管理</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上网行为管理系统</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400"/>
        </w:trPr>
        <w:tc>
          <w:tcPr>
            <w:gridSpan w:val="4"/>
            <w:shd w:val="clear" w:color="auto" w:fill="ffffff"/>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光模块</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千兆单纤单模模块1</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千兆单纤单模模块2</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万兆单纤单模模块1</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万兆单纤单模模块2</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10G单模模块-40KM</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40G单模模块-40KM</w:t>
            </w:r>
            <w:r/>
          </w:p>
        </w:tc>
        <w:tc>
          <w:tcPr>
            <w:shd w:val="clear" w:color="auto" w:fill="ffffff"/>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4519"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安装辅材</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12芯室内单模光缆</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500</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24芯室内单模光缆</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500</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米</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弱电间单模尾纤</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3米SC-LC</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520</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0.5-1米</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953</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2米</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50</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3米</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5米</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六类成品跳线</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10米</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理线架</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配线架</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24口</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SC-LC单模束装缆</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20米12芯</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条</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室内六类网线</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室内六类网线</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箱</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六类水晶头</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RJ45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1500</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光缆熔接</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96</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芯</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辅材</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扎带，胶布等</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r>
      <w:tr>
        <w:trPr>
          <w:trHeight w:val="40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定制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left="210"/>
        <w:spacing w:line="360" w:lineRule="auto"/>
        <w:rPr>
          <w:rFonts w:hint="eastAsia" w:ascii="宋体" w:hAnsi="宋体" w:eastAsia="宋体" w:cs="宋体"/>
          <w:b/>
          <w:bCs/>
          <w:sz w:val="21"/>
          <w:szCs w:val="21"/>
          <w:lang w:val="en-US" w:eastAsia="zh-CN" w:bidi="ar-SA"/>
        </w:rPr>
        <w:outlineLvl w:val="2"/>
      </w:pPr>
      <w:r/>
      <w:bookmarkStart w:id="300" w:name="_Toc20692"/>
      <w:r>
        <w:rPr>
          <w:rFonts w:hint="eastAsia" w:ascii="宋体" w:hAnsi="宋体" w:eastAsia="宋体" w:cs="宋体"/>
          <w:b/>
          <w:bCs/>
          <w:sz w:val="21"/>
          <w:szCs w:val="21"/>
          <w:lang w:val="en-US" w:eastAsia="zh-CN" w:bidi="ar-SA"/>
        </w:rPr>
        <w:t xml:space="preserve">7.公共信息发布</w:t>
      </w:r>
      <w:bookmarkEnd w:id="300"/>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（1）餐厅</w:t>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1254"/>
        <w:gridCol w:w="2074"/>
        <w:gridCol w:w="3303"/>
        <w:gridCol w:w="1260"/>
        <w:gridCol w:w="1278"/>
      </w:tblGrid>
      <w:tr>
        <w:trPr>
          <w:trHeight w:val="5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餐厅</w:t>
            </w:r>
            <w:r/>
          </w:p>
        </w:tc>
      </w:tr>
      <w:tr>
        <w:trPr>
          <w:trHeight w:val="540"/>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产品描述名称</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376"/>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43寸电视机</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386"/>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43寸一体机</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支架</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配套</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线缆</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含HDMI线、电源线、网线等</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批</w:t>
            </w:r>
            <w:r/>
          </w:p>
        </w:tc>
      </w:tr>
      <w:tr>
        <w:trPr>
          <w:trHeight w:val="270"/>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br w:type="page" w:clear="all"/>
      </w:r>
      <w:r/>
    </w:p>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（2）查验窗口</w:t>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1051"/>
        <w:gridCol w:w="1940"/>
        <w:gridCol w:w="4031"/>
        <w:gridCol w:w="1056"/>
        <w:gridCol w:w="1091"/>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查验窗口</w:t>
            </w:r>
            <w:r/>
          </w:p>
        </w:tc>
      </w:tr>
      <w:tr>
        <w:trPr>
          <w:trHeight w:val="54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产品描述名称</w:t>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LED小间距P2.5全彩  ，LED含边框尺寸，（7.46*0.9)*9块</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LED小间距P2.5全彩  ，LED含边框尺寸，LED含边框尺寸，（7.78*0.74)</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LED小间距P2.5全彩  ，LED含边框尺寸，LED含边框尺寸，（6.18*0.9)</w:t>
            </w:r>
            <w:r/>
          </w:p>
        </w:tc>
      </w:tr>
      <w:tr>
        <w:trPr>
          <w:trHeight w:val="545"/>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P2.5全彩LED</w:t>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71.7452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532"/>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发送处理系统</w:t>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144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接收卡</w:t>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集成8个标准HUB75接口，免接HUB板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采用千兆网口通信，可以连接PC</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支持亮色度逐点校正</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支持接收卡预存画面设置。</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支持温度、电压、网线通讯和视频源信号状态检测。</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 5Pin 液晶模块</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238</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96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w:t>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直流电压 4.5V</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额定电流 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电流范围 0～40A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额定功率 180W</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212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外框结构制作及安装 </w:t>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镀锌方管焊接，除焊疤，防锈漆 </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71.7452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包边</w:t>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包边尺寸5cm/边，不锈钢包边</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71.7452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配线</w:t>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内部电源3*2.5连接线，网络跳线，数据排线等 </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71.7452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1、图纸方案 2、支架安装 3、屏幕及发送卡安装 4、配电柜安装（不含380V强电接线） 5、出货线缆布线（不含桥架、线管） 6、系统调试 7、使用培训 8、施工区域产生的垃圾清理（含远距离车辆运输） 9、不同楼层支架/屏幕搬运 10、380V配电柜强电进线接线 11、墙面开孔走线</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ind w:left="420"/>
        <w:jc w:val="left"/>
        <w:spacing w:line="360" w:lineRule="auto"/>
        <w:widowControl w:val="off"/>
        <w:rPr>
          <w:rFonts w:hint="eastAsia" w:ascii="宋体" w:hAnsi="宋体" w:eastAsia="宋体" w:cs="宋体"/>
          <w:b/>
          <w:bCs/>
          <w:sz w:val="21"/>
          <w:szCs w:val="21"/>
          <w:lang w:val="en-US" w:eastAsia="zh-CN" w:bidi="ar-SA"/>
        </w:rPr>
        <w:outlineLvl w:val="4"/>
      </w:pPr>
      <w:r>
        <w:rPr>
          <w:rFonts w:hint="eastAsia" w:ascii="宋体" w:hAnsi="宋体" w:eastAsia="宋体" w:cs="宋体"/>
          <w:b/>
          <w:bCs/>
          <w:sz w:val="21"/>
          <w:szCs w:val="21"/>
          <w:lang w:val="en-US" w:eastAsia="zh-CN" w:bidi="ar-SA"/>
        </w:rPr>
        <w:t xml:space="preserve">（3）业务大厅L型条屏</w:t>
      </w:r>
      <w:r/>
    </w:p>
    <w:tbl>
      <w:tblPr>
        <w:tblStyle w:val="739"/>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1051"/>
        <w:gridCol w:w="1940"/>
        <w:gridCol w:w="4036"/>
        <w:gridCol w:w="1051"/>
        <w:gridCol w:w="1091"/>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业务大厅L型条屏</w:t>
            </w:r>
            <w:r/>
          </w:p>
        </w:tc>
      </w:tr>
      <w:tr>
        <w:trPr>
          <w:trHeight w:val="54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产品描述名称</w:t>
            </w:r>
            <w:r/>
          </w:p>
        </w:tc>
        <w:tc>
          <w:tcPr>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技术参数</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单位</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LED小间距P2.5全彩  ，LED含边框尺寸，51.3*0.42，L型</w:t>
            </w:r>
            <w:r/>
          </w:p>
        </w:tc>
      </w:tr>
      <w:tr>
        <w:trPr>
          <w:trHeight w:val="596"/>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P2.5全彩LED</w:t>
            </w:r>
            <w:r/>
          </w:p>
        </w:tc>
        <w:tc>
          <w:tcPr>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21.546</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438"/>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发送处理系统</w:t>
            </w:r>
            <w:r/>
          </w:p>
        </w:tc>
        <w:tc>
          <w:tcPr>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详见设备技术参数要求</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台</w:t>
            </w:r>
            <w:r/>
          </w:p>
        </w:tc>
      </w:tr>
      <w:tr>
        <w:trPr>
          <w:trHeight w:val="144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接收卡</w:t>
            </w:r>
            <w:r/>
          </w:p>
        </w:tc>
        <w:tc>
          <w:tcPr>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集成8个标准HUB75接口，免接HUB板</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采用千兆网口通信，可以连接PC</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支持亮色度逐点校正</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支持接收卡预存画面设置。</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支持温度、电压、网线通讯和视频源信号状态检测。</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支持 5Pin 液晶模块</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80</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块</w:t>
            </w:r>
            <w:r/>
          </w:p>
        </w:tc>
      </w:tr>
      <w:tr>
        <w:trPr>
          <w:trHeight w:val="96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电源</w:t>
            </w:r>
            <w:r/>
          </w:p>
        </w:tc>
        <w:tc>
          <w:tcPr>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直流电压 4.5V</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额定电流 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电流范围 0～40A</w:t>
            </w:r>
            <w:r>
              <w:rPr>
                <w:rFonts w:hint="eastAsia" w:ascii="宋体" w:hAnsi="宋体" w:eastAsia="宋体" w:cs="宋体"/>
                <w:szCs w:val="24"/>
                <w:lang w:val="en-US" w:eastAsia="zh-CN" w:bidi="ar-SA"/>
              </w:rPr>
              <w:br/>
            </w:r>
            <w:r>
              <w:rPr>
                <w:rFonts w:hint="eastAsia" w:ascii="宋体" w:hAnsi="宋体" w:eastAsia="宋体" w:cs="宋体"/>
                <w:szCs w:val="24"/>
                <w:lang w:val="en-US" w:eastAsia="zh-CN" w:bidi="ar-SA"/>
              </w:rPr>
              <w:t xml:space="preserve">额定功率 180W</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54</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外框结构制作及安装 </w:t>
            </w:r>
            <w:r/>
          </w:p>
        </w:tc>
        <w:tc>
          <w:tcPr>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镀锌方管焊接，除焊疤，防锈漆 </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21.546</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包边</w:t>
            </w:r>
            <w:r/>
          </w:p>
        </w:tc>
        <w:tc>
          <w:tcPr>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包边尺寸5cm/边，不锈钢包边</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21.546</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配线</w:t>
            </w:r>
            <w:r/>
          </w:p>
        </w:tc>
        <w:tc>
          <w:tcPr>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 内部电源3*2.5连接线，网络跳线，数据排线等 </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21.546</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安装调试</w:t>
            </w:r>
            <w:r/>
          </w:p>
        </w:tc>
        <w:tc>
          <w:tcPr>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cs="宋体"/>
                <w:color w:val="ff0000"/>
                <w:szCs w:val="24"/>
              </w:rPr>
              <w:t xml:space="preserve">1、图纸方案 2、支架安装 3、屏幕及发送卡安装 4、配电柜安装（不含380V强电接线） 5、出货线缆布线（不含桥架、线管） 6、系统调试 7、使用培训 8、施工区域产生的垃圾清理（含远距离车辆运输） 9、不同楼层支架/屏幕搬运 10、380V配电柜强电进线接线 11、墙面开孔走线</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项</w:t>
            </w:r>
            <w:r/>
          </w:p>
        </w:tc>
      </w:tr>
    </w:tbl>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301" w:name="_Toc26521"/>
      <w:r>
        <w:rPr>
          <w:rFonts w:hint="eastAsia" w:ascii="宋体" w:hAnsi="宋体" w:eastAsia="宋体" w:cs="宋体"/>
          <w:b/>
          <w:bCs/>
          <w:sz w:val="21"/>
          <w:szCs w:val="21"/>
          <w:lang w:val="en-US" w:eastAsia="zh-CN" w:bidi="ar-SA"/>
        </w:rPr>
        <w:t xml:space="preserve">八、设备功能、性能、配置要求</w:t>
      </w:r>
      <w:bookmarkEnd w:id="301"/>
      <w:r/>
      <w:r/>
    </w:p>
    <w:p>
      <w:pPr>
        <w:ind w:firstLine="422"/>
        <w:jc w:val="left"/>
        <w:spacing w:line="360" w:lineRule="auto"/>
        <w:widowControl/>
        <w:rPr>
          <w:rFonts w:hint="eastAsia" w:ascii="宋体" w:hAnsi="宋体" w:eastAsia="宋体" w:cs="宋体"/>
          <w:b/>
          <w:bCs/>
          <w:sz w:val="21"/>
          <w:szCs w:val="21"/>
          <w:lang w:val="en-US" w:eastAsia="zh-CN" w:bidi="ar-SA"/>
        </w:rPr>
        <w:outlineLvl w:val="1"/>
      </w:pPr>
      <w:r/>
      <w:bookmarkStart w:id="302" w:name="_Toc32721"/>
      <w:r>
        <w:rPr>
          <w:rFonts w:hint="eastAsia" w:ascii="宋体" w:hAnsi="宋体" w:eastAsia="宋体" w:cs="宋体"/>
          <w:b/>
          <w:bCs/>
          <w:sz w:val="21"/>
          <w:szCs w:val="21"/>
          <w:lang w:val="en-US" w:eastAsia="zh-CN" w:bidi="ar-SA"/>
        </w:rPr>
        <w:t xml:space="preserve">（一）车管所</w:t>
      </w:r>
      <w:bookmarkEnd w:id="302"/>
      <w:r/>
      <w:r/>
    </w:p>
    <w:p>
      <w:pPr>
        <w:ind w:left="210" w:firstLine="422"/>
        <w:spacing w:line="360" w:lineRule="auto"/>
        <w:rPr>
          <w:rFonts w:hint="eastAsia" w:ascii="宋体" w:hAnsi="宋体" w:eastAsia="宋体" w:cs="宋体"/>
          <w:b/>
          <w:bCs/>
          <w:sz w:val="21"/>
          <w:szCs w:val="21"/>
          <w:lang w:val="en-US" w:eastAsia="zh-CN" w:bidi="ar-SA"/>
        </w:rPr>
        <w:outlineLvl w:val="2"/>
      </w:pPr>
      <w:r/>
      <w:bookmarkStart w:id="303" w:name="_Toc13440"/>
      <w:r>
        <w:rPr>
          <w:rFonts w:hint="eastAsia" w:ascii="宋体" w:hAnsi="宋体" w:eastAsia="宋体" w:cs="宋体"/>
          <w:b/>
          <w:bCs/>
          <w:sz w:val="21"/>
          <w:szCs w:val="21"/>
          <w:lang w:val="en-US" w:eastAsia="zh-CN" w:bidi="ar-SA"/>
        </w:rPr>
        <w:t xml:space="preserve">设备参数</w:t>
      </w:r>
      <w:bookmarkEnd w:id="303"/>
      <w:r/>
      <w:r/>
    </w:p>
    <w:p>
      <w:pPr>
        <w:numPr>
          <w:ilvl w:val="0"/>
          <w:numId w:val="0"/>
        </w:numPr>
        <w:ind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304" w:name="_Toc9628"/>
      <w:r>
        <w:rPr>
          <w:rFonts w:hint="eastAsia" w:ascii="宋体" w:hAnsi="宋体" w:eastAsia="宋体" w:cs="宋体"/>
          <w:b/>
          <w:bCs/>
          <w:sz w:val="21"/>
          <w:szCs w:val="21"/>
          <w:lang w:val="en-US" w:eastAsia="zh-CN" w:bidi="ar-SA"/>
        </w:rPr>
        <w:t xml:space="preserve">（1）专网视频汇聚一体机</w:t>
      </w:r>
      <w:bookmarkEnd w:id="30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符合国家安全可靠测评的高性能核心处理器；2U单路标准机架式；配置1颗 C86架构处理器，核数≥16核，主频≥2.5GHz；配置64G DDR4，16根内存插槽，最大支持扩展至1TB内存；配置2块1.2T 10K SAS硬盘；</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模块管理要求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1、支持管理最大组织数2000个，组织层级最大10级；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2、支持管理最大区域数2000个，区域层级最大10级。；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3、支持管理最大人员数量5万；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4、支持管理最大卡片数量5万；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5、支持管理最大车辆数量3万；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6、支持最大的在线用户数1000个，并发登录用户数50个。</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7、支持最大事件并发处理500条/秒（不带图片）；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8、支持联动上墙并发1次/秒；</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9、支持最大每秒联动100个不同的视频点位进行抓图；</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10、支持最大每秒联动100个不同的视频点位进行录像；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11、支持监控点数量10W个（超过5000需要分布式部署）；</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12、支持并发取流带宽2000M；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13、支持电视墙最大场景数128个；</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14、单个电视墙最大支持数量25*25个；</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15、单个窗口最大分割数量16个。</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业务管理能力</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suppressLineNumbers w:val="0"/>
      </w:pPr>
      <w:r>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t xml:space="preserve">投标人须承诺无缝对接车管所现有检验音视频模块（承诺书格式自拟、扫描上传）</w:t>
      </w:r>
      <w:r/>
    </w:p>
    <w:p>
      <w:pPr>
        <w:numPr>
          <w:ilvl w:val="0"/>
          <w:numId w:val="0"/>
        </w:numPr>
        <w:ind w:left="-200"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305" w:name="_Toc20288"/>
      <w:r>
        <w:rPr>
          <w:rFonts w:hint="eastAsia" w:ascii="宋体" w:hAnsi="宋体" w:eastAsia="宋体" w:cs="宋体"/>
          <w:b/>
          <w:bCs/>
          <w:sz w:val="21"/>
          <w:szCs w:val="21"/>
          <w:lang w:val="en-US" w:eastAsia="zh-CN" w:bidi="ar-SA"/>
        </w:rPr>
        <w:t xml:space="preserve">（2）视频汇聚服务器</w:t>
      </w:r>
      <w:bookmarkEnd w:id="305"/>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2U单路标准机架式服务器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CPU：配置1颗</w:t>
      </w:r>
      <w:r>
        <w:rPr>
          <w:rFonts w:hint="eastAsia" w:ascii="宋体" w:hAnsi="宋体" w:cs="宋体"/>
          <w:sz w:val="21"/>
          <w:szCs w:val="21"/>
          <w:lang w:val="en-US" w:eastAsia="zh-CN" w:bidi="ar"/>
        </w:rPr>
        <w:t xml:space="preserve">国产</w:t>
      </w:r>
      <w:r>
        <w:rPr>
          <w:rFonts w:hint="eastAsia" w:ascii="宋体" w:hAnsi="宋体" w:eastAsia="宋体" w:cs="宋体"/>
          <w:sz w:val="21"/>
          <w:szCs w:val="21"/>
          <w:lang w:val="en-US" w:eastAsia="zh-CN" w:bidi="ar"/>
        </w:rPr>
        <w:t xml:space="preserve">架构处理器，核数≥16核，主频≥2.5GHz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内存：配置64G DDR4，16根内存插槽，最大支持扩展至1TB内存</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硬盘：配置2块1.2T 10K SAS硬盘；</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阵列卡：配置SAS+HBA卡（支持RAID 0/1/10）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PCIE扩展：最大可选支持6个PCIe扩展插槽；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网口：4个千兆电口，支持选配10GbE、25GbE SFP+等多种网络接口；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其他接口：配置1个千兆RJ-45管理接口，4个USB 3.0接口，2个位于机箱后部，2个位于机箱前部；1个VGA口，位于机箱后部；可选1个COM口位于机箱后部；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电源：配置550W（1+1）高效铂金CRPS冗余电源</w:t>
      </w:r>
      <w:r/>
    </w:p>
    <w:p>
      <w:pPr>
        <w:numPr>
          <w:ilvl w:val="0"/>
          <w:numId w:val="0"/>
        </w:numPr>
        <w:ind w:left="0" w:hanging="200"/>
        <w:jc w:val="left"/>
        <w:spacing w:line="360" w:lineRule="auto"/>
        <w:widowControl w:val="off"/>
        <w:rPr>
          <w:rFonts w:hint="eastAsia" w:ascii="宋体" w:hAnsi="宋体" w:eastAsia="宋体" w:cs="宋体"/>
          <w:b/>
          <w:bCs/>
          <w:sz w:val="21"/>
          <w:szCs w:val="21"/>
          <w:lang w:val="en-US" w:eastAsia="zh-CN" w:bidi="ar-SA"/>
        </w:rPr>
        <w:outlineLvl w:val="3"/>
      </w:pPr>
      <w:r/>
      <w:bookmarkStart w:id="306" w:name="_Toc7195"/>
      <w:r>
        <w:rPr>
          <w:rFonts w:hint="eastAsia" w:ascii="宋体" w:hAnsi="宋体" w:eastAsia="宋体" w:cs="宋体"/>
          <w:b/>
          <w:bCs/>
          <w:sz w:val="21"/>
          <w:szCs w:val="21"/>
          <w:lang w:val="en-US" w:eastAsia="zh-CN" w:bidi="ar-SA"/>
        </w:rPr>
        <w:t xml:space="preserve">(3)视频服务网关</w:t>
      </w:r>
      <w:bookmarkEnd w:id="30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suppressLineNumbers w:val="0"/>
      </w:pPr>
      <w:r>
        <w:rPr>
          <w:rFonts w:hint="eastAsia" w:ascii="宋体" w:hAnsi="宋体" w:eastAsia="宋体" w:cs="宋体"/>
          <w:i/>
          <w:iCs/>
          <w:sz w:val="21"/>
          <w:szCs w:val="21"/>
          <w:u w:val="single"/>
          <w:lang w:val="en-US" w:eastAsia="zh-CN" w:bidi="ar"/>
        </w:rPr>
        <w:t xml:space="preserve">投标人须承诺无缝对接“公安交通集成指挥平台” 、“公安交通管理综合应用平台”、“公安交通管理综合应用平台社会化服务模块”</w:t>
      </w:r>
      <w:r>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t xml:space="preserve">（承诺书格式自拟、扫描上传）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1、视频联网：支持GB/T 28181-2022标准，兼容GB/T 28181-2016标准和GB/T 28181-2011标准；支持H.264、H.265以及SVAC视频编码规格；支持国内主流厂商的视频监控平台接入，包括但不限于：海康威视、大华、宇视、科达、华为、天地伟业、锐菲、汉邦高科、英飞拓等；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2、集成指挥平台：无缝接入“公安交通集成指挥平台” 提供视频显示、控制、目录查询、状态检测及上报、录像查询和下载、流媒体转发等服务；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综合应用平台：无缝接入“公安交通管理综合应用平台”和“公安交通管理综合应用平台社会化服务模块”，提供车驾管业务场所的视频实时监控和历史视频的调阅，实现音视频监控设备的集中统一管理和运行监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应用支持：提供“公安交通管理综合应用平台”和“公安交通管理综合应用平台社会化服务模块”对切片视频的调用能力，开放标准车驾管视频切片数据调用接口。提供标准SDK及三方应用管理，满足不同应用下的国标视频联网、视频解码及无插件多画面视频组织与播放；</w:t>
      </w:r>
      <w:r/>
    </w:p>
    <w:p>
      <w:pPr>
        <w:ind w:firstLine="420"/>
        <w:jc w:val="left"/>
        <w:spacing w:line="360" w:lineRule="auto"/>
        <w:rPr>
          <w:rFonts w:hint="default" w:ascii="宋体" w:hAnsi="宋体" w:eastAsia="宋体" w:cs="宋体"/>
          <w:color w:val="auto"/>
          <w:lang w:val="en-US" w:eastAsia="zh-CN" w:bidi="ar"/>
        </w:rPr>
      </w:pPr>
      <w:r>
        <w:rPr>
          <w:rFonts w:hint="eastAsia" w:ascii="宋体" w:hAnsi="宋体" w:eastAsia="宋体" w:cs="宋体"/>
          <w:color w:val="auto"/>
          <w:lang w:val="en-US" w:eastAsia="zh-CN" w:bidi="ar"/>
        </w:rPr>
        <w:t xml:space="preserve">▲5、可视化管理：支持网关接入及分发可视化动态配置；支持实时视频浏览，资源选择性共享与接入资源数统计，联网设备在线统计分析；支持设备状态、平台状态、并发量、网络流量、集群性能等进行记录和监控；</w:t>
      </w:r>
      <w:r>
        <w:rPr>
          <w:rFonts w:hint="eastAsia" w:ascii="宋体" w:hAnsi="宋体" w:eastAsia="宋体" w:cs="宋体"/>
          <w:color w:val="auto"/>
          <w:lang w:val="en-US" w:eastAsia="zh-CN" w:bidi="ar"/>
        </w:rPr>
        <w:t xml:space="preserve">（提供第三方机构出具的具有C</w:t>
      </w:r>
      <w:r>
        <w:rPr>
          <w:rFonts w:hint="default" w:ascii="宋体" w:hAnsi="宋体" w:eastAsia="宋体" w:cs="宋体"/>
          <w:color w:val="auto"/>
          <w:lang w:val="en-US" w:eastAsia="zh-CN" w:bidi="ar"/>
        </w:rPr>
        <w:t xml:space="preserve">M</w:t>
      </w:r>
      <w:r>
        <w:rPr>
          <w:rFonts w:hint="eastAsia" w:ascii="宋体" w:hAnsi="宋体" w:eastAsia="宋体" w:cs="宋体"/>
          <w:color w:val="auto"/>
          <w:lang w:val="en-US" w:eastAsia="zh-CN" w:bidi="ar"/>
        </w:rPr>
        <w:t xml:space="preserve">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6、播放服务：支持SDK、OCX、JSX多种模式视频播放控制服务；支持浏览器无插件实时视频的浏览，包括多画面浏览实现选择1,4,9,16多种画面分割模式以及全屏显示，可提供多种分辨率的选择；</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7、通讯协议：支持UDP、TCP和KCP协议，提供可靠传输保障；</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8、音频服务：支持AAC、711等多种音频编码的解码服务，可支持浏览器无插件音视频同步播放；</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9、运行环境：支持在符合国家安全可靠测评的操作模块、浏览器环境中实现资源管理及多路视频播放，建立安全可控的实时视频联网服务；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10、质量控制：支持国标增强协议，提供视频通信QoS服务；支持视频防抖动、视频画面恢复、稳定视频通信、视频风暴抑制等，保障视频在边界网络通信中的稳定性；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12、集群模式：具备较强的扩展能力，支持集群负载均衡，能实现多台堆叠扩容；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13、并发数量：码流转发量：256路@4Mbps；</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14、接入模式：支持视频专网、公安网独立部署，支持单网架构或双网架构模式，以适配不同网络架构下的应用场景。</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15、接入数量：监控联网平台：支持同时接入20个；设备量：最大支持管理150000个；</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16、节点数量：双网双平台架构，提供2节点；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单个节点配置：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17、CPU：符合国家安全可靠测评的高性能处理器，核数:24核，主频:2.6GHz及以上;</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18、内存：64GB；</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19、硬盘：1*960GB SSD；</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20、网络：1*万兆光口+2*千兆电口；</w:t>
      </w:r>
      <w:r/>
    </w:p>
    <w:p>
      <w:pPr>
        <w:numPr>
          <w:ilvl w:val="0"/>
          <w:numId w:val="0"/>
        </w:numPr>
        <w:ind w:left="0" w:hanging="200"/>
        <w:jc w:val="left"/>
        <w:spacing w:line="360" w:lineRule="auto"/>
        <w:widowControl w:val="off"/>
        <w:rPr>
          <w:rFonts w:hint="eastAsia" w:ascii="宋体" w:hAnsi="宋体" w:eastAsia="宋体" w:cs="宋体"/>
          <w:b/>
          <w:bCs/>
          <w:sz w:val="21"/>
          <w:szCs w:val="21"/>
          <w:lang w:val="en-US" w:eastAsia="zh-CN" w:bidi="ar-SA"/>
        </w:rPr>
        <w:outlineLvl w:val="3"/>
      </w:pPr>
      <w:r/>
      <w:bookmarkStart w:id="307" w:name="_Toc22054"/>
      <w:r>
        <w:rPr>
          <w:rFonts w:hint="eastAsia" w:ascii="宋体" w:hAnsi="宋体" w:eastAsia="宋体" w:cs="宋体"/>
          <w:b/>
          <w:bCs/>
          <w:sz w:val="21"/>
          <w:szCs w:val="21"/>
          <w:lang w:val="en-US" w:eastAsia="zh-CN" w:bidi="ar-SA"/>
        </w:rPr>
        <w:t xml:space="preserve">(4)物联网安全监测与审计平台</w:t>
      </w:r>
      <w:bookmarkEnd w:id="307"/>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suppressLineNumbers w:val="0"/>
      </w:pPr>
      <w:r>
        <w:rPr>
          <w:rFonts w:hint="eastAsia" w:ascii="宋体" w:hAnsi="宋体" w:eastAsia="宋体" w:cs="宋体"/>
          <w:i/>
          <w:iCs/>
          <w:sz w:val="21"/>
          <w:szCs w:val="21"/>
          <w:u w:val="single"/>
          <w:lang w:val="en-US" w:eastAsia="zh-CN" w:bidi="ar"/>
        </w:rPr>
        <w:t xml:space="preserve">投标人须承诺与扬州市公安局物联网安全监测与审计平台无缝对接</w:t>
      </w:r>
      <w:r>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t xml:space="preserve">（承诺书格式自拟、扫描上传）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1.设备形态：标准19英寸2U机架设备，软件硬件一体化设计，专用硬件平台。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2.处理器：配置双路</w:t>
      </w:r>
      <w:r>
        <w:rPr>
          <w:rFonts w:hint="eastAsia" w:ascii="宋体" w:hAnsi="宋体" w:cs="宋体"/>
          <w:sz w:val="21"/>
          <w:szCs w:val="21"/>
          <w:lang w:val="en-US" w:eastAsia="zh-CN" w:bidi="ar"/>
        </w:rPr>
        <w:t xml:space="preserve">国产</w:t>
      </w:r>
      <w:r>
        <w:rPr>
          <w:rFonts w:hint="eastAsia" w:ascii="宋体" w:hAnsi="宋体" w:eastAsia="宋体" w:cs="宋体"/>
          <w:sz w:val="21"/>
          <w:szCs w:val="21"/>
          <w:lang w:val="en-US" w:eastAsia="zh-CN" w:bidi="ar"/>
        </w:rPr>
        <w:t xml:space="preserve">CPU、单路CPU核数≥16核；</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3.操作系统：符合国家安全可靠标准的产品；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4.流量采集接口：配置万兆光口≥2个，千兆电口≥2个；</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5.数据处理性能：并发会话处理能力≥30万；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6.内存：配置内存≥96GB；</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7.硬盘存储：配置480GB SSD硬盘≥2块，4TB SAS硬盘≥4块；</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8.电源：800W冗余电源；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9.授权配置：配置5千个IP资产探测授权；配置200个网络传感器管理授权，开启动态JS授权，配置1个静态JS授权；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10.数据存储周期：存储周期≥180天；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功能指标：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1.产品支持交换机指定端口镜像、支持接口分流和分光等旁路方式采集网络流量；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2.产品提供过滤数据功能，可对规定范围的地址进行过滤、对规定范围的地址进行分析；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3.产品支持数据的汇聚能力，可把数条线路的流量数据汇聚后进行分析；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4.产品支持原始通讯数据存储功能，对通讯数据进行压缩和存储，并可提供检索和提取能力；</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5.产品支持数据包分析，可对数据包结构解码，生成数据包交互关系图；</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产品支持网络空间测绘，支持对网内的资产生成逻辑拓扑图并展示，支持查询任意地址的网络路径，提供路由节点对应的ip地址段划分和资产数量等信息，排查网内存在的不受控链路节点，互联网节点和私网节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产品支持资产安全监测，可以识别品牌型号、资产类别、资产服务、端口开放情况等信息，支持监测弱口令、安全漏洞、高危敏感端口；支持资产自定义功能，可对资产组织架构、责任人、用途和电话等信息标签进行自由编辑；</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8.产品支持网络攻击行为监测，可以分析发现网络中的攻击行为，可以分析病毒横向网络传播行为，支持监测网络恶意扫描、高威胁端口探测、失败访问连接等行为；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9.产品支持违规外联节点监测，可对网络中存在的违规连接互联网、感知网连接其他警种专网进行监控；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10.产品支持违规网络边界通道，可对违规搭建的wifi小型路由设备、网闸设备、交换机串线、DHCP服务、网络代理服务、可解析域名的DNS服务等违规网络边界通道行为进行监控；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11.产品支持对Teamviewer、radmin、花生壳盒子等远程控制工具进行监测；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12.产品支持异常访问行为监测，对网络中的重要核心业务、数据、应用被访问情况进行监测，发现异常的访问连接行为；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13.产品支持违规行为监测，可对违规入网设备、违规游戏、违规web站点搭建、违规点对点通讯行为进行监测；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14.产品支持风险隐患监测，可对网内存在的高危敏感端口、不受控的web站点、匿名FTP设备等进行监测；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15.产品支持自动取证能力，可对违规访问行为、违规访问站点、违规文件传输行为、违规远程登录、违规数据库访问等行为进行取证，支持原始通信数据包下载、提供通信记录数据；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16.产品支持地址资源分析功能，可以显示在本地公安网络范围内地址资源使用状况，包括公安网络中的B段、C段和D段地址的使用率、使用趋势。图形化显示详细的地址情况信息；</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17.产品支持漏洞管理，提供公安网络漏洞查询、分析和管理等整改功能。可以支撑发现漏洞、分析漏洞、整改漏洞的管理需求。</w:t>
      </w:r>
      <w:r/>
    </w:p>
    <w:p>
      <w:pPr>
        <w:numPr>
          <w:ilvl w:val="0"/>
          <w:numId w:val="0"/>
        </w:numPr>
        <w:ind w:left="0" w:hanging="200"/>
        <w:jc w:val="left"/>
        <w:spacing w:line="360" w:lineRule="auto"/>
        <w:widowControl w:val="off"/>
        <w:rPr>
          <w:rFonts w:hint="eastAsia" w:ascii="宋体" w:hAnsi="宋体" w:eastAsia="宋体" w:cs="宋体"/>
          <w:b/>
          <w:bCs/>
          <w:sz w:val="21"/>
          <w:szCs w:val="21"/>
          <w:lang w:val="en-US" w:eastAsia="zh-CN" w:bidi="ar-SA"/>
        </w:rPr>
        <w:outlineLvl w:val="3"/>
      </w:pPr>
      <w:r/>
      <w:bookmarkStart w:id="308" w:name="_Toc3170"/>
      <w:r>
        <w:rPr>
          <w:rFonts w:hint="eastAsia" w:ascii="宋体" w:hAnsi="宋体" w:eastAsia="宋体" w:cs="宋体"/>
          <w:b/>
          <w:bCs/>
          <w:sz w:val="21"/>
          <w:szCs w:val="21"/>
          <w:lang w:val="en-US" w:eastAsia="zh-CN" w:bidi="ar-SA"/>
        </w:rPr>
        <w:t xml:space="preserve">(5)配送机器人</w:t>
      </w:r>
      <w:bookmarkEnd w:id="308"/>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120°广角避障，≥10寸触摸屏，每层储物空间45L*2层，载重10KG/层，移动速度0.8m/s，续航时间9-12h，通过宽度：可通过70cm连续弯道。</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梯控模块：电梯控制模块，与现场电梯对接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电话模块：电话外呼模块，全网通</w:t>
      </w:r>
      <w:r/>
    </w:p>
    <w:p>
      <w:pPr>
        <w:numPr>
          <w:ilvl w:val="0"/>
          <w:numId w:val="0"/>
        </w:numPr>
        <w:ind w:left="0" w:hanging="200"/>
        <w:jc w:val="left"/>
        <w:spacing w:line="360" w:lineRule="auto"/>
        <w:widowControl w:val="off"/>
        <w:rPr>
          <w:rFonts w:hint="eastAsia" w:ascii="宋体" w:hAnsi="宋体" w:eastAsia="宋体" w:cs="宋体"/>
          <w:b/>
          <w:bCs/>
          <w:sz w:val="21"/>
          <w:szCs w:val="21"/>
          <w:lang w:val="en-US" w:eastAsia="zh-CN" w:bidi="ar-SA"/>
        </w:rPr>
        <w:outlineLvl w:val="3"/>
      </w:pPr>
      <w:r/>
      <w:bookmarkStart w:id="309" w:name="_Toc10760"/>
      <w:r>
        <w:rPr>
          <w:rFonts w:hint="eastAsia" w:ascii="宋体" w:hAnsi="宋体" w:eastAsia="宋体" w:cs="宋体"/>
          <w:b/>
          <w:bCs/>
          <w:sz w:val="21"/>
          <w:szCs w:val="21"/>
          <w:lang w:val="en-US" w:eastAsia="zh-CN" w:bidi="ar-SA"/>
        </w:rPr>
        <w:t xml:space="preserve">(6)自助取号机</w:t>
      </w:r>
      <w:bookmarkEnd w:id="30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1.投标人须承诺与现有排队叫号系统对接</w:t>
      </w:r>
      <w:r>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t xml:space="preserve">（承诺书格式自拟、扫描上传）</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color w:val="c00000"/>
          <w:sz w:val="21"/>
          <w:szCs w:val="21"/>
          <w:lang w:val="en-US" w:eastAsia="zh-CN" w:bidi="ar"/>
        </w:rPr>
        <w:suppressLineNumbers w:val="0"/>
      </w:pPr>
      <w:r>
        <w:rPr>
          <w:rFonts w:hint="eastAsia" w:ascii="宋体" w:hAnsi="宋体" w:eastAsia="宋体" w:cs="宋体"/>
          <w:sz w:val="21"/>
          <w:szCs w:val="21"/>
          <w:lang w:val="en-US" w:eastAsia="zh-CN" w:bidi="ar"/>
        </w:rPr>
        <w:t xml:space="preserve">2.32寸液晶显示器，红外触摸功能，7*24小时超稳定工控主机；</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3.内置二维码扫描器，支持扫码取号；</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4.内置80mm高速热敏打印机，打印票号；</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5.内置摄像头，拍摄操作人员人像，内置身份证阅读器，读取二代身份证，自动提取信息；</w:t>
      </w:r>
      <w:r/>
    </w:p>
    <w:p>
      <w:pPr>
        <w:numPr>
          <w:ilvl w:val="0"/>
          <w:numId w:val="0"/>
        </w:numPr>
        <w:ind w:left="0" w:hanging="200"/>
        <w:jc w:val="left"/>
        <w:spacing w:line="360" w:lineRule="auto"/>
        <w:widowControl w:val="off"/>
        <w:rPr>
          <w:rFonts w:hint="eastAsia" w:ascii="宋体" w:hAnsi="宋体" w:eastAsia="宋体" w:cs="宋体"/>
          <w:b/>
          <w:bCs/>
          <w:sz w:val="21"/>
          <w:szCs w:val="21"/>
          <w:lang w:val="en-US" w:eastAsia="zh-CN" w:bidi="ar-SA"/>
        </w:rPr>
        <w:outlineLvl w:val="3"/>
      </w:pPr>
      <w:r/>
      <w:bookmarkStart w:id="310" w:name="_Toc1976"/>
      <w:r>
        <w:rPr>
          <w:rFonts w:hint="eastAsia" w:ascii="宋体" w:hAnsi="宋体" w:eastAsia="宋体" w:cs="宋体"/>
          <w:b/>
          <w:bCs/>
          <w:sz w:val="21"/>
          <w:szCs w:val="21"/>
          <w:lang w:val="en-US" w:eastAsia="zh-CN" w:bidi="ar-SA"/>
        </w:rPr>
        <w:t xml:space="preserve">(7)信息化设备搬迁</w:t>
      </w:r>
      <w:bookmarkEnd w:id="31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车管所原有服务器及软件搬迁后需保证正常使用。</w:t>
      </w:r>
      <w:r/>
    </w:p>
    <w:p>
      <w:pPr>
        <w:ind w:firstLine="422"/>
        <w:jc w:val="left"/>
        <w:spacing w:line="360" w:lineRule="auto"/>
        <w:widowControl/>
        <w:rPr>
          <w:rFonts w:hint="eastAsia" w:ascii="宋体" w:hAnsi="宋体" w:eastAsia="宋体" w:cs="宋体"/>
          <w:b/>
          <w:bCs/>
          <w:sz w:val="24"/>
          <w:szCs w:val="24"/>
          <w:lang w:val="en-US" w:eastAsia="zh-CN" w:bidi="ar-SA"/>
        </w:rPr>
        <w:outlineLvl w:val="1"/>
      </w:pPr>
      <w:r/>
      <w:bookmarkStart w:id="311" w:name="_Toc9140"/>
      <w:r>
        <w:rPr>
          <w:rFonts w:hint="eastAsia" w:ascii="宋体" w:hAnsi="宋体" w:eastAsia="宋体" w:cs="宋体"/>
          <w:b/>
          <w:bCs/>
          <w:sz w:val="21"/>
          <w:szCs w:val="21"/>
          <w:lang w:val="en-US" w:eastAsia="zh-CN" w:bidi="ar-SA"/>
        </w:rPr>
        <w:t xml:space="preserve">（二）基础设施</w:t>
      </w:r>
      <w:bookmarkEnd w:id="311"/>
      <w:r/>
      <w:r/>
    </w:p>
    <w:p>
      <w:pPr>
        <w:ind w:firstLine="422"/>
        <w:spacing w:line="360" w:lineRule="auto"/>
        <w:rPr>
          <w:rFonts w:hint="eastAsia" w:ascii="宋体" w:hAnsi="宋体" w:eastAsia="宋体" w:cs="宋体"/>
          <w:b/>
          <w:bCs/>
          <w:sz w:val="21"/>
          <w:szCs w:val="21"/>
          <w:lang w:val="en-US" w:eastAsia="zh-CN" w:bidi="ar-SA"/>
        </w:rPr>
        <w:outlineLvl w:val="2"/>
      </w:pPr>
      <w:r/>
      <w:bookmarkStart w:id="312" w:name="_Toc26061"/>
      <w:r>
        <w:rPr>
          <w:rFonts w:hint="eastAsia" w:ascii="宋体" w:hAnsi="宋体" w:eastAsia="宋体" w:cs="宋体"/>
          <w:b/>
          <w:bCs/>
          <w:sz w:val="21"/>
          <w:szCs w:val="21"/>
          <w:lang w:val="en-US" w:eastAsia="zh-CN" w:bidi="ar-SA"/>
        </w:rPr>
        <w:t xml:space="preserve">设备参数</w:t>
      </w:r>
      <w:bookmarkEnd w:id="312"/>
      <w:r/>
      <w:r/>
    </w:p>
    <w:p>
      <w:pPr>
        <w:numPr>
          <w:ilvl w:val="0"/>
          <w:numId w:val="0"/>
        </w:numPr>
        <w:ind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313" w:name="_Toc32201"/>
      <w:r>
        <w:rPr>
          <w:rFonts w:hint="eastAsia" w:ascii="宋体" w:hAnsi="宋体" w:eastAsia="宋体" w:cs="宋体"/>
          <w:b/>
          <w:bCs/>
          <w:sz w:val="21"/>
          <w:szCs w:val="21"/>
          <w:lang w:val="en-US" w:eastAsia="zh-CN" w:bidi="ar-SA"/>
        </w:rPr>
        <w:t xml:space="preserve">1、单警执法视音频记录仪</w:t>
      </w:r>
      <w:bookmarkEnd w:id="313"/>
      <w:r/>
      <w:r/>
    </w:p>
    <w:p>
      <w:pPr>
        <w:numPr>
          <w:ilvl w:val="0"/>
          <w:numId w:val="0"/>
        </w:numPr>
        <w:ind w:right="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（1）Android 系统，2.2寸触摸显示屏，IP68标准，32G EMMC，2700mAH电池，仅录音录像模式下，可满足10小时左右正常工作； </w:t>
      </w:r>
      <w:r/>
    </w:p>
    <w:p>
      <w:pPr>
        <w:numPr>
          <w:ilvl w:val="0"/>
          <w:numId w:val="0"/>
        </w:numPr>
        <w:ind w:right="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（2）前置水平114°广角、支持红外夜视；</w:t>
      </w:r>
      <w:r/>
    </w:p>
    <w:p>
      <w:pPr>
        <w:numPr>
          <w:ilvl w:val="0"/>
          <w:numId w:val="0"/>
        </w:numPr>
        <w:ind w:right="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（3）支持H.264/H.265编码格式，最大分辨率为1080P；</w:t>
      </w:r>
      <w:r/>
    </w:p>
    <w:p>
      <w:pPr>
        <w:numPr>
          <w:ilvl w:val="0"/>
          <w:numId w:val="0"/>
        </w:numPr>
        <w:ind w:right="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（4）支持GPS、北斗双模定位功能； </w:t>
      </w:r>
      <w:r/>
    </w:p>
    <w:p>
      <w:pPr>
        <w:numPr>
          <w:ilvl w:val="0"/>
          <w:numId w:val="0"/>
        </w:numPr>
        <w:ind w:right="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（5）支持蓝牙、wifi、3G/4G网络图传；  </w:t>
      </w:r>
      <w:r/>
    </w:p>
    <w:p>
      <w:pPr>
        <w:numPr>
          <w:ilvl w:val="0"/>
          <w:numId w:val="0"/>
        </w:numPr>
        <w:ind w:right="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（6）支持PTT对讲、一键重点标记功能；  </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（7）支持GB/T 28181、GA/T 1400标准协议；</w:t>
      </w:r>
      <w:r/>
    </w:p>
    <w:p>
      <w:pPr>
        <w:numPr>
          <w:ilvl w:val="0"/>
          <w:numId w:val="0"/>
        </w:numPr>
        <w:ind w:left="-200" w:firstLine="632"/>
        <w:jc w:val="left"/>
        <w:spacing w:line="360" w:lineRule="auto"/>
        <w:widowControl w:val="off"/>
        <w:rPr>
          <w:rFonts w:hint="eastAsia" w:ascii="宋体" w:hAnsi="宋体" w:eastAsia="宋体" w:cs="宋体"/>
          <w:b/>
          <w:bCs/>
          <w:sz w:val="21"/>
          <w:szCs w:val="21"/>
          <w:lang w:val="en-US" w:eastAsia="zh-CN" w:bidi="ar-SA"/>
        </w:rPr>
        <w:outlineLvl w:val="3"/>
      </w:pPr>
      <w:r/>
      <w:bookmarkStart w:id="314" w:name="_Toc31149"/>
      <w:r>
        <w:rPr>
          <w:rFonts w:hint="eastAsia" w:ascii="宋体" w:hAnsi="宋体" w:eastAsia="宋体" w:cs="宋体"/>
          <w:b/>
          <w:bCs/>
          <w:sz w:val="21"/>
          <w:szCs w:val="21"/>
          <w:lang w:val="en-US" w:eastAsia="zh-CN" w:bidi="ar-SA"/>
        </w:rPr>
        <w:t xml:space="preserve">2、IP磁盘存储阵列</w:t>
      </w:r>
      <w:bookmarkEnd w:id="31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16盘位企业级存储阵列含流媒体服务模块，128T存储容量，含16个8T的企业级硬盘</w:t>
      </w:r>
      <w:r/>
    </w:p>
    <w:p>
      <w:pPr>
        <w:numPr>
          <w:ilvl w:val="0"/>
          <w:numId w:val="0"/>
        </w:numPr>
        <w:ind w:left="-200" w:firstLine="632"/>
        <w:jc w:val="left"/>
        <w:spacing w:line="360" w:lineRule="auto"/>
        <w:widowControl w:val="off"/>
        <w:rPr>
          <w:rFonts w:hint="eastAsia" w:ascii="宋体" w:hAnsi="宋体" w:eastAsia="宋体" w:cs="宋体"/>
          <w:b/>
          <w:bCs/>
          <w:sz w:val="21"/>
          <w:szCs w:val="21"/>
          <w:lang w:val="en-US" w:eastAsia="zh-CN" w:bidi="ar-SA"/>
        </w:rPr>
        <w:outlineLvl w:val="3"/>
      </w:pPr>
      <w:r/>
      <w:bookmarkStart w:id="315" w:name="_Toc24169"/>
      <w:r>
        <w:rPr>
          <w:rFonts w:hint="eastAsia" w:ascii="宋体" w:hAnsi="宋体" w:eastAsia="宋体" w:cs="宋体"/>
          <w:b/>
          <w:bCs/>
          <w:sz w:val="21"/>
          <w:szCs w:val="21"/>
          <w:lang w:val="en-US" w:eastAsia="zh-CN" w:bidi="ar-SA"/>
        </w:rPr>
        <w:t xml:space="preserve">3、云存储</w:t>
      </w:r>
      <w:bookmarkEnd w:id="315"/>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19英寸4U 机架式；</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支持16 盘位，支持硬盘漫游和热插拔；</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2个万兆以太网电接口；</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64位多核处理器，8GB内存；</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配置BBU电池保护，设备异常断电情况下保护缓存数据不丢失；</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含高性能云存储系统，单台设备既可作为控制节点，也可作为存储节点，也可作为控制存储一体节点；</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控制节点支持三台以上集群部署，任何控制节点损坏业务不受影响；</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存储节点支持纠删码数据离散冗余存储方式和副本冗余方式，提供跨节点数据保护能力，确保数据完整性和可靠性；</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支持数百PB级存储容量横向平滑扩展；</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提供API，NFS，FTP等通用访问接口，支持与监控业务平台、图像资源库等业务系统对接，支持视频码流直存转发技术；</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投标人须承诺本次所投执法视音频记录仪与扬州市公安交通警察支队执法记录仪管理平台和扬州市公安局交警支队一键点调系统无缝对接，IP磁盘存储阵列、云存储具备与扬州市公安交通警察支队执法记录仪管理平台无缝对接</w:t>
      </w:r>
      <w:r>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t xml:space="preserve">（承诺书格式自拟、扫描上传）</w:t>
      </w:r>
      <w:r/>
    </w:p>
    <w:p>
      <w:pPr>
        <w:numPr>
          <w:ilvl w:val="0"/>
          <w:numId w:val="0"/>
        </w:numPr>
        <w:ind w:left="-200" w:firstLine="632"/>
        <w:jc w:val="left"/>
        <w:spacing w:line="360" w:lineRule="auto"/>
        <w:widowControl w:val="off"/>
        <w:rPr>
          <w:rFonts w:hint="eastAsia" w:ascii="宋体" w:hAnsi="宋体" w:eastAsia="宋体" w:cs="宋体"/>
          <w:b/>
          <w:bCs/>
          <w:sz w:val="21"/>
          <w:szCs w:val="21"/>
          <w:lang w:val="en-US" w:eastAsia="zh-CN" w:bidi="ar-SA"/>
        </w:rPr>
        <w:outlineLvl w:val="3"/>
      </w:pPr>
      <w:r/>
      <w:bookmarkStart w:id="316" w:name="_Toc31533"/>
      <w:r>
        <w:rPr>
          <w:rFonts w:hint="eastAsia" w:ascii="宋体" w:hAnsi="宋体" w:eastAsia="宋体" w:cs="宋体"/>
          <w:b/>
          <w:bCs/>
          <w:sz w:val="21"/>
          <w:szCs w:val="21"/>
          <w:lang w:val="en-US" w:eastAsia="zh-CN" w:bidi="ar-SA"/>
        </w:rPr>
        <w:t xml:space="preserve">4、分布式坐席输入节点</w:t>
      </w:r>
      <w:bookmarkEnd w:id="316"/>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（1）支持3840×2160分辨率，并向下兼容其他分辨率。</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cs="宋体"/>
          <w:sz w:val="21"/>
          <w:szCs w:val="21"/>
          <w:lang w:val="en-US" w:eastAsia="zh-CN" w:bidi="ar"/>
        </w:rPr>
        <w:t xml:space="preserve">具备</w:t>
      </w:r>
      <w:r>
        <w:rPr>
          <w:rFonts w:hint="eastAsia" w:ascii="宋体" w:hAnsi="宋体" w:eastAsia="宋体" w:cs="宋体"/>
          <w:sz w:val="21"/>
          <w:szCs w:val="21"/>
          <w:lang w:val="en-US" w:eastAsia="zh-CN" w:bidi="ar"/>
        </w:rPr>
        <w:t xml:space="preserve">1路视频输入和1路视频环出；音频接口支持1路3.5mm音频输入(可自适应接入mic或者line)、1路平衡音频环出、1路3.5mm音频输出；控制接口支持1路双向串口、2路红外接口、2路继电器接口、1路电平输入检测接口；支持3路USB接口、2路RJ45网口、1路SFP光口。</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（3）节点前面板显示器支持显示设备的各种配置信息，包括IP、MAC，网关，掩码等。</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（4）分布式节点支持多种音频模式，编码节点支持内嵌、3.5mm外置模式音频输入，支持3.5mm外置、凤凰端子模式音频输出；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▲（5）图像采样格式支持4:4:4采样处理，系统支持浅压缩编码传输，无法通过VLC等第三方解码软件取流进行解码显示，浅压缩码流可设置为300Mbps～ 900Mbps；信号源自身图像从简单到复杂的过程中，无呼吸效应，图像色彩三原色可完整还原与原图无差异，无色散现象；</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0000ff"/>
          <w:sz w:val="21"/>
          <w:szCs w:val="21"/>
          <w:lang w:val="en-US" w:eastAsia="zh-CN" w:bidi="ar"/>
        </w:rPr>
        <w:suppressLineNumbers w:val="0"/>
      </w:pPr>
      <w:r>
        <w:rPr>
          <w:rFonts w:hint="eastAsia" w:ascii="宋体" w:hAnsi="宋体" w:eastAsia="宋体" w:cs="宋体"/>
          <w:sz w:val="21"/>
          <w:szCs w:val="21"/>
          <w:lang w:val="en-US" w:eastAsia="zh-CN" w:bidi="ar"/>
        </w:rPr>
        <w:t xml:space="preserve">▲（6）节点支持多种码流加密算法，包含AES256、AES128、DES、3DES、HMAC256、RC4。</w:t>
      </w:r>
      <w:r>
        <w:rPr>
          <w:rFonts w:hint="eastAsia" w:ascii="宋体" w:hAnsi="宋体" w:eastAsia="宋体" w:cs="宋体"/>
          <w:color w:val="0000ff"/>
          <w:sz w:val="21"/>
          <w:szCs w:val="21"/>
          <w:lang w:val="en-US" w:eastAsia="zh-CN" w:bidi="ar"/>
        </w:rPr>
        <w:t xml:space="preserve">（提供第三方机构出具的具有CMA认证标志的检测报告原件扫描上传）</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（7）节点支持两种主备模式的设置；优先模式下，固定主链路通道号；自协商模式下，不固定主链路通道号；节点支持链路备份自协商模式和某网口优先模式的选择</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（8）节点支持 USB type-A和t</w:t>
      </w:r>
      <w:r>
        <w:rPr>
          <w:rFonts w:hint="eastAsia" w:ascii="宋体" w:hAnsi="宋体" w:cs="宋体"/>
          <w:sz w:val="21"/>
          <w:szCs w:val="21"/>
          <w:lang w:val="en-US" w:eastAsia="zh-CN" w:bidi="ar"/>
        </w:rPr>
        <w:t xml:space="preserve">y</w:t>
      </w:r>
      <w:r>
        <w:rPr>
          <w:rFonts w:hint="eastAsia" w:ascii="宋体" w:hAnsi="宋体" w:eastAsia="宋体" w:cs="宋体"/>
          <w:sz w:val="21"/>
          <w:szCs w:val="21"/>
          <w:lang w:val="en-US" w:eastAsia="zh-CN" w:bidi="ar"/>
        </w:rPr>
        <w:t xml:space="preserve">pe</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B接口，完成键鼠传输；编码节点支持通过 USB type-A和 type-B接口同时连接，实现键鼠数据传输备份功能。</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（9）支持列表模式、预监模式等多种视频切换模式，可通过系统后台进行自定义设置，同时同步到web操作界面，满足不同用户的业务使用习惯</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（10）通过“非USB接口”与主机连接，进行键鼠信息安全传输，支持PS2协议单向通信，仅能识别键鼠设备，支持传输键鼠数据以及键鼠状态，实现数据隔离</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（11）保证物理隔离，从物理接口上防止不同密级电脑之间因USB设备发生数据泄露，同时避免U盘、USB摄像头、Ukey、USB打印机等设备的连接</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（12）席位OSD支持请求自动响应设置，支持请求确认，自动接受，自动拒绝三种模式。支持通过OSD菜单跟随其他坐席屏幕的信号，本坐席实时跟随被跟随坐席屏幕的信号源及分割模式</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（13）支持文字消息互动功能，无需额外插件，通过席位OSD菜单对单个用户进行文字消息发送和交互，支持多用户和分组的消息群发。</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（14）提供CMA认证的可靠性试验报告，MTBF≥200000小时。</w:t>
      </w:r>
      <w:r/>
    </w:p>
    <w:p>
      <w:pPr>
        <w:numPr>
          <w:ilvl w:val="0"/>
          <w:numId w:val="0"/>
        </w:numPr>
        <w:ind w:left="-200" w:firstLine="422"/>
        <w:jc w:val="left"/>
        <w:spacing w:line="360" w:lineRule="auto"/>
        <w:widowControl w:val="off"/>
        <w:rPr>
          <w:rFonts w:hint="eastAsia" w:ascii="宋体" w:hAnsi="宋体" w:eastAsia="宋体" w:cs="宋体"/>
          <w:b/>
          <w:bCs/>
          <w:sz w:val="21"/>
          <w:szCs w:val="21"/>
          <w:lang w:val="en-US" w:eastAsia="zh-CN" w:bidi="ar-SA"/>
        </w:rPr>
        <w:outlineLvl w:val="3"/>
      </w:pPr>
      <w:r/>
      <w:bookmarkStart w:id="317" w:name="_Toc1892"/>
      <w:r>
        <w:rPr>
          <w:rFonts w:hint="eastAsia" w:ascii="宋体" w:hAnsi="宋体" w:eastAsia="宋体" w:cs="宋体"/>
          <w:b/>
          <w:bCs/>
          <w:sz w:val="21"/>
          <w:szCs w:val="21"/>
          <w:lang w:val="en-US" w:eastAsia="zh-CN" w:bidi="ar-SA"/>
        </w:rPr>
        <w:t xml:space="preserve">5、分布式坐席输出节点</w:t>
      </w:r>
      <w:bookmarkEnd w:id="317"/>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（1）支持3840×2160分辨率，并向下兼容其他分辨率。</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cs="宋体"/>
          <w:sz w:val="21"/>
          <w:szCs w:val="21"/>
          <w:lang w:val="en-US" w:eastAsia="zh-CN" w:bidi="ar"/>
        </w:rPr>
        <w:t xml:space="preserve">具备</w:t>
      </w:r>
      <w:r>
        <w:rPr>
          <w:rFonts w:hint="eastAsia" w:ascii="宋体" w:hAnsi="宋体" w:eastAsia="宋体" w:cs="宋体"/>
          <w:sz w:val="21"/>
          <w:szCs w:val="21"/>
          <w:lang w:val="en-US" w:eastAsia="zh-CN" w:bidi="ar"/>
        </w:rPr>
        <w:t xml:space="preserve">1路视频输出；音频接口支持1路3.5mm音频输入（可自适应接入mic或者line）、1路平衡音频输出、1路3.5mm音频输出；控制接口支持1路双向串口、2路红外接口、2路继电器接口、1路电平输入检测接口；支持6路USB接口、2路RJ45网口、1路SFP光口。</w:t>
      </w:r>
      <w:r>
        <w:rPr>
          <w:rFonts w:hint="eastAsia" w:ascii="宋体" w:hAnsi="宋体" w:eastAsia="宋体" w:cs="宋体"/>
          <w:color w:val="4f81bd" w:themeColor="accent1"/>
          <w:sz w:val="21"/>
          <w:szCs w:val="21"/>
          <w:lang w:val="en-US" w:eastAsia="zh-CN" w:bidi="ar"/>
          <w14:textFill>
            <w14:solidFill>
              <w14:schemeClr w14:val="accent1"/>
            </w14:solidFill>
          </w14:textFill>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（3）解码节点支持内嵌、3.5mm外置、凤凰端子模式音频输出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（4）节点前面板显示器支持显示设备的各种配置信息，包括IP、MAC，网关，掩码等。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（5）图像采样格式支持4:4:4采样处理，系统支持浅压缩编码传输，无法通过VLC等第三方解码软件取流进行解码显示，浅压缩码流可设置为300Mbps～ 900Mbps；信号源自身图像从简单到复杂的过程中，无呼吸效应，图像色彩三原色可完整还原与原图无差异，无色散现象；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（6）支持单个/批量新增席位功能，单个席位新增，配置相关席位名称、屏幕分辨率及型号、席位布局选择并保存；批量新增席位，配置好相关席位参数及新增席位数量并保存，提高管理员的坐席配置工作效率；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（7）席位OSD菜单支持列表模式/预览模式对信号源进行管理。列表模式支持实时查看信号源的在线状态、名称、IP地址、键鼠状态等信息；预览模式支持实时监看信号源视频画面，实现OSD可视化预监；</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（8）支持USB设备接入状态指示，当有鼠标、键盘USB设备接入时，在软件上可显示鼠标键盘的接入状态；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（9）同一信号源经过编码、解码后到两台显示屏显示，显示时间差为16ms。</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（10）支持通过OSD菜单跟随其他坐席屏幕的信号，本坐席实时跟随被跟随坐席屏幕的信号源及分割模式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（11）支持坐席音频鼠标跟随功能和混音功能，席位四画面情况下，支持多窗口混音输出，可实现每个窗口独立进行音量调节；声音可跟随鼠标指向实时切换，实现图文声象控制和音频的完全联动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（12）席位OSD界面支持对输入信号源的画面图像进行实时预览，支持60帧OSD预监。</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（13）支持单屏、双屏、三联屏、多联屏等多种坐席布局，显示屏组合数量无限制，支持任意显示屏布局的异形组合方式，满足用户非矩形配置需求。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（14）可通过管理软件设置多个信号源标签，并可将不同的标 签与同一席位的不同显示屏绑定，使得同一席位的不同 显示屏显示不同的信号源列表。（提供权威机构出具的具备CMA、CNAS认证标志的检测报告证明复印件并加盖投标人公章）</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color w:val="4f81bd" w:themeColor="accent1"/>
          <w:sz w:val="21"/>
          <w:szCs w:val="21"/>
          <w:lang w:val="en-US" w:eastAsia="zh-CN" w:bidi="ar"/>
          <w14:textFill>
            <w14:solidFill>
              <w14:schemeClr w14:val="accent1"/>
            </w14:solidFill>
          </w14:textFill>
        </w:rPr>
        <w:suppressLineNumbers w:val="0"/>
      </w:pPr>
      <w:r>
        <w:rPr>
          <w:rFonts w:hint="eastAsia" w:ascii="宋体" w:hAnsi="宋体" w:eastAsia="宋体" w:cs="宋体"/>
          <w:sz w:val="21"/>
          <w:szCs w:val="21"/>
          <w:lang w:val="en-US" w:eastAsia="zh-CN" w:bidi="ar"/>
        </w:rPr>
        <w:t xml:space="preserve">▲（15）画面无缝切换时间≤3ms。</w:t>
      </w:r>
      <w:r>
        <w:rPr>
          <w:rFonts w:hint="eastAsia" w:ascii="宋体" w:hAnsi="宋体" w:eastAsia="宋体" w:cs="宋体"/>
          <w:color w:val="4f81bd" w:themeColor="accent1"/>
          <w:sz w:val="21"/>
          <w:szCs w:val="21"/>
          <w:lang w:val="en-US" w:eastAsia="zh-CN" w:bidi="ar"/>
          <w14:textFill>
            <w14:solidFill>
              <w14:schemeClr w14:val="accent1"/>
            </w14:solidFill>
          </w14:textFill>
        </w:rPr>
        <w:t xml:space="preserve">（提供第三方机构出具的具有CMA认证标志的检测报告原件扫描上传）</w:t>
      </w:r>
      <w:r/>
    </w:p>
    <w:p>
      <w:pPr>
        <w:numPr>
          <w:ilvl w:val="0"/>
          <w:numId w:val="0"/>
        </w:numPr>
        <w:ind w:right="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w:t>
      </w:r>
      <w:r>
        <w:rPr>
          <w:rFonts w:hint="eastAsia" w:ascii="宋体" w:hAnsi="宋体" w:cs="宋体"/>
          <w:sz w:val="21"/>
          <w:szCs w:val="21"/>
          <w:lang w:val="en-US" w:eastAsia="zh-CN" w:bidi="ar"/>
        </w:rPr>
        <w:t xml:space="preserve">6</w:t>
      </w:r>
      <w:r>
        <w:rPr>
          <w:rFonts w:hint="eastAsia" w:ascii="宋体" w:hAnsi="宋体" w:eastAsia="宋体" w:cs="宋体"/>
          <w:sz w:val="21"/>
          <w:szCs w:val="21"/>
          <w:lang w:val="en-US" w:eastAsia="zh-CN" w:bidi="ar"/>
        </w:rPr>
        <w:t xml:space="preserve">）提供CMA认证的可靠性试验报告，MTBF≥200000小时。</w:t>
      </w:r>
      <w:bookmarkStart w:id="318" w:name="_Toc12522"/>
      <w:r/>
      <w:r/>
    </w:p>
    <w:p>
      <w:pPr>
        <w:numPr>
          <w:ilvl w:val="0"/>
          <w:numId w:val="0"/>
        </w:numPr>
        <w:ind w:right="0"/>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lang w:val="en-US" w:eastAsia="zh-CN" w:bidi="ar-SA"/>
        </w:rPr>
        <w:t xml:space="preserve">6、分布式拼接节点</w:t>
      </w:r>
      <w:bookmarkEnd w:id="318"/>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（1）支持3840×2160@60Hz分辨率，并向下兼容其他分辨率。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（2）节点支持1路视频输出；支持1路3.5mm音频输入（可自适应接入mic或者line）、 1路平衡音频输出、1路3.5mm音频输出；支持1路双向串口、2路红外接口、2路继电器接口、1路电平输入检测接口；支持6路USB接口、1路RJ45网口、1路SFP光口。</w:t>
      </w:r>
      <w:r/>
    </w:p>
    <w:p>
      <w:pPr>
        <w:ind w:left="0" w:right="0" w:firstLine="420"/>
        <w:jc w:val="left"/>
        <w:keepLines w:val="0"/>
        <w:keepNext w:val="0"/>
        <w:spacing w:before="0" w:beforeAutospacing="0" w:after="0" w:afterAutospacing="0" w:line="360" w:lineRule="auto"/>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（3）支持拼接大屏布局模式应用自定义，可在web界面前台、后台分别对大屏布局进行应用管理，方便用户便捷管理大屏布局。</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（4）支持在web界面对拼接大屏的音频输出、底图、条幅功能进行快捷管理，支持一键开启/关闭；可手动调节拼接大屏输出音量大小，可图形化展示大屏窗口的音频开关状态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（5）信号窗口支持漫游、叠加覆盖和缩放；支持在多个屏幕上开窗；支持调整窗口大小以及在多个显示器的任意位置移动；支持通过窗口叠加实现画中画显示。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（6）大屏拼接功能可将不同信号源的视音频拼接后输出至大屏，同时可控制不同信号源的音频开启/关闭，支持大屏混音功能，单节点支持4路音频同时解码输出；随路音频可通过解码节点混音给到扩声系统。</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（7）支持LED、LCD、DLP多种拼接模式，单路视频输出通道可打开多个不同源窗口，支持视频信号任意位置漫游开窗和窗口叠加显示以及跨屏开窗显示。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（8）支持数据及信号的镜像转发，支持在同一网络平台下复制及调用，满足多用户和多用途的数据流同时应用。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支持双台标设置，可独立设置两个双台标的内容、字体、字号、背景色，支持像素级调整台标位置和台标的大小；可批量设置台标字体、字号、位置、大小，可批量同步信号源名称到台标内容，提高台标设置和维护效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（10）系统</w:t>
      </w:r>
      <w:r>
        <w:rPr>
          <w:rFonts w:hint="eastAsia" w:ascii="宋体" w:hAnsi="宋体" w:cs="宋体"/>
          <w:sz w:val="21"/>
          <w:szCs w:val="21"/>
          <w:lang w:val="en-US" w:eastAsia="zh-CN" w:bidi="ar"/>
        </w:rPr>
        <w:t xml:space="preserve">具备</w:t>
      </w:r>
      <w:r>
        <w:rPr>
          <w:rFonts w:hint="eastAsia" w:ascii="宋体" w:hAnsi="宋体" w:eastAsia="宋体" w:cs="宋体"/>
          <w:sz w:val="21"/>
          <w:szCs w:val="21"/>
          <w:lang w:val="en-US" w:eastAsia="zh-CN" w:bidi="ar"/>
        </w:rPr>
        <w:t xml:space="preserve">信号源裁剪功能；可通过鼠标拖拽进行信号裁剪区域选择，支持通过精准坐标定位对信号源裁剪区域进行选择</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color w:val="4f81bd" w:themeColor="accent1"/>
          <w:sz w:val="21"/>
          <w:szCs w:val="21"/>
          <w:lang w:val="en-US" w:eastAsia="zh-CN" w:bidi="ar"/>
          <w14:textFill>
            <w14:solidFill>
              <w14:schemeClr w14:val="accent1"/>
            </w14:solidFill>
          </w14:textFill>
        </w:rPr>
        <w:suppressLineNumbers w:val="0"/>
      </w:pPr>
      <w:r>
        <w:rPr>
          <w:rFonts w:hint="eastAsia" w:ascii="宋体" w:hAnsi="宋体" w:eastAsia="宋体" w:cs="宋体"/>
          <w:sz w:val="21"/>
          <w:szCs w:val="21"/>
          <w:lang w:val="en-US" w:eastAsia="zh-CN" w:bidi="ar"/>
        </w:rPr>
        <w:t xml:space="preserve">▲（11）支持将窗口布局、信号源、字符叠加等信息保存至设备；支持一键调取保存的场景预案。保存场景预案数量≥10000个，拼接预案调取时间≤5ms。支持多组场景自动轮巡，支持10秒~900秒自定义轮巡时间间隔，可以选择场景进行轮巡。</w:t>
      </w:r>
      <w:r>
        <w:rPr>
          <w:rFonts w:hint="eastAsia" w:ascii="宋体" w:hAnsi="宋体" w:eastAsia="宋体" w:cs="宋体"/>
          <w:color w:val="4f81bd" w:themeColor="accent1"/>
          <w:sz w:val="21"/>
          <w:szCs w:val="21"/>
          <w:lang w:val="en-US" w:eastAsia="zh-CN" w:bidi="ar"/>
          <w14:textFill>
            <w14:solidFill>
              <w14:schemeClr w14:val="accent1"/>
            </w14:solidFill>
          </w14:textFill>
        </w:rPr>
        <w:t xml:space="preserve">（提供第三方机构出具的具有CMA认证标志的检测报告原件扫描上传）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▲（12）拼接大屏每个屏之间支持实时帧同步，屏组内任意两个拼接节点间帧同步信号差值≤8us（提供第三方机构出具的具有CMA认证标志的检测报告原件扫描上传）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（13）系统支持将多显卡的多路视频信号进行统一编组，可一键在大屏上对多路信号联动开窗，可整体调整窗口大小和位置，可在一个预监窗口同时预览多路信号源，预览画面同步、不撕裂、不卡顿。</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（14）为保障用户大屏开窗用户体验，图像开窗时间≤3ms。</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（15）提供CMA认证的可靠性试验报告，MTBF≥200000小时。</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bidi="ar-SA"/>
        </w:rPr>
        <w:outlineLvl w:val="3"/>
      </w:pPr>
      <w:r/>
      <w:bookmarkStart w:id="319" w:name="_Toc10441"/>
      <w:r>
        <w:rPr>
          <w:rFonts w:hint="eastAsia" w:ascii="宋体" w:hAnsi="宋体" w:eastAsia="宋体" w:cs="宋体"/>
          <w:b/>
          <w:bCs/>
          <w:sz w:val="21"/>
          <w:szCs w:val="21"/>
          <w:lang w:val="en-US" w:eastAsia="zh-CN" w:bidi="ar-SA"/>
        </w:rPr>
        <w:t xml:space="preserve">7、千兆网口接入交换机</w:t>
      </w:r>
      <w:bookmarkEnd w:id="31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（1）交换容量≥1.3Tbps，包转发率≥560Mpps；</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（2）支持MAC表项≥64K,ARP表项≥16K,IPv4 路由表≥16K,IPv6 路由表≥8K；</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（3）支持静态路由、RIP v1/v2、OSPF、BGP、ISIS、RIPng、OSPFv3、ISISv6、BGP4+；</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（4）支持VxLAN功能，支持BGP EVPN，支持分布式 Anycast 网关；支持控制器基于WEB界面进行VxLAN Fabric配置并下发给交换机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（5）实配：48个千兆以太网端口，4个10GE SFP+，双交流电源，3年原厂质保。</w:t>
      </w:r>
      <w:r/>
    </w:p>
    <w:p>
      <w:pPr>
        <w:numPr>
          <w:ilvl w:val="0"/>
          <w:numId w:val="0"/>
        </w:numPr>
        <w:ind w:left="-200" w:firstLine="632"/>
        <w:jc w:val="left"/>
        <w:spacing w:line="360" w:lineRule="auto"/>
        <w:widowControl w:val="off"/>
        <w:rPr>
          <w:rFonts w:hint="eastAsia" w:ascii="宋体" w:hAnsi="宋体" w:eastAsia="宋体" w:cs="宋体"/>
          <w:b/>
          <w:bCs/>
          <w:sz w:val="21"/>
          <w:szCs w:val="21"/>
          <w:lang w:val="en-US" w:eastAsia="zh-CN" w:bidi="ar-SA"/>
        </w:rPr>
        <w:outlineLvl w:val="3"/>
      </w:pPr>
      <w:r/>
      <w:bookmarkStart w:id="320" w:name="_Toc1806"/>
      <w:r>
        <w:rPr>
          <w:rFonts w:hint="eastAsia" w:ascii="宋体" w:hAnsi="宋体" w:eastAsia="宋体" w:cs="宋体"/>
          <w:b/>
          <w:bCs/>
          <w:sz w:val="21"/>
          <w:szCs w:val="21"/>
          <w:lang w:val="en-US" w:eastAsia="zh-CN" w:bidi="ar-SA"/>
        </w:rPr>
        <w:t xml:space="preserve">8、分布式管控平台</w:t>
      </w:r>
      <w:bookmarkEnd w:id="32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（1）1U高度主机，机箱采用标准19英寸宽度结构尺寸，支持标准机架安装。</w:t>
      </w:r>
      <w:r/>
    </w:p>
    <w:p>
      <w:pPr>
        <w:numPr>
          <w:ilvl w:val="0"/>
          <w:numId w:val="0"/>
        </w:numPr>
        <w:ind w:right="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（2）前面板具备彩色液晶屏、可直观显示设备信息，包括但不限于：IP地址、子网掩码、网关、MAC地址、硬盘使用率、CPU使用率、内存使用率、系统健康度等信息。</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（3）支持CONTROL接口、DBMC接口、DBRTC接口、NET接口，支持不同网络协议配置；支持不少于4个串口（串口包含DB9及凤凰端子形态），支持RS-232/RS-422/RS-485协议。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（4）支持VGA视频接口、TYPE-C接口、CONSOLE配置口，方便部署调试使用，支持2个USB2.0接口。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（5）前面板具备HDD、PWR指示灯，后面板具备PWR、HDD、ACT指示灯，直观反馈设备工作状态。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支持音视频信号接入进行统一管理，能够自动搜索、注册、添加设定网段内的显控系统设备。支持设备列表在线管理，支持一键识别中控列表导入，分布式节点列表导入，拼接器节点导入，坐席节点列表导入，多媒体播控设备管理及导入，多媒体文件服务器管理导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（7）信号源管理：支持建立信号源分组，支持信号源收藏，支持信号源状态可视化显示，支持信号源推送大屏以及多屏推送输出。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（8）预案管理：支持预案保存以及一键切换场景，实现复杂系统中视频、音频、环境及周边设备快速变更调节。支持预案保存调用、一切多、显示切换关系、实时模式、非实时模式、触控切换、鼠标切换。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屏幕拼接管理：具备大屏M*N的任意拼接方式选择，支持虚拟大屏显示、大屏预监回显、可视化预览、开窗、漫游、叠加、拼接、分割、跨屏、整屏、画中画、置顶、置底、窗口锁定操作，相互之间不受影响，多种类型信号无缝切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（10）点播功能：支持对所有信号源进行的实时点播。</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（11）消息发布：支持系统内用户之间互发即时信息，支持单独发送和群组发送;支持消息历史查看;支持展示全网用户组织架构</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（12）账号漫游及多级域管理：支持账号权限随行，支持多级域权限管理，人员可在不同地域间登录所在域权限完成账号漫游。</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（13）项目管理：支持从云服务器下载及本地上传项目，通过现在访问界面工程管理配置界面实现内置功能界面的访问和调用，通过UIDESIGNER PRO管理平台实现对于导航、组件、加载自定义组件、图片管理、视频资源管理、样式管理、数据源管理等</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21" w:name="_Toc28932"/>
      <w:r>
        <w:rPr>
          <w:rFonts w:hint="eastAsia" w:ascii="宋体" w:hAnsi="宋体" w:eastAsia="宋体" w:cs="宋体"/>
          <w:b/>
          <w:bCs/>
          <w:sz w:val="21"/>
          <w:szCs w:val="21"/>
          <w:lang w:val="en-US" w:eastAsia="zh-CN" w:bidi="ar-SA"/>
        </w:rPr>
        <w:t xml:space="preserve">9、分布式节点机架</w:t>
      </w:r>
      <w:bookmarkEnd w:id="32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支持将分布式节点固定在19英寸标准机柜中，单台托架容量：可安装8个节点。</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22" w:name="_Toc24956"/>
      <w:r>
        <w:rPr>
          <w:rFonts w:hint="eastAsia" w:ascii="宋体" w:hAnsi="宋体" w:eastAsia="宋体" w:cs="宋体"/>
          <w:b/>
          <w:bCs/>
          <w:sz w:val="21"/>
          <w:szCs w:val="21"/>
          <w:lang w:val="en-US" w:eastAsia="zh-CN" w:bidi="ar-SA"/>
        </w:rPr>
        <w:t xml:space="preserve">10、48万兆光口汇聚交换机</w:t>
      </w:r>
      <w:bookmarkEnd w:id="32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（1）交换容量≥4.8Tbps，包转发率≥2000Mpps；</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2</w:t>
      </w:r>
      <w:r>
        <w:rPr>
          <w:rFonts w:hint="eastAsia" w:ascii="宋体" w:hAnsi="宋体" w:eastAsia="宋体" w:cs="宋体"/>
          <w:sz w:val="21"/>
          <w:szCs w:val="21"/>
          <w:lang w:val="en-US" w:eastAsia="zh-CN" w:bidi="ar"/>
        </w:rPr>
        <w:t xml:space="preserve">）支持MAC表项≥384K,ARP表项≥140K,IPv4 路由表≥256K,IPv6 路由表≥80K；</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（3）支持静态路由、RIP V1/2、OSPF、IS-IS、BGP、RIPng、OSPFv3、BGP4+；</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（4）支持VxLAN功能，支持BGP EVPN，支持分布式 Anycast 网关；支持控制器基于WEB界面进行VxLAN Fabric配置并下发给交换机；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（5）实配：48个万兆光口，6个40G光口，双交流电源，3年原厂质保。</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23" w:name="_Toc3831"/>
      <w:r>
        <w:rPr>
          <w:rFonts w:hint="eastAsia" w:ascii="宋体" w:hAnsi="宋体" w:eastAsia="宋体" w:cs="宋体"/>
          <w:b/>
          <w:bCs/>
          <w:sz w:val="21"/>
          <w:szCs w:val="21"/>
          <w:lang w:val="en-US" w:eastAsia="zh-CN" w:bidi="ar-SA"/>
        </w:rPr>
        <w:t xml:space="preserve">11、万兆单模光模块</w:t>
      </w:r>
      <w:bookmarkEnd w:id="32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光模块-SFP+-10G-单模模块(1310nm,10km,LC)</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24" w:name="_Toc11278"/>
      <w:r>
        <w:rPr>
          <w:rFonts w:hint="eastAsia" w:ascii="宋体" w:hAnsi="宋体" w:eastAsia="宋体" w:cs="宋体"/>
          <w:b/>
          <w:bCs/>
          <w:sz w:val="21"/>
          <w:szCs w:val="21"/>
          <w:lang w:val="en-US" w:eastAsia="zh-CN" w:bidi="ar-SA"/>
        </w:rPr>
        <w:t xml:space="preserve">12、分布式音视频输入节点</w:t>
      </w:r>
      <w:bookmarkEnd w:id="32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（1）支持3840×2160分辨率，并向下兼容其他分辨率。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cs="宋体"/>
          <w:sz w:val="21"/>
          <w:szCs w:val="21"/>
          <w:lang w:val="en-US" w:eastAsia="zh-CN" w:bidi="ar"/>
        </w:rPr>
        <w:t xml:space="preserve">具备</w:t>
      </w:r>
      <w:r>
        <w:rPr>
          <w:rFonts w:hint="eastAsia" w:ascii="宋体" w:hAnsi="宋体" w:eastAsia="宋体" w:cs="宋体"/>
          <w:sz w:val="21"/>
          <w:szCs w:val="21"/>
          <w:lang w:val="en-US" w:eastAsia="zh-CN" w:bidi="ar"/>
        </w:rPr>
        <w:t xml:space="preserve">1路视频输入和1路视频环出；音频接口支持1路3.5mm音频输入(可自适应接入mic或者line)、1路平衡音频环出、1路3.5mm音频输出；控制接口支持1路双向串口、2路红外接口、2路继电器接口、1路电平输入检测接口；支持3路USB接口、2路RJ45网口、1路SFP光口。（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（3）节点前面板显示器支持显示设备的各种配置信息，包括IP、MAC，网关，掩码等。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（4）分布式节点支持多种音频模式，编码节点支持内嵌、3.5mm外置模式音频输入，支持3.5mm外置、凤凰端子模式音频输出；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（5）图像采样格式支持4:4:4采样处理，系统支持浅压缩编码传输，无法通过VLC等第三方解码软件取流进行解码显示，浅压缩码流可设置为300Mbps～ 900Mbps；信号源自身图像从简单到复杂的过程中，无呼吸效应，图像色彩三原色可完整还原与原图无差异，无色散现象；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（6）节点支持多种码流加密算法，包含AES256、AES128、DES、3DES、HMAC256、RC4。</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（7）节点支持两种主备模式的设置；优先模式下，固定主链路通道号；自协商模式下，不固定主链路通道号；节点支持链路备份自协商模式和某网口优先模式的选择</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（8）提供CMA认证的可靠性试验报告，MTBF≥200000小时。</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25" w:name="_Toc15780"/>
      <w:r>
        <w:rPr>
          <w:rFonts w:hint="eastAsia" w:ascii="宋体" w:hAnsi="宋体" w:eastAsia="宋体" w:cs="宋体"/>
          <w:b/>
          <w:bCs/>
          <w:sz w:val="21"/>
          <w:szCs w:val="21"/>
          <w:lang w:val="en-US" w:eastAsia="zh-CN" w:bidi="ar-SA"/>
        </w:rPr>
        <w:t xml:space="preserve">13、分布式音视频输出节点</w:t>
      </w:r>
      <w:bookmarkEnd w:id="325"/>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（1）支持3840×2160分辨率，并向下兼容其他分辨率。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cs="宋体"/>
          <w:sz w:val="21"/>
          <w:szCs w:val="21"/>
          <w:lang w:val="en-US" w:eastAsia="zh-CN" w:bidi="ar"/>
        </w:rPr>
        <w:t xml:space="preserve">具备</w:t>
      </w:r>
      <w:r>
        <w:rPr>
          <w:rFonts w:hint="eastAsia" w:ascii="宋体" w:hAnsi="宋体" w:eastAsia="宋体" w:cs="宋体"/>
          <w:sz w:val="21"/>
          <w:szCs w:val="21"/>
          <w:lang w:val="en-US" w:eastAsia="zh-CN" w:bidi="ar"/>
        </w:rPr>
        <w:t xml:space="preserve">1路视频输出；音频接口支持1路3.5mm音频输入（可自适应接入mic或者line）、1路平衡音频输出、1路3.5mm音频输出；控制接口支持1路双向串口、2路红外接口、2路继电器接口、1路电平输入检测接口；支持6路USB接口、2路RJ45网口、1路SFP光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（3）解码节点支持内嵌、3.5mm外置、凤凰端子模式音频输出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（4）节点前面板显示器支持显示设备的各种配置信息，包括IP、MAC，网关，掩码等。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 图像采样格式支持4:4:4采样处理，系统支持浅压缩编码传输，无法通过VLC等第三方解码软件取流进行解码显示，浅压缩码流可设置为300Mbps～ 900Mbps；信号源自身图像从简单到复杂的过程中，无呼吸效应，图像色彩三原色可完整还原与原图无差异，无色散现象；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（6）同一信号源经过编码、解码后到两台显示屏显示，显示时间差为16ms。</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▲（7）画面无缝切换时间≤3ms。（提供第三方机构出具的具有CMA认证标志的检测报告原件扫描上传）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（8）提供CMA认证的可靠性试验报告，MTBF≥200000小时。</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26" w:name="_Toc1409"/>
      <w:r/>
      <w:bookmarkStart w:id="327" w:name="_Toc176619268"/>
      <w:r/>
      <w:bookmarkStart w:id="328" w:name="_Toc12829"/>
      <w:r/>
      <w:bookmarkStart w:id="329" w:name="_Toc517"/>
      <w:r>
        <w:rPr>
          <w:rFonts w:hint="eastAsia" w:ascii="宋体" w:hAnsi="宋体" w:eastAsia="宋体" w:cs="宋体"/>
          <w:b/>
          <w:bCs/>
          <w:sz w:val="21"/>
          <w:szCs w:val="21"/>
          <w:lang w:val="en-US" w:eastAsia="zh-CN" w:bidi="ar-SA"/>
        </w:rPr>
        <w:t xml:space="preserve">14、P1.25小间距室内LED屏</w:t>
      </w:r>
      <w:bookmarkEnd w:id="326"/>
      <w:r/>
      <w:bookmarkEnd w:id="327"/>
      <w:r/>
      <w:bookmarkEnd w:id="328"/>
      <w:r/>
      <w:bookmarkEnd w:id="32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bookmarkStart w:id="330" w:name="_Toc20729"/>
      <w:r>
        <w:rPr>
          <w:rFonts w:hint="eastAsia" w:ascii="宋体" w:hAnsi="宋体" w:eastAsia="宋体" w:cs="宋体"/>
          <w:sz w:val="21"/>
          <w:szCs w:val="21"/>
          <w:lang w:val="en-US" w:eastAsia="zh-CN" w:bidi="ar"/>
        </w:rPr>
        <w:t xml:space="preserve">LED像素点间距≤1.25mm;像素密度≥640000点/㎡，COB封装1R1G1B</w:t>
      </w:r>
      <w:r>
        <w:rPr>
          <w:rFonts w:hint="eastAsia" w:ascii="宋体" w:hAnsi="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 RGB 芯片全倒装共阴极驱动（提供第三方机构出具的具有CMA认证标志的检测报告原件扫描上传）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单元尺寸≤600x337.5，厚度尺寸≤29.5（mm）</w:t>
      </w:r>
      <w:r>
        <w:rPr>
          <w:rFonts w:hint="eastAsia" w:ascii="宋体" w:hAnsi="宋体" w:cs="宋体"/>
          <w:sz w:val="21"/>
          <w:szCs w:val="21"/>
          <w:lang w:val="en-US" w:eastAsia="zh-CN" w:bidi="ar"/>
        </w:rPr>
        <w:t xml:space="preserv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▲显示屏幕峰值亮度≥600nits,峰值功耗＜270W/㎡ （600nits亮度），平均功耗＜90W/㎡(600nits亮度)（提供第三方机构出具的具有CMA认证标志的检测报告原件扫描上传）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工作湿度：最高工作环境温度下，相对湿度10%~90%，通电工作8h，无凝露</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储存湿度：最高工作环境温度下，相对湿度10%~90%，储存8h，无凝露</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 SJ/T 11590-2016 LED显示屏图像质量主观评价方法，从显示屏正面分别观察高速行驶中的汽车车牌，奔跑中的运动员面容，图像清晰无拖影、能轻松识 别车牌号及运动员面部特征。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 SJ/T 11590-2016 LED显示屏图像质量主观评价方法，观察显示屏正面及侧面人的肤色是否逼真、蓝天、白云、红旗，绿草地是否存在偏色现象。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 SJ/T 11590-2016 LED 显示屏图像质量主观评价方法，从正面及侧面分别观察亮度及色度是否均匀，是否有马赛克现象及灰尘效应。</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 SJ/T 11590-2016 LED 显示屏图像质量主观评价方法，从正面及侧面分别观察模块及箱体的拼缝处，是否存在高于正常亮度的亮线条或低于正常亮度的暗线条。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依据GB/T 20145-2006 标准要求，LED显示屏辐亮度≤100 W·m-2·sr-1 ，判定级别为RG0无危害级，LED屏幕蓝光辐射符合国标无危害级要求。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支架组装式设计，支架采用组装式设计，支持拆装。</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LED单元箱体间连接网线具备L型等非矩形框架走线方式，网线利用率＞95%。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LED屏幕通过局域网客户端，局域网WEB端，红外遥控器，射频遥控器，物理按键五种种方式实现亮度调节。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灯板硬连接，箱体内部灯板部分功率和信号传输采用一体式浮动触点接触连接器。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确保产品品质稳定，COB发光晶片应采用大晶片，晶片尺寸不小于3.5mil x7mil。发光晶片品牌应需采用三安、华灿、乾照或仕兰品牌。</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考虑后期维护方便，产品的转接板接收卡能够支持独立拆卸，不与主板焊接一体。</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为节省安装空间和载荷需求，屏幕单箱体厚度应＜30mm，重量应＜3.5kg/台。</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31" w:name="_Toc176619269"/>
      <w:r/>
      <w:bookmarkStart w:id="332" w:name="_Toc28262"/>
      <w:r>
        <w:rPr>
          <w:rFonts w:hint="eastAsia" w:ascii="宋体" w:hAnsi="宋体" w:eastAsia="宋体" w:cs="宋体"/>
          <w:b/>
          <w:bCs/>
          <w:sz w:val="21"/>
          <w:szCs w:val="21"/>
          <w:lang w:val="en-US" w:eastAsia="zh-CN" w:bidi="ar-SA"/>
        </w:rPr>
        <w:t xml:space="preserve">15、二合一拼控卡</w:t>
      </w:r>
      <w:bookmarkEnd w:id="330"/>
      <w:r/>
      <w:bookmarkEnd w:id="331"/>
      <w:r/>
      <w:bookmarkEnd w:id="33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bookmarkStart w:id="333" w:name="_Toc19210"/>
      <w:r>
        <w:rPr>
          <w:rFonts w:hint="eastAsia" w:ascii="宋体" w:hAnsi="宋体" w:eastAsia="宋体" w:cs="宋体"/>
          <w:sz w:val="21"/>
          <w:szCs w:val="21"/>
          <w:lang w:val="en-US" w:eastAsia="zh-CN" w:bidi="ar"/>
        </w:rPr>
        <w:t xml:space="preserve">12网口LED二合一拼控卡</w:t>
      </w:r>
      <w:bookmarkEnd w:id="33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采用1U标准机箱机架式设计，前面板具备全彩OLED非触摸屏，分辨率128x64</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cs="宋体"/>
          <w:sz w:val="21"/>
          <w:szCs w:val="21"/>
          <w:lang w:val="en-US" w:eastAsia="zh-CN" w:bidi="ar"/>
        </w:rPr>
        <w:t xml:space="preserve">具备</w:t>
      </w:r>
      <w:r>
        <w:rPr>
          <w:rFonts w:hint="eastAsia" w:ascii="宋体" w:hAnsi="宋体" w:eastAsia="宋体" w:cs="宋体"/>
          <w:sz w:val="21"/>
          <w:szCs w:val="21"/>
          <w:lang w:val="en-US" w:eastAsia="zh-CN" w:bidi="ar"/>
        </w:rPr>
        <w:t xml:space="preserve">3路视频信号输入（1路HDMI2.0、1路HDMI1.4和1路DVI） ，12路网口带载输出，带载高达780万像素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支持视频信号输入全屏缩放及自定义缩放，支持任意切换，拼接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支持信源开窗和漫游功能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支持多窗口显示：支持7个窗口任意布局，其中3个信源窗口、2个图片窗口、1个滚动文字窗口、1个底图窗口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支持最多 10个用户场景，可作为模板保存，可直接调用，方便使用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支持多发送卡通过网络进行级联管理和统一控制</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支持热备份、支持设备间备份和网口间备份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支持任意走线、无矩形框架限制</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支持通过客户端等多软件端进行操作支持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支持屏幕底图配置设置和更换、屏保和开机logo配置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支持屏幕除湿配置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支持遥控器扩展，支持通过遥控器操作控制屏幕显示遥控UI菜单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支持对屏幕进行逐点校正配置有效消除色差，有效提高显示屏的画质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支持常规、文稿、广告、视讯、影院、安防等显示模式切换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支持标准、暖色、冷色等色温模式调节同时可支持自定义色温调节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支持查看设备运行状态、设备内存、CPU使用率、设备运行温度和网口使用率等参数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支持异常箱体电压检测、箱体温度检测、设备温度检测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支持通过RS485接口进行中控及物联网设备对接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支持通过控制网口，通过网络SDK、ISAPI、OTAP等协议进行控制指令对接和设备管理</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支持通过控制网口链接多功能卡，实现环境温度检测、环境湿度检测、人体温度传感配合屏幕控制等功能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视频输入接口：HDMI2.0*1+HDMI1.4*1+DVI*1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视频输入分辨率（HDMI2.0）：总分辨率不超过884W@60，可自定义分辨率，最大支持分辨率：4096*2160@60Hz，最小支持分辨率：320*180@60Hz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视频输入极限宽度（HDMI2.0）：320~8192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视频输入极限高度（HDMI2.0）：180~8192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视频输入分辨率（HDMI1.4/DVI）：总分辨率不超过260W@60，可自定义分辨率，最大支持分辨率：1920*1200@60Hz，最小支持分辨率：320*180@60Hz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视频输入极限宽度（HDMI1.4/DVI：320~3840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视频输入极限高度（HDMI1.4/DVI：180~3840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视频输出极限宽度：320~8192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视频输出极限高度：180~8192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滚动文字窗口极限宽度：320~32760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音频输入接口：HDMI内嵌*2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音频输出接口：LINE OUT 3.5mm*1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遥控器：支持红外遥控器、射频遥控器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其他接口：HDMI2.0*1（视频环通输出）、HDMI1.4（视频预监输出）、DVI*1（视频环通输出）、10M/100M/1000M自适应以太网口*2（管理使用）、IR输入*1、串口*1、RS485*1、USB 2.0*1 </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34" w:name="_Toc19947"/>
      <w:r>
        <w:rPr>
          <w:rFonts w:hint="eastAsia" w:ascii="宋体" w:hAnsi="宋体" w:eastAsia="宋体" w:cs="宋体"/>
          <w:b/>
          <w:bCs/>
          <w:sz w:val="21"/>
          <w:szCs w:val="21"/>
          <w:lang w:val="en-US" w:eastAsia="zh-CN" w:bidi="ar-SA"/>
        </w:rPr>
        <w:t xml:space="preserve">16、10KW LED配电柜</w:t>
      </w:r>
      <w:bookmarkEnd w:id="33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输入电压：380V</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输出电压：220V</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额定功率：10KW</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输出回路：3个单相回路（AC220V） </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每路输出最大带载功率：≤3.33KW</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回路状态监测：单回路</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远程控制：有</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计划任务上电：有</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分步逐级上电：有</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温度检测：有</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壳体尺寸：450*600*200 单位mm</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逻辑联动控制：有</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主断路器：25A塑壳断路器*1</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交流接触器：32A交流接触器*1</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子断路器：40A微型1P断路器*3</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照明检修插座断路器：16A 1P+N微型漏电保护断路器*1</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控制回路断路器：10A微型1P断路器*1</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零地排：8位铜排*2</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输出接线端子：火零地接线端子*3组</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PLC控制器：PLC控制器*1</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PLC控制电源模块：DC24V电源*1</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    串口服务器：RS232-网口转换器*1 </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35" w:name="_Toc3538"/>
      <w:r>
        <w:rPr>
          <w:rFonts w:hint="eastAsia" w:ascii="宋体" w:hAnsi="宋体" w:eastAsia="宋体" w:cs="宋体"/>
          <w:b/>
          <w:bCs/>
          <w:sz w:val="21"/>
          <w:szCs w:val="21"/>
          <w:lang w:val="en-US" w:eastAsia="zh-CN" w:bidi="ar-SA"/>
        </w:rPr>
        <w:t xml:space="preserve">17、专业音箱（150W)</w:t>
      </w:r>
      <w:bookmarkEnd w:id="335"/>
      <w:r>
        <w:rPr>
          <w:rFonts w:hint="eastAsia" w:ascii="宋体" w:hAnsi="宋体" w:eastAsia="宋体" w:cs="宋体"/>
          <w:b/>
          <w:bCs/>
          <w:sz w:val="21"/>
          <w:szCs w:val="21"/>
          <w:lang w:val="en-US" w:eastAsia="zh-CN" w:bidi="ar-SA"/>
        </w:rPr>
        <w:t xml:space="preserve">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（1）阻抗≤8Ω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（2）频响等同或优于65Hz~20KHz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（3）额定功率≥150W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（4）灵敏度≥95dB/W/M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（5）水平覆盖角≥80°，垂直覆盖角≥60°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（6）高音≥3"锥形高音单元×1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（7）低音≥8"低音×1话筒天线</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36" w:name="_Toc3433"/>
      <w:r>
        <w:rPr>
          <w:rFonts w:hint="eastAsia" w:ascii="宋体" w:hAnsi="宋体" w:eastAsia="宋体" w:cs="宋体"/>
          <w:b/>
          <w:bCs/>
          <w:sz w:val="21"/>
          <w:szCs w:val="21"/>
          <w:lang w:val="en-US" w:eastAsia="zh-CN" w:bidi="ar-SA"/>
        </w:rPr>
        <w:t xml:space="preserve">18、专业功放(200W)</w:t>
      </w:r>
      <w:bookmarkEnd w:id="33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bookmarkStart w:id="337" w:name="_Toc30269"/>
      <w:r/>
      <w:bookmarkStart w:id="338" w:name="_Toc30085"/>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1</w:t>
      </w:r>
      <w:r>
        <w:rPr>
          <w:rFonts w:hint="eastAsia" w:ascii="宋体" w:hAnsi="宋体" w:eastAsia="宋体" w:cs="宋体"/>
          <w:sz w:val="21"/>
          <w:szCs w:val="21"/>
          <w:lang w:val="en-US" w:eastAsia="zh-CN" w:bidi="ar"/>
        </w:rPr>
        <w:t xml:space="preserve">）1U机箱设计，采用D类数字功放设计方案。</w:t>
      </w:r>
      <w:bookmarkEnd w:id="337"/>
      <w:r/>
      <w:bookmarkEnd w:id="338"/>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2</w:t>
      </w:r>
      <w:r>
        <w:rPr>
          <w:rFonts w:hint="eastAsia" w:ascii="宋体" w:hAnsi="宋体" w:eastAsia="宋体" w:cs="宋体"/>
          <w:sz w:val="21"/>
          <w:szCs w:val="21"/>
          <w:lang w:val="en-US" w:eastAsia="zh-CN" w:bidi="ar"/>
        </w:rPr>
        <w:t xml:space="preserve">）标准XLR输入接口，和LINK输出口。</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（3）电源采用开关电源技术，效率高，有效的抑制电源谐波。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（4）内置智能削峰限幅器，支持开机软启动，防止开机时向电网吸收大电流，干扰其它用电设备。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w:t>
      </w:r>
      <w:r>
        <w:rPr>
          <w:rFonts w:hint="eastAsia" w:ascii="宋体" w:hAnsi="宋体" w:cs="宋体"/>
          <w:sz w:val="21"/>
          <w:szCs w:val="21"/>
          <w:lang w:val="en-US" w:eastAsia="zh-CN" w:bidi="ar"/>
        </w:rPr>
        <w:t xml:space="preserve">包含</w:t>
      </w:r>
      <w:r>
        <w:rPr>
          <w:rFonts w:hint="eastAsia" w:ascii="宋体" w:hAnsi="宋体" w:eastAsia="宋体" w:cs="宋体"/>
          <w:sz w:val="21"/>
          <w:szCs w:val="21"/>
          <w:lang w:val="en-US" w:eastAsia="zh-CN" w:bidi="ar"/>
        </w:rPr>
        <w:t xml:space="preserve">：过压保护，欠压保护，过流保护，直流保护，输出短路保护，温控风扇等功能。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（6）输出功率：立体声@8Ω：≥200W×2；立体声@4Ω：≥400W×2。</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39" w:name="_Toc176"/>
      <w:r/>
      <w:bookmarkStart w:id="340" w:name="_Toc19043"/>
      <w:r/>
      <w:bookmarkStart w:id="341" w:name="_Toc6657"/>
      <w:r>
        <w:rPr>
          <w:rFonts w:hint="eastAsia" w:ascii="宋体" w:hAnsi="宋体" w:eastAsia="宋体" w:cs="宋体"/>
          <w:b/>
          <w:bCs/>
          <w:sz w:val="21"/>
          <w:szCs w:val="21"/>
          <w:lang w:val="en-US" w:eastAsia="zh-CN" w:bidi="ar-SA"/>
        </w:rPr>
        <w:t xml:space="preserve">19、14路调音台</w:t>
      </w:r>
      <w:bookmarkEnd w:id="339"/>
      <w:r/>
      <w:bookmarkEnd w:id="340"/>
      <w:r/>
      <w:bookmarkEnd w:id="34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（1）支持≥8路麦克风输入兼容6路线路输入接口，支持≥2路立体声输入接口，≥4路RCA输入，话筒接口幻象电源：+48V。</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（2）具有≥2组立体主输出、≥4路编组输出、≥4路辅助输出、≥1组立体声监听输出、≥1个耳机监听输出、≥1个效果输出、≥1组主混音断点插入、≥6个断点插入。</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（3）内置≥24位DSP效果器，提供≥100种预设效果。</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（4）具备≥13个60mm行程的高精密碳膜推子。</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color w:val="4f81bd" w:themeColor="accent1"/>
          <w:sz w:val="21"/>
          <w:szCs w:val="21"/>
          <w:lang w:val="en-US" w:eastAsia="zh-CN" w:bidi="ar"/>
          <w14:textFill>
            <w14:solidFill>
              <w14:schemeClr w14:val="accent1"/>
            </w14:solidFill>
          </w14:textFill>
        </w:rPr>
        <w:suppressLineNumbers w:val="0"/>
      </w:pPr>
      <w:r>
        <w:rPr>
          <w:rFonts w:hint="eastAsia" w:ascii="宋体" w:hAnsi="宋体" w:eastAsia="宋体" w:cs="宋体"/>
          <w:sz w:val="21"/>
          <w:szCs w:val="21"/>
          <w:lang w:val="en-US" w:eastAsia="zh-CN" w:bidi="ar"/>
        </w:rPr>
        <w:t xml:space="preserve">▲（5）内置USB声卡模块，支持连接电脑进行音乐播放和声音录音；内置MP3播放器，支持≥1个USB接口接U盘播放音乐。</w:t>
      </w:r>
      <w:r>
        <w:rPr>
          <w:rFonts w:hint="eastAsia" w:ascii="宋体" w:hAnsi="宋体" w:eastAsia="宋体" w:cs="宋体"/>
          <w:color w:val="4f81bd" w:themeColor="accent1"/>
          <w:sz w:val="21"/>
          <w:szCs w:val="21"/>
          <w:lang w:val="en-US" w:eastAsia="zh-CN" w:bidi="ar"/>
          <w14:textFill>
            <w14:solidFill>
              <w14:schemeClr w14:val="accent1"/>
            </w14:solidFill>
          </w14:textFill>
        </w:rPr>
        <w:t xml:space="preserve">（提供接口截图）</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42" w:name="_Toc10393"/>
      <w:r/>
      <w:bookmarkStart w:id="343" w:name="_Toc224"/>
      <w:r/>
      <w:bookmarkStart w:id="344" w:name="_Toc14301"/>
      <w:r>
        <w:rPr>
          <w:rFonts w:hint="eastAsia" w:ascii="宋体" w:hAnsi="宋体" w:eastAsia="宋体" w:cs="宋体"/>
          <w:b/>
          <w:bCs/>
          <w:sz w:val="21"/>
          <w:szCs w:val="21"/>
          <w:lang w:val="en-US" w:eastAsia="zh-CN" w:bidi="ar-SA"/>
        </w:rPr>
        <w:t xml:space="preserve">20、音频处理器</w:t>
      </w:r>
      <w:bookmarkEnd w:id="342"/>
      <w:r/>
      <w:bookmarkEnd w:id="343"/>
      <w:r/>
      <w:bookmarkEnd w:id="34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（1）数字音频处理器支持≥4路平衡式话筒/线路输入通道，采用裸线接口端子，平衡接法；支持≥4路平衡式线路输出，采用裸线接口端子，平衡接法。</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 输入通道支持前级放大、信号发生器、扩展器、压缩器、≥12段参量均衡，≥31段图示均衡、闪避器、AGC自动增益、AM自动混音功能（门限式、增益共享式）、AFC自适应反馈消除、AEC回声消除、ANC噪声消除、音频矩阵。（提供设备界面截图）</w:t>
      </w:r>
      <w:r/>
    </w:p>
    <w:p>
      <w:pPr>
        <w:numPr>
          <w:ilvl w:val="0"/>
          <w:numId w:val="0"/>
        </w:numPr>
        <w:ind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（3）输出通道支持≥12段参量均衡，≥31段图示均衡、延时器、分频器、高低通滤波器、限幅器。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（4）高性能专业DSP处理器，支持≥32bit/48kHz的声音，支持输入通道48V幻象供电。</w:t>
      </w:r>
      <w:r/>
    </w:p>
    <w:p>
      <w:pPr>
        <w:ind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（5）具有≥2英寸IPS真彩显示屏，支持显示设备网络信息、实时电平、通道静音状态。</w:t>
      </w:r>
      <w:r/>
    </w:p>
    <w:p>
      <w:pPr>
        <w:ind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（6）支持通过APP软件进行操作控制，面板具备USB接口，支持多媒体存储，可进行播放或存储录播。</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（7）配置双向RS-232接口，可用于控制外部设备；配置RS-485接口，可实现自动摄像跟踪功能。配置≥8通道可编程GPIO控制接口（可自定义输入输出）。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（8）支持断电自动保护记忆功能。支持通道拷贝、粘贴、联控功能。管理控制软件可工作在XP/Windows7、8、10等模块环境下。</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（9）≥8个场景预设，支持场景信息导入、场景信息导出。</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45" w:name="_Toc31607"/>
      <w:r/>
      <w:bookmarkStart w:id="346" w:name="_Toc8626"/>
      <w:r/>
      <w:bookmarkStart w:id="347" w:name="_Toc14592"/>
      <w:r>
        <w:rPr>
          <w:rFonts w:hint="eastAsia" w:ascii="宋体" w:hAnsi="宋体" w:eastAsia="宋体" w:cs="宋体"/>
          <w:b/>
          <w:bCs/>
          <w:sz w:val="21"/>
          <w:szCs w:val="21"/>
          <w:lang w:val="en-US" w:eastAsia="zh-CN" w:bidi="ar-SA"/>
        </w:rPr>
        <w:t xml:space="preserve">21、电源时序器</w:t>
      </w:r>
      <w:bookmarkEnd w:id="345"/>
      <w:r/>
      <w:bookmarkEnd w:id="346"/>
      <w:r/>
      <w:bookmarkEnd w:id="347"/>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（2）当远程控制有效时同时控制后板ALARM（报警）端口导通以起到级联控制ALARM（报警）功能。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（3）单个通道最大负载功率≥2200W，所有通道负载总功率≥6000W。输出连接器：多用途电源插座。</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（4）具有一路及以上USB输出接口。</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48" w:name="_Toc735"/>
      <w:r/>
      <w:bookmarkStart w:id="349" w:name="_Toc28304"/>
      <w:r/>
      <w:bookmarkStart w:id="350" w:name="_Toc3275"/>
      <w:r>
        <w:rPr>
          <w:rFonts w:hint="eastAsia" w:ascii="宋体" w:hAnsi="宋体" w:eastAsia="宋体" w:cs="宋体"/>
          <w:b/>
          <w:bCs/>
          <w:sz w:val="21"/>
          <w:szCs w:val="21"/>
          <w:lang w:val="en-US" w:eastAsia="zh-CN" w:bidi="ar-SA"/>
        </w:rPr>
        <w:t xml:space="preserve">22、无线双手持话筒</w:t>
      </w:r>
      <w:bookmarkEnd w:id="348"/>
      <w:r/>
      <w:bookmarkEnd w:id="349"/>
      <w:r/>
      <w:bookmarkEnd w:id="35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（1）具有≥1台接收主机、≥双手持发射机；频率范围等同或优于470-510MHz、540MHz-590MHz、640MHz-690MHz、807MHz-830MHz。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（2）接收机具有≥2路平衡输出、≥1路非平衡混音输出。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（3）具有自动频率扫描功能，可快速地给麦克风找到清晰的频率。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（4）支持混响调节功能，比例调节、延时调节、电平调节≥25个档位。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（5）支持麦克风均衡器调节功能，≥高、中、低音三种调节档位。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（6）接收机具有显示屏，用户可通过显示屏查看设备发射功率强度、音频加密状态、电池电量、频率数值、智能静音状态、静音标志。</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color w:val="4f81bd" w:themeColor="accent1"/>
          <w:sz w:val="21"/>
          <w:szCs w:val="21"/>
          <w:lang w:val="en-US" w:eastAsia="zh-CN" w:bidi="ar"/>
          <w14:textFill>
            <w14:solidFill>
              <w14:schemeClr w14:val="accent1"/>
            </w14:solidFill>
          </w14:textFill>
        </w:rPr>
        <w:suppressLineNumbers w:val="0"/>
      </w:pPr>
      <w:r>
        <w:rPr>
          <w:rFonts w:hint="eastAsia" w:ascii="宋体" w:hAnsi="宋体" w:eastAsia="宋体" w:cs="宋体"/>
          <w:sz w:val="21"/>
          <w:szCs w:val="21"/>
          <w:lang w:val="en-US" w:eastAsia="zh-CN" w:bidi="ar"/>
        </w:rPr>
        <w:t xml:space="preserve">▲（7）具有自动静音功能，麦克风跌落、抛掷时，毫秒级响应自动静音，避免冲击声；产品静置5秒自动静音。</w:t>
      </w:r>
      <w:r>
        <w:rPr>
          <w:rFonts w:hint="eastAsia" w:ascii="宋体" w:hAnsi="宋体" w:eastAsia="宋体" w:cs="宋体"/>
          <w:color w:val="4f81bd" w:themeColor="accent1"/>
          <w:sz w:val="21"/>
          <w:szCs w:val="21"/>
          <w:lang w:val="en-US" w:eastAsia="zh-CN" w:bidi="ar"/>
          <w14:textFill>
            <w14:solidFill>
              <w14:schemeClr w14:val="accent1"/>
            </w14:solidFill>
          </w14:textFill>
        </w:rPr>
        <w:t xml:space="preserve">（提供第三方机构出具的具有CMA认证标志的检测报告原件扫描上传）</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51" w:name="_Toc30110"/>
      <w:r/>
      <w:bookmarkStart w:id="352" w:name="_Toc25887"/>
      <w:r/>
      <w:bookmarkStart w:id="353" w:name="_Toc3526"/>
      <w:r>
        <w:rPr>
          <w:rFonts w:hint="eastAsia" w:ascii="宋体" w:hAnsi="宋体" w:eastAsia="宋体" w:cs="宋体"/>
          <w:b/>
          <w:bCs/>
          <w:sz w:val="21"/>
          <w:szCs w:val="21"/>
          <w:lang w:val="en-US" w:eastAsia="zh-CN" w:bidi="ar-SA"/>
        </w:rPr>
        <w:t xml:space="preserve">23、桌插</w:t>
      </w:r>
      <w:bookmarkEnd w:id="351"/>
      <w:r/>
      <w:bookmarkEnd w:id="352"/>
      <w:r/>
      <w:bookmarkEnd w:id="35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（1）插座采用全铝结构，信息模块接口采用标准模块。</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（2）弹起式桌面插座，支持45°仰角。</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（3）具有≥1个功能按键，支持自定义按键的功能，搭配中控矩阵使用可实现视频切换、搭配中控模块支持扩展场景调用功能、搭配中控会议模块实现会议模块电源开启关闭功能等。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（4）配置接口：≥1个多功能电源接口、≥2个RJ45网络、≥1个3.5音频、≥1个HDMI高清视频接口、≥1个功能按键</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54" w:name="_Toc18357"/>
      <w:r/>
      <w:bookmarkStart w:id="355" w:name="_Toc818"/>
      <w:r/>
      <w:bookmarkStart w:id="356" w:name="_Toc5398"/>
      <w:r>
        <w:rPr>
          <w:rFonts w:hint="eastAsia" w:ascii="宋体" w:hAnsi="宋体" w:eastAsia="宋体" w:cs="宋体"/>
          <w:b/>
          <w:bCs/>
          <w:sz w:val="21"/>
          <w:szCs w:val="21"/>
          <w:lang w:val="en-US" w:eastAsia="zh-CN" w:bidi="ar-SA"/>
        </w:rPr>
        <w:t xml:space="preserve">24、全数字会议模块主机</w:t>
      </w:r>
      <w:bookmarkEnd w:id="354"/>
      <w:r/>
      <w:bookmarkEnd w:id="355"/>
      <w:r/>
      <w:bookmarkEnd w:id="35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（1）设备具有音频时钟同步传输技术，端到端音频传输＜5ms。</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（2）内置DSP处理器，具有≥16路音频矩阵、啸叫抑制、≥10段EQ调节、音量dB值调节、延时器调节功能。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（3）设备具有会议发言录音功能；搭配会议话筒可以录制单个话筒发言音频或录制所有话筒混音输出音频；支持通过主机U盘录音或PC软件录音。</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（4）设备接口：通讯接口：≥2路RS232接口、≥1路RS-485接口、≥4路RJ45；音频输出接口≥1路RCA、≥1路卡侬头、≥16路凤凰端子；音频输入接口≥1路RCA、≥1路卡侬头、≥2路凤凰端子。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（5）支持≥16通道音频输出功能，可灵活配置为有线角色分离输出模式、无线角色分离输出模式、同传输出模式、相控输出模式。每个输出通道都可以调节10段EQ、音量dB值调节、延时器参数调节。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（6）设备具有安卓手机、平板APP软件，通过软件可控制话筒开关、开启签到、投票、表决，接收会议服务信息、一键关闭无线话筒等功能，免PC操作。</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（7）设备具有客户端、WEB端控制方式，通过客户端或WEB端可调节音频矩阵参数（包括EQ、音量、延时器、话筒灵敏度等）、≥16通道输出模式切换、开关话筒同步、中英俄法四种语言切换、控制角色分离主机。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模块可扩展带载≥4096台有线会议话筒和≥300台无线会议话筒。模块支持同时发言数量≥24只话筒，其中支持≥16个有线话筒和≥8个无线话筒同时发言；具有自定义话筒发言人数功能，有线话筒发言人数范围可设置为1至16之间的任意数量；无线话筒发言人数范围可设置为1至8之间的任意数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（9）支持搭配同声传译模块，最大可同时传输≥63+1的有线同声传译。</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（10）模块与语音转写模块深度适配，模块之间通过网线交互数据，实现角色分离语音转写功能。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（11）会议主机具备注册天数显示功能，可以随时了解注册后使用的剩余天数；支持触摸设备屏幕输入注册码进行主机注册。</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（12）具有运维管理平台，可通过web端远程固件升级；具有日志管理功能，可以自动收集和存储模块日志；比如实时监测设备运行状态、设备故障信息，包括内存不足、火警提示、id重复等。</w:t>
      </w:r>
      <w:r/>
    </w:p>
    <w:p>
      <w:pPr>
        <w:ind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产品具有综合管理平台，可通过平台对音频设备统一管理，音频综合管理平台一个软件集成全数字会议模块软件模块、反馈抑制器软件模块、智能混音器软件模块、数字音频处理器软件模块、智控数字专业功放软件模块，各模块打开呈现在状态栏窗口，可快速管理和调用。（提供软件功能界面截图）</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57" w:name="_Toc15429"/>
      <w:r/>
      <w:bookmarkStart w:id="358" w:name="_Toc22454"/>
      <w:r/>
      <w:bookmarkStart w:id="359" w:name="_Toc26908"/>
      <w:r>
        <w:rPr>
          <w:rFonts w:hint="eastAsia" w:ascii="宋体" w:hAnsi="宋体" w:eastAsia="宋体" w:cs="宋体"/>
          <w:b/>
          <w:bCs/>
          <w:sz w:val="21"/>
          <w:szCs w:val="21"/>
          <w:lang w:val="en-US" w:eastAsia="zh-CN" w:bidi="ar-SA"/>
        </w:rPr>
        <w:t xml:space="preserve">25、音频隔离器</w:t>
      </w:r>
      <w:bookmarkEnd w:id="357"/>
      <w:r/>
      <w:bookmarkEnd w:id="358"/>
      <w:r/>
      <w:bookmarkEnd w:id="35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（1）一款双通道音频隔离器。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（2）低底噪、无50Hz交流“嗡”声、无高频“嗞啦”干扰。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（3）点对点平衡传输音频，可以选择前面板2个接口中的任意一个COMBO接口输入，从后面板对应COMBO接口输出。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（4）即插即用，支持热插拨。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（5）隔离滤波音频传输最远传输信号等同或优于450－600米。</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（6）内置瞬态、浪涌抑制、抗静电保护电路。</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（7）具有≥2路XLR输入；具有≥2路XLR输出</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60" w:name="_Toc14811"/>
      <w:r/>
      <w:bookmarkStart w:id="361" w:name="_Toc12272"/>
      <w:r>
        <w:rPr>
          <w:rFonts w:hint="eastAsia" w:ascii="宋体" w:hAnsi="宋体" w:eastAsia="宋体" w:cs="宋体"/>
          <w:b/>
          <w:bCs/>
          <w:color w:val="auto"/>
          <w:sz w:val="21"/>
          <w:szCs w:val="21"/>
          <w:lang w:val="en-US" w:eastAsia="zh-CN" w:bidi="ar-SA"/>
        </w:rPr>
        <w:t xml:space="preserve">26、</w:t>
      </w:r>
      <w:r>
        <w:rPr>
          <w:rFonts w:hint="eastAsia" w:ascii="宋体" w:hAnsi="宋体" w:eastAsia="宋体" w:cs="宋体"/>
          <w:b/>
          <w:bCs/>
          <w:sz w:val="21"/>
          <w:szCs w:val="21"/>
          <w:lang w:val="en-US" w:eastAsia="zh-CN" w:bidi="ar-SA"/>
        </w:rPr>
        <w:t xml:space="preserve">会议话筒处理器</w:t>
      </w:r>
      <w:bookmarkEnd w:id="360"/>
      <w:r/>
      <w:bookmarkEnd w:id="36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1.具有自动混音功能，包括增益共享型自动混音以及门限型自动混音。具有自动增益功能，能够有效将话筒音量保持在一定动态范围。</w:t>
      </w:r>
      <w:r/>
    </w:p>
    <w:p>
      <w:pPr>
        <w:numPr>
          <w:ilvl w:val="0"/>
          <w:numId w:val="15"/>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具有AFC反馈抑制功能，采用陷波+移频双方式，能够自动抓取啸叫点并设置陷波器陷波，陷波器支持≥12个固定点≥+12个动态点，可有效消除啸叫功能。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3.具有话筒语音激励功能，可设置跟踪阈值，当话筒发言达阈值时可实现联动摄像跟踪功能。具有EQ调节功能，输出具有≥31段图示均衡器调节。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4.具有≥2路网口，用于连接无线AP和与会议主机通信；通过网络协议对接数字会议主机，实现音频数据传输。具有≥1路EXTENSION接口，用于连接会议主机扩展口。具有≥1路卡侬平衡输出，≥1路莲花非平衡输出。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具有≥1路RS-485通信接口，支持对接摄像机实现摄像跟踪。具有≥1路RS-232通信接口（摄像跟踪），对接中控模块主机或摄像跟踪主机实现发言摄像跟踪功能。具有≥1路RS-232通信接口（语音转写），支持对接语音转写服务器，实现语音转写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6.支持话筒同时开麦数量≥16个有线单元+≥8个无线单元。</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62" w:name="_Toc32184"/>
      <w:r/>
      <w:bookmarkStart w:id="363" w:name="_Toc14195"/>
      <w:r/>
      <w:bookmarkStart w:id="364" w:name="_Toc32097"/>
      <w:r>
        <w:rPr>
          <w:rFonts w:hint="eastAsia" w:ascii="宋体" w:hAnsi="宋体" w:eastAsia="宋体" w:cs="宋体"/>
          <w:b/>
          <w:bCs/>
          <w:color w:val="auto"/>
          <w:sz w:val="21"/>
          <w:szCs w:val="21"/>
          <w:lang w:val="en-US" w:eastAsia="zh-CN" w:bidi="ar-SA"/>
        </w:rPr>
        <w:t xml:space="preserve">2</w:t>
      </w:r>
      <w:r>
        <w:rPr>
          <w:rFonts w:hint="eastAsia" w:ascii="宋体" w:hAnsi="宋体" w:cs="宋体"/>
          <w:b/>
          <w:bCs/>
          <w:color w:val="auto"/>
          <w:sz w:val="21"/>
          <w:szCs w:val="21"/>
          <w:lang w:val="en-US" w:eastAsia="zh-CN" w:bidi="ar-SA"/>
        </w:rPr>
        <w:t xml:space="preserve">7</w:t>
      </w:r>
      <w:r>
        <w:rPr>
          <w:rFonts w:hint="eastAsia" w:ascii="宋体" w:hAnsi="宋体" w:eastAsia="宋体" w:cs="宋体"/>
          <w:b/>
          <w:bCs/>
          <w:sz w:val="21"/>
          <w:szCs w:val="21"/>
          <w:lang w:val="en-US" w:eastAsia="zh-CN" w:bidi="ar-SA"/>
        </w:rPr>
        <w:t xml:space="preserve">、会议主席话筒</w:t>
      </w:r>
      <w:bookmarkEnd w:id="362"/>
      <w:r/>
      <w:bookmarkEnd w:id="363"/>
      <w:r/>
      <w:bookmarkEnd w:id="36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（1）数字链路传输，话筒单元采用POE交换机供电，非压缩音频传输技术，≥48k采样率，等同或优于80Hz-16kHz带宽音质。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（2）采用电容触摸按键。咪杆尺寸≤240mm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（3）话筒单元采用≥100M网络传输，通过POE交换机与主机进行连接，减少长距离传输对音质的影响。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（4）话筒单元支持PC软件话筒控制，支持声控功能。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（5）主席单元具备关闭代表单元发言的优先权限。</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（6）话筒单元具有TCP/IP协议簇，支持ICMP、HTTP、UDP、TCP、IGMP等多种协议。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（7）话筒单元支持PING包功能。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（8）每个话筒单元具有独立的web控制页面，支持调节话筒ID号、话筒灵敏度、话筒EQ等参数。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（9）单元具有发言计时和定时发言功能。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（10）话筒单元内部具有反馈抑制功能，具有声控功能，声控灵敏度可调。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（11）为保证可针对发言者的声音特点调节不同的音效，要求单元具有≥5段EQ调节功能。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（12）话筒单元支持签到功能，也可以通过PC软件禁止单元签到、控制单元签到等功能。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（13）话筒单元支持web页面固件升级功能。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（14）话筒单元支持IP地址嗅探功能，通过PC工具可以查找到未知单元的ID号、IP地址、MAC地址等参数。</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65" w:name="_Toc29958"/>
      <w:r/>
      <w:bookmarkStart w:id="366" w:name="_Toc801"/>
      <w:r/>
      <w:bookmarkStart w:id="367" w:name="_Toc12129"/>
      <w:r>
        <w:rPr>
          <w:rFonts w:hint="eastAsia" w:ascii="宋体" w:hAnsi="宋体" w:cs="宋体"/>
          <w:b/>
          <w:bCs/>
          <w:color w:val="auto"/>
          <w:sz w:val="21"/>
          <w:szCs w:val="21"/>
          <w:lang w:val="en-US" w:eastAsia="zh-CN" w:bidi="ar-SA"/>
        </w:rPr>
        <w:t xml:space="preserve">28</w:t>
      </w:r>
      <w:r>
        <w:rPr>
          <w:rFonts w:hint="eastAsia" w:ascii="宋体" w:hAnsi="宋体" w:eastAsia="宋体" w:cs="宋体"/>
          <w:b/>
          <w:bCs/>
          <w:sz w:val="21"/>
          <w:szCs w:val="21"/>
          <w:lang w:val="en-US" w:eastAsia="zh-CN" w:bidi="ar-SA"/>
        </w:rPr>
        <w:t xml:space="preserve">、会议代表话筒</w:t>
      </w:r>
      <w:bookmarkEnd w:id="365"/>
      <w:r/>
      <w:bookmarkEnd w:id="366"/>
      <w:r/>
      <w:bookmarkEnd w:id="367"/>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（1）数字链路传输，话筒单元采用POE交换机供电，非压缩音频传输技术，≥48k采样率，等同或优于80Hz-16kHz带宽音质。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（2）采用电容触摸按键。咪杆尺寸≤240mm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（3）话筒单元采用≥100M网络传输，通过POE交换机与主机进行连接，减少长距离传输对音质的影响。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（4）话筒单元支持PC软件话筒控制，支持声控功能。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（5）代表机具有申请发言功能，主席可批准申请人发言。</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（6）话筒单元具有TCP/IP协议簇，支持ICMP、HTTP、UDP、TCP、IGMP等多种协议。</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（7）话筒单元支持PING包功能。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（8）每个话筒单元具有独立的web控制页面，支持调节话筒ID号、话筒灵敏度、话筒EQ等参数。</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（9）单元具有发言计时和定时发言功能。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（10）话筒单元内部具有反馈抑制功能，具有声控功能，声控灵敏度可调。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（11）为保证可针对发言者的声音特点调节不同的音效，要求单元具有≥5段EQ调节功能。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12</w:t>
      </w:r>
      <w:r>
        <w:rPr>
          <w:rFonts w:hint="eastAsia" w:ascii="宋体" w:hAnsi="宋体" w:eastAsia="宋体" w:cs="宋体"/>
          <w:sz w:val="21"/>
          <w:szCs w:val="21"/>
          <w:lang w:val="en-US" w:eastAsia="zh-CN" w:bidi="ar"/>
        </w:rPr>
        <w:t xml:space="preserve">）话筒单元支持签到功能，也可以通过PC软件禁止单元签到、控制单元签到等功能。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（13）话筒单元支持web页面固件升级功能。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（14）话筒单元支持IP地址嗅探功能，通过PC工具可以查找到未知单元的ID号、IP地址、MAC地址等参数。</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68" w:name="_Toc22252"/>
      <w:r/>
      <w:bookmarkStart w:id="369" w:name="_Toc13404"/>
      <w:r/>
      <w:bookmarkStart w:id="370" w:name="_Toc19435"/>
      <w:r>
        <w:rPr>
          <w:rFonts w:hint="eastAsia" w:ascii="宋体" w:hAnsi="宋体" w:cs="宋体"/>
          <w:b/>
          <w:bCs/>
          <w:color w:val="auto"/>
          <w:sz w:val="21"/>
          <w:szCs w:val="21"/>
          <w:lang w:val="en-US" w:eastAsia="zh-CN" w:bidi="ar-SA"/>
        </w:rPr>
        <w:t xml:space="preserve">29</w:t>
      </w:r>
      <w:r>
        <w:rPr>
          <w:rFonts w:hint="eastAsia" w:ascii="宋体" w:hAnsi="宋体" w:eastAsia="宋体" w:cs="宋体"/>
          <w:b/>
          <w:bCs/>
          <w:sz w:val="21"/>
          <w:szCs w:val="21"/>
          <w:lang w:val="en-US" w:eastAsia="zh-CN" w:bidi="ar-SA"/>
        </w:rPr>
        <w:t xml:space="preserve">、主扩音箱（500W）</w:t>
      </w:r>
      <w:bookmarkEnd w:id="368"/>
      <w:r/>
      <w:bookmarkEnd w:id="369"/>
      <w:r/>
      <w:bookmarkEnd w:id="37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（1）阻抗≤8Ω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（2）频响等同或优于40Hz-20KHz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（3）额定功率≥500W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（4）灵敏度≥100dB/W/M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（5）水平覆盖角≥90°，垂直覆盖角≥80°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（6）高音≥1.7"压缩高音单元×1；低音：15"低音×1</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71" w:name="_Toc27255"/>
      <w:r/>
      <w:bookmarkStart w:id="372" w:name="_Toc22187"/>
      <w:r/>
      <w:bookmarkStart w:id="373" w:name="_Toc26785"/>
      <w:r>
        <w:rPr>
          <w:rFonts w:hint="eastAsia" w:ascii="宋体" w:hAnsi="宋体" w:cs="宋体"/>
          <w:b/>
          <w:bCs/>
          <w:color w:val="auto"/>
          <w:sz w:val="21"/>
          <w:szCs w:val="21"/>
          <w:lang w:val="en-US" w:eastAsia="zh-CN" w:bidi="ar-SA"/>
        </w:rPr>
        <w:t xml:space="preserve">30</w:t>
      </w:r>
      <w:r>
        <w:rPr>
          <w:rFonts w:hint="eastAsia" w:ascii="宋体" w:hAnsi="宋体" w:eastAsia="宋体" w:cs="宋体"/>
          <w:b/>
          <w:bCs/>
          <w:sz w:val="21"/>
          <w:szCs w:val="21"/>
          <w:lang w:val="en-US" w:eastAsia="zh-CN" w:bidi="ar-SA"/>
        </w:rPr>
        <w:t xml:space="preserve">、天花喇叭（200W）</w:t>
      </w:r>
      <w:bookmarkEnd w:id="371"/>
      <w:r/>
      <w:bookmarkEnd w:id="372"/>
      <w:r/>
      <w:bookmarkEnd w:id="37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（1）额定功率≥200W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（2）最大功率≥400W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（3）阻抗：≤8Ω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（4）灵敏度（1W/1M）≥92dB±3dB</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（5）频率响应（-10dB）：等同或优于50Hz-20KHz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（6）喇叭单元：≤8"×1,1.5"×1（13）专业音箱（500W）</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74" w:name="_Toc10430"/>
      <w:r/>
      <w:bookmarkStart w:id="375" w:name="_Toc7993"/>
      <w:r/>
      <w:bookmarkStart w:id="376" w:name="_Toc5486"/>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lang w:val="en-US" w:eastAsia="zh-CN" w:bidi="ar-SA"/>
        </w:rPr>
        <w:t xml:space="preserve">1</w:t>
      </w:r>
      <w:r>
        <w:rPr>
          <w:rFonts w:hint="eastAsia" w:ascii="宋体" w:hAnsi="宋体" w:eastAsia="宋体" w:cs="宋体"/>
          <w:b/>
          <w:bCs/>
          <w:sz w:val="21"/>
          <w:szCs w:val="21"/>
          <w:lang w:val="en-US" w:eastAsia="zh-CN" w:bidi="ar-SA"/>
        </w:rPr>
        <w:t xml:space="preserve">、一拖八无线话筒</w:t>
      </w:r>
      <w:bookmarkEnd w:id="374"/>
      <w:r/>
      <w:bookmarkEnd w:id="375"/>
      <w:r/>
      <w:bookmarkEnd w:id="37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（1）具有≥1台接收主机、≥8只桌面式短咪杆话筒；频率范围等同或优于540MHz-590MHz、640MHz-690MHz。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（2）接收机具有≥8路平衡输出、≥2路非平衡混音输出。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（3）具有自动频率扫描功能，可快速地给麦克风找到清晰的频率。</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（4）支持混响调节功能，比例调节、延时调节、电平调节≥25个档位。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（5）支持麦克风均衡器调节功能，≥高、中、低音三种调节档位。</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（6）接收机具有显示屏，用户可通过显示屏查看设备发射功率强度、音频加密状态、电池电量、频率数值。</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（7）桌面麦≥1个3.5mm耳机孔，可通过3.5mm耳机孔输入音频。</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（8）桌面麦支持通过Type-C口进行充电。</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（9）桌面麦电池孔位≥4个，连续使用时长≥15小时；电池具有扩展性，连续使用时长可扩展至≥60小时。</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77" w:name="_Toc21028"/>
      <w:r/>
      <w:bookmarkStart w:id="378" w:name="_Toc17013"/>
      <w:r/>
      <w:bookmarkStart w:id="379" w:name="_Toc31682"/>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lang w:val="en-US" w:eastAsia="zh-CN" w:bidi="ar-SA"/>
        </w:rPr>
        <w:t xml:space="preserve">2</w:t>
      </w:r>
      <w:r>
        <w:rPr>
          <w:rFonts w:hint="eastAsia" w:ascii="宋体" w:hAnsi="宋体" w:eastAsia="宋体" w:cs="宋体"/>
          <w:b/>
          <w:bCs/>
          <w:sz w:val="21"/>
          <w:szCs w:val="21"/>
          <w:lang w:val="en-US" w:eastAsia="zh-CN" w:bidi="ar-SA"/>
        </w:rPr>
        <w:t xml:space="preserve">、主扩音箱（500W）</w:t>
      </w:r>
      <w:bookmarkEnd w:id="377"/>
      <w:r/>
      <w:bookmarkEnd w:id="378"/>
      <w:r/>
      <w:bookmarkEnd w:id="379"/>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（1）阻抗≤8Ω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（2）频响等同或优于45Hz-20KHz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（3）额定功率≥400W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（4）灵敏度≥99dB/W/M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（5）水平覆盖角≥90°，垂直覆盖角≥80°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（6）高音≥1.7"压缩高音单元×1；低音：12"低音×1</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80" w:name="_Toc26079"/>
      <w:r/>
      <w:bookmarkStart w:id="381" w:name="_Toc31856"/>
      <w:r/>
      <w:bookmarkStart w:id="382" w:name="_Toc31783"/>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lang w:val="en-US" w:eastAsia="zh-CN" w:bidi="ar-SA"/>
        </w:rPr>
        <w:t xml:space="preserve">3</w:t>
      </w:r>
      <w:r>
        <w:rPr>
          <w:rFonts w:hint="eastAsia" w:ascii="宋体" w:hAnsi="宋体" w:eastAsia="宋体" w:cs="宋体"/>
          <w:b/>
          <w:bCs/>
          <w:sz w:val="21"/>
          <w:szCs w:val="21"/>
          <w:lang w:val="en-US" w:eastAsia="zh-CN" w:bidi="ar-SA"/>
        </w:rPr>
        <w:t xml:space="preserve">、辅助音箱（300W）</w:t>
      </w:r>
      <w:bookmarkEnd w:id="380"/>
      <w:r/>
      <w:bookmarkEnd w:id="381"/>
      <w:r/>
      <w:bookmarkEnd w:id="382"/>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（1）阻抗≤8Ω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（2）频响等同或优于45Hz-20KHz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（3）额定功率≥300W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（4）灵敏度≥98dB/W/M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（5）水平覆盖角≥90°，垂直覆盖角≥80°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（6）高音：≥1.7"压缩高音单元×1；低音：10"低音×1</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83" w:name="_Toc15247"/>
      <w:r/>
      <w:bookmarkStart w:id="384" w:name="_Toc20471"/>
      <w:r/>
      <w:bookmarkStart w:id="385" w:name="_Toc20326"/>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lang w:val="en-US" w:eastAsia="zh-CN" w:bidi="ar-SA"/>
        </w:rPr>
        <w:t xml:space="preserve">4</w:t>
      </w:r>
      <w:r>
        <w:rPr>
          <w:rFonts w:hint="eastAsia" w:ascii="宋体" w:hAnsi="宋体" w:eastAsia="宋体" w:cs="宋体"/>
          <w:b/>
          <w:bCs/>
          <w:sz w:val="21"/>
          <w:szCs w:val="21"/>
          <w:lang w:val="en-US" w:eastAsia="zh-CN" w:bidi="ar-SA"/>
        </w:rPr>
        <w:t xml:space="preserve">、中心机房建设及搬迁</w:t>
      </w:r>
      <w:bookmarkEnd w:id="38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投标人承诺机房搬迁后，提供安装及调试服务，保证原有服务器和软件正常运行，如出现设备损坏，数据丢失等情况，一切损失由投标人自行承担。新增机柜和精密空调与原有模块化机房无缝对接。（投标函格式自拟，扫描上传）</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机柜</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1、服务器机柜尺寸≥600mm*1200mm*2000mm（宽*深*高）</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2、机柜表面喷涂喷粉厚度应不小于60μm ,采用黑色砂纹工艺，满足防腐、防锈、光洁、色泽均匀、无流挂、不露底、无起泡、无裂纹、金属件无毛刺锈蚀要求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机柜立柱采用八折型材一次滚压成型技术，机柜主要承重部件（框架、横梁、立柱、U位方孔条、L型支架、层板）所使用钢板厚度均为不小于1.5mm，侧板、顶板、底板、PDU固定板、强电线缆扎线板、网线扎线板、挡板所使用钢板厚度为不小于1m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4、带载580kg测试连续通过8、9级烈度结构抗地震考核。</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5、机柜保证在长期承重情况下各部件不变形弯曲，静态承载能力≥2300KG。</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6、机柜前后门需采用网孔门设计，开孔率不低于75％，利于机柜内设备通风散热，适应新型服务器高热密度的散热需求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7、整体防护等级应不小于IP20。</w:t>
      </w:r>
      <w:r/>
    </w:p>
    <w:p>
      <w:pPr>
        <w:numPr>
          <w:ilvl w:val="0"/>
          <w:numId w:val="16"/>
        </w:num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每个机柜PDU配置2个国标32A单相PDU，PDU输出接口不少于20*GB 10A+4*GB 16A</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蓄电池（12V200AH)</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1.蓄电池应采用高性能、高可靠性的全密封阀控式铅酸蓄电池；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 蓄电池端电压的均衡性：蓄电池组中个蓄电池间开路电压最高与最低差值</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不大于100mV;进入浮充状态24小时后，各蓄电池间的浮充电压最高值与最低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值之差不大于350mV;</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 蓄电池要便于存储，自放电率每月不大于3%;</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 自放电损失：完全充电的蓄电池，在25±5℃的环境中，静置28天后，其容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量保持率应在97%以上；</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5.蓄电池在正常工作中应无酸雾逸出；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 蓄电池在充电过程中遇有明火，内部不应引爆；</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7.电池应能承受50kPa的正压或负压而不破裂，压力释放后壳体无残余变形；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8.蓄电池的安全阀开阀压力应为10kPa~49kPa,闭阀压力应为1kPa~15kPa;</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9.蓄电池的浮充电压值及范围：13.50V~13.80V,浮充电流值及范围：50-100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mA/100Ah;蓄电池的充电（恒压）电压值及范围：14.10~14.40V,充电电</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流值及范围：0.1C10~0.2C10A;</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蓄电池（12V100AH)</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1.蓄电池应采用高性能、高可靠性的全密封阀控式铅酸蓄电池；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 蓄电池端电压的均衡性：蓄电池组中个蓄电池间开路电压最高与最低差值</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不大于100mV;进入浮充状态24小时后，各蓄电池间的浮充电压最高值与最低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值之差不大于350mV;</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 蓄电池要便于存储，自放电率每月不大于3%;</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 自放电损失：完全充电的蓄电池，在25±5℃的环境中，静置28天后，其容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量保持率应在97%以上；</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5.蓄电池在正常工作中应无酸雾逸出；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 蓄电池在充电过程中遇有明火，内部不应引爆；</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7.电池应能承受50kPa的正压或负压而不破裂，压力释放后壳体无残余变形；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8.蓄电池的浮充电压值及范围：13.50V~13.80V,浮充电流值及范围：50-100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mA/100Ah;蓄电池的充电（恒压）电压值及范围：14.10~14.40V,充电电</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流值及范围：0.1C10~0.2C10A;</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监控中心 UPS主机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1、输入电压制式： 380Vac  输出电压制式： 380Vac   额定频率： 50/60Hz     拓扑结构：双变换在线式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2、输入功率因数  &gt;0.99 ，输入电流谐波  &lt;5% ，提高电能利用率，有效避免额外能量损失，消除对电网污染，降低耗能费用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3、整机满载效率≥ 96%</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4、输出功率因数最高可达1.0 </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精密空调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1.总冷量≥25KW，显冷量≥25kW，水平送风，风量≥6000 m3/h。，尺寸300（W）*1200(D)*2000（H）mm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2.电源制式：380/400/415Vac,50/60Hz,3Ph+N+PE。</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3.空调室内机支持双路供电自切换功能，主路供电中断可自动切换到辅路供电。</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4.采用高效直流变频压缩机与EC风机，室内风机支持在线插拔式维护，室内风机更换不需停机。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5.制冷量可在25%-100%无极调节，最小制冷量≤6250W。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6.蒸发器采用高效内螺纹铜管和蓝色亲水铝箔，过滤网组件采用不低于G3等级过滤网。</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7.加热应采用PTC电加热，加热量≥4kW。加湿应采用高效的湿膜加湿，加湿量≥1kg/h，且空调最大加湿功耗需小于50W。</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8.膨胀阀应采用电子膨胀阀,膨胀阀驱动自带储能单元，异常断电可以正常关闭，防止冷媒异常迁移。</w:t>
      </w:r>
      <w:bookmarkEnd w:id="384"/>
      <w:bookmarkEnd w:id="385"/>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86" w:name="_Toc10488"/>
      <w:r/>
      <w:bookmarkStart w:id="387" w:name="_Toc29645"/>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lang w:val="en-US" w:eastAsia="zh-CN" w:bidi="ar-SA"/>
        </w:rPr>
        <w:t xml:space="preserve">5</w:t>
      </w:r>
      <w:r>
        <w:rPr>
          <w:rFonts w:hint="eastAsia" w:ascii="宋体" w:hAnsi="宋体" w:eastAsia="宋体" w:cs="宋体"/>
          <w:b/>
          <w:bCs/>
          <w:sz w:val="21"/>
          <w:szCs w:val="21"/>
          <w:lang w:val="en-US" w:eastAsia="zh-CN" w:bidi="ar-SA"/>
        </w:rPr>
        <w:t xml:space="preserve">、视频网核心交换机</w:t>
      </w:r>
      <w:bookmarkEnd w:id="386"/>
      <w:r/>
      <w:bookmarkEnd w:id="387"/>
      <w:r/>
      <w:r/>
    </w:p>
    <w:tbl>
      <w:tblPr>
        <w:tblStyle w:val="73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201"/>
        <w:gridCol w:w="7321"/>
      </w:tblGrid>
      <w:tr>
        <w:trPr>
          <w:jc w:val="center"/>
        </w:trPr>
        <w:tc>
          <w:tcPr>
            <w:tcBorders>
              <w:top w:val="single" w:color="auto" w:sz="4" w:space="0"/>
              <w:left w:val="single" w:color="auto" w:sz="4" w:space="0"/>
              <w:bottom w:val="single" w:color="auto" w:sz="4" w:space="0"/>
              <w:right w:val="single" w:color="auto" w:sz="4" w:space="0"/>
            </w:tcBorders>
            <w:tcW w:w="120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功能类别</w:t>
            </w:r>
            <w:r/>
          </w:p>
        </w:tc>
        <w:tc>
          <w:tcPr>
            <w:tcBorders>
              <w:top w:val="single" w:color="auto" w:sz="4" w:space="0"/>
              <w:left w:val="single" w:color="auto" w:sz="4" w:space="0"/>
              <w:bottom w:val="single" w:color="auto" w:sz="4" w:space="0"/>
              <w:right w:val="single" w:color="auto" w:sz="4" w:space="0"/>
            </w:tcBorders>
            <w:tcW w:w="732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技术要求及指标</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硬件架构</w:t>
            </w:r>
            <w:r/>
          </w:p>
        </w:tc>
        <w:tc>
          <w:tcPr>
            <w:tcBorders>
              <w:top w:val="single" w:color="auto" w:sz="4" w:space="0"/>
              <w:left w:val="single" w:color="auto" w:sz="4" w:space="0"/>
              <w:bottom w:val="single" w:color="auto" w:sz="4" w:space="0"/>
              <w:right w:val="single" w:color="auto" w:sz="4" w:space="0"/>
            </w:tcBorders>
            <w:tcW w:w="732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采用信元交换架构，主控引擎与交换网板硬件分离；</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▲设备性能</w:t>
            </w:r>
            <w:r/>
          </w:p>
        </w:tc>
        <w:tc>
          <w:tcPr>
            <w:tcBorders>
              <w:top w:val="single" w:color="auto" w:sz="4" w:space="0"/>
              <w:left w:val="single" w:color="auto" w:sz="4" w:space="0"/>
              <w:bottom w:val="single" w:color="auto" w:sz="4" w:space="0"/>
              <w:right w:val="single" w:color="auto" w:sz="4" w:space="0"/>
            </w:tcBorders>
            <w:tcW w:w="732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交换容量≥600Tbps，包转发率≥230000Mpps；（如有多值以标称值最小值为准，提供官网截图证明）</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center"/>
            <w:vMerge w:val="restart"/>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单板槽位</w:t>
            </w:r>
            <w:r/>
          </w:p>
        </w:tc>
        <w:tc>
          <w:tcPr>
            <w:tcBorders>
              <w:top w:val="single" w:color="auto" w:sz="4" w:space="0"/>
              <w:left w:val="single" w:color="auto" w:sz="4" w:space="0"/>
              <w:bottom w:val="single" w:color="auto" w:sz="4" w:space="0"/>
              <w:right w:val="single" w:color="auto" w:sz="4" w:space="0"/>
            </w:tcBorders>
            <w:tcW w:w="732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主控引擎≥2；独立交换网板≥4；整机业务板槽位数≥12；</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top"/>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auto" w:sz="4" w:space="0"/>
              <w:left w:val="single" w:color="auto" w:sz="4" w:space="0"/>
              <w:bottom w:val="single" w:color="auto" w:sz="4" w:space="0"/>
              <w:right w:val="single" w:color="auto" w:sz="4" w:space="0"/>
            </w:tcBorders>
            <w:tcW w:w="732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w:t>
            </w:r>
            <w:r>
              <w:rPr>
                <w:rFonts w:hint="eastAsia" w:ascii="宋体" w:hAnsi="宋体" w:cs="宋体"/>
                <w:szCs w:val="24"/>
                <w:lang w:val="en-US" w:eastAsia="zh-CN" w:bidi="ar-SA"/>
              </w:rPr>
              <w:t xml:space="preserve">各</w:t>
            </w:r>
            <w:r>
              <w:rPr>
                <w:rFonts w:hint="eastAsia" w:ascii="宋体" w:hAnsi="宋体" w:eastAsia="宋体" w:cs="宋体"/>
                <w:szCs w:val="24"/>
                <w:lang w:val="en-US" w:eastAsia="zh-CN" w:bidi="ar-SA"/>
              </w:rPr>
              <w:t xml:space="preserve">槽位转发能力≥4.8Tbps（双向）；</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独立监控卡</w:t>
            </w:r>
            <w:r/>
          </w:p>
        </w:tc>
        <w:tc>
          <w:tcPr>
            <w:tcBorders>
              <w:top w:val="single" w:color="auto" w:sz="4" w:space="0"/>
              <w:left w:val="single" w:color="auto" w:sz="4" w:space="0"/>
              <w:bottom w:val="single" w:color="auto" w:sz="4" w:space="0"/>
              <w:right w:val="single" w:color="auto" w:sz="4" w:space="0"/>
            </w:tcBorders>
            <w:tcW w:w="732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支持独立的硬件监控板卡, 控制平面和监控平面物理槽位分离，支持1+1备份，能集中监控板卡、风扇、电源、环境，能调节能耗；</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风扇冗余</w:t>
            </w:r>
            <w:r/>
          </w:p>
        </w:tc>
        <w:tc>
          <w:tcPr>
            <w:tcBorders>
              <w:top w:val="single" w:color="auto" w:sz="4" w:space="0"/>
              <w:left w:val="single" w:color="auto" w:sz="4" w:space="0"/>
              <w:bottom w:val="single" w:color="auto" w:sz="4" w:space="0"/>
              <w:right w:val="single" w:color="auto" w:sz="4" w:space="0"/>
            </w:tcBorders>
            <w:tcW w:w="732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为保证设备散热效果和可靠性，要求设备支持模块化风扇框，可热插拔，当单个风扇框发生故障时，有其他风扇正常运行，保证设备散热，独立风扇框数≥5；</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表项规格</w:t>
            </w:r>
            <w:r/>
          </w:p>
        </w:tc>
        <w:tc>
          <w:tcPr>
            <w:tcBorders>
              <w:top w:val="single" w:color="auto" w:sz="4" w:space="0"/>
              <w:left w:val="single" w:color="auto" w:sz="4" w:space="0"/>
              <w:bottom w:val="single" w:color="auto" w:sz="4" w:space="0"/>
              <w:right w:val="single" w:color="auto" w:sz="4" w:space="0"/>
            </w:tcBorders>
            <w:tcW w:w="7321"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支持整机MAC地址≥1M，支持ARP表项≥384000，IPv4路由表≥3M，IPv6路由表≥1M；</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center"/>
            <w:vMerge w:val="restart"/>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虚拟化特性</w:t>
            </w:r>
            <w:r/>
          </w:p>
        </w:tc>
        <w:tc>
          <w:tcPr>
            <w:tcBorders>
              <w:top w:val="single" w:color="auto" w:sz="4" w:space="0"/>
              <w:left w:val="single" w:color="auto" w:sz="4" w:space="0"/>
              <w:bottom w:val="single" w:color="auto" w:sz="4" w:space="0"/>
              <w:right w:val="single" w:color="auto" w:sz="4" w:space="0"/>
            </w:tcBorders>
            <w:tcW w:w="732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支持横向虚拟化技术，将多台设备虚拟为一台，支持长距离集群。</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auto" w:sz="4" w:space="0"/>
              <w:left w:val="single" w:color="auto" w:sz="4" w:space="0"/>
              <w:bottom w:val="single" w:color="auto" w:sz="4" w:space="0"/>
              <w:right w:val="single" w:color="auto" w:sz="4" w:space="0"/>
            </w:tcBorders>
            <w:tcW w:w="732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支持纵向虚拟化技术，支持把交换机和AP虚拟为一台设备。</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VxLAN</w:t>
            </w:r>
            <w:r/>
          </w:p>
        </w:tc>
        <w:tc>
          <w:tcPr>
            <w:tcBorders>
              <w:top w:val="single" w:color="auto" w:sz="4" w:space="0"/>
              <w:left w:val="single" w:color="auto" w:sz="4" w:space="0"/>
              <w:bottom w:val="single" w:color="auto" w:sz="4" w:space="0"/>
              <w:right w:val="single" w:color="auto" w:sz="4" w:space="0"/>
            </w:tcBorders>
            <w:tcW w:w="732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支持VxLAN功能，支持VxLAN二层网关、三层网关，支持BGP EVPN，支持分布式 Anycast 网关，支持VxLAN Fabric 的自动化部署；</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认证管理</w:t>
            </w:r>
            <w:r/>
          </w:p>
        </w:tc>
        <w:tc>
          <w:tcPr>
            <w:tcBorders>
              <w:top w:val="single" w:color="auto" w:sz="4" w:space="0"/>
              <w:left w:val="single" w:color="auto" w:sz="4" w:space="0"/>
              <w:bottom w:val="single" w:color="auto" w:sz="4" w:space="0"/>
              <w:right w:val="single" w:color="auto" w:sz="4" w:space="0"/>
            </w:tcBorders>
            <w:tcW w:w="732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支持交换机作为认证策略实施点，对有线、WLAN无线用户，进行802.1x、MAC、Portal认证；</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▲可靠性</w:t>
            </w:r>
            <w:r/>
          </w:p>
        </w:tc>
        <w:tc>
          <w:tcPr>
            <w:tcBorders>
              <w:top w:val="single" w:color="auto" w:sz="4" w:space="0"/>
              <w:left w:val="single" w:color="auto" w:sz="4" w:space="0"/>
              <w:bottom w:val="single" w:color="auto" w:sz="4" w:space="0"/>
              <w:right w:val="single" w:color="auto" w:sz="4" w:space="0"/>
            </w:tcBorders>
            <w:tcW w:w="732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支持硬件BFD/OAM，3.3ms稳定均匀发包检测，故障倒换时间小于50ms（提供</w:t>
            </w:r>
            <w:r>
              <w:rPr>
                <w:rFonts w:hint="eastAsia" w:ascii="宋体" w:hAnsi="宋体" w:cs="宋体"/>
                <w:szCs w:val="24"/>
                <w:lang w:val="en-US" w:eastAsia="zh-CN" w:bidi="ar-SA"/>
              </w:rPr>
              <w:t xml:space="preserve">官网截图</w:t>
            </w:r>
            <w:r>
              <w:rPr>
                <w:rFonts w:hint="eastAsia" w:ascii="宋体" w:hAnsi="宋体" w:eastAsia="宋体" w:cs="宋体"/>
                <w:szCs w:val="24"/>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安全可信</w:t>
            </w:r>
            <w:r/>
          </w:p>
        </w:tc>
        <w:tc>
          <w:tcPr>
            <w:tcBorders>
              <w:top w:val="single" w:color="auto" w:sz="4" w:space="0"/>
              <w:left w:val="single" w:color="auto" w:sz="4" w:space="0"/>
              <w:bottom w:val="single" w:color="auto" w:sz="4" w:space="0"/>
              <w:right w:val="single" w:color="auto" w:sz="4" w:space="0"/>
            </w:tcBorders>
            <w:tcW w:w="732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支持系统通过对代码的数字签名来标识软件来源，通过两层签名机制防止软件被篡改，提高系统软件的安全可信；</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交换机核心芯片（CPU芯片、NP芯片）须为国产芯片；</w:t>
            </w:r>
            <w:r/>
          </w:p>
        </w:tc>
      </w:tr>
      <w:tr>
        <w:trPr>
          <w:jc w:val="center"/>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单台配置</w:t>
            </w:r>
            <w:r/>
          </w:p>
        </w:tc>
        <w:tc>
          <w:tcPr>
            <w:tcBorders>
              <w:top w:val="single" w:color="auto" w:sz="4" w:space="0"/>
              <w:left w:val="single" w:color="auto" w:sz="4" w:space="0"/>
              <w:bottom w:val="single" w:color="auto" w:sz="4" w:space="0"/>
              <w:right w:val="single" w:color="auto" w:sz="4" w:space="0"/>
            </w:tcBorders>
            <w:tcW w:w="7321"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主控板≥2，交换网板≥4，交流电源≥2，40G光口≥12，10G光口≥96，GE光口≥48，GE电口≥48，3年原厂质保；</w:t>
            </w:r>
            <w:r/>
          </w:p>
        </w:tc>
      </w:tr>
    </w:tbl>
    <w:p>
      <w:pPr>
        <w:numPr>
          <w:ilvl w:val="0"/>
          <w:numId w:val="0"/>
        </w:numPr>
        <w:ind w:left="210" w:firstLine="8"/>
        <w:jc w:val="left"/>
        <w:spacing w:line="360" w:lineRule="auto"/>
        <w:widowControl w:val="off"/>
        <w:rPr>
          <w:rFonts w:hint="eastAsia" w:ascii="宋体" w:hAnsi="宋体" w:eastAsia="宋体" w:cs="宋体"/>
          <w:b/>
          <w:bCs/>
          <w:sz w:val="21"/>
          <w:szCs w:val="21"/>
          <w:lang w:val="en-US" w:eastAsia="zh-CN" w:bidi="ar-SA"/>
        </w:rPr>
        <w:outlineLvl w:val="3"/>
      </w:pPr>
      <w:r/>
      <w:bookmarkStart w:id="388" w:name="_Toc27796"/>
      <w:r/>
      <w:bookmarkStart w:id="389" w:name="_Toc29666"/>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lang w:val="en-US" w:eastAsia="zh-CN" w:bidi="ar-SA"/>
        </w:rPr>
        <w:t xml:space="preserve">6</w:t>
      </w:r>
      <w:r>
        <w:rPr>
          <w:rFonts w:hint="eastAsia" w:ascii="宋体" w:hAnsi="宋体" w:eastAsia="宋体" w:cs="宋体"/>
          <w:b/>
          <w:bCs/>
          <w:sz w:val="21"/>
          <w:szCs w:val="21"/>
          <w:lang w:val="en-US" w:eastAsia="zh-CN" w:bidi="ar-SA"/>
        </w:rPr>
        <w:t xml:space="preserve">、车管网专网、出入境专网、电子政务外网、互联网核心交换机</w:t>
      </w:r>
      <w:bookmarkEnd w:id="388"/>
      <w:r/>
      <w:bookmarkEnd w:id="389"/>
      <w:r/>
      <w:r/>
    </w:p>
    <w:tbl>
      <w:tblPr>
        <w:tblStyle w:val="73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256"/>
        <w:gridCol w:w="7266"/>
      </w:tblGrid>
      <w:tr>
        <w:trPr>
          <w:jc w:val="center"/>
        </w:trPr>
        <w:tc>
          <w:tcPr>
            <w:tcBorders>
              <w:top w:val="single" w:color="auto" w:sz="4" w:space="0"/>
              <w:left w:val="single" w:color="auto" w:sz="4" w:space="0"/>
              <w:bottom w:val="single" w:color="auto" w:sz="4" w:space="0"/>
              <w:right w:val="single" w:color="auto" w:sz="4" w:space="0"/>
            </w:tcBorders>
            <w:tcW w:w="125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功能类别</w:t>
            </w:r>
            <w:r/>
          </w:p>
        </w:tc>
        <w:tc>
          <w:tcPr>
            <w:tcBorders>
              <w:top w:val="single" w:color="auto" w:sz="4" w:space="0"/>
              <w:left w:val="single" w:color="auto" w:sz="4" w:space="0"/>
              <w:bottom w:val="single" w:color="auto" w:sz="4" w:space="0"/>
              <w:right w:val="single" w:color="auto" w:sz="4" w:space="0"/>
            </w:tcBorders>
            <w:tcW w:w="726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技术要求及指标</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▲设备性能</w:t>
            </w:r>
            <w:r/>
          </w:p>
        </w:tc>
        <w:tc>
          <w:tcPr>
            <w:tcBorders>
              <w:top w:val="single" w:color="auto" w:sz="4" w:space="0"/>
              <w:left w:val="single" w:color="auto" w:sz="4" w:space="0"/>
              <w:bottom w:val="single" w:color="auto" w:sz="4" w:space="0"/>
              <w:right w:val="single" w:color="auto" w:sz="4" w:space="0"/>
            </w:tcBorders>
            <w:tcW w:w="726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交换容量≥1.3Tbps，包转发率≥400Mpps；（如有多值以标称值最小值为准，提供官网截图证明）</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▲大缓存</w:t>
            </w:r>
            <w:r/>
          </w:p>
        </w:tc>
        <w:tc>
          <w:tcPr>
            <w:tcBorders>
              <w:top w:val="single" w:color="auto" w:sz="4" w:space="0"/>
              <w:left w:val="single" w:color="auto" w:sz="4" w:space="0"/>
              <w:bottom w:val="single" w:color="auto" w:sz="4" w:space="0"/>
              <w:right w:val="single" w:color="auto" w:sz="4" w:space="0"/>
            </w:tcBorders>
            <w:tcW w:w="726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端口支持大缓存128MB，可以保证视频突发不丢包，QoS能力强（提供第三方测试报告）；</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用户管理</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支持统一用户管理功能，支持802.1X/MAC/Portal等多种认证方式，支持1000认证用户同时在线；</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表项规格</w:t>
            </w:r>
            <w:r/>
          </w:p>
        </w:tc>
        <w:tc>
          <w:tcPr>
            <w:tcBorders>
              <w:top w:val="single" w:color="auto" w:sz="4" w:space="0"/>
              <w:left w:val="single" w:color="auto" w:sz="4" w:space="0"/>
              <w:bottom w:val="single" w:color="auto" w:sz="4" w:space="0"/>
              <w:right w:val="single" w:color="auto" w:sz="4" w:space="0"/>
            </w:tcBorders>
            <w:tcW w:w="726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支持MAC表项≥64K，支持IPv4 路由表≥16K，支持IPv6 路由表≥8K</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路由功能</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支持静态路由、RIP v1/v2、OSPF、BGP、ISIS、RIPng、OSPFv3、ISISv6、BGP4+；</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VxLAN</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支持VxLAN功能，支持BGP EVPN，支持分布式 Anycast 网关；支持控制器基于WEB界面进行VxLAN Fabric配置并下发给交换机；</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可靠性</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支持硬件BFD，3.3ms发包检测，故障倒换时间小于50ms；</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▲安全可信</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支持安全启动，通过安全CPU、eFuse等安全措施，从可信硬件锚开始，启动过程中的每一步进行验证，确保每一阶段运行程序是可信的；</w:t>
            </w:r>
            <w:r/>
          </w:p>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CPU和LSW要求国产化（提供第三方测试报告）；</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单台配置</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1/2.5GE光口≥24，GE电口≥8，10G光口≥4，交流电源≥2，3年原厂质保；</w:t>
            </w:r>
            <w:r/>
          </w:p>
        </w:tc>
      </w:tr>
    </w:tbl>
    <w:p>
      <w:pPr>
        <w:numPr>
          <w:ilvl w:val="0"/>
          <w:numId w:val="0"/>
        </w:numPr>
        <w:ind w:left="210" w:firstLine="8"/>
        <w:jc w:val="left"/>
        <w:spacing w:line="360" w:lineRule="auto"/>
        <w:widowControl w:val="off"/>
        <w:rPr>
          <w:rFonts w:hint="eastAsia" w:ascii="宋体" w:hAnsi="宋体" w:eastAsia="宋体" w:cs="宋体"/>
          <w:b/>
          <w:bCs/>
          <w:sz w:val="21"/>
          <w:szCs w:val="21"/>
          <w:lang w:val="en-US" w:eastAsia="zh-CN" w:bidi="ar-SA"/>
        </w:rPr>
        <w:outlineLvl w:val="3"/>
      </w:pPr>
      <w:r/>
      <w:bookmarkStart w:id="390" w:name="_Toc5283"/>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lang w:val="en-US" w:eastAsia="zh-CN" w:bidi="ar-SA"/>
        </w:rPr>
        <w:t xml:space="preserve">7</w:t>
      </w:r>
      <w:r>
        <w:rPr>
          <w:rFonts w:hint="eastAsia" w:ascii="宋体" w:hAnsi="宋体" w:eastAsia="宋体" w:cs="宋体"/>
          <w:b/>
          <w:bCs/>
          <w:sz w:val="21"/>
          <w:szCs w:val="21"/>
          <w:lang w:val="en-US" w:eastAsia="zh-CN" w:bidi="ar-SA"/>
        </w:rPr>
        <w:t xml:space="preserve">、24口交换机，万兆上行</w:t>
      </w:r>
      <w:bookmarkEnd w:id="390"/>
      <w:r/>
      <w:r/>
    </w:p>
    <w:tbl>
      <w:tblPr>
        <w:tblStyle w:val="73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256"/>
        <w:gridCol w:w="7266"/>
      </w:tblGrid>
      <w:tr>
        <w:trPr>
          <w:jc w:val="center"/>
        </w:trPr>
        <w:tc>
          <w:tcPr>
            <w:tcBorders>
              <w:top w:val="single" w:color="auto" w:sz="4" w:space="0"/>
              <w:left w:val="single" w:color="auto" w:sz="4" w:space="0"/>
              <w:bottom w:val="single" w:color="auto" w:sz="4" w:space="0"/>
              <w:right w:val="single" w:color="auto" w:sz="4" w:space="0"/>
            </w:tcBorders>
            <w:tcW w:w="125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功能类别</w:t>
            </w:r>
            <w:r/>
          </w:p>
        </w:tc>
        <w:tc>
          <w:tcPr>
            <w:tcBorders>
              <w:top w:val="single" w:color="auto" w:sz="4" w:space="0"/>
              <w:left w:val="single" w:color="auto" w:sz="4" w:space="0"/>
              <w:bottom w:val="single" w:color="auto" w:sz="4" w:space="0"/>
              <w:right w:val="single" w:color="auto" w:sz="4" w:space="0"/>
            </w:tcBorders>
            <w:tcW w:w="726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技术要求及指标</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▲设备性能</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交换容量≥336Gbps，包转发率≥126Mpps；（如有多值以标称值最小值为准，提供官网截图证明）</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USB</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配置标准USB接口，支持U盘快速开局；</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静音</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采用静音无风扇设计，环保无噪声；</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▲表项规格</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最大支持MAC地址≥16K，ARP表项≥2048，支持IPv4 FIB表项≥4000 ，支持IPv6 FIB表项≥1000（提供第三方测试报告）；</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路由协议</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支持静态路由，支持 RIP、RIPng、OSPF、OSPFv3 协议；</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可靠性</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支持以太网环网保护协议ERPS，故障倒换时间小于50ms；</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虚拟化</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支持纵向虚拟化，作为纵向子节点零配置即插即用；</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▲安全性</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支持CPU保护功能，支持DHCP Snooping，DHCPv6 Snooping等安全特性（提供官网截图证明）；</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管理维护</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支持Telemetry技术，可实时采集设备数据；</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单台配置</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千兆电口≥24，万兆SFP+光口≥4，3年原厂质保；</w:t>
            </w:r>
            <w:r/>
          </w:p>
        </w:tc>
      </w:tr>
    </w:tbl>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0"/>
        </w:numPr>
        <w:ind w:left="210" w:firstLine="8"/>
        <w:jc w:val="left"/>
        <w:spacing w:line="360" w:lineRule="auto"/>
        <w:widowControl w:val="off"/>
        <w:rPr>
          <w:rFonts w:hint="eastAsia" w:ascii="宋体" w:hAnsi="宋体" w:eastAsia="宋体" w:cs="宋体"/>
          <w:b/>
          <w:bCs/>
          <w:sz w:val="21"/>
          <w:szCs w:val="21"/>
          <w:lang w:val="en-US" w:eastAsia="zh-CN" w:bidi="ar-SA"/>
        </w:rPr>
        <w:outlineLvl w:val="3"/>
      </w:pPr>
      <w:r/>
      <w:bookmarkStart w:id="391" w:name="_Toc15634"/>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lang w:val="en-US" w:eastAsia="zh-CN" w:bidi="ar-SA"/>
        </w:rPr>
        <w:t xml:space="preserve">8</w:t>
      </w:r>
      <w:r>
        <w:rPr>
          <w:rFonts w:hint="eastAsia" w:ascii="宋体" w:hAnsi="宋体" w:eastAsia="宋体" w:cs="宋体"/>
          <w:b/>
          <w:bCs/>
          <w:sz w:val="21"/>
          <w:szCs w:val="21"/>
          <w:lang w:val="en-US" w:eastAsia="zh-CN" w:bidi="ar-SA"/>
        </w:rPr>
        <w:t xml:space="preserve">、48口交换机，万兆上行</w:t>
      </w:r>
      <w:bookmarkEnd w:id="391"/>
      <w:r/>
      <w:r/>
    </w:p>
    <w:tbl>
      <w:tblPr>
        <w:tblStyle w:val="73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256"/>
        <w:gridCol w:w="7266"/>
      </w:tblGrid>
      <w:tr>
        <w:trPr>
          <w:jc w:val="center"/>
        </w:trPr>
        <w:tc>
          <w:tcPr>
            <w:tcBorders>
              <w:top w:val="single" w:color="auto" w:sz="4" w:space="0"/>
              <w:left w:val="single" w:color="auto" w:sz="4" w:space="0"/>
              <w:bottom w:val="single" w:color="auto" w:sz="4" w:space="0"/>
              <w:right w:val="single" w:color="auto" w:sz="4" w:space="0"/>
            </w:tcBorders>
            <w:tcW w:w="125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功能类别</w:t>
            </w:r>
            <w:r/>
          </w:p>
        </w:tc>
        <w:tc>
          <w:tcPr>
            <w:tcBorders>
              <w:top w:val="single" w:color="auto" w:sz="4" w:space="0"/>
              <w:left w:val="single" w:color="auto" w:sz="4" w:space="0"/>
              <w:bottom w:val="single" w:color="auto" w:sz="4" w:space="0"/>
              <w:right w:val="single" w:color="auto" w:sz="4" w:space="0"/>
            </w:tcBorders>
            <w:tcW w:w="726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技术要求及指标</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▲设备性能</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交换容量≥432Gbps，包转发率≥166Mpps；（如有多值以标称值最小值为准，提供官网截图证明，加盖投标人公章）</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USB</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配置标准USB接口，支持U盘快速开局；</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静音</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采用静音无风扇设计，环保无噪声；</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▲表项规格</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最大支持MAC地址≥16K，ARP表项≥2048，支持IPv4 FIB表项≥4000 ，支持IPv6 FIB表项≥1000（提供第三方测试报告加盖投标人公章）；</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路由协议</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支持静态路由，支持 RIP、RIPng、OSPF、OSPFv3 协议；</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可靠性</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支持以太网环网保护协议ERPS，故障倒换时间小于50ms；</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虚拟化</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支持纵向虚拟化，作为纵向子节点零配置即插即用；</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▲安全性</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支持CPU保护功能，支持DHCP Snooping，DHCPv6 Snooping等安全特性（提供官网截图证明）；</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管理维护</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支持Telemetry技术，可实时采集设备数据；</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单台配置</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千兆电口≥48，万兆SFP+光口≥4，3年原厂质保；</w:t>
            </w:r>
            <w:r/>
          </w:p>
        </w:tc>
      </w:tr>
    </w:tbl>
    <w:p>
      <w:pPr>
        <w:jc w:val="center"/>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0"/>
        </w:numPr>
        <w:ind w:left="210" w:firstLine="8"/>
        <w:jc w:val="left"/>
        <w:spacing w:line="360" w:lineRule="auto"/>
        <w:widowControl w:val="off"/>
        <w:rPr>
          <w:rFonts w:hint="eastAsia" w:ascii="宋体" w:hAnsi="宋体" w:eastAsia="宋体" w:cs="宋体"/>
          <w:b/>
          <w:bCs/>
          <w:sz w:val="21"/>
          <w:szCs w:val="21"/>
          <w:lang w:val="en-US" w:eastAsia="zh-CN" w:bidi="ar-SA"/>
        </w:rPr>
        <w:outlineLvl w:val="3"/>
      </w:pPr>
      <w:r/>
      <w:bookmarkStart w:id="392" w:name="_Toc6818"/>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lang w:val="en-US" w:eastAsia="zh-CN" w:bidi="ar-SA"/>
        </w:rPr>
        <w:t xml:space="preserve">9</w:t>
      </w:r>
      <w:r>
        <w:rPr>
          <w:rFonts w:hint="eastAsia" w:ascii="宋体" w:hAnsi="宋体" w:eastAsia="宋体" w:cs="宋体"/>
          <w:b/>
          <w:bCs/>
          <w:sz w:val="21"/>
          <w:szCs w:val="21"/>
          <w:lang w:val="en-US" w:eastAsia="zh-CN" w:bidi="ar-SA"/>
        </w:rPr>
        <w:t xml:space="preserve">、24口交换机，千兆上行</w:t>
      </w:r>
      <w:bookmarkEnd w:id="392"/>
      <w:r/>
      <w:r/>
    </w:p>
    <w:tbl>
      <w:tblPr>
        <w:tblStyle w:val="73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256"/>
        <w:gridCol w:w="7266"/>
      </w:tblGrid>
      <w:tr>
        <w:trPr>
          <w:jc w:val="center"/>
        </w:trPr>
        <w:tc>
          <w:tcPr>
            <w:tcBorders>
              <w:top w:val="single" w:color="auto" w:sz="4" w:space="0"/>
              <w:left w:val="single" w:color="auto" w:sz="4" w:space="0"/>
              <w:bottom w:val="single" w:color="auto" w:sz="4" w:space="0"/>
              <w:right w:val="single" w:color="auto" w:sz="4" w:space="0"/>
            </w:tcBorders>
            <w:tcW w:w="125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功能类别</w:t>
            </w:r>
            <w:r/>
          </w:p>
        </w:tc>
        <w:tc>
          <w:tcPr>
            <w:tcBorders>
              <w:top w:val="single" w:color="auto" w:sz="4" w:space="0"/>
              <w:left w:val="single" w:color="auto" w:sz="4" w:space="0"/>
              <w:bottom w:val="single" w:color="auto" w:sz="4" w:space="0"/>
              <w:right w:val="single" w:color="auto" w:sz="4" w:space="0"/>
            </w:tcBorders>
            <w:tcW w:w="726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技术要求及指标</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▲设备性能</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交换容量≥336Gbps，包转发率≥126Mpps；（如有多值以标称值最小值为准，提供官网截图证明）</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静音</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采用静音无风扇设计，环保无噪声；</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▲表项规格</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最大支持MAC地址≥16K，ARP表项≥2048，支持IPv4 FIB表项≥4000 ，支持IPv6 FIB表项≥1000（提供第三方测试报告）；</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路由协议</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支持静态路由，支持 RIP、RIPng、OSPF、OSPFv3 协议；</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可靠性</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支持以太网环网保护协议ERPS，故障倒换时间小于50ms；</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虚拟化</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支持纵向虚拟化，作为纵向子节点零配置即插即用；</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▲安全性</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支持CPU保护功能，支持DHCP Snooping，DHCPv6 Snooping等安全特性（提供官网截图证明）；</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管理维护</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支持Telemetry技术，可实时采集设备数据；</w:t>
            </w:r>
            <w:r/>
          </w:p>
        </w:tc>
      </w:tr>
      <w:tr>
        <w:trPr>
          <w:jc w:val="center"/>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单台配置</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千兆电口≥24，千兆SFP≥4，3年原厂质保；</w:t>
            </w:r>
            <w:r/>
          </w:p>
        </w:tc>
      </w:tr>
    </w:tbl>
    <w:p>
      <w:pPr>
        <w:jc w:val="center"/>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0"/>
        </w:numPr>
        <w:ind w:left="210" w:firstLine="8"/>
        <w:jc w:val="left"/>
        <w:spacing w:line="360" w:lineRule="auto"/>
        <w:widowControl w:val="off"/>
        <w:rPr>
          <w:rFonts w:hint="eastAsia" w:ascii="宋体" w:hAnsi="宋体" w:eastAsia="宋体" w:cs="宋体"/>
          <w:b/>
          <w:bCs/>
          <w:sz w:val="21"/>
          <w:szCs w:val="21"/>
          <w:lang w:val="en-US" w:eastAsia="zh-CN" w:bidi="ar-SA"/>
        </w:rPr>
        <w:outlineLvl w:val="3"/>
      </w:pPr>
      <w:r/>
      <w:bookmarkStart w:id="393" w:name="_Toc22667"/>
      <w:r>
        <w:rPr>
          <w:rFonts w:hint="eastAsia" w:ascii="宋体" w:hAnsi="宋体" w:cs="宋体"/>
          <w:b/>
          <w:bCs/>
          <w:color w:val="auto"/>
          <w:sz w:val="21"/>
          <w:szCs w:val="21"/>
          <w:lang w:val="en-US" w:eastAsia="zh-CN" w:bidi="ar-SA"/>
        </w:rPr>
        <w:t xml:space="preserve">40</w:t>
      </w:r>
      <w:r>
        <w:rPr>
          <w:rFonts w:hint="eastAsia" w:ascii="宋体" w:hAnsi="宋体" w:eastAsia="宋体" w:cs="宋体"/>
          <w:b/>
          <w:bCs/>
          <w:sz w:val="21"/>
          <w:szCs w:val="21"/>
          <w:lang w:val="en-US" w:eastAsia="zh-CN" w:bidi="ar-SA"/>
        </w:rPr>
        <w:t xml:space="preserve">、48口交换机，千兆上行</w:t>
      </w:r>
      <w:bookmarkEnd w:id="393"/>
      <w:r/>
      <w:r/>
    </w:p>
    <w:tbl>
      <w:tblPr>
        <w:tblStyle w:val="73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266"/>
        <w:gridCol w:w="7256"/>
      </w:tblGrid>
      <w:tr>
        <w:trPr>
          <w:jc w:val="center"/>
        </w:trPr>
        <w:tc>
          <w:tcPr>
            <w:tcBorders>
              <w:top w:val="single" w:color="auto" w:sz="4" w:space="0"/>
              <w:left w:val="single" w:color="auto" w:sz="4" w:space="0"/>
              <w:bottom w:val="single" w:color="auto" w:sz="4" w:space="0"/>
              <w:right w:val="single" w:color="auto" w:sz="4" w:space="0"/>
            </w:tcBorders>
            <w:tcW w:w="126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功能类别</w:t>
            </w:r>
            <w:r/>
          </w:p>
        </w:tc>
        <w:tc>
          <w:tcPr>
            <w:tcBorders>
              <w:top w:val="single" w:color="auto" w:sz="4" w:space="0"/>
              <w:left w:val="single" w:color="auto" w:sz="4" w:space="0"/>
              <w:bottom w:val="single" w:color="auto" w:sz="4" w:space="0"/>
              <w:right w:val="single" w:color="auto" w:sz="4" w:space="0"/>
            </w:tcBorders>
            <w:tcW w:w="725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技术要求及指标</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▲设备性能</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交换容量≥432Gbps，包转发率≥166Mpps；（如有多值以标称值最小值为准，提供官网截图证明）</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USB</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配置标准USB接口，支持U盘快速开局；</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▲表项规格</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最大支持MAC地址≥16K，ARP表项≥2048，支持IPv4 FIB表项≥4000 ，支持IPv6 FIB表项≥1000（提供第三方测试报告）；</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路由协议</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支持静态路由，支持 RIP、RIPng、OSPF、OSPFv3 协议；</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可靠性</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支持以太网环网保护协议ERPS，故障倒换时间小于50ms；</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虚拟化</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支持纵向虚拟化，作为纵向子节点零配置即插即用；</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▲安全性</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支持CPU保护功能，支持DHCP Snooping，DHCPv6 Snooping等安全特性（提供官网截图）；</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管理维护</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支持Telemetry技术，可实时采集设备数据；</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单台配置</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千兆电口≥48，千兆SFP≥4，3年原厂质保；</w:t>
            </w:r>
            <w:r/>
          </w:p>
        </w:tc>
      </w:tr>
    </w:tbl>
    <w:p>
      <w:pPr>
        <w:jc w:val="center"/>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0"/>
        </w:numPr>
        <w:ind w:left="210" w:firstLine="8"/>
        <w:jc w:val="left"/>
        <w:spacing w:line="360" w:lineRule="auto"/>
        <w:widowControl w:val="off"/>
        <w:rPr>
          <w:rFonts w:hint="eastAsia" w:ascii="宋体" w:hAnsi="宋体" w:eastAsia="宋体" w:cs="宋体"/>
          <w:b/>
          <w:bCs/>
          <w:sz w:val="21"/>
          <w:szCs w:val="21"/>
          <w:lang w:val="en-US" w:eastAsia="zh-CN" w:bidi="ar-SA"/>
        </w:rPr>
        <w:outlineLvl w:val="3"/>
      </w:pPr>
      <w:r/>
      <w:bookmarkStart w:id="394" w:name="_Toc18804"/>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val="en-US" w:eastAsia="zh-CN" w:bidi="ar-SA"/>
        </w:rPr>
        <w:t xml:space="preserve">1</w:t>
      </w:r>
      <w:r>
        <w:rPr>
          <w:rFonts w:hint="eastAsia" w:ascii="宋体" w:hAnsi="宋体" w:eastAsia="宋体" w:cs="宋体"/>
          <w:b/>
          <w:bCs/>
          <w:sz w:val="21"/>
          <w:szCs w:val="21"/>
          <w:lang w:val="en-US" w:eastAsia="zh-CN" w:bidi="ar-SA"/>
        </w:rPr>
        <w:t xml:space="preserve">、24口POE交换机，千兆上行</w:t>
      </w:r>
      <w:bookmarkEnd w:id="394"/>
      <w:r/>
      <w:r/>
    </w:p>
    <w:tbl>
      <w:tblPr>
        <w:tblStyle w:val="73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266"/>
        <w:gridCol w:w="7256"/>
      </w:tblGrid>
      <w:tr>
        <w:trPr>
          <w:jc w:val="center"/>
        </w:trPr>
        <w:tc>
          <w:tcPr>
            <w:tcBorders>
              <w:top w:val="single" w:color="auto" w:sz="4" w:space="0"/>
              <w:left w:val="single" w:color="auto" w:sz="4" w:space="0"/>
              <w:bottom w:val="single" w:color="auto" w:sz="4" w:space="0"/>
              <w:right w:val="single" w:color="auto" w:sz="4" w:space="0"/>
            </w:tcBorders>
            <w:tcW w:w="126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功能类别</w:t>
            </w:r>
            <w:r/>
          </w:p>
        </w:tc>
        <w:tc>
          <w:tcPr>
            <w:tcBorders>
              <w:top w:val="single" w:color="auto" w:sz="4" w:space="0"/>
              <w:left w:val="single" w:color="auto" w:sz="4" w:space="0"/>
              <w:bottom w:val="single" w:color="auto" w:sz="4" w:space="0"/>
              <w:right w:val="single" w:color="auto" w:sz="4" w:space="0"/>
            </w:tcBorders>
            <w:tcW w:w="7256"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技术要求及指标</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设备性能</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交换容量≥336Gbps，包转发率≥126Mpps；</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vMerge w:val="restart"/>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POE功能</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支持802.3at POE+功能，在802.3af协议下最多支持24接口PoE满供，在802.3at协议下最多支持13接口PoE满供，POE功率≥400W；</w:t>
            </w:r>
            <w:r/>
          </w:p>
        </w:tc>
      </w:tr>
      <w:tr>
        <w:trPr>
          <w:jc w:val="center"/>
          <w:trHeight w:val="978"/>
        </w:trPr>
        <w:tc>
          <w:tcPr>
            <w:tcBorders>
              <w:top w:val="single" w:color="auto" w:sz="4" w:space="0"/>
              <w:left w:val="single" w:color="auto" w:sz="4" w:space="0"/>
              <w:bottom w:val="single" w:color="auto" w:sz="4" w:space="0"/>
              <w:right w:val="single" w:color="auto" w:sz="4" w:space="0"/>
            </w:tcBorders>
            <w:tcW w:w="1266"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color w:val="4f81bd" w:themeColor="accent1"/>
                <w:szCs w:val="24"/>
                <w:lang w:val="en-US" w:eastAsia="zh-CN" w:bidi="ar-SA"/>
                <w14:textFill>
                  <w14:solidFill>
                    <w14:schemeClr w14:val="accent1"/>
                  </w14:solidFill>
                </w14:textFill>
              </w:rPr>
              <w:t xml:space="preserve">▲支持快速POE和永久PoE功能，当交换机电源上电时，支持秒级实现对PD设备的供电；交换机升级等操作重启时，对下挂的PD设备供电不会中断（提供官网截图证明）；</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▲表项规格</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最大支持MAC地址≥16K，ARP表项≥2048，支持IPv4 FIB表项≥4000 ，支持IPv6 FIB表项≥1000（提供第三方测试报告）；</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路由协议</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支持静态路由，支持 RIP、RIPng、OSPF、OSPFv3 协议；</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可靠性</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支持以太网环网保护协议ERPS，故障倒换时间小于50ms；</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虚拟化</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支持纵向虚拟化，作为纵向子节点零配置即插即用；</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安全性</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支持CPU保护功能，支持DHCP Snooping，DHCPv6 Snooping等安全特性；</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管理维护</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支持Telemetry技术，可实时采集设备数据；</w:t>
            </w:r>
            <w:r/>
          </w:p>
        </w:tc>
      </w:tr>
      <w:tr>
        <w:trPr>
          <w:jc w:val="cente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单台配置</w:t>
            </w:r>
            <w:r/>
          </w:p>
        </w:tc>
        <w:tc>
          <w:tcPr>
            <w:tcBorders>
              <w:top w:val="single" w:color="auto" w:sz="4" w:space="0"/>
              <w:left w:val="single" w:color="auto" w:sz="4" w:space="0"/>
              <w:bottom w:val="single" w:color="auto" w:sz="4" w:space="0"/>
              <w:right w:val="single" w:color="auto" w:sz="4" w:space="0"/>
            </w:tcBorders>
            <w:tcW w:w="7256"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千兆电口≥24，千兆SFP光口≥4，3年原厂质保；</w:t>
            </w:r>
            <w:r/>
          </w:p>
        </w:tc>
      </w:tr>
    </w:tbl>
    <w:p>
      <w:pPr>
        <w:jc w:val="center"/>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numPr>
          <w:ilvl w:val="0"/>
          <w:numId w:val="0"/>
        </w:numPr>
        <w:ind w:left="210" w:firstLine="8"/>
        <w:jc w:val="left"/>
        <w:spacing w:line="360" w:lineRule="auto"/>
        <w:widowControl w:val="off"/>
        <w:rPr>
          <w:rFonts w:hint="eastAsia" w:ascii="宋体" w:hAnsi="宋体" w:eastAsia="宋体" w:cs="宋体"/>
          <w:b/>
          <w:bCs/>
          <w:sz w:val="21"/>
          <w:szCs w:val="21"/>
          <w:lang w:val="en-US" w:eastAsia="zh-CN" w:bidi="ar-SA"/>
        </w:rPr>
        <w:outlineLvl w:val="3"/>
      </w:pPr>
      <w:r/>
      <w:bookmarkStart w:id="395" w:name="_Toc11130"/>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val="en-US" w:eastAsia="zh-CN" w:bidi="ar-SA"/>
        </w:rPr>
        <w:t xml:space="preserve">2</w:t>
      </w:r>
      <w:r>
        <w:rPr>
          <w:rFonts w:hint="eastAsia" w:ascii="宋体" w:hAnsi="宋体" w:eastAsia="宋体" w:cs="宋体"/>
          <w:b/>
          <w:bCs/>
          <w:sz w:val="21"/>
          <w:szCs w:val="21"/>
          <w:lang w:val="en-US" w:eastAsia="zh-CN" w:bidi="ar-SA"/>
        </w:rPr>
        <w:t xml:space="preserve">、48口POE交换机，千兆上行</w:t>
      </w:r>
      <w:bookmarkEnd w:id="395"/>
      <w:r/>
      <w:r/>
    </w:p>
    <w:tbl>
      <w:tblPr>
        <w:tblStyle w:val="73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277"/>
        <w:gridCol w:w="7245"/>
      </w:tblGrid>
      <w:tr>
        <w:trPr>
          <w:jc w:val="center"/>
        </w:trPr>
        <w:tc>
          <w:tcPr>
            <w:tcBorders>
              <w:top w:val="single" w:color="auto" w:sz="4" w:space="0"/>
              <w:left w:val="single" w:color="auto" w:sz="4" w:space="0"/>
              <w:bottom w:val="single" w:color="auto" w:sz="4" w:space="0"/>
              <w:right w:val="single" w:color="auto" w:sz="4" w:space="0"/>
            </w:tcBorders>
            <w:tcW w:w="1277"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功能类别</w:t>
            </w:r>
            <w:r/>
          </w:p>
        </w:tc>
        <w:tc>
          <w:tcPr>
            <w:tcBorders>
              <w:top w:val="single" w:color="auto" w:sz="4" w:space="0"/>
              <w:left w:val="single" w:color="auto" w:sz="4" w:space="0"/>
              <w:bottom w:val="single" w:color="auto" w:sz="4" w:space="0"/>
              <w:right w:val="single" w:color="auto" w:sz="4" w:space="0"/>
            </w:tcBorders>
            <w:tcW w:w="7245" w:type="dxa"/>
            <w:vAlign w:val="top"/>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技术要求及指标</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设备性能</w:t>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交换容量≥432Gbps，包转发率≥166Mpps；</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vMerge w:val="restart"/>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POE功能</w:t>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支持802.3at POE+功能，在802.3af协议下最多支持24接口PoE满供，在802.3at协议下最多支持13接口PoE满供，POE功率≥380W；</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vMerge w:val="continue"/>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color w:val="4f81bd" w:themeColor="accent1"/>
                <w:szCs w:val="24"/>
                <w:lang w:val="en-US" w:eastAsia="zh-CN" w:bidi="ar-SA"/>
                <w14:textFill>
                  <w14:solidFill>
                    <w14:schemeClr w14:val="accent1"/>
                  </w14:solidFill>
                </w14:textFill>
              </w:rPr>
              <w:t xml:space="preserve">▲支持快速POE和永久PoE功能，当交换机电源上电时，支持秒级实现对PD设备的供电；交换机升级等操作重启时，对下挂的PD设备供电不会中断（提供官网截图）；</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▲表项规格</w:t>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最大支持MAC地址≥16K，ARP表项≥2048，支持IPv4 FIB表项≥4000 ，支持IPv6 FIB表项≥1000（提供第三方测试报告）；</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路由协议</w:t>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支持静态路由，支持 RIP、RIPng、OSPF、OSPFv3 协议；</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可靠性</w:t>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支持以太网环网保护协议ERPS，故障倒换时间小于50ms；</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虚拟化</w:t>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支持纵向虚拟化，作为纵向子节点零配置即插即用；</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安全性</w:t>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支持CPU保护功能，支持DHCP Snooping，DHCPv6 Snooping等安全特性；</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管理维护</w:t>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支持Telemetry技术，可实时采集设备数据；</w:t>
            </w:r>
            <w:r/>
          </w:p>
        </w:tc>
      </w:tr>
      <w:tr>
        <w:trPr>
          <w:jc w:val="center"/>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单台配置</w:t>
            </w:r>
            <w:r/>
          </w:p>
        </w:tc>
        <w:tc>
          <w:tcPr>
            <w:tcBorders>
              <w:top w:val="single" w:color="auto" w:sz="4" w:space="0"/>
              <w:left w:val="single" w:color="auto" w:sz="4" w:space="0"/>
              <w:bottom w:val="single" w:color="auto" w:sz="4" w:space="0"/>
              <w:right w:val="single" w:color="auto" w:sz="4" w:space="0"/>
            </w:tcBorders>
            <w:tcW w:w="7245" w:type="dxa"/>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千兆电口≥48，千兆SFP光口≥4，3年原厂质保；</w:t>
            </w:r>
            <w:r/>
          </w:p>
        </w:tc>
      </w:tr>
    </w:tbl>
    <w:p>
      <w:pPr>
        <w:jc w:val="center"/>
        <w:spacing w:line="360" w:lineRule="auto"/>
        <w:rPr>
          <w:rFonts w:hint="eastAsia" w:ascii="宋体" w:hAnsi="宋体" w:eastAsia="宋体" w:cs="宋体"/>
          <w:szCs w:val="24"/>
          <w:lang w:val="en-US" w:eastAsia="zh-CN" w:bidi="ar-SA"/>
        </w:rPr>
      </w:pPr>
      <w:r/>
      <w:bookmarkStart w:id="396" w:name="_Toc7805"/>
      <w:r/>
      <w:r/>
    </w:p>
    <w:p>
      <w:pPr>
        <w:numPr>
          <w:ilvl w:val="0"/>
          <w:numId w:val="0"/>
        </w:numPr>
        <w:ind w:left="210" w:firstLine="8"/>
        <w:jc w:val="left"/>
        <w:spacing w:line="360" w:lineRule="auto"/>
        <w:widowControl w:val="off"/>
        <w:rPr>
          <w:rFonts w:hint="eastAsia" w:ascii="宋体" w:hAnsi="宋体" w:eastAsia="宋体" w:cs="宋体"/>
          <w:b/>
          <w:bCs/>
          <w:sz w:val="21"/>
          <w:szCs w:val="21"/>
          <w:lang w:val="en-US" w:eastAsia="zh-CN" w:bidi="ar-SA"/>
        </w:rPr>
        <w:outlineLvl w:val="3"/>
      </w:pPr>
      <w:r/>
      <w:bookmarkStart w:id="397" w:name="_Toc2327"/>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val="en-US" w:eastAsia="zh-CN" w:bidi="ar-SA"/>
        </w:rPr>
        <w:t xml:space="preserve">3</w:t>
      </w:r>
      <w:r>
        <w:rPr>
          <w:rFonts w:hint="eastAsia" w:ascii="宋体" w:hAnsi="宋体" w:eastAsia="宋体" w:cs="宋体"/>
          <w:b/>
          <w:bCs/>
          <w:sz w:val="21"/>
          <w:szCs w:val="21"/>
          <w:lang w:val="en-US" w:eastAsia="zh-CN" w:bidi="ar-SA"/>
        </w:rPr>
        <w:t xml:space="preserve">、光模块</w:t>
      </w:r>
      <w:bookmarkEnd w:id="396"/>
      <w:r/>
      <w:bookmarkEnd w:id="397"/>
      <w:r/>
      <w:r/>
    </w:p>
    <w:tbl>
      <w:tblPr>
        <w:tblStyle w:val="739"/>
        <w:tblW w:w="4991" w:type="pct"/>
        <w:tblInd w:w="113" w:type="dxa"/>
        <w:tblLayout w:type="fixed"/>
        <w:tblCellMar>
          <w:left w:w="108" w:type="dxa"/>
          <w:top w:w="0" w:type="dxa"/>
          <w:right w:w="108" w:type="dxa"/>
          <w:bottom w:w="0" w:type="dxa"/>
        </w:tblCellMar>
        <w:tblLook w:val="04A0" w:firstRow="1" w:lastRow="0" w:firstColumn="1" w:lastColumn="0" w:noHBand="0" w:noVBand="1"/>
      </w:tblPr>
      <w:tblGrid>
        <w:gridCol w:w="2767"/>
        <w:gridCol w:w="6385"/>
      </w:tblGrid>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千兆单纤单模模块1</w:t>
            </w:r>
            <w:r/>
          </w:p>
        </w:tc>
        <w:tc>
          <w:tcPr>
            <w:shd w:val="clear" w:color="auto" w:fill="ffffff"/>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光模块-eSFP-GE-BIDI单模模块(TX1310/RX1490,10km,LC)</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千兆单纤单模模块2</w:t>
            </w:r>
            <w:r/>
          </w:p>
        </w:tc>
        <w:tc>
          <w:tcPr>
            <w:shd w:val="clear" w:color="auto" w:fill="ffffff"/>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光模块-eSFP-GE-BIDI单模模块(TX1490/RX1310,10km,LC)</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万兆单纤单模模块1</w:t>
            </w:r>
            <w:r/>
          </w:p>
        </w:tc>
        <w:tc>
          <w:tcPr>
            <w:shd w:val="clear" w:color="auto" w:fill="ffffff"/>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10GBase-BIDI单纤双向光模块-SFP+-10G-单模模块(TX1270nm/RX1330nm,10km,LC)</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万兆单纤单模模块2</w:t>
            </w:r>
            <w:r/>
          </w:p>
        </w:tc>
        <w:tc>
          <w:tcPr>
            <w:shd w:val="clear" w:color="auto" w:fill="ffffff"/>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10GBase-BIDI单纤双向光模块-SFP+-10G-单模模块(TX1330nm/RX1270nm,10km,LC)</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10G单模模块-40KM</w:t>
            </w:r>
            <w:r/>
          </w:p>
        </w:tc>
        <w:tc>
          <w:tcPr>
            <w:shd w:val="clear" w:color="auto" w:fill="ffffff"/>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光模块-SFP+-10G-单模模块(1550nm,40km,LC)</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40G单模模块-40KM</w:t>
            </w:r>
            <w:r/>
          </w:p>
        </w:tc>
        <w:tc>
          <w:tcPr>
            <w:shd w:val="clear" w:color="auto" w:fill="ffffff"/>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jc w:val="cente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40GBase-ER4光模块-QSFP+-40G-单模模块(1310nm,40km,LC)</w:t>
            </w:r>
            <w:r/>
          </w:p>
        </w:tc>
      </w:tr>
    </w:tbl>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398" w:name="_Toc16223"/>
      <w:r/>
      <w:bookmarkStart w:id="399" w:name="_Toc31702"/>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val="en-US" w:eastAsia="zh-CN" w:bidi="ar-SA"/>
        </w:rPr>
        <w:t xml:space="preserve">4</w:t>
      </w:r>
      <w:r>
        <w:rPr>
          <w:rFonts w:hint="eastAsia" w:ascii="宋体" w:hAnsi="宋体" w:eastAsia="宋体" w:cs="宋体"/>
          <w:b/>
          <w:bCs/>
          <w:sz w:val="21"/>
          <w:szCs w:val="21"/>
          <w:lang w:val="en-US" w:eastAsia="zh-CN" w:bidi="ar-SA"/>
        </w:rPr>
        <w:t xml:space="preserve">、AC无线控制器</w:t>
      </w:r>
      <w:bookmarkEnd w:id="398"/>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支持常规AP最大管理数量≥1024，自带128个授权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考虑后续无线网络建设扩容，需要满足设备可支持扩展能力，可最大扩充管理数2048</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固化可用GE接口数量≥8，SFP接口数量≥8</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为满足后续业务扩展需要，控制器需满足后续端口可扩展能力，最大可扩展4个SFP+</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支持双电源冗余供电</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支持AC内漫游，支持跨AC间漫游，支持跨VLAN的三层漫游</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当AC出现故障 时，AP 能够自动检测 CAPWAP链路中断，自动开启 remote AP功能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支持N+1备份；AC组中一台AC宕机不影响其他AC的功能</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支持信道智能切换，保证每个AP能够分配到最优的信道</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支持7层移动安全检测 /防御 (WIDS/WIPS)</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支持按照用户在线会话数和用户流量负载分担</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i/>
          <w:iCs/>
          <w:sz w:val="21"/>
          <w:szCs w:val="21"/>
          <w:u w:val="single"/>
          <w:lang w:val="en-US" w:eastAsia="zh-CN" w:bidi="ar"/>
        </w:rPr>
        <w:t xml:space="preserve">本产品涉及到与大楼现有AP模块的对接，中标单位须承诺能够对接大楼现有AP模块，能正常访问互联网。（承诺函格式自拟，扫描上传）。</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400" w:name="_Toc24734"/>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val="en-US" w:eastAsia="zh-CN" w:bidi="ar-SA"/>
        </w:rPr>
        <w:t xml:space="preserve">5</w:t>
      </w:r>
      <w:r>
        <w:rPr>
          <w:rFonts w:hint="eastAsia" w:ascii="宋体" w:hAnsi="宋体" w:eastAsia="宋体" w:cs="宋体"/>
          <w:b/>
          <w:bCs/>
          <w:sz w:val="21"/>
          <w:szCs w:val="21"/>
          <w:lang w:val="en-US" w:eastAsia="zh-CN" w:bidi="ar-SA"/>
        </w:rPr>
        <w:t xml:space="preserve">、上网行为管理器</w:t>
      </w:r>
      <w:bookmarkEnd w:id="400"/>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硬件配置：高性能符合国家安全可靠测评的处理器，标准机架式，高度≥2U,USB接口≥2个、千兆电口≥6个、千兆光口≥4个，bypass电口≥两对、可插拨的扩展槽≥3个,双电源；包含3年系统版本升级、URL库及应用特征库升级许可。三年原厂质保；提供证明材料并加盖投标人公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（2）性能要求：带宽性能≥800M; 网络吞吐量≥10G; 最大并发连接数≥100W; 支持用户数≥8000人；内存≥32G，日志存储≥4T。</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▲（3）终端管控：可对接入的移动终端区分出IOS终端、安卓终端、三星终端，并可以根据所区分出的终端类型设置告警和拒绝动作；（提供功能截图）；</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（4）无线环境管理：支持AP MAC地址获取，支持读取用户真实MAC；支持支持无线用户认证、行为控制、流量控制、用户日志收集；</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（5）资产识别：支持通过资产扫描，对网络中的所有资产进行识别和分类。设备类型包括计算机、移动终端、网络设备、安全设备、办公设备、视频设备、物联网设备、存储设备等；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（6）流量控制：结合应用协议识别功能，可以根据用户的应用协议类别进行流量管理；支持每个用户的源，服务等，进行最大上下行会话数控制，避免网络滥用；</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▲（7）智能宽带：可根据预设总带宽，实时智能识别策略匹配上线用户，并依照预设总带宽将流量对匹配用户进行智能平均分配；（提供第三方机构功能测试报告）</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（8）动态流控：支持在设置流量策略后，根据整体线路或者设置某流量通道内的空闲值，根据通道的空闲情况，自动启用和停止使用流量控制策略，以提升带宽的高使用率；空闲值可自定义；</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白名单：支持url白名单，添加到白名单的url不受策略控制和审计。支持ip、用户/用户组白名单，添加到白名单的ip不受策略控制和审计。白名单策略可实现基于时间段的控制。支持设置完全放通，或者审计但是不统计和控制流量。（提供功能截图）</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401" w:name="_Toc23626"/>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val="en-US" w:eastAsia="zh-CN" w:bidi="ar-SA"/>
        </w:rPr>
        <w:t xml:space="preserve">6</w:t>
      </w:r>
      <w:r>
        <w:rPr>
          <w:rFonts w:hint="eastAsia" w:ascii="宋体" w:hAnsi="宋体" w:eastAsia="宋体" w:cs="宋体"/>
          <w:b/>
          <w:bCs/>
          <w:sz w:val="21"/>
          <w:szCs w:val="21"/>
          <w:lang w:val="en-US" w:eastAsia="zh-CN" w:bidi="ar-SA"/>
        </w:rPr>
        <w:t xml:space="preserve">、43寸电视机</w:t>
      </w:r>
      <w:bookmarkEnd w:id="401"/>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显示尺寸：43 inch</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屏幕可视区域：940.896 (H) mm × 529.254 (V) mm</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物理分辨率：1920 × 1080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背光源类型：D-LED</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亮度：360 cd/m²</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可视角：178° (H) / 178° (V)</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色深度：8 bit</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对比度：1200  : 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响应时间：8 ms</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刷新率：60 Hz</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雾度：1 %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连续使用时间：7 × 24H</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音视频输入接口：HDMI 1.4  × 1 , VGA × 1，AUDIO IN × 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音视频输出接口：Speaker (6Ω 5W) × 2</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402" w:name="_Toc2039"/>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val="en-US" w:eastAsia="zh-CN" w:bidi="ar-SA"/>
        </w:rPr>
        <w:t xml:space="preserve">7</w:t>
      </w:r>
      <w:r>
        <w:rPr>
          <w:rFonts w:hint="eastAsia" w:ascii="宋体" w:hAnsi="宋体" w:eastAsia="宋体" w:cs="宋体"/>
          <w:b/>
          <w:bCs/>
          <w:sz w:val="21"/>
          <w:szCs w:val="21"/>
          <w:lang w:val="en-US" w:eastAsia="zh-CN" w:bidi="ar-SA"/>
        </w:rPr>
        <w:t xml:space="preserve">、43寸一体机</w:t>
      </w:r>
      <w:bookmarkEnd w:id="402"/>
      <w:r/>
      <w:bookmarkEnd w:id="399"/>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信息发布屏幕墙节目、客流节目等发布到信息发布终端，支持素材管理、节目制作、播放日程管理、发布管理</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403" w:name="_Toc12816"/>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val="en-US" w:eastAsia="zh-CN" w:bidi="ar-SA"/>
        </w:rPr>
        <w:t xml:space="preserve">8</w:t>
      </w:r>
      <w:r>
        <w:rPr>
          <w:rFonts w:hint="eastAsia" w:ascii="宋体" w:hAnsi="宋体" w:eastAsia="宋体" w:cs="宋体"/>
          <w:b/>
          <w:bCs/>
          <w:sz w:val="21"/>
          <w:szCs w:val="21"/>
          <w:lang w:val="en-US" w:eastAsia="zh-CN" w:bidi="ar-SA"/>
        </w:rPr>
        <w:t xml:space="preserve">、P2.5全彩LED</w:t>
      </w:r>
      <w:bookmarkEnd w:id="403"/>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像素结构 表贴三合一 SMD2121黑灯</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像素间距（mm） 2.5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模组分辨率（W×H） 128×64</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模组尺寸（mm） 320（W）×160（H）×15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模组重量（kg/块） 0.42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模组最大功耗（W/块） 18</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像素密度（点/m2 ） 160000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维护方式 磁吸前维护</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显示屏亮度（nits） 600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色温（K） 8000—19000 可调</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水平视角（°） 160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垂直视角（°） 160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对比度 4000:1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亮度均匀性 ≥97%</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色度均匀性 ±0.003Cx,Cy 之内</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最佳视距（m） ≥2</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峰值功耗（W/m2） 351</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平均功耗（W/m2） 175</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供电要求     AC220-240V</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驱动方式   恒流驱动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换帧频率（Hz） 60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刷新率（Hz） ≥3840</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投标产品LED像素点间距≤2.5mm;像素密度≥160000点/㎡，每个像素点采用1纯红1纯绿1纯蓝三像素，表贴三合一封装。</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投标产品支持前拆前维护和后拆后维护功能，支持用户级模组前维护方式,可在正面拆卸、安装，支持带电维护,热插拔,维护时间不超过10秒，支持单点维修更换。</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投标产品的显示单元白平衡亮度≥600cd/㎡，有256级无灰度损失调价。色温3000K~15000K连续可调。对比度≥4000：1；亮度、灰度、色温有手动、自动、软件三种调节方式（提供第三方机构出具的具有CMA认证标志的检测报告原件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投标产品水平和垂直视角≥170°；亮度均匀性≥99%，色度均匀性≤±0.001Cx、Cy之内。</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投标产品可提供中国节能产品认证证书（CQC）</w:t>
      </w:r>
      <w:r/>
    </w:p>
    <w:p>
      <w:pPr>
        <w:numPr>
          <w:ilvl w:val="0"/>
          <w:numId w:val="0"/>
        </w:numPr>
        <w:ind w:left="210" w:firstLine="217"/>
        <w:jc w:val="left"/>
        <w:spacing w:line="360" w:lineRule="auto"/>
        <w:widowControl w:val="off"/>
        <w:rPr>
          <w:rFonts w:hint="eastAsia" w:ascii="宋体" w:hAnsi="宋体" w:eastAsia="宋体" w:cs="宋体"/>
          <w:b/>
          <w:bCs/>
          <w:sz w:val="21"/>
          <w:szCs w:val="21"/>
          <w:lang w:val="en-US" w:eastAsia="zh-CN" w:bidi="ar-SA"/>
        </w:rPr>
        <w:outlineLvl w:val="3"/>
      </w:pPr>
      <w:r/>
      <w:bookmarkStart w:id="404" w:name="_Toc20699"/>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val="en-US" w:eastAsia="zh-CN" w:bidi="ar-SA"/>
        </w:rPr>
        <w:t xml:space="preserve">9</w:t>
      </w:r>
      <w:r>
        <w:rPr>
          <w:rFonts w:hint="eastAsia" w:ascii="宋体" w:hAnsi="宋体" w:eastAsia="宋体" w:cs="宋体"/>
          <w:b/>
          <w:bCs/>
          <w:sz w:val="21"/>
          <w:szCs w:val="21"/>
          <w:lang w:val="en-US" w:eastAsia="zh-CN" w:bidi="ar-SA"/>
        </w:rPr>
        <w:t xml:space="preserve">、发送处理系统</w:t>
      </w:r>
      <w:bookmarkEnd w:id="40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i/>
          <w:iCs/>
          <w:sz w:val="21"/>
          <w:szCs w:val="21"/>
          <w:u w:val="single"/>
          <w:lang w:val="en-US" w:eastAsia="zh-CN" w:bidi="ar"/>
        </w:rPr>
        <w:suppressLineNumbers w:val="0"/>
      </w:pPr>
      <w:r>
        <w:rPr>
          <w:rFonts w:hint="eastAsia" w:ascii="宋体" w:hAnsi="宋体" w:eastAsia="宋体" w:cs="宋体"/>
          <w:i/>
          <w:iCs/>
          <w:sz w:val="21"/>
          <w:szCs w:val="21"/>
          <w:u w:val="single"/>
          <w:lang w:val="en-US" w:eastAsia="zh-CN" w:bidi="ar"/>
        </w:rPr>
        <w:t xml:space="preserve">投标人</w:t>
      </w:r>
      <w:r>
        <w:rPr>
          <w:rFonts w:hint="eastAsia" w:ascii="宋体" w:hAnsi="宋体" w:cs="宋体"/>
          <w:i/>
          <w:iCs/>
          <w:sz w:val="21"/>
          <w:szCs w:val="21"/>
          <w:u w:val="single"/>
          <w:lang w:val="en-US" w:eastAsia="zh-CN" w:bidi="ar"/>
        </w:rPr>
        <w:t xml:space="preserve">须承诺</w:t>
      </w:r>
      <w:r>
        <w:rPr>
          <w:rFonts w:hint="eastAsia" w:ascii="宋体" w:hAnsi="宋体" w:eastAsia="宋体" w:cs="宋体"/>
          <w:i/>
          <w:iCs/>
          <w:sz w:val="21"/>
          <w:szCs w:val="21"/>
          <w:u w:val="single"/>
          <w:lang w:val="en-US" w:eastAsia="zh-CN" w:bidi="ar"/>
        </w:rPr>
        <w:t xml:space="preserve">与现有排队叫号系统对接（承诺书格式自拟，扫描上传）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最大带载 130 万像素极限宽度 4096，极限高度 4096。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 路 LED 千兆输出网口默认 2 主，可配置成 1 主 1 备。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 路立体音频输出接口内源音频采样率固定为 48KHz，外源音频可支持 32KHz、44.1KHz 和 48KHz。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 路 HDMI 1.4 输出接口最大输出 1080P@60Hz，支持 HDMI Loop输入</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 </w:t>
      </w:r>
      <w:r/>
    </w:p>
    <w:p>
      <w:pPr>
        <w:ind w:left="420" w:right="0" w:firstLine="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 路 HDMI 1.4 输入接口同步模式时，使用此接口输入的视频源，支持全屏自适应播放。 2 路传感器接口连接亮度传感器或温湿度传感器控制</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 路 USB 3.0（Type A）接口支持 U 盘节目导入播放和 U 盘固件升级。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 路 USB（Type B）接口预留。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 路千兆网口可接入局域网或公网，也可单机直连，用于节目发布和显示屏控制。性能强大处理性能− 4 核 A55 的 ARM 处理器，主频 1.8GHz。− 支持 H.264、H.265 4K@60Hz 视频解码。− 板载 1GB 运行内存。− 16GB 内部存储空间。 </w:t>
      </w:r>
      <w:r/>
    </w:p>
    <w:p>
      <w:pPr>
        <w:ind w:firstLine="422"/>
        <w:jc w:val="both"/>
        <w:spacing w:line="360" w:lineRule="auto"/>
        <w:widowControl w:val="off"/>
        <w:rPr>
          <w:rFonts w:hint="eastAsia" w:ascii="宋体" w:hAnsi="宋体" w:eastAsia="宋体" w:cs="宋体"/>
          <w:b/>
          <w:bCs/>
          <w:sz w:val="21"/>
          <w:szCs w:val="21"/>
          <w:lang w:val="en-US" w:eastAsia="zh-CN" w:bidi="ar-SA"/>
        </w:rPr>
        <w:outlineLvl w:val="0"/>
      </w:pPr>
      <w:r/>
      <w:bookmarkStart w:id="405" w:name="_Toc28650"/>
      <w:r>
        <w:rPr>
          <w:rFonts w:hint="eastAsia" w:ascii="宋体" w:hAnsi="宋体" w:eastAsia="宋体" w:cs="宋体"/>
          <w:b/>
          <w:bCs/>
          <w:sz w:val="21"/>
          <w:szCs w:val="21"/>
          <w:lang w:val="en-US" w:eastAsia="zh-CN" w:bidi="ar-SA"/>
        </w:rPr>
        <w:t xml:space="preserve">九、密评费用</w:t>
      </w:r>
      <w:bookmarkEnd w:id="405"/>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 密码应用及安全性评估要求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依据《中华人民共和国密码法》《国家政务信息化项目建设管理办法》（国办发〔2019〕57号）《信息系统密码应用基本要求》（GM/T 0054—2018）、《信息安全技术 信息系统密码应用基本要求》（GB/T 39786-2021）中对密码应用与安全性评估要求，对项目建设提出相应要求。</w:t>
      </w:r>
      <w:r/>
    </w:p>
    <w:p>
      <w:p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406" w:name="_Toc26216"/>
      <w:r>
        <w:rPr>
          <w:rFonts w:hint="eastAsia" w:ascii="宋体" w:hAnsi="宋体" w:eastAsia="宋体" w:cs="宋体"/>
          <w:b/>
          <w:bCs/>
          <w:sz w:val="21"/>
          <w:szCs w:val="21"/>
          <w:lang w:val="en-US" w:eastAsia="zh-CN" w:bidi="ar-SA"/>
        </w:rPr>
        <w:t xml:space="preserve">十、 密码应用</w:t>
      </w:r>
      <w:bookmarkEnd w:id="406"/>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密码应用及安全性评估要求: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依据《中华人民共和国密码法》《国家政务信息化项目建设管理办法》（国办发〔2019〕57号）《信息系统密码应用基本要求》（GM/T 0054—2018）、《信息安全技术 信息系统密码应用基本要求》（GB/T 39786-2021）中对密码应用与安全性评估要求，对项目建设提出相应要求。</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安全技术和管理设计：</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项目建设单位应根据项目需求初步确定系统保护等级，同步规划、同步建设、同步运行网络安全和密码安全技术措施，从物理和环境安全、网络和通信安全、设备和计算安全、应用和数据安全、密码应用安全等角度提出安全要求，编写网络安全需求分析、建设任务及内容、保障体系设计等内容，明确网络安全责任人和安全预算。</w:t>
      </w:r>
      <w:r/>
    </w:p>
    <w:p>
      <w:pPr>
        <w:numPr>
          <w:ilvl w:val="0"/>
          <w:numId w:val="17"/>
        </w:numPr>
        <w:ind w:firstLine="422"/>
        <w:jc w:val="left"/>
        <w:spacing w:line="360" w:lineRule="auto"/>
        <w:widowControl w:val="off"/>
        <w:rPr>
          <w:rFonts w:hint="eastAsia" w:ascii="宋体" w:hAnsi="宋体" w:eastAsia="宋体" w:cs="宋体"/>
          <w:b/>
          <w:bCs/>
          <w:sz w:val="21"/>
          <w:szCs w:val="21"/>
          <w:lang w:val="en-US" w:eastAsia="zh-CN" w:bidi="ar-SA"/>
        </w:rPr>
        <w:outlineLvl w:val="0"/>
      </w:pPr>
      <w:r/>
      <w:bookmarkStart w:id="407" w:name="_Toc15768"/>
      <w:r>
        <w:rPr>
          <w:rFonts w:hint="eastAsia" w:ascii="宋体" w:hAnsi="宋体" w:eastAsia="宋体" w:cs="宋体"/>
          <w:b/>
          <w:bCs/>
          <w:sz w:val="21"/>
          <w:szCs w:val="21"/>
          <w:lang w:val="en-US" w:eastAsia="zh-CN" w:bidi="ar-SA"/>
        </w:rPr>
        <w:t xml:space="preserve">售后服务要求</w:t>
      </w:r>
      <w:bookmarkEnd w:id="407"/>
      <w:r/>
      <w:r/>
    </w:p>
    <w:p>
      <w:pPr>
        <w:ind w:firstLine="420"/>
        <w:spacing w:line="360" w:lineRule="auto"/>
        <w:rPr>
          <w:rFonts w:hint="default" w:ascii="宋体" w:hAnsi="宋体" w:eastAsia="宋体" w:cs="宋体"/>
          <w:color w:val="auto"/>
          <w:szCs w:val="24"/>
          <w:lang w:val="en-US" w:eastAsia="zh-CN" w:bidi="ar"/>
        </w:rPr>
      </w:pPr>
      <w:r>
        <w:rPr>
          <w:rFonts w:hint="eastAsia" w:ascii="宋体" w:hAnsi="宋体" w:eastAsia="宋体" w:cs="宋体"/>
          <w:color w:val="auto"/>
          <w:szCs w:val="24"/>
          <w:lang w:val="en-US" w:eastAsia="zh-CN" w:bidi="ar"/>
        </w:rPr>
        <w:t xml:space="preserve">供应商</w:t>
      </w:r>
      <w:r>
        <w:rPr>
          <w:rFonts w:hint="eastAsia" w:ascii="宋体" w:hAnsi="宋体" w:cs="宋体"/>
          <w:color w:val="auto"/>
          <w:szCs w:val="24"/>
          <w:lang w:val="en-US" w:eastAsia="zh-CN" w:bidi="ar"/>
        </w:rPr>
        <w:t xml:space="preserve">负责本项目中所有设备及系统的安装调试、系统对接等工作，确保实现采购文件技术要求。供应商应针对本项目配备专业实施团队，实施团队至少包含项目负责人（项目经理）1人、技术负责人1人、专业安装调试人员4人以上，人员需具有相关资质（详见评分标准）。</w:t>
      </w:r>
      <w:r/>
    </w:p>
    <w:p>
      <w:pPr>
        <w:ind w:firstLine="420"/>
        <w:spacing w:line="360" w:lineRule="auto"/>
        <w:rPr>
          <w:rFonts w:hint="eastAsia" w:ascii="宋体" w:hAnsi="宋体" w:eastAsia="宋体" w:cs="宋体"/>
          <w:szCs w:val="24"/>
          <w:lang w:val="en-US" w:eastAsia="zh-CN" w:bidi="ar"/>
        </w:rPr>
      </w:pPr>
      <w:r>
        <w:rPr>
          <w:rFonts w:hint="eastAsia" w:ascii="宋体" w:hAnsi="宋体" w:eastAsia="宋体" w:cs="宋体"/>
          <w:szCs w:val="24"/>
          <w:lang w:val="en-US" w:eastAsia="zh-CN" w:bidi="ar"/>
        </w:rPr>
        <w:t xml:space="preserve">自交货验收合格之日起计，质保期为三年。</w:t>
      </w:r>
      <w:r/>
    </w:p>
    <w:p>
      <w:pPr>
        <w:ind w:left="0" w:right="0" w:firstLine="420"/>
        <w:jc w:val="left"/>
        <w:keepLines w:val="0"/>
        <w:keepNext w:val="0"/>
        <w:spacing w:before="0" w:beforeAutospacing="0" w:after="0" w:afterAutospacing="0" w:line="360" w:lineRule="auto"/>
        <w:widowControl w:val="off"/>
        <w:rPr>
          <w:rFonts w:hint="eastAsia"/>
          <w:color w:val="4f81bd" w:themeColor="accent1"/>
          <w:lang w:val="en-US" w:eastAsia="zh-CN"/>
          <w14:textFill>
            <w14:solidFill>
              <w14:schemeClr w14:val="accent1"/>
            </w14:solidFill>
          </w14:textFill>
        </w:rPr>
        <w:suppressLineNumbers w:val="0"/>
      </w:pPr>
      <w:r>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t xml:space="preserve">投标人须承诺中标后提供针对</w:t>
      </w:r>
      <w:r>
        <w:rPr>
          <w:rFonts w:hint="eastAsia" w:ascii="宋体" w:hAnsi="宋体" w:eastAsia="宋体" w:cs="宋体"/>
          <w:i/>
          <w:iCs/>
          <w:color w:val="4f81bd" w:themeColor="accent1"/>
          <w:szCs w:val="24"/>
          <w:u w:val="single"/>
          <w:lang w:val="en-US" w:eastAsia="zh-CN" w:bidi="ar"/>
          <w14:textFill>
            <w14:solidFill>
              <w14:schemeClr w14:val="accent1"/>
            </w14:solidFill>
          </w14:textFill>
        </w:rPr>
        <w:t xml:space="preserve">LED全彩显示屏、分布式设备、执法记录仪设备、服务器、交换机</w:t>
      </w:r>
      <w:r>
        <w:rPr>
          <w:rFonts w:hint="eastAsia" w:ascii="宋体" w:hAnsi="宋体" w:eastAsia="宋体" w:cs="宋体"/>
          <w:i/>
          <w:iCs/>
          <w:color w:val="4f81bd" w:themeColor="accent1"/>
          <w:sz w:val="21"/>
          <w:szCs w:val="21"/>
          <w:u w:val="single"/>
          <w:lang w:val="en-US" w:eastAsia="zh-CN" w:bidi="ar"/>
          <w14:textFill>
            <w14:solidFill>
              <w14:schemeClr w14:val="accent1"/>
            </w14:solidFill>
          </w14:textFill>
        </w:rPr>
        <w:t xml:space="preserve">等设备三年原厂质保函。（承诺书格式自拟，扫描上传）</w:t>
      </w:r>
      <w:r/>
    </w:p>
    <w:p>
      <w:pPr>
        <w:ind w:firstLine="420"/>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
        </w:rPr>
        <w:t xml:space="preserve">服务承诺应包括：详细说明服务能力、服务时间、人员配备、系统故障响应、诊断、应急处理、维修和相应的设备更换计划等。投标人的技术支持和相应软件的升级承诺，以及质保期后的维护费用等。如货物在质保期内发生故障，中标人应在接到采购人报修电话后1小时内予以响应，2小时内到达现场，无偿承担一般故障维修，6小时内修复较大故障，12小时内不能维修的故障应及时以新货物替换，24小时内必须排除一切故障的义务。否则采购人将自行采取必要的措施，由此产生风险和费用应由中标人承担。</w:t>
      </w:r>
      <w:r/>
    </w:p>
    <w:p>
      <w:pPr>
        <w:ind w:firstLine="420"/>
        <w:spacing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
        </w:rPr>
        <w:t xml:space="preserve">项目验收后安排驻场服务人员进行后续运维服务，要求具有信息化相关专业中级工程师及以上职称。服从采购人工作安排，对重要设备进行巡检，遇重大活动、重大节假日和其它紧急情况，采购人要求进行巡检的，应安排巡检。存在运行问题的，应立即整改。所有中标人派遣的工作人员应具有良好素养，政治清白，无不良记录及嗜好，爱岗敬业、身体健康（无传染性疾病、无精神类疾病、心脑疾病）、符合岗位体检标准，人员须签署保密协议承诺书。</w:t>
      </w:r>
      <w:r/>
    </w:p>
    <w:p>
      <w:pPr>
        <w:rPr>
          <w:rFonts w:hint="eastAsia"/>
          <w:lang w:val="en-US" w:eastAsia="zh-CN"/>
        </w:rPr>
      </w:pPr>
      <w:r/>
      <w:bookmarkStart w:id="408" w:name="_Toc28060"/>
      <w:r/>
      <w:r/>
    </w:p>
    <w:p>
      <w:pPr>
        <w:jc w:val="left"/>
        <w:spacing w:line="360" w:lineRule="auto"/>
        <w:widowControl w:val="off"/>
        <w:rPr>
          <w:rFonts w:hint="eastAsia" w:ascii="宋体" w:hAnsi="宋体" w:eastAsia="宋体" w:cs="宋体"/>
          <w:b w:val="0"/>
          <w:bCs w:val="0"/>
          <w:sz w:val="21"/>
          <w:szCs w:val="21"/>
          <w:lang w:val="en-US" w:eastAsia="zh-CN" w:bidi="ar-SA"/>
        </w:rPr>
        <w:outlineLvl w:val="0"/>
      </w:pPr>
      <w:r>
        <w:rPr>
          <w:rFonts w:hint="eastAsia" w:ascii="宋体" w:hAnsi="宋体" w:eastAsia="宋体" w:cs="宋体"/>
          <w:b w:val="0"/>
          <w:bCs w:val="0"/>
          <w:sz w:val="21"/>
          <w:szCs w:val="21"/>
          <w:lang w:val="en-US" w:eastAsia="zh-CN" w:bidi="ar-SA"/>
        </w:rPr>
        <w:t xml:space="preserve">包</w:t>
      </w:r>
      <w:r>
        <w:rPr>
          <w:rFonts w:hint="eastAsia" w:ascii="宋体" w:hAnsi="宋体" w:cs="宋体"/>
          <w:b w:val="0"/>
          <w:bCs w:val="0"/>
          <w:sz w:val="21"/>
          <w:szCs w:val="21"/>
          <w:lang w:val="en-US" w:eastAsia="zh-CN" w:bidi="ar-SA"/>
        </w:rPr>
        <w:t xml:space="preserve">三</w:t>
      </w:r>
      <w:r>
        <w:rPr>
          <w:rFonts w:hint="eastAsia" w:ascii="宋体" w:hAnsi="宋体" w:eastAsia="宋体" w:cs="宋体"/>
          <w:b w:val="0"/>
          <w:bCs w:val="0"/>
          <w:sz w:val="21"/>
          <w:szCs w:val="21"/>
          <w:lang w:val="en-US" w:eastAsia="zh-CN" w:bidi="ar-SA"/>
        </w:rPr>
        <w:t xml:space="preserve">监理要求</w:t>
      </w:r>
      <w:bookmarkEnd w:id="408"/>
      <w:r/>
      <w:r/>
    </w:p>
    <w:p>
      <w:pPr>
        <w:pStyle w:val="1089"/>
        <w:ind w:right="0" w:firstLine="420"/>
        <w:spacing w:line="440" w:lineRule="exact"/>
        <w:tabs>
          <w:tab w:val="left" w:pos="1890" w:leader="none"/>
        </w:tabs>
        <w:rPr>
          <w:rFonts w:hint="eastAsia" w:eastAsia="宋体" w:cs="宋体"/>
          <w:bCs w:val="0"/>
          <w:sz w:val="21"/>
        </w:rPr>
      </w:pPr>
      <w:r>
        <w:rPr>
          <w:rFonts w:hint="eastAsia" w:eastAsia="宋体" w:cs="宋体"/>
          <w:bCs w:val="0"/>
          <w:sz w:val="21"/>
        </w:rPr>
        <w:t xml:space="preserve">一、项目目标 </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为保障本项目所建设内容的系统功能稳定运行，根据国家的有关法规、技术规范和标准以及</w:t>
      </w:r>
      <w:r>
        <w:rPr>
          <w:rFonts w:hint="eastAsia" w:cs="宋体"/>
          <w:bCs w:val="0"/>
          <w:sz w:val="21"/>
          <w:lang w:val="en-US" w:eastAsia="zh-CN"/>
        </w:rPr>
        <w:t xml:space="preserve">采购</w:t>
      </w:r>
      <w:r>
        <w:rPr>
          <w:rFonts w:hint="eastAsia" w:eastAsia="宋体" w:cs="宋体"/>
          <w:bCs w:val="0"/>
          <w:sz w:val="21"/>
        </w:rPr>
        <w:t xml:space="preserve">人与中标人签订的合同，采用先进、科学和适合本项目特点的管理技术手段，对项目实施有重点的、全面的、精线条的监理。同时帮助</w:t>
      </w:r>
      <w:r>
        <w:rPr>
          <w:rFonts w:hint="eastAsia" w:cs="宋体"/>
          <w:bCs w:val="0"/>
          <w:sz w:val="21"/>
          <w:lang w:val="en-US" w:eastAsia="zh-CN"/>
        </w:rPr>
        <w:t xml:space="preserve">采购</w:t>
      </w:r>
      <w:r>
        <w:rPr>
          <w:rFonts w:hint="eastAsia" w:eastAsia="宋体" w:cs="宋体"/>
          <w:bCs w:val="0"/>
          <w:sz w:val="21"/>
        </w:rPr>
        <w:t xml:space="preserve">人把控项目进度，按期分段进行验收，并根据不同实施阶段出具相应的监理文档，保证本项目“按期、保质、高效、节约”地完成，确保项目整体质量水平得到显著提升。</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二、服务内容 </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在服务范围内，依据国家有关信息系统的法律、法规、技术规程、规范、标准以及项目建设文件，供应商承担全部工作的监理服务，按照国家相关规范《GB/T 19668 信息技术服务监理规范》总则及各分册的要求，对项目的质量、进度、投资、风险进行全方位、全过程控制，进行项目的合同管理、变更管理、配置管理、文档管理、人员管理、信息管理以及安全文明实施管理，负责系统建设过程中的组织协调等工作，使项目建设按既定目标顺利进行。</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三、监理服务要求</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（1）监理工作范围</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1）服务范围</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设计文件图纸和采购人与承建单位签订的合同文件规定的全部内容和采购人同意增加的或变更的项目内容。</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对监理范围内的工程，在施工阶段对其工程质量、工期、投资实施动态目标控制，做好合同管理，协调好与本项目有关建设各方的关系，努力提高工程管理水平，使施工监理工作法制化、规范化、程序化、标准化。</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3）相关法律规范中规定的全部职责范围和工程建设监理合同中约定的监理工作范围内的监理业务。</w:t>
      </w:r>
      <w:r/>
    </w:p>
    <w:p>
      <w:pPr>
        <w:pStyle w:val="1089"/>
        <w:ind w:right="0" w:firstLine="420"/>
        <w:spacing w:line="440" w:lineRule="exact"/>
        <w:rPr>
          <w:rFonts w:hint="eastAsia" w:ascii="宋体" w:hAnsi="宋体" w:eastAsia="宋体" w:cs="宋体"/>
          <w:bCs w:val="0"/>
          <w:color w:val="auto"/>
          <w:sz w:val="21"/>
        </w:rPr>
      </w:pPr>
      <w:r>
        <w:rPr>
          <w:rFonts w:hint="eastAsia" w:ascii="宋体" w:hAnsi="宋体" w:eastAsia="宋体" w:cs="宋体"/>
          <w:bCs w:val="0"/>
          <w:color w:val="auto"/>
          <w:sz w:val="21"/>
          <w:lang w:val="en-US" w:eastAsia="zh-CN"/>
        </w:rPr>
        <w:t xml:space="preserve">4</w:t>
      </w:r>
      <w:r>
        <w:rPr>
          <w:rFonts w:hint="eastAsia" w:ascii="宋体" w:hAnsi="宋体" w:eastAsia="宋体" w:cs="宋体"/>
          <w:bCs w:val="0"/>
          <w:color w:val="auto"/>
          <w:sz w:val="21"/>
        </w:rPr>
        <w:t xml:space="preserve">）监理服务电子化解决方案：</w:t>
      </w:r>
      <w:r/>
    </w:p>
    <w:p>
      <w:pPr>
        <w:pStyle w:val="1089"/>
        <w:ind w:right="0" w:firstLine="420"/>
        <w:spacing w:line="440" w:lineRule="exact"/>
        <w:rPr>
          <w:rFonts w:hint="eastAsia" w:ascii="宋体" w:hAnsi="宋体" w:eastAsia="宋体" w:cs="宋体"/>
          <w:bCs w:val="0"/>
          <w:color w:val="auto"/>
          <w:sz w:val="21"/>
        </w:rPr>
      </w:pPr>
      <w:r>
        <w:rPr>
          <w:rFonts w:hint="eastAsia" w:ascii="宋体" w:hAnsi="宋体" w:eastAsia="宋体" w:cs="宋体"/>
          <w:bCs w:val="0"/>
          <w:color w:val="auto"/>
          <w:sz w:val="21"/>
        </w:rPr>
        <w:t xml:space="preserve">建立信息系统项目建设管理全生命周期的电子化应用生态体系，使其建设工期与过程质量得以更好的科学化管控，同时在建设过程实现的信息化资产的数字化，建设与管理的同步与一体化。</w:t>
      </w:r>
      <w:r/>
    </w:p>
    <w:p>
      <w:pPr>
        <w:pStyle w:val="1089"/>
        <w:ind w:right="0" w:firstLine="420"/>
        <w:spacing w:line="440" w:lineRule="exact"/>
        <w:rPr>
          <w:rFonts w:hint="eastAsia" w:ascii="宋体" w:hAnsi="宋体" w:eastAsia="宋体" w:cs="宋体"/>
          <w:bCs w:val="0"/>
          <w:color w:val="auto"/>
          <w:sz w:val="21"/>
        </w:rPr>
      </w:pPr>
      <w:r>
        <w:rPr>
          <w:rFonts w:hint="eastAsia" w:ascii="宋体" w:hAnsi="宋体" w:eastAsia="宋体" w:cs="宋体"/>
          <w:bCs w:val="0"/>
          <w:color w:val="auto"/>
          <w:sz w:val="21"/>
          <w:lang w:val="en-US" w:eastAsia="zh-CN"/>
        </w:rPr>
        <w:t xml:space="preserve">5</w:t>
      </w:r>
      <w:r>
        <w:rPr>
          <w:rFonts w:hint="eastAsia" w:ascii="宋体" w:hAnsi="宋体" w:eastAsia="宋体" w:cs="宋体"/>
          <w:bCs w:val="0"/>
          <w:color w:val="auto"/>
          <w:sz w:val="21"/>
        </w:rPr>
        <w:t xml:space="preserve">）项目建设实施建议：</w:t>
      </w:r>
      <w:r/>
    </w:p>
    <w:p>
      <w:pPr>
        <w:pStyle w:val="1089"/>
        <w:ind w:right="0" w:firstLine="420"/>
        <w:spacing w:line="440" w:lineRule="exact"/>
        <w:rPr>
          <w:rFonts w:hint="eastAsia" w:ascii="宋体" w:hAnsi="宋体" w:eastAsia="宋体" w:cs="宋体"/>
          <w:bCs w:val="0"/>
          <w:color w:val="auto"/>
          <w:sz w:val="21"/>
        </w:rPr>
      </w:pPr>
      <w:r>
        <w:rPr>
          <w:rFonts w:hint="eastAsia" w:ascii="宋体" w:hAnsi="宋体" w:eastAsia="宋体" w:cs="宋体"/>
          <w:bCs w:val="0"/>
          <w:color w:val="auto"/>
          <w:sz w:val="21"/>
        </w:rPr>
        <w:t xml:space="preserve">监理单位在系统建设中提出项目管理建议，包含对明确项目范围，制定有效的进度计划、质量计划和成本估算，有助于工程干系人了解工程的本质，消除各类风险，以确保工程在质量、时间和效益上都能达到预定目标。</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（2）监理工作内容</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在国家相关标准和规定指导下，对本项目的建设进行质量、进度、投资、安全的控制，参与知识产权管理、变更管理、信息管理和合同管理，组织协调、并提供相应的咨询服务。</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（一）项目质量控制</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（1）审查并确认本项目中标单位的投标文件、合同及实施方案；</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（2）在技术上、经济上、性能上和风险上进行分析和评估，及时为采购人提供建议；</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（3）当项目目标出现偏离时，及时指出，并提出对策和建议，监督本系统实施单位尽快采取整改措施。</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（4）协助制定验收大纲；</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（5）对软件项目的安装调试及总体实施效果与采购人共同验收；</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（6）与采购人共同组织项目的总体验收。</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（二）项目进度控制</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（1）审核项目的进度分解计划，确认分解计划可以保证总体计划目标的实现；</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（2）对项目实施进度进行实时跟踪，并要求实施单位对进度计划按项目实施进度要求进行动态调整，确保项目的阶段和总体进度目标的实现；</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（3）当目标出现偏离时，及时指出，并提出对策和建议，监督系统各项目承建方尽快采取整改措施。</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（4）每周必须向采购人通报项目进展情况及项目实施过程中所遇到的问题；</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（三）投资控制</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（1）通过对项目实施中的方案及设计优化，对项目建设不可预见费的开支使用情况进行技术性审核并提出意见，确保投资控制在预算之内尽可能节省经费；</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（2）协助采购人做好项目支付预算的现金流量表，将支付合同款项进度与质量进度相结合，严格履行合同严格控制和审查项目变更，核算成本和变化量；</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（3）根据合同约定，审核供应商的支付资金申请；</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（4）协助违约及索赔核查。</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（四）变更管理</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（1）对项目建设过程中所发生的项目变更进行审核、确认，并提交采购人确认；</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（2）作好变更文档的管理工作。</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（五）合同管理</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（1）跟踪检查合同的执行情况，确保供应商按时履约；</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（2）对合同工期的延误进行审核确认；</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（3）对合同变更、索赔等事宜进行审核确认。</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（六）信息管理</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(1)在项目实施过程中做好监理日记及备忘录等；</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(2)做好双方合同、技术建设方案、测试文档、验收报告等各类往来文件的文档管理；</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(3)做好项目协调会、技术专题会的会议纪要工作，并监督会议有关事项的执行。</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（七）安全管理：</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保证项目实施过程中各项安全措施的实施，包括项目建设中的网络信息安全等方面。</w:t>
      </w:r>
      <w:r/>
    </w:p>
    <w:p>
      <w:pPr>
        <w:pStyle w:val="1089"/>
        <w:ind w:right="0" w:firstLine="420"/>
        <w:spacing w:line="440" w:lineRule="exact"/>
        <w:rPr>
          <w:rFonts w:hint="eastAsia" w:eastAsia="宋体" w:cs="宋体"/>
          <w:bCs w:val="0"/>
          <w:color w:val="4f81bd" w:themeColor="accent1"/>
          <w:sz w:val="21"/>
          <w14:textFill>
            <w14:solidFill>
              <w14:schemeClr w14:val="accent1"/>
            </w14:solidFill>
          </w14:textFill>
        </w:rPr>
      </w:pPr>
      <w:r>
        <w:rPr>
          <w:rFonts w:hint="eastAsia" w:eastAsia="宋体" w:cs="宋体"/>
          <w:bCs w:val="0"/>
          <w:color w:val="4f81bd" w:themeColor="accent1"/>
          <w:sz w:val="21"/>
          <w14:textFill>
            <w14:solidFill>
              <w14:schemeClr w14:val="accent1"/>
            </w14:solidFill>
          </w14:textFill>
        </w:rPr>
        <w:t xml:space="preserve">7.1要求监理单位按合同要求、国家和地方相应的技术标准和测评标准，对项目实施过程中的各种敏感信息、数据以及需要保密的信息与数据进行安全控制检查；</w:t>
      </w:r>
      <w:r/>
    </w:p>
    <w:p>
      <w:pPr>
        <w:pStyle w:val="1089"/>
        <w:ind w:right="0" w:firstLine="420"/>
        <w:spacing w:line="440" w:lineRule="exact"/>
        <w:rPr>
          <w:rFonts w:hint="eastAsia" w:eastAsia="宋体" w:cs="宋体"/>
          <w:bCs w:val="0"/>
          <w:color w:val="4f81bd" w:themeColor="accent1"/>
          <w:sz w:val="21"/>
          <w14:textFill>
            <w14:solidFill>
              <w14:schemeClr w14:val="accent1"/>
            </w14:solidFill>
          </w14:textFill>
        </w:rPr>
      </w:pPr>
      <w:r>
        <w:rPr>
          <w:rFonts w:hint="eastAsia" w:eastAsia="宋体" w:cs="宋体"/>
          <w:bCs w:val="0"/>
          <w:color w:val="4f81bd" w:themeColor="accent1"/>
          <w:sz w:val="21"/>
          <w14:textFill>
            <w14:solidFill>
              <w14:schemeClr w14:val="accent1"/>
            </w14:solidFill>
          </w14:textFill>
        </w:rPr>
        <w:t xml:space="preserve">7.2监管并督促承建单位对系统采用最新的技术手段进行安全设置与控制，并对其进行安全检查。</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（八）知识产权的管理</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(1)负责项目建设过程中所产生成果的知识产权保护，防止被非授权使用；</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(2)负责项目建设过程中涉及知识产权的产品和系统的使用审核，保证不在本项目建设中出现违反知识产权的行为。</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（九）项目的协调和组织</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(1)确定承建单位的工作范围和职责；建立畅通的沟通平台和沟通渠道，采取有效措施使项目信息在有关各方之间保持顺畅流通，积极协调项目各方之间的关系，推动项目实施过程中问题的解决。</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(2)接受委托，负责协调项目所涉及的各单位之间的工作关系，并协调解决项目建设过程中的各类纠纷。监督各方履行职责，协调各方的工作关系；</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(3)通过必要的会议制度实施协调工作，主要包括项目例会、专题讨论会、专家评审会等。</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四、项目团队要求</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为使项目按质、按量、按时及有序实施，本项目应建立一个完善和稳定的项目团队和管理机构。设立项目总监理工程师1名，项目总监理工程师代表1名，团队成员至少3名（项目总监理工程师、总监理工程师代表除外）。</w:t>
      </w:r>
      <w:r/>
    </w:p>
    <w:p>
      <w:pPr>
        <w:pStyle w:val="1089"/>
        <w:ind w:right="0" w:firstLine="420"/>
        <w:spacing w:line="440" w:lineRule="exact"/>
        <w:rPr>
          <w:rFonts w:hint="eastAsia" w:eastAsia="宋体" w:cs="宋体"/>
          <w:bCs w:val="0"/>
          <w:sz w:val="21"/>
        </w:rPr>
      </w:pPr>
      <w:r>
        <w:rPr>
          <w:rFonts w:hint="eastAsia" w:cs="宋体"/>
          <w:bCs w:val="0"/>
          <w:sz w:val="21"/>
          <w:lang w:val="en-US" w:eastAsia="zh-CN"/>
        </w:rPr>
        <w:t xml:space="preserve">中标</w:t>
      </w:r>
      <w:r>
        <w:rPr>
          <w:rFonts w:hint="eastAsia" w:eastAsia="宋体" w:cs="宋体"/>
          <w:bCs w:val="0"/>
          <w:sz w:val="21"/>
        </w:rPr>
        <w:t xml:space="preserve">供应商在投标文件中提供的项目团队，为供应商向采购人的正式承诺，供应商对于项目团队要做任何变更，必须征得采购人书面同意。</w:t>
      </w:r>
      <w:r/>
    </w:p>
    <w:p>
      <w:pPr>
        <w:pStyle w:val="1089"/>
        <w:ind w:right="0" w:firstLine="420"/>
        <w:spacing w:line="440" w:lineRule="exact"/>
        <w:rPr>
          <w:rFonts w:hint="eastAsia" w:eastAsia="宋体" w:cs="宋体"/>
          <w:bCs w:val="0"/>
          <w:sz w:val="21"/>
        </w:rPr>
      </w:pPr>
      <w:r>
        <w:rPr>
          <w:rFonts w:hint="eastAsia" w:eastAsia="宋体" w:cs="宋体"/>
          <w:bCs w:val="0"/>
          <w:sz w:val="21"/>
        </w:rPr>
        <w:t xml:space="preserve">任何项目成员发生变动(包括但不限于离项、在项目内职责变更等）成交供应商必须提供具备拟变动人员同等资历和能力的接替候选人，以及完备的工作交接措施，书面申请提交至采购人。在采购人书面正式认可后，成交供应商方可进行人员变更。</w:t>
      </w:r>
      <w:bookmarkStart w:id="409" w:name="_Toc32708"/>
      <w:r/>
      <w:r/>
    </w:p>
    <w:p>
      <w:pPr>
        <w:pStyle w:val="1089"/>
        <w:numPr>
          <w:ilvl w:val="0"/>
          <w:numId w:val="18"/>
        </w:numPr>
        <w:ind w:right="0" w:firstLine="420"/>
        <w:spacing w:line="440" w:lineRule="exact"/>
        <w:rPr>
          <w:rFonts w:hint="eastAsia" w:cs="宋体"/>
          <w:bCs w:val="0"/>
          <w:sz w:val="21"/>
          <w:lang w:val="en-US" w:eastAsia="zh-CN"/>
        </w:rPr>
      </w:pPr>
      <w:r>
        <w:rPr>
          <w:rFonts w:hint="eastAsia" w:cs="宋体"/>
          <w:bCs w:val="0"/>
          <w:sz w:val="21"/>
          <w:lang w:val="en-US" w:eastAsia="zh-CN"/>
        </w:rPr>
        <w:t xml:space="preserve">资料成果</w:t>
      </w:r>
      <w:r/>
    </w:p>
    <w:p>
      <w:pPr>
        <w:pStyle w:val="1089"/>
        <w:ind w:right="0" w:firstLine="420"/>
        <w:spacing w:line="440" w:lineRule="exact"/>
        <w:rPr>
          <w:rFonts w:hint="eastAsia" w:cs="宋体"/>
          <w:bCs w:val="0"/>
          <w:sz w:val="21"/>
          <w:lang w:val="en-US" w:eastAsia="zh-CN"/>
        </w:rPr>
      </w:pPr>
      <w:r>
        <w:rPr>
          <w:rFonts w:hint="eastAsia" w:cs="宋体"/>
          <w:bCs w:val="0"/>
          <w:sz w:val="21"/>
          <w:lang w:val="en-US" w:eastAsia="zh-CN"/>
        </w:rPr>
        <w:t xml:space="preserve">监理规划和实施细则、开工令、设备验收单、设备安装、调试记录表、监理通知单、联系单、项目变更单、支付申请及支付意见、测试记录、项目周报、月报，监理阶段性总结报告、会议纪要、系统试运行报告、竣工验收资料、监理总结报告等项目相关资料。</w:t>
      </w:r>
      <w:r/>
    </w:p>
    <w:p>
      <w:pPr>
        <w:pStyle w:val="1089"/>
        <w:ind w:right="0" w:firstLine="422"/>
        <w:spacing w:line="44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包4审计需求</w:t>
      </w:r>
      <w:bookmarkEnd w:id="409"/>
      <w:r/>
      <w:r/>
    </w:p>
    <w:p>
      <w:pPr>
        <w:numPr>
          <w:ilvl w:val="0"/>
          <w:numId w:val="19"/>
        </w:numPr>
        <w:keepLines/>
        <w:keepNext/>
        <w:spacing w:before="260" w:after="260" w:line="360" w:lineRule="auto"/>
        <w:rPr>
          <w:rFonts w:hint="eastAsia" w:ascii="Calibri" w:hAnsi="Calibri" w:cs="宋体"/>
          <w:b/>
          <w:bCs/>
          <w:szCs w:val="24"/>
          <w:lang w:val="en-US" w:eastAsia="zh-CN" w:bidi="ar-SA"/>
        </w:rPr>
        <w:outlineLvl w:val="1"/>
      </w:pPr>
      <w:r/>
      <w:bookmarkStart w:id="410" w:name="_Toc23008"/>
      <w:r>
        <w:rPr>
          <w:rFonts w:hint="eastAsia" w:ascii="Calibri" w:hAnsi="Calibri" w:cs="宋体"/>
          <w:b/>
          <w:bCs/>
          <w:szCs w:val="24"/>
          <w:lang w:val="en-US" w:eastAsia="zh-CN" w:bidi="ar-SA"/>
        </w:rPr>
        <w:t xml:space="preserve">项目情况说明：</w:t>
      </w:r>
      <w:bookmarkEnd w:id="410"/>
      <w:r/>
      <w:r/>
    </w:p>
    <w:p>
      <w:pPr>
        <w:numPr>
          <w:ilvl w:val="0"/>
          <w:numId w:val="0"/>
        </w:numPr>
        <w:ind w:firstLine="420"/>
        <w:keepLines/>
        <w:keepNext/>
        <w:spacing w:before="260" w:after="260" w:line="360" w:lineRule="auto"/>
        <w:rPr>
          <w:rFonts w:hint="eastAsia" w:ascii="Calibri" w:hAnsi="Calibri" w:cs="宋体"/>
          <w:szCs w:val="24"/>
          <w:lang w:val="en-US" w:eastAsia="zh-CN" w:bidi="ar-SA"/>
        </w:rPr>
        <w:outlineLvl w:val="1"/>
      </w:pPr>
      <w:r>
        <w:rPr>
          <w:rFonts w:hint="eastAsia" w:ascii="Calibri" w:hAnsi="Calibri" w:cs="宋体"/>
          <w:szCs w:val="24"/>
          <w:lang w:val="en-US" w:eastAsia="zh-CN" w:bidi="ar-SA"/>
        </w:rPr>
        <w:t xml:space="preserve">为了强化监督，严格控制工程造价，扬州市公安局选择工程造价咨询单位对“扬州市公安局交通指挥中心和车管所业务技术用房信息化”项目进行全过程跟踪审计。</w:t>
      </w:r>
      <w:r/>
    </w:p>
    <w:p>
      <w:pPr>
        <w:ind w:firstLine="422"/>
        <w:spacing w:line="360" w:lineRule="auto"/>
        <w:rPr>
          <w:rFonts w:hint="eastAsia" w:ascii="Calibri" w:hAnsi="Calibri" w:cs="宋体"/>
          <w:szCs w:val="24"/>
          <w:lang w:val="en-US" w:eastAsia="zh-CN" w:bidi="ar-SA"/>
        </w:rPr>
      </w:pPr>
      <w:r>
        <w:rPr>
          <w:rFonts w:hint="eastAsia" w:ascii="Calibri" w:hAnsi="Calibri" w:cs="宋体"/>
          <w:b/>
          <w:bCs/>
          <w:szCs w:val="24"/>
          <w:lang w:val="en-US" w:eastAsia="zh-CN" w:bidi="ar-SA"/>
        </w:rPr>
        <w:t xml:space="preserve">招标范围：</w:t>
      </w:r>
      <w:r>
        <w:rPr>
          <w:rFonts w:hint="eastAsia" w:ascii="Calibri" w:hAnsi="Calibri" w:cs="宋体"/>
          <w:szCs w:val="24"/>
          <w:lang w:val="en-US" w:eastAsia="zh-CN" w:bidi="ar-SA"/>
        </w:rPr>
        <w:t xml:space="preserve">本项目为“扬州市公安局交通指挥中心和车管所业务技术用房信息化”项目跟踪审计服务，主要包括项目项目待签合同审核、实施过程跟踪审计和结算审计。</w:t>
      </w:r>
      <w:r/>
    </w:p>
    <w:p>
      <w:pPr>
        <w:ind w:firstLine="422"/>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“扬州市公安局交通指挥中心和车管所业务技术用房信息化”项目建设概况：交通指挥中心、车管所和基础设施等三个方面的建设。建设内容包含：</w:t>
      </w:r>
      <w:r/>
    </w:p>
    <w:p>
      <w:pPr>
        <w:ind w:firstLine="422"/>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 1.交通指挥中心综合性集成应用平台： （1）公安交通集成指挥模块智能化升级； （2）移动执法警务模块智能化升级；（3）交通管理互联网服务模块（采购交通管理交通评价诊断和治理服务）；（4）风险防控管理模块。</w:t>
      </w:r>
      <w:r/>
    </w:p>
    <w:p>
      <w:pPr>
        <w:numPr>
          <w:ilvl w:val="0"/>
          <w:numId w:val="20"/>
        </w:numPr>
        <w:ind w:firstLine="422"/>
        <w:jc w:val="left"/>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车管所：（1）车驾管综合监管音视频接入；（2）升级大厅综合服务管理平台。 </w:t>
      </w:r>
      <w:r/>
    </w:p>
    <w:p>
      <w:pPr>
        <w:numPr>
          <w:ilvl w:val="0"/>
          <w:numId w:val="20"/>
        </w:numPr>
        <w:ind w:firstLine="422"/>
        <w:jc w:val="left"/>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基础设施：（1）中心机房建设及搬迁；（2）大楼网络建设。</w:t>
      </w:r>
      <w:r/>
    </w:p>
    <w:p>
      <w:pPr>
        <w:keepLines/>
        <w:keepNext/>
        <w:spacing w:before="260" w:after="260" w:line="360" w:lineRule="auto"/>
        <w:rPr>
          <w:rFonts w:hint="eastAsia" w:ascii="Calibri" w:hAnsi="Calibri" w:cs="宋体"/>
          <w:b/>
          <w:bCs/>
          <w:szCs w:val="24"/>
          <w:lang w:val="en-US" w:eastAsia="zh-CN" w:bidi="ar-SA"/>
        </w:rPr>
        <w:outlineLvl w:val="1"/>
      </w:pPr>
      <w:r/>
      <w:bookmarkStart w:id="411" w:name="_Toc29761"/>
      <w:r>
        <w:rPr>
          <w:rFonts w:hint="eastAsia" w:ascii="Calibri" w:hAnsi="Calibri" w:cs="宋体"/>
          <w:b/>
          <w:bCs/>
          <w:szCs w:val="24"/>
          <w:lang w:val="en-US" w:eastAsia="zh-CN" w:bidi="ar-SA"/>
        </w:rPr>
        <w:t xml:space="preserve">二、审计方案及要求：</w:t>
      </w:r>
      <w:bookmarkEnd w:id="411"/>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（一）审计工作内容。</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按照《扬州市市级政府投资项目评审操作规程（试行）》（扬财规〔2014〕19号）和《扬州市市级政府投资项目评审中介机构业务考核管理办法（试行）》（扬财建〔2014〕73号）文件执行，招标文件中涉及的各类文件如在造价咨询期内更新，各项要求以新文件规定为准。具体要求如下：</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1.项目待签合同审核。采购结束后，对正式采购文件、中标人的投标文件和待签合同进行审核，主要包括审核合同主体资格、价款约定、调整及付款、违约责任等合同条款的合法性、完整性、有效性等。</w:t>
      </w:r>
      <w:r/>
    </w:p>
    <w:p>
      <w:pPr>
        <w:ind w:firstLine="420"/>
        <w:spacing w:line="360" w:lineRule="auto"/>
        <w:shd w:val="clear" w:color="auto" w:fill="ffffff"/>
        <w:widowControl/>
        <w:rPr>
          <w:rFonts w:hint="eastAsia" w:ascii="Calibri" w:hAnsi="Calibri" w:cs="宋体"/>
          <w:szCs w:val="24"/>
          <w:lang w:val="en-US" w:eastAsia="zh-CN" w:bidi="ar-SA"/>
        </w:rPr>
      </w:pPr>
      <w:r>
        <w:rPr>
          <w:rFonts w:hint="eastAsia" w:ascii="Calibri" w:hAnsi="Calibri" w:cs="宋体"/>
          <w:szCs w:val="24"/>
          <w:lang w:val="en-US" w:eastAsia="zh-CN" w:bidi="ar-SA"/>
        </w:rPr>
        <w:t xml:space="preserve">2.项目实施过程中实行跟踪审计，分析合同价款（投标报价/发包工程预算），确定工程造价控制目标，编制资金使用计划，审核工程计量与价款支付，审核工程索赔与签证费用，审核工程价款调整，建设单位分包的专业工程招标咨询，材料设备询价，分析工程投资偏差，调整工程造价控制目标。向扬州市公安局提交建设阶段造价控制月度工作报告和年度总结报告。收集整理评审资料，编制完整的评审工作底稿，并经相关专业评审人员签字确认。</w:t>
      </w:r>
      <w:r/>
    </w:p>
    <w:p>
      <w:pPr>
        <w:ind w:firstLine="420"/>
        <w:spacing w:line="360" w:lineRule="auto"/>
        <w:shd w:val="clear" w:color="auto" w:fill="ffffff"/>
        <w:widowControl/>
        <w:rPr>
          <w:rFonts w:hint="eastAsia" w:ascii="Calibri" w:hAnsi="Calibri" w:cs="宋体"/>
          <w:szCs w:val="24"/>
          <w:lang w:val="en-US" w:eastAsia="zh-CN" w:bidi="ar-SA"/>
        </w:rPr>
      </w:pPr>
      <w:r>
        <w:rPr>
          <w:rFonts w:hint="eastAsia" w:ascii="Calibri" w:hAnsi="Calibri" w:cs="宋体"/>
          <w:szCs w:val="24"/>
          <w:lang w:val="en-US" w:eastAsia="zh-CN" w:bidi="ar-SA"/>
        </w:rPr>
        <w:t xml:space="preserve">3.项目结算审计。主要对项目竣工结算资料的真实性、合法性进行审核和评价，重点审核项目竣工结算资料是否完整、项目合同及履行情况是否存在违约行为、实际工程量或人工工时量是否计算准确、计费程序是否合法合规、材料设备价格是否与合同一致等。</w:t>
      </w:r>
      <w:r/>
    </w:p>
    <w:p>
      <w:pPr>
        <w:keepLines/>
        <w:keepNext/>
        <w:spacing w:before="260" w:after="260" w:line="360" w:lineRule="auto"/>
        <w:rPr>
          <w:rFonts w:hint="eastAsia" w:ascii="Calibri" w:hAnsi="Calibri" w:cs="宋体"/>
          <w:b/>
          <w:bCs/>
          <w:szCs w:val="24"/>
          <w:lang w:val="en-US" w:eastAsia="zh-CN" w:bidi="ar-SA"/>
        </w:rPr>
        <w:outlineLvl w:val="1"/>
      </w:pPr>
      <w:r/>
      <w:bookmarkStart w:id="412" w:name="_Toc23473"/>
      <w:r>
        <w:rPr>
          <w:rFonts w:hint="eastAsia" w:ascii="Calibri" w:hAnsi="Calibri" w:cs="宋体"/>
          <w:b/>
          <w:bCs/>
          <w:szCs w:val="24"/>
          <w:lang w:val="en-US" w:eastAsia="zh-CN" w:bidi="ar-SA"/>
        </w:rPr>
        <w:t xml:space="preserve">三、审计服务规范</w:t>
      </w:r>
      <w:bookmarkEnd w:id="412"/>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1、审计质量及时限目标</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在预定的项目进度和投资下，保质保量完成相关审计服务，有效控制建设过程中的合同签订、签证管理、价款支付和项目整体造价。收到待签的项目承建合同7日内，完成待签合同审计，提供审计意见书</w:t>
      </w:r>
      <w:r>
        <w:rPr>
          <w:rFonts w:hint="eastAsia" w:ascii="Calibri" w:hAnsi="Calibri" w:cs="宋体"/>
          <w:szCs w:val="24"/>
          <w:lang w:val="en-US" w:eastAsia="zh-CN" w:bidi="ar-SA"/>
        </w:rPr>
        <w:t xml:space="preserve">。且满足承建合同中和招标文件所规定的技术指标要求。工程竣工验收合格三个月内，向扬州市公安局提交跟踪审计报告和工程结算初步核对结果报告，报告对变更内容及价款要有专项说明，并协助被评审单位按照工程结算初步核对结果出具工程结算资料。扬州市公安局交办的其他有关事项。收到工程结算送审资料和跟踪审计单位结算初审报告三个月内，向扬州市公安局提交工程竣工结算审核报告，报告对变更内容及价款要有专项说明。其他需要评审的内容。具体措施方案包括但不限于：组织措施、技术措施、制度措施、管理措施、各阶段质量保证措施、软硬件支撑保障等。</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2、审计组织架构及管理</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为保障审计服务高效开展，构建科学合理、清晰明朗的审计组织架构，制定合理可行的管理模式，进一步提高效率、减少冗余。具体措施方案包括但不限于：组织架构、项目组管理模式、岗位职责分工、管制措施办法、廉洁自律措施等。</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3、审计工作流程</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明确在具体的审计过程中采取的行动和步骤，规范审计人员在取得审计证据完成审计目标的过程中，所采用的步骤和方法。具体措施方案包括但不限于：全过程跟踪审计工作流程、全过程跟踪审计工作方法、竣工结算审计工作流程、竣工结算审计工作方法等。</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4、审计工作要点 </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围绕“扬州市公安局交通指挥中心和车管所业务技术用房信息化”项目特点，突出审计工作的要点，包括但不限于项目建设、成本控制过程、项目应用、质量、安全性等成果进行审计。</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5、审计重难点分析及建议审计工作要点</w:t>
      </w:r>
      <w:r/>
    </w:p>
    <w:p>
      <w:pPr>
        <w:ind w:firstLine="420"/>
        <w:spacing w:line="360" w:lineRule="auto"/>
        <w:rPr>
          <w:rFonts w:hint="eastAsia" w:ascii="Calibri" w:hAnsi="Calibri" w:cs="宋体"/>
          <w:b/>
          <w:bCs/>
          <w:spacing w:val="6"/>
          <w:szCs w:val="24"/>
          <w:lang w:val="en-US" w:eastAsia="zh-CN" w:bidi="ar-SA"/>
        </w:rPr>
      </w:pPr>
      <w:r>
        <w:rPr>
          <w:rFonts w:hint="eastAsia" w:ascii="Calibri" w:hAnsi="Calibri" w:cs="宋体"/>
          <w:szCs w:val="24"/>
          <w:lang w:val="en-US" w:eastAsia="zh-CN" w:bidi="ar-SA"/>
        </w:rPr>
        <w:t xml:space="preserve">针对审计服务中容易遇到的重点、难点，提供分析、解决方案，并提出合理化建议。具体措施方案包括但不限于：</w:t>
      </w:r>
      <w:bookmarkStart w:id="413" w:name="_Toc9089"/>
      <w:r>
        <w:rPr>
          <w:rFonts w:hint="eastAsia" w:ascii="Calibri" w:hAnsi="Calibri" w:cs="宋体"/>
          <w:szCs w:val="24"/>
          <w:lang w:val="en-US" w:eastAsia="zh-CN" w:bidi="ar-SA"/>
        </w:rPr>
        <w:t xml:space="preserve">全过程跟踪审计的重点分析</w:t>
      </w:r>
      <w:bookmarkEnd w:id="413"/>
      <w:r>
        <w:rPr>
          <w:rFonts w:hint="eastAsia" w:ascii="Calibri" w:hAnsi="Calibri" w:cs="宋体"/>
          <w:szCs w:val="24"/>
          <w:lang w:val="en-US" w:eastAsia="zh-CN" w:bidi="ar-SA"/>
        </w:rPr>
        <w:t xml:space="preserve">、全过程跟踪审计的难点分析、针对全过程跟踪审计的重点、难点优化建议、竣工结算审计重点分析、竣工结算审计的重点、难点优化建议等。</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6、驻场服务承诺</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中标人应根据“扬州市公安局交通指挥中心和车管所业务技术用房信息化”项目的实施进度要求，派出1名有注册造价师资质和1名有软件造价师资质的人员在项目建设期间全程参与项目现场，提供驻场审计服务，驻场地点由采购人指定，采购人认为驻场人员不能满足项目实施需要的，中标人需无条件更换。派驻人员经过相关安全保密教育且签订保密协议后，才安排驻场，中标人派驻人员调整更换必须经双方协商同意。派驻人员考核由扬州市公安局负责；派驻人员服从采购人的管理，包括工作时间、工作安排，严格执行请销假制度。</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 </w:t>
      </w:r>
      <w:r/>
    </w:p>
    <w:p>
      <w:pPr>
        <w:keepLines/>
        <w:keepNext/>
        <w:spacing w:before="260" w:after="260" w:line="360" w:lineRule="auto"/>
        <w:rPr>
          <w:rFonts w:hint="eastAsia" w:ascii="Calibri" w:hAnsi="Calibri" w:cs="宋体"/>
          <w:b/>
          <w:bCs/>
          <w:szCs w:val="24"/>
          <w:lang w:val="en-US" w:eastAsia="zh-CN" w:bidi="ar-SA"/>
        </w:rPr>
        <w:outlineLvl w:val="1"/>
      </w:pPr>
      <w:r/>
      <w:bookmarkStart w:id="414" w:name="_Toc12183"/>
      <w:r>
        <w:rPr>
          <w:rFonts w:hint="eastAsia" w:ascii="Calibri" w:hAnsi="Calibri" w:cs="宋体"/>
          <w:b/>
          <w:bCs/>
          <w:szCs w:val="24"/>
          <w:lang w:val="en-US" w:eastAsia="zh-CN" w:bidi="ar-SA"/>
        </w:rPr>
        <w:t xml:space="preserve">四、服务要求</w:t>
      </w:r>
      <w:bookmarkEnd w:id="414"/>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（一）依据采购人要求进行咨询，出具咨询报告，保证咨询报告的真实性、合法性。</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（二）保证采购人提供的咨询资料的安全完整，保证领用数和归还数一致。</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（三）客观公正依法咨询，遵守咨询纪律和职业道德。</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（四）按照约定时间完成咨询业务并出具咨询报告。</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五）中标人应签署保密协议，对执行业务过程中知悉的国家秘密和采购人商业秘密严加保密。除非造价工程师执业准则另有规定，或经采购人同意，中标人不得将其知悉的商业秘密和采购人提供的资料对外泄露。</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（六）采购人提供完全脱密资料齐全后，中标人应在采购人要求的时间内完成受托业务。</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（七）项目档案应全部交还采购人，中标人不得留存。</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（八）中标人在执行咨询业务时，不得有下列行为：</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1、索取、收受委托合同约定以外的酬金或者其他财物，或者利用执行业务之便，谋取其他不正当的利益；</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2、允许他人以中标人名义执行业务； </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3、对其能力进行广告宣传以招揽业务；</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4、违反法律、行政法规的其他行为。</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（九）中标人对在执行业务中知悉的商业秘密，负有保密义务。</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（十）中标人应当具备与其从事的咨询工作相适应的专业知识和业务能力。</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（十一）中标人办理咨询事项，与被咨询单位或者咨询事项有利害关系的，应当回避。</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（十二）中标人接到审核资料后，应委派双方约定的项目组负责人和成员开展工作，不得随意变更；若中标人确有变更的需要，应经采购人同意。</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十三）复审对一审审定金额核减额不超过2%，视同为完全履约。复审核减超过2%，视同未完全履约，采购人将扣减部分费用作为处罚，扣减办法为：以复审核减额的2%为基数，超出2%的部分，按比例扣减中标人金额，如：复审核减4%，则扣减金额为（4%-2%）*中标金额。</w:t>
      </w:r>
      <w:r/>
    </w:p>
    <w:p>
      <w:pPr>
        <w:keepLines/>
        <w:keepNext/>
        <w:spacing w:before="260" w:after="260" w:line="360" w:lineRule="auto"/>
        <w:rPr>
          <w:rFonts w:hint="eastAsia" w:ascii="Calibri" w:hAnsi="Calibri" w:cs="宋体"/>
          <w:b/>
          <w:bCs/>
          <w:szCs w:val="24"/>
          <w:lang w:val="en-US" w:eastAsia="zh-CN" w:bidi="ar-SA"/>
        </w:rPr>
        <w:outlineLvl w:val="1"/>
      </w:pPr>
      <w:r/>
      <w:bookmarkStart w:id="415" w:name="_Toc19311"/>
      <w:r>
        <w:rPr>
          <w:rFonts w:hint="eastAsia" w:ascii="Calibri" w:hAnsi="Calibri" w:cs="宋体"/>
          <w:b/>
          <w:bCs/>
          <w:szCs w:val="24"/>
          <w:lang w:val="en-US" w:eastAsia="zh-CN" w:bidi="ar-SA"/>
        </w:rPr>
        <w:t xml:space="preserve">五、人员要求</w:t>
      </w:r>
      <w:bookmarkEnd w:id="415"/>
      <w:r/>
      <w:r/>
    </w:p>
    <w:p>
      <w:pPr>
        <w:ind w:firstLine="422"/>
        <w:spacing w:line="360" w:lineRule="auto"/>
        <w:rPr>
          <w:rFonts w:hint="eastAsia" w:ascii="Calibri" w:hAnsi="Calibri" w:cs="宋体"/>
          <w:spacing w:val="-4"/>
          <w:szCs w:val="24"/>
          <w:lang w:val="en-US" w:eastAsia="zh-CN" w:bidi="ar-SA"/>
        </w:rPr>
      </w:pPr>
      <w:r>
        <w:rPr>
          <w:rFonts w:hint="eastAsia" w:ascii="Calibri" w:hAnsi="Calibri" w:cs="宋体"/>
          <w:b/>
          <w:bCs/>
          <w:szCs w:val="24"/>
          <w:lang w:val="en-US" w:eastAsia="zh-CN" w:bidi="ar-SA"/>
        </w:rPr>
        <w:t xml:space="preserve">（一）</w:t>
      </w:r>
      <w:r>
        <w:rPr>
          <w:rFonts w:hint="eastAsia" w:ascii="Calibri" w:hAnsi="Calibri" w:cs="宋体"/>
          <w:spacing w:val="-4"/>
          <w:szCs w:val="24"/>
          <w:lang w:val="en-US" w:eastAsia="zh-CN" w:bidi="ar-SA"/>
        </w:rPr>
        <w:t xml:space="preserve">拟派项目负责人1人。</w:t>
      </w:r>
      <w:r/>
    </w:p>
    <w:p>
      <w:pPr>
        <w:ind w:firstLine="404"/>
        <w:spacing w:line="360" w:lineRule="auto"/>
        <w:rPr>
          <w:rFonts w:hint="eastAsia" w:ascii="Calibri" w:hAnsi="Calibri" w:cs="宋体"/>
          <w:spacing w:val="-4"/>
          <w:szCs w:val="24"/>
          <w:lang w:val="en-US" w:eastAsia="zh-CN" w:bidi="ar-SA"/>
        </w:rPr>
      </w:pPr>
      <w:r>
        <w:rPr>
          <w:rFonts w:hint="eastAsia" w:ascii="Calibri" w:hAnsi="Calibri" w:cs="宋体"/>
          <w:spacing w:val="-4"/>
          <w:szCs w:val="24"/>
          <w:lang w:val="en-US" w:eastAsia="zh-CN" w:bidi="ar-SA"/>
        </w:rPr>
        <w:t xml:space="preserve">（二）项目组成员不少于5人。</w:t>
      </w:r>
      <w:r/>
    </w:p>
    <w:p>
      <w:pPr>
        <w:keepLines/>
        <w:keepNext/>
        <w:spacing w:before="260" w:after="260" w:line="360" w:lineRule="auto"/>
        <w:rPr>
          <w:rFonts w:hint="eastAsia" w:ascii="Calibri" w:hAnsi="Calibri" w:cs="宋体"/>
          <w:b/>
          <w:bCs/>
          <w:szCs w:val="24"/>
          <w:lang w:val="en-US" w:eastAsia="zh-CN" w:bidi="ar-SA"/>
        </w:rPr>
        <w:outlineLvl w:val="1"/>
      </w:pPr>
      <w:r/>
      <w:bookmarkStart w:id="416" w:name="_Toc20158"/>
      <w:r>
        <w:rPr>
          <w:rFonts w:hint="eastAsia" w:ascii="Calibri" w:hAnsi="Calibri" w:cs="宋体"/>
          <w:b/>
          <w:bCs/>
          <w:szCs w:val="24"/>
          <w:lang w:val="en-US" w:eastAsia="zh-CN" w:bidi="ar-SA"/>
        </w:rPr>
        <w:t xml:space="preserve">六、服务期限及地点</w:t>
      </w:r>
      <w:bookmarkEnd w:id="416"/>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（一）服务期：自合同签订之日起，至项目审核完成。</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（二）服务地点：采购人指定地点。</w:t>
      </w:r>
      <w:r/>
    </w:p>
    <w:p>
      <w:pPr>
        <w:ind w:firstLine="420"/>
        <w:spacing w:line="360" w:lineRule="auto"/>
        <w:rPr>
          <w:rFonts w:hint="eastAsia" w:ascii="Calibri" w:hAnsi="Calibri" w:cs="宋体"/>
          <w:b/>
          <w:bCs/>
          <w:szCs w:val="24"/>
          <w:lang w:val="en-US" w:eastAsia="zh-CN" w:bidi="ar-SA"/>
        </w:rPr>
      </w:pPr>
      <w:r>
        <w:rPr>
          <w:rFonts w:hint="eastAsia" w:ascii="Calibri" w:hAnsi="Calibri" w:cs="宋体"/>
          <w:szCs w:val="24"/>
          <w:lang w:val="en-US" w:eastAsia="zh-CN" w:bidi="ar-SA"/>
        </w:rPr>
        <w:t xml:space="preserve">（三）进度要求：根据各项目实际情况，服务应满足采购人的实施进度要求。</w:t>
      </w:r>
      <w:r>
        <w:rPr>
          <w:rFonts w:hint="eastAsia" w:ascii="Calibri" w:hAnsi="Calibri" w:cs="宋体"/>
          <w:b/>
          <w:bCs/>
          <w:szCs w:val="24"/>
          <w:lang w:val="en-US" w:eastAsia="zh-CN" w:bidi="ar-SA"/>
        </w:rPr>
        <w:t xml:space="preserve"> </w:t>
      </w:r>
      <w:r/>
    </w:p>
    <w:p>
      <w:pPr>
        <w:ind w:firstLine="420"/>
        <w:spacing w:line="360" w:lineRule="auto"/>
        <w:rPr>
          <w:rFonts w:hint="eastAsia" w:ascii="Calibri" w:hAnsi="Calibri" w:cs="宋体"/>
          <w:szCs w:val="24"/>
          <w:lang w:val="en-US" w:eastAsia="zh-CN" w:bidi="ar-SA"/>
        </w:rPr>
      </w:pPr>
      <w:r>
        <w:rPr>
          <w:rFonts w:hint="eastAsia" w:ascii="Calibri" w:hAnsi="Calibri" w:cs="宋体"/>
          <w:szCs w:val="24"/>
          <w:lang w:val="en-US" w:eastAsia="zh-CN" w:bidi="ar-SA"/>
        </w:rPr>
        <w:t xml:space="preserve">服务期内如遇党政机关或地方政策要求等不可抗力原因，合同可以提前终止，中标人不可追究任何因此导致的违约责任及赔偿。</w:t>
      </w:r>
      <w:r/>
    </w:p>
    <w:p>
      <w:pPr>
        <w:pStyle w:val="1089"/>
        <w:ind w:right="0" w:firstLine="420"/>
        <w:spacing w:line="440" w:lineRule="exact"/>
        <w:rPr>
          <w:rFonts w:hint="eastAsia" w:eastAsia="宋体" w:cs="宋体"/>
          <w:bCs w:val="0"/>
          <w:sz w:val="21"/>
        </w:rPr>
      </w:pPr>
      <w:r>
        <w:rPr>
          <w:rFonts w:hint="eastAsia" w:eastAsia="宋体" w:cs="宋体"/>
          <w:bCs w:val="0"/>
          <w:sz w:val="21"/>
        </w:rPr>
      </w:r>
      <w:r/>
    </w:p>
    <w:p>
      <w:pPr>
        <w:jc w:val="both"/>
        <w:spacing w:line="360" w:lineRule="auto"/>
        <w:rPr>
          <w:rFonts w:hint="eastAsia" w:ascii="宋体" w:hAnsi="宋体"/>
          <w:b/>
          <w:bCs/>
          <w:sz w:val="36"/>
          <w:szCs w:val="24"/>
          <w:lang w:val="en-US" w:eastAsia="zh-CN" w:bidi="ar-SA"/>
        </w:rPr>
      </w:pPr>
      <w:r>
        <w:rPr>
          <w:rFonts w:hint="eastAsia" w:ascii="宋体" w:hAnsi="宋体"/>
          <w:b/>
          <w:bCs/>
          <w:sz w:val="36"/>
          <w:szCs w:val="24"/>
          <w:lang w:val="en-US" w:eastAsia="zh-CN" w:bidi="ar-SA"/>
        </w:rPr>
      </w:r>
      <w:r/>
    </w:p>
    <w:p>
      <w:pPr>
        <w:ind w:firstLine="723"/>
        <w:jc w:val="center"/>
        <w:spacing w:line="360" w:lineRule="auto"/>
        <w:rPr>
          <w:rFonts w:hint="eastAsia" w:ascii="宋体" w:hAnsi="宋体"/>
          <w:sz w:val="36"/>
          <w:szCs w:val="24"/>
          <w:lang w:val="en-US" w:eastAsia="zh-CN" w:bidi="ar-SA"/>
        </w:rPr>
      </w:pPr>
      <w:r>
        <w:rPr>
          <w:rFonts w:hint="eastAsia" w:ascii="宋体" w:hAnsi="宋体"/>
          <w:b/>
          <w:bCs/>
          <w:sz w:val="36"/>
          <w:szCs w:val="24"/>
          <w:lang w:val="en-US" w:eastAsia="zh-CN" w:bidi="ar-SA"/>
        </w:rPr>
        <w:t xml:space="preserve">第五章 评标方法及评标标准</w:t>
      </w:r>
      <w:r/>
    </w:p>
    <w:p>
      <w:pPr>
        <w:ind w:firstLine="480"/>
        <w:jc w:val="left"/>
        <w:spacing w:before="120" w:after="120"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rPr>
          <w:rFonts w:hint="eastAsia" w:ascii="Arial" w:hAnsi="Arial" w:cs="Arial"/>
          <w:color w:val="000000"/>
          <w:sz w:val="24"/>
          <w:szCs w:val="24"/>
          <w:lang w:val="en-US" w:eastAsia="zh-CN" w:bidi="ar-SA"/>
        </w:rPr>
        <w:t xml:space="preserve">本项目选取3名中标候选人。</w:t>
      </w:r>
      <w:r/>
    </w:p>
    <w:p>
      <w:pPr>
        <w:ind w:firstLine="480"/>
        <w:jc w:val="left"/>
        <w:spacing w:before="120" w:after="120" w:line="360" w:lineRule="auto"/>
        <w:widowControl w:val="off"/>
        <w:rPr>
          <w:rFonts w:hint="eastAsia" w:ascii="宋体" w:hAnsi="宋体" w:eastAsia="宋体" w:cs="Times New Roman"/>
          <w:b/>
          <w:sz w:val="24"/>
          <w:szCs w:val="24"/>
          <w:highlight w:val="yellow"/>
          <w:lang w:val="en-US" w:eastAsia="zh-CN" w:bidi="ar-SA"/>
        </w:rPr>
      </w:pPr>
      <w:r>
        <w:rPr>
          <w:rFonts w:hint="eastAsia" w:ascii="宋体" w:hAnsi="宋体" w:eastAsia="宋体" w:cs="Times New Roman"/>
          <w:b/>
          <w:sz w:val="24"/>
          <w:szCs w:val="24"/>
          <w:lang w:val="en-US" w:eastAsia="zh-CN" w:bidi="ar-SA"/>
        </w:rPr>
        <w:t xml:space="preserve">政府采购政策功能落实</w:t>
      </w:r>
      <w:r/>
    </w:p>
    <w:p>
      <w:pPr>
        <w:ind w:firstLine="48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1、小微型企业价格扣除</w:t>
      </w:r>
      <w:r/>
    </w:p>
    <w:p>
      <w:pPr>
        <w:ind w:firstLine="36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（1）对小型和微型企业提供的服务给予</w:t>
      </w:r>
      <w:r>
        <w:rPr>
          <w:rFonts w:hint="eastAsia" w:ascii="宋体" w:hAnsi="宋体" w:eastAsia="宋体" w:cs="Times New Roman"/>
          <w:sz w:val="24"/>
          <w:szCs w:val="24"/>
          <w:u w:val="single"/>
          <w:lang w:val="en-US" w:eastAsia="zh-CN" w:bidi="ar-SA"/>
        </w:rPr>
        <w:t xml:space="preserve">20%</w:t>
      </w:r>
      <w:r>
        <w:rPr>
          <w:rFonts w:hint="eastAsia" w:ascii="宋体" w:hAnsi="宋体" w:eastAsia="宋体" w:cs="Times New Roman"/>
          <w:sz w:val="24"/>
          <w:szCs w:val="24"/>
          <w:lang w:val="en-US" w:eastAsia="zh-CN" w:bidi="ar-SA"/>
        </w:rPr>
        <w:t xml:space="preserve">的扣除价格，用扣除后的价格参与评审。</w:t>
      </w:r>
      <w:r/>
    </w:p>
    <w:p>
      <w:pPr>
        <w:ind w:firstLine="36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（2）供应商需按照采购文件的要求提供相应的《小微企业声明函》。</w:t>
      </w:r>
      <w:r/>
    </w:p>
    <w:p>
      <w:pPr>
        <w:ind w:firstLine="36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2、残疾人福利单位价格扣除</w:t>
      </w:r>
      <w:r/>
    </w:p>
    <w:p>
      <w:pPr>
        <w:ind w:left="120" w:firstLine="36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（1）对残疾人福利性单位视同小型、微型企业，给予</w:t>
      </w:r>
      <w:r>
        <w:rPr>
          <w:rFonts w:hint="eastAsia" w:ascii="宋体" w:hAnsi="宋体" w:eastAsia="宋体" w:cs="Times New Roman"/>
          <w:sz w:val="24"/>
          <w:szCs w:val="24"/>
          <w:u w:val="single"/>
          <w:lang w:val="en-US" w:eastAsia="zh-CN" w:bidi="ar-SA"/>
        </w:rPr>
        <w:t xml:space="preserve">20%</w:t>
      </w:r>
      <w:r>
        <w:rPr>
          <w:rFonts w:hint="eastAsia" w:ascii="宋体" w:hAnsi="宋体" w:eastAsia="宋体" w:cs="Times New Roman"/>
          <w:sz w:val="24"/>
          <w:szCs w:val="24"/>
          <w:lang w:val="en-US" w:eastAsia="zh-CN" w:bidi="ar-SA"/>
        </w:rPr>
        <w:t xml:space="preserve">的价格扣除，用扣除后的价格参与评审。</w:t>
      </w:r>
      <w:r/>
    </w:p>
    <w:p>
      <w:pPr>
        <w:ind w:left="120" w:firstLine="36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（2）残疾人福利单位需按照采购文件的要求提供《残疾人福利性单位声明函》。</w:t>
      </w:r>
      <w:r/>
    </w:p>
    <w:p>
      <w:pPr>
        <w:ind w:left="120" w:firstLine="36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（3）残疾人福利单位标准请参照《关于促进残疾人就业政府采购政策的通知》（财库〔2017〕141号）。</w:t>
      </w:r>
      <w:r/>
    </w:p>
    <w:p>
      <w:pPr>
        <w:ind w:firstLine="48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3、监狱和戒毒企业价格扣除</w:t>
      </w:r>
      <w:r/>
    </w:p>
    <w:p>
      <w:pPr>
        <w:ind w:firstLine="48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（1）对监狱和戒毒企业（简称监狱企业）视同小型、微型企业，给予</w:t>
      </w:r>
      <w:r>
        <w:rPr>
          <w:rFonts w:hint="eastAsia" w:ascii="宋体" w:hAnsi="宋体" w:eastAsia="宋体" w:cs="Times New Roman"/>
          <w:sz w:val="24"/>
          <w:szCs w:val="24"/>
          <w:u w:val="single"/>
          <w:lang w:val="en-US" w:eastAsia="zh-CN" w:bidi="ar-SA"/>
        </w:rPr>
        <w:t xml:space="preserve">20%</w:t>
      </w:r>
      <w:r>
        <w:rPr>
          <w:rFonts w:hint="eastAsia" w:ascii="宋体" w:hAnsi="宋体" w:eastAsia="宋体" w:cs="Times New Roman"/>
          <w:sz w:val="24"/>
          <w:szCs w:val="24"/>
          <w:lang w:val="en-US" w:eastAsia="zh-CN" w:bidi="ar-SA"/>
        </w:rPr>
        <w:t xml:space="preserve">的价格扣除，用扣除后的价格参与评审。</w:t>
      </w:r>
      <w:r/>
    </w:p>
    <w:p>
      <w:pPr>
        <w:ind w:firstLine="48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（3）监狱企业标准请参照《关于政府采购支持监狱企业发展有关问题的通知》（</w:t>
      </w:r>
      <w:r>
        <w:rPr>
          <w:rFonts w:ascii="宋体" w:hAnsi="宋体" w:eastAsia="宋体" w:cs="Times New Roman"/>
          <w:sz w:val="24"/>
          <w:szCs w:val="24"/>
          <w:lang w:val="en-US" w:eastAsia="zh-CN" w:bidi="ar-SA"/>
        </w:rPr>
        <w:t xml:space="preserve">财库[2014]68号</w:t>
      </w:r>
      <w:r>
        <w:rPr>
          <w:rFonts w:hint="eastAsia" w:ascii="宋体" w:hAnsi="宋体" w:eastAsia="宋体" w:cs="Times New Roman"/>
          <w:sz w:val="24"/>
          <w:szCs w:val="24"/>
          <w:lang w:val="en-US" w:eastAsia="zh-CN" w:bidi="ar-SA"/>
        </w:rPr>
        <w:t xml:space="preserve">）。</w:t>
      </w:r>
      <w:r/>
    </w:p>
    <w:p>
      <w:pPr>
        <w:ind w:firstLine="480"/>
        <w:jc w:val="left"/>
        <w:spacing w:before="120" w:after="120"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4、残疾人福利单位、监狱企业属于小型、微型企业的，不重复享受政策。</w:t>
      </w:r>
      <w:r/>
    </w:p>
    <w:p>
      <w:pPr>
        <w:ind w:firstLine="480"/>
        <w:jc w:val="left"/>
        <w:spacing w:before="120" w:after="120"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Times New Roman"/>
          <w:sz w:val="24"/>
          <w:szCs w:val="24"/>
          <w:u w:val="single"/>
          <w:lang w:val="en-US" w:eastAsia="zh-CN" w:bidi="ar-SA"/>
        </w:rPr>
        <w:t xml:space="preserve">6%</w:t>
      </w:r>
      <w:r>
        <w:rPr>
          <w:rFonts w:hint="eastAsia" w:ascii="宋体" w:hAnsi="宋体" w:eastAsia="宋体" w:cs="Times New Roman"/>
          <w:sz w:val="24"/>
          <w:szCs w:val="24"/>
          <w:lang w:val="en-US" w:eastAsia="zh-CN" w:bidi="ar-SA"/>
        </w:rPr>
        <w:t xml:space="preserve">的价格扣除，用扣除后的价格参与评审。</w:t>
      </w:r>
      <w:r/>
    </w:p>
    <w:p>
      <w:pPr>
        <w:ind w:firstLine="480"/>
        <w:jc w:val="left"/>
        <w:spacing w:before="120" w:after="120"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6、联合体各方均为小型、微型企业（残疾人福利单位、监狱企业）的，联合体享受</w:t>
      </w:r>
      <w:r>
        <w:rPr>
          <w:rFonts w:hint="eastAsia" w:ascii="宋体" w:hAnsi="宋体" w:eastAsia="宋体" w:cs="Times New Roman"/>
          <w:sz w:val="24"/>
          <w:szCs w:val="24"/>
          <w:u w:val="single"/>
          <w:lang w:val="en-US" w:eastAsia="zh-CN" w:bidi="ar-SA"/>
        </w:rPr>
        <w:t xml:space="preserve">20%</w:t>
      </w:r>
      <w:r>
        <w:rPr>
          <w:rFonts w:hint="eastAsia" w:ascii="宋体" w:hAnsi="宋体" w:eastAsia="宋体" w:cs="Times New Roman"/>
          <w:sz w:val="24"/>
          <w:szCs w:val="24"/>
          <w:lang w:val="en-US" w:eastAsia="zh-CN" w:bidi="ar-SA"/>
        </w:rPr>
        <w:t xml:space="preserve">价格扣除，用扣除后的价格参与评审。</w:t>
      </w:r>
      <w:r/>
    </w:p>
    <w:p>
      <w:pPr>
        <w:ind w:left="420" w:firstLine="0"/>
        <w:jc w:val="both"/>
        <w:spacing w:line="360" w:lineRule="auto"/>
        <w:widowControl w:val="off"/>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二、评标标准</w:t>
      </w:r>
      <w:r/>
    </w:p>
    <w:p>
      <w:pPr>
        <w:ind w:firstLine="560"/>
        <w:spacing w:line="360" w:lineRule="auto"/>
        <w:rPr>
          <w:rFonts w:hint="eastAsia" w:ascii="宋体" w:hAnsi="宋体" w:eastAsia="宋体" w:cs="宋体"/>
          <w:b w:val="0"/>
          <w:bCs w:val="0"/>
          <w:sz w:val="28"/>
          <w:szCs w:val="28"/>
          <w:lang w:val="en-US" w:eastAsia="zh-CN" w:bidi="ar"/>
        </w:rPr>
      </w:pPr>
      <w:r>
        <w:rPr>
          <w:rFonts w:hint="eastAsia" w:ascii="宋体" w:hAnsi="宋体" w:eastAsia="宋体" w:cs="宋体"/>
          <w:b w:val="0"/>
          <w:bCs w:val="0"/>
          <w:sz w:val="28"/>
          <w:szCs w:val="28"/>
          <w:lang w:val="en-US" w:eastAsia="zh-CN" w:bidi="ar"/>
        </w:rPr>
        <w:t xml:space="preserve">包</w:t>
      </w:r>
      <w:r>
        <w:rPr>
          <w:rFonts w:hint="eastAsia" w:ascii="宋体" w:hAnsi="宋体" w:cs="宋体"/>
          <w:b w:val="0"/>
          <w:bCs w:val="0"/>
          <w:sz w:val="28"/>
          <w:szCs w:val="28"/>
          <w:lang w:val="en-US" w:eastAsia="zh-CN" w:bidi="ar"/>
        </w:rPr>
        <w:t xml:space="preserve">一：</w:t>
      </w:r>
      <w:r/>
    </w:p>
    <w:tbl>
      <w:tblPr>
        <w:tblStyle w:val="73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7177"/>
      </w:tblGrid>
      <w:tr>
        <w:trPr>
          <w:jc w:val="center"/>
          <w:trHeight w:val="300"/>
        </w:trPr>
        <w:tc>
          <w:tcPr>
            <w:tcW w:w="1345" w:type="dxa"/>
            <w:vAlign w:val="center"/>
            <w:textDirection w:val="lrTb"/>
            <w:noWrap w:val="false"/>
          </w:tcPr>
          <w:p>
            <w:pPr>
              <w:jc w:val="center"/>
              <w:spacing w:line="280" w:lineRule="exact"/>
              <w:widowControl/>
              <w:rPr>
                <w:rFonts w:hint="eastAsia" w:ascii="宋体" w:hAnsi="宋体" w:eastAsia="宋体" w:cs="宋体"/>
                <w:b/>
                <w:bCs/>
                <w:szCs w:val="24"/>
                <w:lang w:val="en-US" w:eastAsia="zh-CN" w:bidi="ar-SA"/>
              </w:rPr>
            </w:pPr>
            <w:r>
              <w:rPr>
                <w:rFonts w:hint="eastAsia" w:ascii="宋体" w:hAnsi="宋体" w:eastAsia="宋体" w:cs="宋体"/>
                <w:b/>
                <w:bCs/>
                <w:szCs w:val="24"/>
                <w:lang w:val="en-US" w:eastAsia="zh-CN" w:bidi="ar-SA"/>
              </w:rPr>
              <w:t xml:space="preserve">项目</w:t>
            </w:r>
            <w:r/>
          </w:p>
        </w:tc>
        <w:tc>
          <w:tcPr>
            <w:tcW w:w="7177" w:type="dxa"/>
            <w:vAlign w:val="center"/>
            <w:textDirection w:val="lrTb"/>
            <w:noWrap w:val="false"/>
          </w:tcPr>
          <w:p>
            <w:pPr>
              <w:jc w:val="center"/>
              <w:spacing w:line="280" w:lineRule="exact"/>
              <w:widowControl/>
              <w:rPr>
                <w:rFonts w:hint="eastAsia" w:ascii="宋体" w:hAnsi="宋体" w:eastAsia="宋体" w:cs="宋体"/>
                <w:b/>
                <w:bCs/>
                <w:szCs w:val="24"/>
                <w:lang w:val="en-US" w:eastAsia="zh-CN" w:bidi="ar-SA"/>
              </w:rPr>
            </w:pPr>
            <w:r>
              <w:rPr>
                <w:rFonts w:hint="eastAsia" w:ascii="宋体" w:hAnsi="宋体" w:eastAsia="宋体" w:cs="宋体"/>
                <w:b/>
                <w:bCs/>
                <w:szCs w:val="24"/>
                <w:lang w:val="en-US" w:eastAsia="zh-CN" w:bidi="ar-SA"/>
              </w:rPr>
              <w:t xml:space="preserve">评分标准</w:t>
            </w:r>
            <w:r/>
          </w:p>
        </w:tc>
      </w:tr>
      <w:tr>
        <w:trPr>
          <w:jc w:val="center"/>
          <w:trHeight w:val="605"/>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价 格</w:t>
            </w:r>
            <w:r/>
          </w:p>
          <w:p>
            <w:pPr>
              <w:jc w:val="center"/>
              <w:spacing w:line="280" w:lineRule="exact"/>
              <w:widowControl/>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以满足招标文件要求的最低</w:t>
            </w:r>
            <w:r>
              <w:rPr>
                <w:rFonts w:hint="eastAsia" w:ascii="宋体" w:hAnsi="宋体" w:cs="宋体"/>
                <w:szCs w:val="24"/>
                <w:lang w:val="en-US" w:eastAsia="zh-CN" w:bidi="ar-SA"/>
              </w:rPr>
              <w:t xml:space="preserve">投标报</w:t>
            </w:r>
            <w:r>
              <w:rPr>
                <w:rFonts w:hint="eastAsia" w:ascii="宋体" w:hAnsi="宋体" w:eastAsia="宋体" w:cs="宋体"/>
                <w:szCs w:val="24"/>
                <w:lang w:val="en-US" w:eastAsia="zh-CN" w:bidi="ar-SA"/>
              </w:rPr>
              <w:t xml:space="preserve">价为基准价，得满分30分，其他</w:t>
            </w:r>
            <w:r>
              <w:rPr>
                <w:rFonts w:hint="eastAsia" w:ascii="宋体" w:hAnsi="宋体" w:cs="宋体"/>
                <w:szCs w:val="24"/>
                <w:lang w:val="en-US" w:eastAsia="zh-CN" w:bidi="ar-SA"/>
              </w:rPr>
              <w:t xml:space="preserve">投标报价</w:t>
            </w:r>
            <w:r>
              <w:rPr>
                <w:rFonts w:hint="eastAsia" w:ascii="宋体" w:hAnsi="宋体" w:eastAsia="宋体" w:cs="宋体"/>
                <w:szCs w:val="24"/>
                <w:lang w:val="en-US" w:eastAsia="zh-CN" w:bidi="ar-SA"/>
              </w:rPr>
              <w:t xml:space="preserve">得分＝（基准价/</w:t>
            </w:r>
            <w:r>
              <w:rPr>
                <w:rFonts w:hint="eastAsia" w:ascii="宋体" w:hAnsi="宋体" w:cs="宋体"/>
                <w:szCs w:val="24"/>
                <w:lang w:val="en-US" w:eastAsia="zh-CN" w:bidi="ar-SA"/>
              </w:rPr>
              <w:t xml:space="preserve">其他投标</w:t>
            </w:r>
            <w:r>
              <w:rPr>
                <w:rFonts w:hint="eastAsia" w:ascii="宋体" w:hAnsi="宋体" w:eastAsia="宋体" w:cs="宋体"/>
                <w:szCs w:val="24"/>
                <w:lang w:val="en-US" w:eastAsia="zh-CN" w:bidi="ar-SA"/>
              </w:rPr>
              <w:t xml:space="preserve">报价）×30×100％（保留小数点后两位）。</w:t>
            </w:r>
            <w:r/>
          </w:p>
        </w:tc>
      </w:tr>
      <w:tr>
        <w:trPr>
          <w:jc w:val="center"/>
          <w:trHeight w:val="970"/>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技术性能</w:t>
            </w:r>
            <w:r/>
          </w:p>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根据投标供应商所投产品技术参数完全满足招标文件技术参数要求得40分。招标文件产品技术要求中加“▲”号条款有一项不满足扣2分，扣完为止。</w:t>
            </w:r>
            <w:r>
              <w:rPr>
                <w:rFonts w:hint="eastAsia" w:ascii="宋体" w:hAnsi="宋体" w:eastAsia="宋体" w:cs="宋体"/>
                <w:b/>
                <w:bCs/>
                <w:szCs w:val="24"/>
                <w:lang w:val="en-US" w:eastAsia="zh-CN" w:bidi="ar-SA"/>
              </w:rPr>
              <w:t xml:space="preserve">带“▲”设备产品有具体要求的按照招标文件要求提供证明资料，以验证所投产品的符合性，不提供的视为不满足。</w:t>
            </w:r>
            <w:r/>
          </w:p>
        </w:tc>
      </w:tr>
      <w:tr>
        <w:trPr>
          <w:jc w:val="center"/>
          <w:trHeight w:val="406"/>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技术方案</w:t>
            </w:r>
            <w:r/>
          </w:p>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rPr>
                <w:rFonts w:hint="eastAsia" w:ascii="宋体" w:hAnsi="宋体" w:cs="宋体"/>
                <w:color w:val="0000ff"/>
                <w:sz w:val="21"/>
                <w:szCs w:val="21"/>
                <w:lang w:val="en-US" w:eastAsia="zh-CN" w:bidi="ar"/>
              </w:rPr>
              <w:t xml:space="preserve">交通指挥中心建设方案</w:t>
            </w:r>
            <w:r>
              <w:rPr>
                <w:rFonts w:hint="eastAsia" w:ascii="宋体" w:hAnsi="宋体" w:eastAsia="宋体" w:cs="宋体"/>
                <w:szCs w:val="24"/>
                <w:lang w:val="en-US" w:eastAsia="zh-CN" w:bidi="ar-SA"/>
              </w:rPr>
              <w:t xml:space="preserve">：优于招标文件要求的得5分，符合招标文件要求的得</w:t>
            </w:r>
            <w:r>
              <w:rPr>
                <w:rFonts w:hint="eastAsia" w:ascii="宋体" w:hAnsi="宋体" w:cs="宋体"/>
                <w:szCs w:val="24"/>
                <w:lang w:val="en-US" w:eastAsia="zh-CN" w:bidi="ar-SA"/>
              </w:rPr>
              <w:t xml:space="preserve">3</w:t>
            </w:r>
            <w:r>
              <w:rPr>
                <w:rFonts w:hint="eastAsia" w:ascii="宋体" w:hAnsi="宋体" w:eastAsia="宋体" w:cs="宋体"/>
                <w:szCs w:val="24"/>
                <w:lang w:val="en-US" w:eastAsia="zh-CN" w:bidi="ar-SA"/>
              </w:rPr>
              <w:t xml:space="preserve">分、不符合要求或未提供的不得分；</w:t>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rPr>
                <w:rFonts w:hint="eastAsia" w:ascii="宋体" w:hAnsi="宋体" w:cs="宋体"/>
                <w:color w:val="0000ff"/>
                <w:sz w:val="21"/>
                <w:szCs w:val="21"/>
                <w:lang w:val="en-US" w:eastAsia="zh-CN" w:bidi="ar"/>
              </w:rPr>
              <w:t xml:space="preserve">综合性集成应用平台建设方案</w:t>
            </w:r>
            <w:r>
              <w:rPr>
                <w:rFonts w:hint="eastAsia" w:ascii="宋体" w:hAnsi="宋体" w:eastAsia="宋体" w:cs="宋体"/>
                <w:szCs w:val="24"/>
                <w:lang w:val="en-US" w:eastAsia="zh-CN" w:bidi="ar-SA"/>
              </w:rPr>
              <w:t xml:space="preserve">：优于招标文件要求的得5分，符合招标文件要求的得</w:t>
            </w:r>
            <w:r>
              <w:rPr>
                <w:rFonts w:hint="eastAsia" w:ascii="宋体" w:hAnsi="宋体" w:cs="宋体"/>
                <w:szCs w:val="24"/>
                <w:lang w:val="en-US" w:eastAsia="zh-CN" w:bidi="ar-SA"/>
              </w:rPr>
              <w:t xml:space="preserve">3</w:t>
            </w:r>
            <w:r>
              <w:rPr>
                <w:rFonts w:hint="eastAsia" w:ascii="宋体" w:hAnsi="宋体" w:eastAsia="宋体" w:cs="宋体"/>
                <w:szCs w:val="24"/>
                <w:lang w:val="en-US" w:eastAsia="zh-CN" w:bidi="ar-SA"/>
              </w:rPr>
              <w:t xml:space="preserve">分、不符合要求或未提供的不得分。</w:t>
            </w:r>
            <w:r/>
          </w:p>
        </w:tc>
      </w:tr>
      <w:tr>
        <w:trPr>
          <w:jc w:val="center"/>
          <w:trHeight w:val="464"/>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综合实力</w:t>
            </w:r>
            <w:r/>
          </w:p>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1、投标人具有ISO9001质量管理体系认证证书、ISO14001环境管理体系认证证书、ISO45001职业健康安全管理体系认证证书、IS027001信息安全管理体系认证的，有1个得0.5分，满分2分，不提供不得分；</w:t>
            </w:r>
            <w:r>
              <w:rPr>
                <w:rFonts w:hint="eastAsia" w:ascii="宋体" w:hAnsi="宋体" w:eastAsia="宋体" w:cs="宋体"/>
                <w:b/>
                <w:bCs/>
                <w:szCs w:val="24"/>
                <w:lang w:val="en-US" w:eastAsia="zh-CN" w:bidi="ar-SA"/>
              </w:rPr>
              <w:t xml:space="preserve">（提供证书原件，扫描上传）</w:t>
            </w:r>
            <w:r/>
          </w:p>
          <w:p>
            <w:pPr>
              <w:spacing w:line="280" w:lineRule="exact"/>
              <w:rPr>
                <w:rFonts w:hint="eastAsia" w:ascii="宋体" w:hAnsi="宋体" w:eastAsia="宋体" w:cs="宋体"/>
                <w:b/>
                <w:bCs/>
                <w:szCs w:val="24"/>
                <w:lang w:val="en-US" w:eastAsia="zh-CN" w:bidi="ar-SA"/>
              </w:rPr>
            </w:pPr>
            <w:r>
              <w:rPr>
                <w:rFonts w:hint="eastAsia" w:ascii="宋体" w:hAnsi="宋体" w:eastAsia="宋体" w:cs="宋体"/>
                <w:szCs w:val="24"/>
                <w:lang w:val="en-US" w:eastAsia="zh-CN" w:bidi="ar-SA"/>
              </w:rPr>
              <w:t xml:space="preserve">2、投标人具有信息系统建设和服务能力评估良好级（CS3）及以上的得1分；</w:t>
            </w:r>
            <w:r>
              <w:rPr>
                <w:rFonts w:hint="eastAsia" w:ascii="宋体" w:hAnsi="宋体" w:eastAsia="宋体" w:cs="宋体"/>
                <w:b/>
                <w:bCs/>
                <w:szCs w:val="24"/>
                <w:lang w:val="en-US" w:eastAsia="zh-CN" w:bidi="ar-SA"/>
              </w:rPr>
              <w:t xml:space="preserve">（提供证书原件，扫描上传）</w:t>
            </w:r>
            <w:r/>
          </w:p>
          <w:p>
            <w:pPr>
              <w:spacing w:line="280" w:lineRule="exact"/>
              <w:rPr>
                <w:rFonts w:hint="eastAsia" w:ascii="宋体" w:hAnsi="宋体" w:eastAsia="宋体" w:cs="宋体"/>
                <w:b/>
                <w:bCs/>
                <w:szCs w:val="24"/>
                <w:lang w:val="en-US" w:eastAsia="zh-CN" w:bidi="ar-SA"/>
              </w:rPr>
            </w:pPr>
            <w:r>
              <w:rPr>
                <w:rFonts w:hint="eastAsia" w:ascii="宋体" w:hAnsi="宋体" w:eastAsia="宋体" w:cs="宋体"/>
                <w:szCs w:val="24"/>
                <w:lang w:val="en-US" w:eastAsia="zh-CN" w:bidi="ar-SA"/>
              </w:rPr>
              <w:t xml:space="preserve">3、投标人具有信息技术服务标准（ITSS)运维能力成熟度二级及以上的得1分；</w:t>
            </w:r>
            <w:r>
              <w:rPr>
                <w:rFonts w:hint="eastAsia" w:ascii="宋体" w:hAnsi="宋体" w:eastAsia="宋体" w:cs="宋体"/>
                <w:b/>
                <w:bCs/>
                <w:szCs w:val="24"/>
                <w:lang w:val="en-US" w:eastAsia="zh-CN" w:bidi="ar-SA"/>
              </w:rPr>
              <w:t xml:space="preserve">（提供证书原件，扫描上传）</w:t>
            </w:r>
            <w:r/>
          </w:p>
          <w:p>
            <w:pPr>
              <w:spacing w:line="280" w:lineRule="exact"/>
              <w:rPr>
                <w:rFonts w:hint="eastAsia" w:ascii="宋体" w:hAnsi="宋体" w:eastAsia="宋体" w:cs="宋体"/>
                <w:szCs w:val="24"/>
                <w:lang w:val="en-US" w:eastAsia="zh-CN" w:bidi="ar-SA"/>
              </w:rPr>
            </w:pPr>
            <w:r>
              <w:rPr>
                <w:rFonts w:hint="eastAsia" w:ascii="宋体" w:hAnsi="宋体" w:cs="宋体"/>
                <w:szCs w:val="24"/>
                <w:lang w:val="en-US" w:eastAsia="zh-CN" w:bidi="ar-SA"/>
              </w:rPr>
              <w:t xml:space="preserve">4</w:t>
            </w:r>
            <w:r>
              <w:rPr>
                <w:rFonts w:hint="eastAsia" w:ascii="宋体" w:hAnsi="宋体" w:eastAsia="宋体" w:cs="宋体"/>
                <w:szCs w:val="24"/>
                <w:lang w:val="en-US" w:eastAsia="zh-CN" w:bidi="ar-SA"/>
              </w:rPr>
              <w:t xml:space="preserve">、投标人拟派项目经理具有信息系统项目管理师，有一个得</w:t>
            </w:r>
            <w:r>
              <w:rPr>
                <w:rFonts w:hint="eastAsia" w:ascii="宋体" w:hAnsi="宋体" w:cs="宋体"/>
                <w:szCs w:val="24"/>
                <w:lang w:val="en-US" w:eastAsia="zh-CN" w:bidi="ar-SA"/>
              </w:rPr>
              <w:t xml:space="preserve">2</w:t>
            </w:r>
            <w:r>
              <w:rPr>
                <w:rFonts w:hint="eastAsia" w:ascii="宋体" w:hAnsi="宋体" w:eastAsia="宋体" w:cs="宋体"/>
                <w:szCs w:val="24"/>
                <w:lang w:val="en-US" w:eastAsia="zh-CN" w:bidi="ar-SA"/>
              </w:rPr>
              <w:t xml:space="preserve">分，满分2分。（项目经理提供证书原件及投标人近三个月任意一个月为其缴纳社保的证明材料，扫描上传。）</w:t>
            </w:r>
            <w:r/>
          </w:p>
          <w:p>
            <w:pPr>
              <w:spacing w:line="280" w:lineRule="exact"/>
              <w:rPr>
                <w:rFonts w:hint="default" w:ascii="宋体" w:hAnsi="宋体" w:eastAsia="宋体" w:cs="宋体"/>
                <w:szCs w:val="24"/>
                <w:lang w:val="en-US" w:eastAsia="zh-CN" w:bidi="ar-SA"/>
              </w:rPr>
            </w:pPr>
            <w:r>
              <w:rPr>
                <w:rFonts w:hint="eastAsia" w:ascii="宋体" w:hAnsi="宋体" w:cs="宋体"/>
                <w:szCs w:val="24"/>
                <w:lang w:val="en-US" w:eastAsia="zh-CN" w:bidi="ar-SA"/>
              </w:rPr>
              <w:t xml:space="preserve">5</w:t>
            </w:r>
            <w:r>
              <w:rPr>
                <w:rFonts w:hint="eastAsia" w:ascii="宋体" w:hAnsi="宋体" w:eastAsia="宋体" w:cs="宋体"/>
                <w:szCs w:val="24"/>
                <w:lang w:val="en-US" w:eastAsia="zh-CN" w:bidi="ar-SA"/>
              </w:rPr>
              <w:t xml:space="preserve">、项目组成员具有注册信息安全专业人员(CISP)证书、网络工程师，提供一种证书得</w:t>
            </w:r>
            <w:r>
              <w:rPr>
                <w:rFonts w:hint="eastAsia" w:ascii="宋体" w:hAnsi="宋体" w:cs="宋体"/>
                <w:szCs w:val="24"/>
                <w:lang w:val="en-US" w:eastAsia="zh-CN" w:bidi="ar-SA"/>
              </w:rPr>
              <w:t xml:space="preserve">1</w:t>
            </w:r>
            <w:r>
              <w:rPr>
                <w:rFonts w:hint="eastAsia" w:ascii="宋体" w:hAnsi="宋体" w:eastAsia="宋体" w:cs="宋体"/>
                <w:szCs w:val="24"/>
                <w:lang w:val="en-US" w:eastAsia="zh-CN" w:bidi="ar-SA"/>
              </w:rPr>
              <w:t xml:space="preserve">分，满分2分。（项目组成员一人多证的按1种证书计分，提供证书原件及投标人近三个月任意一个月为其缴纳社保的证明材料，扫描上传。）</w:t>
            </w:r>
            <w:r/>
          </w:p>
        </w:tc>
      </w:tr>
      <w:tr>
        <w:trPr>
          <w:jc w:val="center"/>
          <w:trHeight w:val="406"/>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业绩（4分）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提供2021年1月1日以来的类似项目业绩合同，每提供1份得1分，最多得4分。</w:t>
            </w:r>
            <w:r>
              <w:rPr>
                <w:rFonts w:hint="eastAsia" w:ascii="宋体" w:hAnsi="宋体" w:eastAsia="宋体" w:cs="宋体"/>
                <w:b/>
                <w:bCs/>
                <w:szCs w:val="24"/>
                <w:lang w:val="en-US" w:eastAsia="zh-CN" w:bidi="ar-SA"/>
              </w:rPr>
              <w:t xml:space="preserve">（合同原件扫描上传）</w:t>
            </w:r>
            <w:r/>
          </w:p>
        </w:tc>
      </w:tr>
      <w:tr>
        <w:trPr>
          <w:jc w:val="center"/>
          <w:trHeight w:val="551"/>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售后服务</w:t>
            </w:r>
            <w:r/>
          </w:p>
          <w:p>
            <w:pPr>
              <w:jc w:val="center"/>
              <w:spacing w:line="280" w:lineRule="exact"/>
              <w:widowControl/>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1、有</w:t>
            </w:r>
            <w:r>
              <w:rPr>
                <w:rFonts w:hint="eastAsia" w:ascii="宋体" w:hAnsi="宋体" w:cs="宋体"/>
                <w:color w:val="0000ff"/>
                <w:sz w:val="21"/>
                <w:szCs w:val="21"/>
                <w:lang w:val="en-US" w:eastAsia="zh-CN" w:bidi="ar"/>
              </w:rPr>
              <w:t xml:space="preserve">详细、合理的售后服务方案</w:t>
            </w:r>
            <w:r>
              <w:rPr>
                <w:rFonts w:hint="eastAsia" w:ascii="宋体" w:hAnsi="宋体" w:eastAsia="宋体" w:cs="宋体"/>
                <w:szCs w:val="24"/>
                <w:lang w:val="en-US" w:eastAsia="zh-CN" w:bidi="ar-SA"/>
              </w:rPr>
              <w:t xml:space="preserve">：优于招标文件要求的得3分，符合招标文件要求的得2分，不符合要求或未提供的不得分；</w:t>
            </w:r>
            <w:r/>
          </w:p>
          <w:p>
            <w:pPr>
              <w:spacing w:line="280" w:lineRule="exact"/>
              <w:rPr>
                <w:rFonts w:hint="default" w:ascii="宋体" w:hAnsi="宋体" w:eastAsia="宋体" w:cs="宋体"/>
                <w:color w:val="ff0000"/>
                <w:szCs w:val="24"/>
                <w:lang w:val="en-US" w:eastAsia="zh-CN" w:bidi="ar-SA"/>
              </w:rPr>
            </w:pPr>
            <w:r>
              <w:rPr>
                <w:rFonts w:hint="eastAsia" w:ascii="宋体" w:hAnsi="宋体" w:eastAsia="宋体" w:cs="宋体"/>
                <w:szCs w:val="24"/>
                <w:lang w:val="en-US" w:eastAsia="zh-CN" w:bidi="ar-SA"/>
              </w:rPr>
              <w:t xml:space="preserve">2、投标人</w:t>
            </w:r>
            <w:r>
              <w:rPr>
                <w:rFonts w:hint="eastAsia" w:ascii="宋体" w:hAnsi="宋体" w:cs="宋体"/>
                <w:szCs w:val="24"/>
                <w:lang w:val="en-US" w:eastAsia="zh-CN" w:bidi="ar-SA"/>
              </w:rPr>
              <w:t xml:space="preserve">售后服务人员</w:t>
            </w:r>
            <w:r>
              <w:rPr>
                <w:rFonts w:hint="eastAsia" w:ascii="宋体" w:hAnsi="宋体" w:eastAsia="宋体" w:cs="宋体"/>
                <w:szCs w:val="24"/>
                <w:lang w:val="en-US" w:eastAsia="zh-CN" w:bidi="ar-SA"/>
              </w:rPr>
              <w:t xml:space="preserve">每有1人具有</w:t>
            </w:r>
            <w:r>
              <w:rPr>
                <w:rFonts w:hint="eastAsia" w:ascii="宋体" w:hAnsi="宋体" w:cs="宋体"/>
                <w:color w:val="0000ff"/>
                <w:sz w:val="21"/>
                <w:szCs w:val="21"/>
                <w:lang w:val="en-US" w:eastAsia="zh-CN" w:bidi="ar"/>
              </w:rPr>
              <w:t xml:space="preserve">低压电工作业证书</w:t>
            </w:r>
            <w:r>
              <w:rPr>
                <w:rFonts w:hint="eastAsia" w:ascii="宋体" w:hAnsi="宋体" w:eastAsia="宋体" w:cs="宋体"/>
                <w:szCs w:val="24"/>
                <w:lang w:val="en-US" w:eastAsia="zh-CN" w:bidi="ar-SA"/>
              </w:rPr>
              <w:t xml:space="preserve">的，并能确保</w:t>
            </w:r>
            <w:r>
              <w:rPr>
                <w:rFonts w:hint="eastAsia" w:ascii="宋体" w:hAnsi="宋体" w:cs="宋体"/>
                <w:szCs w:val="24"/>
                <w:lang w:val="en-US" w:eastAsia="zh-CN" w:bidi="ar-SA"/>
              </w:rPr>
              <w:t xml:space="preserve">人员</w:t>
            </w:r>
            <w:r>
              <w:rPr>
                <w:rFonts w:hint="eastAsia" w:ascii="宋体" w:hAnsi="宋体" w:eastAsia="宋体" w:cs="宋体"/>
                <w:szCs w:val="24"/>
                <w:lang w:val="en-US" w:eastAsia="zh-CN" w:bidi="ar-SA"/>
              </w:rPr>
              <w:t xml:space="preserve">在质保期内服务于本项目售后维修的，得1分，最高得2分；</w:t>
            </w:r>
            <w:r>
              <w:rPr>
                <w:rFonts w:hint="eastAsia" w:ascii="宋体" w:hAnsi="宋体" w:eastAsia="宋体" w:cs="宋体"/>
                <w:b/>
                <w:bCs/>
                <w:szCs w:val="24"/>
                <w:lang w:val="en-US" w:eastAsia="zh-CN" w:bidi="ar-SA"/>
              </w:rPr>
              <w:t xml:space="preserve">（提供承诺函并加盖投标人公章，扫描上传证书等相关材料及投标人近三个月任意一个月为其缴纳社保的证明</w:t>
            </w:r>
            <w:r>
              <w:rPr>
                <w:rFonts w:hint="eastAsia" w:ascii="宋体" w:hAnsi="宋体" w:cs="宋体"/>
                <w:b/>
                <w:bCs/>
                <w:szCs w:val="24"/>
                <w:lang w:val="en-US" w:eastAsia="zh-CN" w:bidi="ar-SA"/>
              </w:rPr>
              <w:t xml:space="preserve">材料</w:t>
            </w:r>
            <w:r>
              <w:rPr>
                <w:rFonts w:hint="eastAsia" w:ascii="宋体" w:hAnsi="宋体" w:eastAsia="宋体" w:cs="宋体"/>
                <w:b/>
                <w:bCs/>
                <w:szCs w:val="24"/>
                <w:lang w:val="en-US" w:eastAsia="zh-CN" w:bidi="ar-SA"/>
              </w:rPr>
              <w:t xml:space="preserve">）</w:t>
            </w:r>
            <w:r/>
          </w:p>
          <w:p>
            <w:pPr>
              <w:spacing w:line="280" w:lineRule="exact"/>
              <w:rPr>
                <w:rFonts w:hint="default" w:ascii="宋体" w:hAnsi="宋体" w:eastAsia="宋体" w:cs="宋体"/>
                <w:szCs w:val="24"/>
                <w:lang w:val="en-US" w:eastAsia="zh-CN" w:bidi="ar-SA"/>
              </w:rPr>
            </w:pPr>
            <w:r>
              <w:rPr>
                <w:rFonts w:hint="eastAsia" w:ascii="宋体" w:hAnsi="宋体" w:eastAsia="宋体" w:cs="宋体"/>
                <w:szCs w:val="24"/>
                <w:lang w:val="en-US" w:eastAsia="zh-CN" w:bidi="ar-SA"/>
              </w:rPr>
              <w:t xml:space="preserve">3、投标人</w:t>
            </w:r>
            <w:r>
              <w:rPr>
                <w:rFonts w:hint="eastAsia" w:ascii="宋体" w:hAnsi="宋体" w:cs="宋体"/>
                <w:szCs w:val="24"/>
                <w:lang w:val="en-US" w:eastAsia="zh-CN" w:bidi="ar-SA"/>
              </w:rPr>
              <w:t xml:space="preserve">售后服务人员</w:t>
            </w:r>
            <w:r>
              <w:rPr>
                <w:rFonts w:hint="eastAsia" w:ascii="宋体" w:hAnsi="宋体" w:eastAsia="宋体" w:cs="宋体"/>
                <w:bCs/>
                <w:spacing w:val="-4"/>
                <w:szCs w:val="24"/>
                <w:lang w:val="zh-CN" w:eastAsia="zh-CN" w:bidi="ar-SA"/>
              </w:rPr>
              <w:t xml:space="preserve">每有1人具有IT服务工程师证书的，</w:t>
            </w:r>
            <w:r>
              <w:rPr>
                <w:rFonts w:hint="eastAsia" w:ascii="宋体" w:hAnsi="宋体" w:eastAsia="宋体" w:cs="宋体"/>
                <w:szCs w:val="24"/>
                <w:lang w:val="en-US" w:eastAsia="zh-CN" w:bidi="ar-SA"/>
              </w:rPr>
              <w:t xml:space="preserve">并能确保此人在质保期内服务于本项目售后维修的，得1分，最高得3分；</w:t>
            </w:r>
            <w:r>
              <w:rPr>
                <w:rFonts w:hint="eastAsia" w:ascii="宋体" w:hAnsi="宋体" w:eastAsia="宋体" w:cs="宋体"/>
                <w:b/>
                <w:bCs/>
                <w:szCs w:val="24"/>
                <w:lang w:val="en-US" w:eastAsia="zh-CN" w:bidi="ar-SA"/>
              </w:rPr>
              <w:t xml:space="preserve">（提供承诺函并加盖投标人公章，扫描上传证书等相关材料及投标人近三个月任意一个月为其缴纳社保的证明</w:t>
            </w:r>
            <w:r>
              <w:rPr>
                <w:rFonts w:hint="eastAsia" w:ascii="宋体" w:hAnsi="宋体" w:cs="宋体"/>
                <w:b/>
                <w:bCs/>
                <w:szCs w:val="24"/>
                <w:lang w:val="en-US" w:eastAsia="zh-CN" w:bidi="ar-SA"/>
              </w:rPr>
              <w:t xml:space="preserve">材料）</w:t>
            </w:r>
            <w:r/>
          </w:p>
        </w:tc>
      </w:tr>
      <w:tr>
        <w:trPr>
          <w:jc w:val="center"/>
          <w:trHeight w:val="702"/>
        </w:trPr>
        <w:tc>
          <w:tcPr>
            <w:tcW w:w="1345" w:type="dxa"/>
            <w:vAlign w:val="center"/>
            <w:textDirection w:val="lrTb"/>
            <w:noWrap w:val="false"/>
          </w:tcPr>
          <w:p>
            <w:pPr>
              <w:jc w:val="center"/>
              <w:spacing w:line="280" w:lineRule="exact"/>
              <w:widowControl/>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共计</w:t>
            </w:r>
            <w:r/>
          </w:p>
        </w:tc>
        <w:tc>
          <w:tcPr>
            <w:tcW w:w="7177" w:type="dxa"/>
            <w:vAlign w:val="center"/>
            <w:textDirection w:val="lrTb"/>
            <w:noWrap w:val="false"/>
          </w:tcPr>
          <w:p>
            <w:pPr>
              <w:jc w:val="center"/>
              <w:spacing w:line="280" w:lineRule="exact"/>
              <w:widowControl/>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100分</w:t>
            </w:r>
            <w:r/>
          </w:p>
        </w:tc>
      </w:tr>
    </w:tbl>
    <w:p>
      <w:pPr>
        <w:rPr>
          <w:rFonts w:hint="eastAsia" w:ascii="宋体" w:hAnsi="宋体" w:eastAsia="宋体" w:cs="宋体"/>
          <w:b/>
          <w:bCs/>
          <w:sz w:val="28"/>
          <w:szCs w:val="28"/>
          <w:lang w:val="en-US" w:eastAsia="zh-CN" w:bidi="ar"/>
        </w:rPr>
      </w:pPr>
      <w:r>
        <w:rPr>
          <w:rFonts w:hint="default" w:ascii="等线" w:hAnsi="等线" w:eastAsia="等线" w:cs="宋体"/>
          <w:szCs w:val="24"/>
          <w:lang w:val="en-US" w:eastAsia="zh-CN" w:bidi="ar"/>
        </w:rPr>
        <w:br w:type="page" w:clear="all"/>
      </w:r>
      <w:r>
        <w:rPr>
          <w:rFonts w:hint="eastAsia" w:ascii="等线" w:hAnsi="等线" w:eastAsia="等线" w:cs="宋体"/>
          <w:szCs w:val="24"/>
          <w:lang w:val="en-US" w:eastAsia="zh-CN" w:bidi="ar"/>
        </w:rPr>
        <w:t xml:space="preserve">  </w:t>
      </w:r>
      <w:r>
        <w:rPr>
          <w:rFonts w:hint="eastAsia" w:ascii="宋体" w:hAnsi="宋体" w:cs="宋体"/>
          <w:b w:val="0"/>
          <w:bCs w:val="0"/>
          <w:sz w:val="28"/>
          <w:szCs w:val="28"/>
          <w:lang w:val="en-US" w:eastAsia="zh-CN" w:bidi="ar"/>
        </w:rPr>
        <w:t xml:space="preserve">包二：</w:t>
      </w:r>
      <w:r/>
    </w:p>
    <w:tbl>
      <w:tblPr>
        <w:tblStyle w:val="739"/>
        <w:tblpPr w:horzAnchor="page" w:tblpX="1683" w:vertAnchor="text" w:tblpY="366" w:leftFromText="180" w:topFromText="0" w:rightFromText="180" w:bottomFromText="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7177"/>
      </w:tblGrid>
      <w:tr>
        <w:trPr>
          <w:trHeight w:val="300"/>
        </w:trPr>
        <w:tc>
          <w:tcPr>
            <w:tcW w:w="1345" w:type="dxa"/>
            <w:vAlign w:val="center"/>
            <w:textDirection w:val="lrTb"/>
            <w:noWrap w:val="false"/>
          </w:tcPr>
          <w:p>
            <w:pPr>
              <w:jc w:val="center"/>
              <w:spacing w:line="280" w:lineRule="exact"/>
              <w:widowControl/>
              <w:rPr>
                <w:rFonts w:hint="eastAsia" w:ascii="宋体" w:hAnsi="宋体" w:eastAsia="宋体" w:cs="宋体"/>
                <w:b/>
                <w:bCs/>
                <w:szCs w:val="24"/>
                <w:lang w:val="en-US" w:eastAsia="zh-CN" w:bidi="ar-SA"/>
              </w:rPr>
            </w:pPr>
            <w:r>
              <w:rPr>
                <w:rFonts w:hint="eastAsia" w:ascii="宋体" w:hAnsi="宋体" w:eastAsia="宋体" w:cs="宋体"/>
                <w:b/>
                <w:bCs/>
                <w:szCs w:val="24"/>
                <w:lang w:val="en-US" w:eastAsia="zh-CN" w:bidi="ar-SA"/>
              </w:rPr>
              <w:t xml:space="preserve">项目</w:t>
            </w:r>
            <w:r/>
          </w:p>
        </w:tc>
        <w:tc>
          <w:tcPr>
            <w:tcW w:w="7177" w:type="dxa"/>
            <w:vAlign w:val="center"/>
            <w:textDirection w:val="lrTb"/>
            <w:noWrap w:val="false"/>
          </w:tcPr>
          <w:p>
            <w:pPr>
              <w:jc w:val="center"/>
              <w:spacing w:line="280" w:lineRule="exact"/>
              <w:widowControl/>
              <w:rPr>
                <w:rFonts w:hint="eastAsia" w:ascii="宋体" w:hAnsi="宋体" w:eastAsia="宋体" w:cs="宋体"/>
                <w:b/>
                <w:bCs/>
                <w:szCs w:val="24"/>
                <w:lang w:val="en-US" w:eastAsia="zh-CN" w:bidi="ar-SA"/>
              </w:rPr>
            </w:pPr>
            <w:r>
              <w:rPr>
                <w:rFonts w:hint="eastAsia" w:ascii="宋体" w:hAnsi="宋体" w:eastAsia="宋体" w:cs="宋体"/>
                <w:b/>
                <w:bCs/>
                <w:szCs w:val="24"/>
                <w:lang w:val="en-US" w:eastAsia="zh-CN" w:bidi="ar-SA"/>
              </w:rPr>
              <w:t xml:space="preserve">评分标准</w:t>
            </w:r>
            <w:r/>
          </w:p>
        </w:tc>
      </w:tr>
      <w:tr>
        <w:trPr>
          <w:trHeight w:val="605"/>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价 格</w:t>
            </w:r>
            <w:r/>
          </w:p>
          <w:p>
            <w:pPr>
              <w:jc w:val="center"/>
              <w:spacing w:line="280" w:lineRule="exact"/>
              <w:widowControl/>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（30分）</w:t>
            </w:r>
            <w:r/>
          </w:p>
        </w:tc>
        <w:tc>
          <w:tcPr>
            <w:shd w:val="clear" w:color="auto" w:fill="auto"/>
            <w:tcW w:w="7177" w:type="dxa"/>
            <w:vAlign w:val="center"/>
            <w:textDirection w:val="lrTb"/>
            <w:noWrap w:val="false"/>
          </w:tcPr>
          <w:p>
            <w:pPr>
              <w:spacing w:line="280" w:lineRule="exact"/>
              <w:rPr>
                <w:rFonts w:hint="eastAsia" w:ascii="宋体" w:hAnsi="宋体" w:eastAsia="宋体" w:cs="宋体"/>
                <w:sz w:val="21"/>
                <w:szCs w:val="24"/>
                <w:lang w:val="en-US" w:eastAsia="zh-CN" w:bidi="ar-SA"/>
              </w:rPr>
            </w:pPr>
            <w:r>
              <w:rPr>
                <w:rFonts w:hint="eastAsia" w:ascii="宋体" w:hAnsi="宋体" w:eastAsia="宋体" w:cs="宋体"/>
                <w:szCs w:val="24"/>
                <w:lang w:val="en-US" w:eastAsia="zh-CN" w:bidi="ar-SA"/>
              </w:rPr>
              <w:t xml:space="preserve">以满足招标文件要求的最低</w:t>
            </w:r>
            <w:r>
              <w:rPr>
                <w:rFonts w:hint="eastAsia" w:ascii="宋体" w:hAnsi="宋体" w:cs="宋体"/>
                <w:szCs w:val="24"/>
                <w:lang w:val="en-US" w:eastAsia="zh-CN" w:bidi="ar-SA"/>
              </w:rPr>
              <w:t xml:space="preserve">投标报</w:t>
            </w:r>
            <w:r>
              <w:rPr>
                <w:rFonts w:hint="eastAsia" w:ascii="宋体" w:hAnsi="宋体" w:eastAsia="宋体" w:cs="宋体"/>
                <w:szCs w:val="24"/>
                <w:lang w:val="en-US" w:eastAsia="zh-CN" w:bidi="ar-SA"/>
              </w:rPr>
              <w:t xml:space="preserve">价为基准价，得满分30分，其他</w:t>
            </w:r>
            <w:r>
              <w:rPr>
                <w:rFonts w:hint="eastAsia" w:ascii="宋体" w:hAnsi="宋体" w:cs="宋体"/>
                <w:szCs w:val="24"/>
                <w:lang w:val="en-US" w:eastAsia="zh-CN" w:bidi="ar-SA"/>
              </w:rPr>
              <w:t xml:space="preserve">投标报价</w:t>
            </w:r>
            <w:r>
              <w:rPr>
                <w:rFonts w:hint="eastAsia" w:ascii="宋体" w:hAnsi="宋体" w:eastAsia="宋体" w:cs="宋体"/>
                <w:szCs w:val="24"/>
                <w:lang w:val="en-US" w:eastAsia="zh-CN" w:bidi="ar-SA"/>
              </w:rPr>
              <w:t xml:space="preserve">得分＝（基准价/</w:t>
            </w:r>
            <w:r>
              <w:rPr>
                <w:rFonts w:hint="eastAsia" w:ascii="宋体" w:hAnsi="宋体" w:cs="宋体"/>
                <w:szCs w:val="24"/>
                <w:lang w:val="en-US" w:eastAsia="zh-CN" w:bidi="ar-SA"/>
              </w:rPr>
              <w:t xml:space="preserve">其他投标</w:t>
            </w:r>
            <w:r>
              <w:rPr>
                <w:rFonts w:hint="eastAsia" w:ascii="宋体" w:hAnsi="宋体" w:eastAsia="宋体" w:cs="宋体"/>
                <w:szCs w:val="24"/>
                <w:lang w:val="en-US" w:eastAsia="zh-CN" w:bidi="ar-SA"/>
              </w:rPr>
              <w:t xml:space="preserve">报价）×30×100％（保留小数点后两位）。</w:t>
            </w:r>
            <w:r/>
          </w:p>
        </w:tc>
      </w:tr>
      <w:tr>
        <w:trPr>
          <w:trHeight w:val="970"/>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技术性能</w:t>
            </w:r>
            <w:r/>
          </w:p>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（40分）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根据投标供应商所投产品技术参数完全满足招标文件技术参数要求得40分。招标文件产品技术要求中加“▲”号条款有一项不满足扣1分，扣完为止。</w:t>
            </w:r>
            <w:r>
              <w:rPr>
                <w:rFonts w:hint="eastAsia" w:ascii="宋体" w:hAnsi="宋体" w:eastAsia="宋体" w:cs="宋体"/>
                <w:b/>
                <w:bCs/>
                <w:szCs w:val="24"/>
                <w:lang w:val="en-US" w:eastAsia="zh-CN" w:bidi="ar-SA"/>
              </w:rPr>
              <w:t xml:space="preserve">带“▲”设备产品有具体要求的按照招标文件要求提供证明资料，以验证所投产品的符合性，不提供的视为不满足。</w:t>
            </w:r>
            <w:r/>
          </w:p>
        </w:tc>
      </w:tr>
      <w:tr>
        <w:trPr>
          <w:trHeight w:val="406"/>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技术方案</w:t>
            </w:r>
            <w:r/>
          </w:p>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w:t>
            </w:r>
            <w:r>
              <w:rPr>
                <w:rFonts w:hint="eastAsia" w:ascii="宋体" w:hAnsi="宋体" w:cs="宋体"/>
                <w:color w:val="4f81bd" w:themeColor="accent1"/>
                <w:szCs w:val="24"/>
                <w:lang w:val="en-US" w:eastAsia="zh-CN" w:bidi="ar-SA"/>
                <w14:textFill>
                  <w14:solidFill>
                    <w14:schemeClr w14:val="accent1"/>
                  </w14:solidFill>
                </w14:textFill>
              </w:rPr>
              <w:t xml:space="preserve">车管所建设</w:t>
            </w:r>
            <w:r>
              <w:rPr>
                <w:rFonts w:hint="eastAsia" w:ascii="宋体" w:hAnsi="宋体" w:eastAsia="宋体" w:cs="宋体"/>
                <w:color w:val="4f81bd" w:themeColor="accent1"/>
                <w:szCs w:val="24"/>
                <w:lang w:val="en-US" w:eastAsia="zh-CN" w:bidi="ar-SA"/>
                <w14:textFill>
                  <w14:solidFill>
                    <w14:schemeClr w14:val="accent1"/>
                  </w14:solidFill>
                </w14:textFill>
              </w:rPr>
              <w:t xml:space="preserve">方案</w:t>
            </w:r>
            <w:r>
              <w:rPr>
                <w:rFonts w:hint="eastAsia" w:ascii="宋体" w:hAnsi="宋体" w:eastAsia="宋体" w:cs="宋体"/>
                <w:szCs w:val="24"/>
                <w:lang w:val="en-US" w:eastAsia="zh-CN" w:bidi="ar-SA"/>
              </w:rPr>
              <w:t xml:space="preserve">：优于招标文件要求的得5分，符合招标文件要求的得</w:t>
            </w:r>
            <w:r>
              <w:rPr>
                <w:rFonts w:hint="eastAsia" w:ascii="宋体" w:hAnsi="宋体" w:cs="宋体"/>
                <w:szCs w:val="24"/>
                <w:lang w:val="en-US" w:eastAsia="zh-CN" w:bidi="ar-SA"/>
              </w:rPr>
              <w:t xml:space="preserve">3</w:t>
            </w:r>
            <w:r>
              <w:rPr>
                <w:rFonts w:hint="eastAsia" w:ascii="宋体" w:hAnsi="宋体" w:eastAsia="宋体" w:cs="宋体"/>
                <w:szCs w:val="24"/>
                <w:lang w:val="en-US" w:eastAsia="zh-CN" w:bidi="ar-SA"/>
              </w:rPr>
              <w:t xml:space="preserve">分、不符合要求或未提供的不得分；</w:t>
            </w:r>
            <w:r/>
          </w:p>
          <w:p>
            <w:pPr>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2、</w:t>
            </w:r>
            <w:r>
              <w:rPr>
                <w:rFonts w:hint="eastAsia" w:ascii="宋体" w:hAnsi="宋体" w:cs="宋体"/>
                <w:color w:val="4f81bd" w:themeColor="accent1"/>
                <w:szCs w:val="24"/>
                <w:lang w:val="en-US" w:eastAsia="zh-CN" w:bidi="ar-SA"/>
                <w14:textFill>
                  <w14:solidFill>
                    <w14:schemeClr w14:val="accent1"/>
                  </w14:solidFill>
                </w14:textFill>
              </w:rPr>
              <w:t xml:space="preserve">基础设施建设</w:t>
            </w:r>
            <w:r>
              <w:rPr>
                <w:rFonts w:hint="eastAsia" w:ascii="宋体" w:hAnsi="宋体" w:eastAsia="宋体" w:cs="宋体"/>
                <w:color w:val="4f81bd" w:themeColor="accent1"/>
                <w:szCs w:val="24"/>
                <w:lang w:val="en-US" w:eastAsia="zh-CN" w:bidi="ar-SA"/>
                <w14:textFill>
                  <w14:solidFill>
                    <w14:schemeClr w14:val="accent1"/>
                  </w14:solidFill>
                </w14:textFill>
              </w:rPr>
              <w:t xml:space="preserve">方案</w:t>
            </w:r>
            <w:r>
              <w:rPr>
                <w:rFonts w:hint="eastAsia" w:ascii="宋体" w:hAnsi="宋体" w:eastAsia="宋体" w:cs="宋体"/>
                <w:szCs w:val="24"/>
                <w:lang w:val="en-US" w:eastAsia="zh-CN" w:bidi="ar-SA"/>
              </w:rPr>
              <w:t xml:space="preserve">：优于招标文件要求的得5分，符合招标文件要求的得</w:t>
            </w:r>
            <w:r>
              <w:rPr>
                <w:rFonts w:hint="eastAsia" w:ascii="宋体" w:hAnsi="宋体" w:cs="宋体"/>
                <w:szCs w:val="24"/>
                <w:lang w:val="en-US" w:eastAsia="zh-CN" w:bidi="ar-SA"/>
              </w:rPr>
              <w:t xml:space="preserve">3</w:t>
            </w:r>
            <w:r>
              <w:rPr>
                <w:rFonts w:hint="eastAsia" w:ascii="宋体" w:hAnsi="宋体" w:eastAsia="宋体" w:cs="宋体"/>
                <w:szCs w:val="24"/>
                <w:lang w:val="en-US" w:eastAsia="zh-CN" w:bidi="ar-SA"/>
              </w:rPr>
              <w:t xml:space="preserve">分、不符合要求或未提供的不得分。</w:t>
            </w:r>
            <w:r/>
          </w:p>
        </w:tc>
      </w:tr>
      <w:tr>
        <w:trPr>
          <w:trHeight w:val="464"/>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综合实力</w:t>
            </w:r>
            <w:r/>
          </w:p>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1、投标人具有ISO9001质量管理体系认证证书、ISO14001环境管理体系认证证书、ISO45001职业健康安全管理体系认证证书、IS027001信息安全管理体系认证的，有1个得0.5分，满分2分，不提供不得分；</w:t>
            </w:r>
            <w:r>
              <w:rPr>
                <w:rFonts w:hint="eastAsia" w:ascii="宋体" w:hAnsi="宋体" w:eastAsia="宋体" w:cs="宋体"/>
                <w:b/>
                <w:bCs/>
                <w:szCs w:val="24"/>
                <w:lang w:val="en-US" w:eastAsia="zh-CN" w:bidi="ar-SA"/>
              </w:rPr>
              <w:t xml:space="preserve">（提供证书原件，扫描上传）</w:t>
            </w:r>
            <w:r/>
          </w:p>
          <w:p>
            <w:pPr>
              <w:spacing w:line="280" w:lineRule="exact"/>
              <w:rPr>
                <w:rFonts w:hint="eastAsia" w:ascii="宋体" w:hAnsi="宋体" w:eastAsia="宋体" w:cs="宋体"/>
                <w:b/>
                <w:bCs/>
                <w:szCs w:val="24"/>
                <w:lang w:val="en-US" w:eastAsia="zh-CN" w:bidi="ar-SA"/>
              </w:rPr>
            </w:pPr>
            <w:r>
              <w:rPr>
                <w:rFonts w:hint="eastAsia" w:ascii="宋体" w:hAnsi="宋体" w:eastAsia="宋体" w:cs="宋体"/>
                <w:szCs w:val="24"/>
                <w:lang w:val="en-US" w:eastAsia="zh-CN" w:bidi="ar-SA"/>
              </w:rPr>
              <w:t xml:space="preserve">2、投标人具有信息系统建设和服务能力评估良好级（CS3）及以上的得1分；</w:t>
            </w:r>
            <w:r>
              <w:rPr>
                <w:rFonts w:hint="eastAsia" w:ascii="宋体" w:hAnsi="宋体" w:eastAsia="宋体" w:cs="宋体"/>
                <w:b/>
                <w:bCs/>
                <w:szCs w:val="24"/>
                <w:lang w:val="en-US" w:eastAsia="zh-CN" w:bidi="ar-SA"/>
              </w:rPr>
              <w:t xml:space="preserve">（提供证书原件，扫描上传）</w:t>
            </w:r>
            <w:r/>
          </w:p>
          <w:p>
            <w:pPr>
              <w:spacing w:line="280" w:lineRule="exact"/>
              <w:rPr>
                <w:rFonts w:hint="eastAsia" w:ascii="宋体" w:hAnsi="宋体" w:eastAsia="宋体" w:cs="宋体"/>
                <w:b/>
                <w:bCs/>
                <w:szCs w:val="24"/>
                <w:lang w:val="en-US" w:eastAsia="zh-CN" w:bidi="ar-SA"/>
              </w:rPr>
            </w:pPr>
            <w:r>
              <w:rPr>
                <w:rFonts w:hint="eastAsia" w:ascii="宋体" w:hAnsi="宋体" w:eastAsia="宋体" w:cs="宋体"/>
                <w:szCs w:val="24"/>
                <w:lang w:val="en-US" w:eastAsia="zh-CN" w:bidi="ar-SA"/>
              </w:rPr>
              <w:t xml:space="preserve">3、投标人具有信息技术服务标准（ITSS)运维能力成熟度二级及以上的得1分；</w:t>
            </w:r>
            <w:r>
              <w:rPr>
                <w:rFonts w:hint="eastAsia" w:ascii="宋体" w:hAnsi="宋体" w:eastAsia="宋体" w:cs="宋体"/>
                <w:b/>
                <w:bCs/>
                <w:szCs w:val="24"/>
                <w:lang w:val="en-US" w:eastAsia="zh-CN" w:bidi="ar-SA"/>
              </w:rPr>
              <w:t xml:space="preserve">（提供证书原件，扫描上传）</w:t>
            </w:r>
            <w:r/>
          </w:p>
          <w:p>
            <w:pPr>
              <w:spacing w:line="280" w:lineRule="exact"/>
              <w:rPr>
                <w:rFonts w:hint="eastAsia" w:ascii="宋体" w:hAnsi="宋体" w:eastAsia="宋体" w:cs="宋体"/>
                <w:szCs w:val="24"/>
                <w:lang w:val="en-US" w:eastAsia="zh-CN" w:bidi="ar-SA"/>
              </w:rPr>
            </w:pPr>
            <w:r>
              <w:rPr>
                <w:rFonts w:hint="eastAsia" w:ascii="宋体" w:hAnsi="宋体" w:cs="宋体"/>
                <w:szCs w:val="24"/>
                <w:lang w:val="en-US" w:eastAsia="zh-CN" w:bidi="ar-SA"/>
              </w:rPr>
              <w:t xml:space="preserve">4</w:t>
            </w:r>
            <w:r>
              <w:rPr>
                <w:rFonts w:hint="eastAsia" w:ascii="宋体" w:hAnsi="宋体" w:eastAsia="宋体" w:cs="宋体"/>
                <w:szCs w:val="24"/>
                <w:lang w:val="en-US" w:eastAsia="zh-CN" w:bidi="ar-SA"/>
              </w:rPr>
              <w:t xml:space="preserve">、投标人拟派项目经理具有信息系统项目管理师，有一个得</w:t>
            </w:r>
            <w:r>
              <w:rPr>
                <w:rFonts w:hint="eastAsia" w:ascii="宋体" w:hAnsi="宋体" w:cs="宋体"/>
                <w:szCs w:val="24"/>
                <w:lang w:val="en-US" w:eastAsia="zh-CN" w:bidi="ar-SA"/>
              </w:rPr>
              <w:t xml:space="preserve">2</w:t>
            </w:r>
            <w:r>
              <w:rPr>
                <w:rFonts w:hint="eastAsia" w:ascii="宋体" w:hAnsi="宋体" w:eastAsia="宋体" w:cs="宋体"/>
                <w:szCs w:val="24"/>
                <w:lang w:val="en-US" w:eastAsia="zh-CN" w:bidi="ar-SA"/>
              </w:rPr>
              <w:t xml:space="preserve">分，满分2分。（项目经理提供证书原件及投标人近三个月任意一个月为其缴纳社保的证明材料，扫描上传。）</w:t>
            </w:r>
            <w:r/>
          </w:p>
          <w:p>
            <w:pPr>
              <w:spacing w:line="280" w:lineRule="exact"/>
              <w:rPr>
                <w:rFonts w:hint="eastAsia" w:ascii="宋体" w:hAnsi="宋体" w:eastAsia="宋体" w:cs="宋体"/>
                <w:szCs w:val="24"/>
                <w:lang w:val="en-US" w:eastAsia="zh-CN" w:bidi="ar-SA"/>
              </w:rPr>
            </w:pPr>
            <w:r>
              <w:rPr>
                <w:rFonts w:hint="eastAsia" w:ascii="宋体" w:hAnsi="宋体" w:cs="宋体"/>
                <w:szCs w:val="24"/>
                <w:lang w:val="en-US" w:eastAsia="zh-CN" w:bidi="ar-SA"/>
              </w:rPr>
              <w:t xml:space="preserve">5</w:t>
            </w:r>
            <w:r>
              <w:rPr>
                <w:rFonts w:hint="eastAsia" w:ascii="宋体" w:hAnsi="宋体" w:eastAsia="宋体" w:cs="宋体"/>
                <w:szCs w:val="24"/>
                <w:lang w:val="en-US" w:eastAsia="zh-CN" w:bidi="ar-SA"/>
              </w:rPr>
              <w:t xml:space="preserve">、项目组成员具有注册信息安全专业人员(CISP)证书、网络工程师，提供一种证书得</w:t>
            </w:r>
            <w:r>
              <w:rPr>
                <w:rFonts w:hint="eastAsia" w:ascii="宋体" w:hAnsi="宋体" w:cs="宋体"/>
                <w:szCs w:val="24"/>
                <w:lang w:val="en-US" w:eastAsia="zh-CN" w:bidi="ar-SA"/>
              </w:rPr>
              <w:t xml:space="preserve">1</w:t>
            </w:r>
            <w:r>
              <w:rPr>
                <w:rFonts w:hint="eastAsia" w:ascii="宋体" w:hAnsi="宋体" w:eastAsia="宋体" w:cs="宋体"/>
                <w:szCs w:val="24"/>
                <w:lang w:val="en-US" w:eastAsia="zh-CN" w:bidi="ar-SA"/>
              </w:rPr>
              <w:t xml:space="preserve">分，满分2分。（项目组成员一人多证的按1种证书计分，提供证书原件及投标人近三个月任意一个月为其缴纳社保的证明材料，扫描上传。）</w:t>
            </w:r>
            <w:r/>
          </w:p>
        </w:tc>
      </w:tr>
      <w:tr>
        <w:trPr>
          <w:trHeight w:val="406"/>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业绩（4分）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提供2021年1月1日以来的类似项目业绩合同，每提供1份得1分，最多得4分。</w:t>
            </w:r>
            <w:r>
              <w:rPr>
                <w:rFonts w:hint="eastAsia" w:ascii="宋体" w:hAnsi="宋体" w:eastAsia="宋体" w:cs="宋体"/>
                <w:b/>
                <w:bCs/>
                <w:szCs w:val="24"/>
                <w:lang w:val="en-US" w:eastAsia="zh-CN" w:bidi="ar-SA"/>
              </w:rPr>
              <w:t xml:space="preserve">（合同原件扫描上传）</w:t>
            </w:r>
            <w:r/>
          </w:p>
        </w:tc>
      </w:tr>
      <w:tr>
        <w:trPr>
          <w:trHeight w:val="551"/>
        </w:trPr>
        <w:tc>
          <w:tcPr>
            <w:tcW w:w="1345" w:type="dxa"/>
            <w:vAlign w:val="center"/>
            <w:textDirection w:val="lrTb"/>
            <w:noWrap w:val="false"/>
          </w:tcPr>
          <w:p>
            <w:pPr>
              <w:jc w:val="cente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售后服务</w:t>
            </w:r>
            <w:r/>
          </w:p>
          <w:p>
            <w:pPr>
              <w:jc w:val="center"/>
              <w:spacing w:line="280" w:lineRule="exact"/>
              <w:widowControl/>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（8分）</w:t>
            </w:r>
            <w:r/>
          </w:p>
        </w:tc>
        <w:tc>
          <w:tcPr>
            <w:tcW w:w="7177" w:type="dxa"/>
            <w:vAlign w:val="center"/>
            <w:textDirection w:val="lrTb"/>
            <w:noWrap w:val="false"/>
          </w:tcPr>
          <w:p>
            <w:pPr>
              <w:spacing w:line="280" w:lineRule="exact"/>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1、有</w:t>
            </w:r>
            <w:r>
              <w:rPr>
                <w:rFonts w:hint="eastAsia" w:ascii="宋体" w:hAnsi="宋体" w:cs="宋体"/>
                <w:color w:val="0000ff"/>
                <w:sz w:val="21"/>
                <w:szCs w:val="21"/>
                <w:lang w:val="en-US" w:eastAsia="zh-CN" w:bidi="ar"/>
              </w:rPr>
              <w:t xml:space="preserve">详细、合理的售后服务方案</w:t>
            </w:r>
            <w:r>
              <w:rPr>
                <w:rFonts w:hint="eastAsia" w:ascii="宋体" w:hAnsi="宋体" w:eastAsia="宋体" w:cs="宋体"/>
                <w:szCs w:val="24"/>
                <w:lang w:val="en-US" w:eastAsia="zh-CN" w:bidi="ar-SA"/>
              </w:rPr>
              <w:t xml:space="preserve">：优于招标文件要求的得3分，符合招标文件要求的得2分，不符合要求或未提供的不得分；</w:t>
            </w:r>
            <w:r/>
          </w:p>
          <w:p>
            <w:pPr>
              <w:spacing w:line="280" w:lineRule="exact"/>
              <w:rPr>
                <w:rFonts w:hint="default" w:ascii="宋体" w:hAnsi="宋体" w:eastAsia="宋体" w:cs="宋体"/>
                <w:color w:val="ff0000"/>
                <w:szCs w:val="24"/>
                <w:lang w:val="en-US" w:eastAsia="zh-CN" w:bidi="ar-SA"/>
              </w:rPr>
            </w:pPr>
            <w:r>
              <w:rPr>
                <w:rFonts w:hint="eastAsia" w:ascii="宋体" w:hAnsi="宋体" w:eastAsia="宋体" w:cs="宋体"/>
                <w:szCs w:val="24"/>
                <w:lang w:val="en-US" w:eastAsia="zh-CN" w:bidi="ar-SA"/>
              </w:rPr>
              <w:t xml:space="preserve">2、投标人</w:t>
            </w:r>
            <w:r>
              <w:rPr>
                <w:rFonts w:hint="eastAsia" w:ascii="宋体" w:hAnsi="宋体" w:cs="宋体"/>
                <w:szCs w:val="24"/>
                <w:lang w:val="en-US" w:eastAsia="zh-CN" w:bidi="ar-SA"/>
              </w:rPr>
              <w:t xml:space="preserve">售后服务人员</w:t>
            </w:r>
            <w:r>
              <w:rPr>
                <w:rFonts w:hint="eastAsia" w:ascii="宋体" w:hAnsi="宋体" w:eastAsia="宋体" w:cs="宋体"/>
                <w:szCs w:val="24"/>
                <w:lang w:val="en-US" w:eastAsia="zh-CN" w:bidi="ar-SA"/>
              </w:rPr>
              <w:t xml:space="preserve">每有1人具有</w:t>
            </w:r>
            <w:r>
              <w:rPr>
                <w:rFonts w:hint="eastAsia" w:ascii="宋体" w:hAnsi="宋体" w:cs="宋体"/>
                <w:color w:val="0000ff"/>
                <w:sz w:val="21"/>
                <w:szCs w:val="21"/>
                <w:lang w:val="en-US" w:eastAsia="zh-CN" w:bidi="ar"/>
              </w:rPr>
              <w:t xml:space="preserve">低压电工作业证书</w:t>
            </w:r>
            <w:r>
              <w:rPr>
                <w:rFonts w:hint="eastAsia" w:ascii="宋体" w:hAnsi="宋体" w:eastAsia="宋体" w:cs="宋体"/>
                <w:szCs w:val="24"/>
                <w:lang w:val="en-US" w:eastAsia="zh-CN" w:bidi="ar-SA"/>
              </w:rPr>
              <w:t xml:space="preserve">的，并能确保</w:t>
            </w:r>
            <w:r>
              <w:rPr>
                <w:rFonts w:hint="eastAsia" w:ascii="宋体" w:hAnsi="宋体" w:cs="宋体"/>
                <w:szCs w:val="24"/>
                <w:lang w:val="en-US" w:eastAsia="zh-CN" w:bidi="ar-SA"/>
              </w:rPr>
              <w:t xml:space="preserve">人员</w:t>
            </w:r>
            <w:r>
              <w:rPr>
                <w:rFonts w:hint="eastAsia" w:ascii="宋体" w:hAnsi="宋体" w:eastAsia="宋体" w:cs="宋体"/>
                <w:szCs w:val="24"/>
                <w:lang w:val="en-US" w:eastAsia="zh-CN" w:bidi="ar-SA"/>
              </w:rPr>
              <w:t xml:space="preserve">在质保期内服务于本项目售后维修的，得1分，最高得2分；</w:t>
            </w:r>
            <w:r>
              <w:rPr>
                <w:rFonts w:hint="eastAsia" w:ascii="宋体" w:hAnsi="宋体" w:eastAsia="宋体" w:cs="宋体"/>
                <w:b/>
                <w:bCs/>
                <w:szCs w:val="24"/>
                <w:lang w:val="en-US" w:eastAsia="zh-CN" w:bidi="ar-SA"/>
              </w:rPr>
              <w:t xml:space="preserve">（提供承诺函并加盖投标人公章，扫描上传证书等相关材料及投标人近三个月任意一个月为其缴纳社保的证明</w:t>
            </w:r>
            <w:r>
              <w:rPr>
                <w:rFonts w:hint="eastAsia" w:ascii="宋体" w:hAnsi="宋体" w:cs="宋体"/>
                <w:b/>
                <w:bCs/>
                <w:szCs w:val="24"/>
                <w:lang w:val="en-US" w:eastAsia="zh-CN" w:bidi="ar-SA"/>
              </w:rPr>
              <w:t xml:space="preserve">材料</w:t>
            </w:r>
            <w:r>
              <w:rPr>
                <w:rFonts w:hint="eastAsia" w:ascii="宋体" w:hAnsi="宋体" w:eastAsia="宋体" w:cs="宋体"/>
                <w:b/>
                <w:bCs/>
                <w:szCs w:val="24"/>
                <w:lang w:val="en-US" w:eastAsia="zh-CN" w:bidi="ar-SA"/>
              </w:rPr>
              <w:t xml:space="preserve">）</w:t>
            </w:r>
            <w:r/>
          </w:p>
          <w:p>
            <w:pPr>
              <w:spacing w:line="280" w:lineRule="exact"/>
              <w:rPr>
                <w:rFonts w:hint="eastAsia" w:ascii="宋体" w:hAnsi="宋体" w:eastAsia="宋体" w:cs="宋体"/>
                <w:szCs w:val="24"/>
                <w:lang w:val="zh-CN" w:eastAsia="zh-CN" w:bidi="ar-SA"/>
              </w:rPr>
            </w:pPr>
            <w:r>
              <w:rPr>
                <w:rFonts w:hint="eastAsia" w:ascii="宋体" w:hAnsi="宋体" w:eastAsia="宋体" w:cs="宋体"/>
                <w:szCs w:val="24"/>
                <w:lang w:val="en-US" w:eastAsia="zh-CN" w:bidi="ar-SA"/>
              </w:rPr>
              <w:t xml:space="preserve">3、投标人</w:t>
            </w:r>
            <w:r>
              <w:rPr>
                <w:rFonts w:hint="eastAsia" w:ascii="宋体" w:hAnsi="宋体" w:cs="宋体"/>
                <w:szCs w:val="24"/>
                <w:lang w:val="en-US" w:eastAsia="zh-CN" w:bidi="ar-SA"/>
              </w:rPr>
              <w:t xml:space="preserve">售后服务人员</w:t>
            </w:r>
            <w:r>
              <w:rPr>
                <w:rFonts w:hint="eastAsia" w:ascii="宋体" w:hAnsi="宋体" w:eastAsia="宋体" w:cs="宋体"/>
                <w:bCs/>
                <w:spacing w:val="-4"/>
                <w:szCs w:val="24"/>
                <w:lang w:val="zh-CN" w:eastAsia="zh-CN" w:bidi="ar-SA"/>
              </w:rPr>
              <w:t xml:space="preserve">每有1人具有IT服务工程师证书的，</w:t>
            </w:r>
            <w:r>
              <w:rPr>
                <w:rFonts w:hint="eastAsia" w:ascii="宋体" w:hAnsi="宋体" w:eastAsia="宋体" w:cs="宋体"/>
                <w:szCs w:val="24"/>
                <w:lang w:val="en-US" w:eastAsia="zh-CN" w:bidi="ar-SA"/>
              </w:rPr>
              <w:t xml:space="preserve">并能确保此人在质保期内服务于本项目售后维修的，得1分，最高得3分；</w:t>
            </w:r>
            <w:r>
              <w:rPr>
                <w:rFonts w:hint="eastAsia" w:ascii="宋体" w:hAnsi="宋体" w:eastAsia="宋体" w:cs="宋体"/>
                <w:b/>
                <w:bCs/>
                <w:szCs w:val="24"/>
                <w:lang w:val="en-US" w:eastAsia="zh-CN" w:bidi="ar-SA"/>
              </w:rPr>
              <w:t xml:space="preserve">（提供承诺函并加盖投标人公章，扫描上传证书等相关材料及投标人近三个月任意一个月为其缴纳社保的证明</w:t>
            </w:r>
            <w:r>
              <w:rPr>
                <w:rFonts w:hint="eastAsia" w:ascii="宋体" w:hAnsi="宋体" w:cs="宋体"/>
                <w:b/>
                <w:bCs/>
                <w:szCs w:val="24"/>
                <w:lang w:val="en-US" w:eastAsia="zh-CN" w:bidi="ar-SA"/>
              </w:rPr>
              <w:t xml:space="preserve">材料）</w:t>
            </w:r>
            <w:r/>
          </w:p>
        </w:tc>
      </w:tr>
      <w:tr>
        <w:trPr>
          <w:trHeight w:val="702"/>
        </w:trPr>
        <w:tc>
          <w:tcPr>
            <w:tcW w:w="1345" w:type="dxa"/>
            <w:vAlign w:val="center"/>
            <w:textDirection w:val="lrTb"/>
            <w:noWrap w:val="false"/>
          </w:tcPr>
          <w:p>
            <w:pPr>
              <w:jc w:val="center"/>
              <w:spacing w:line="280" w:lineRule="exact"/>
              <w:widowControl/>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共计</w:t>
            </w:r>
            <w:r/>
          </w:p>
        </w:tc>
        <w:tc>
          <w:tcPr>
            <w:tcW w:w="7177" w:type="dxa"/>
            <w:vAlign w:val="center"/>
            <w:textDirection w:val="lrTb"/>
            <w:noWrap w:val="false"/>
          </w:tcPr>
          <w:p>
            <w:pPr>
              <w:jc w:val="center"/>
              <w:spacing w:line="280" w:lineRule="exact"/>
              <w:widowControl/>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t xml:space="preserve">100分</w:t>
            </w:r>
            <w:r/>
          </w:p>
        </w:tc>
      </w:tr>
    </w:tbl>
    <w:p>
      <w:pPr>
        <w:ind w:left="420" w:firstLine="0"/>
        <w:jc w:val="both"/>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ind w:left="420" w:firstLine="0"/>
        <w:jc w:val="both"/>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ind w:left="420" w:firstLine="0"/>
        <w:jc w:val="both"/>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ind w:left="420" w:firstLine="0"/>
        <w:jc w:val="both"/>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jc w:val="both"/>
        <w:spacing w:line="360" w:lineRule="auto"/>
        <w:widowControl w:val="off"/>
        <w:rPr>
          <w:rFonts w:hint="eastAsia" w:ascii="Times New Roman" w:hAnsi="Times New Roman" w:eastAsia="宋体" w:cs="Times New Roman"/>
          <w:sz w:val="21"/>
          <w:szCs w:val="22"/>
          <w:lang w:val="en-US" w:eastAsia="zh-CN" w:bidi="ar-SA"/>
        </w:rPr>
      </w:pPr>
      <w:r>
        <w:rPr>
          <w:rFonts w:hint="eastAsia" w:ascii="宋体" w:hAnsi="宋体" w:cs="宋体"/>
          <w:sz w:val="21"/>
          <w:szCs w:val="22"/>
          <w:lang w:val="en-US" w:eastAsia="zh-CN" w:bidi="ar-SA"/>
        </w:rPr>
        <w:t xml:space="preserve">包三：</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8"/>
        <w:gridCol w:w="7402"/>
      </w:tblGrid>
      <w:tr>
        <w:trPr>
          <w:jc w:val="center"/>
        </w:trPr>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40" w:lineRule="exact"/>
              <w:rPr>
                <w:rFonts w:hint="eastAsia" w:ascii="Calibri" w:hAnsi="Calibri" w:cs="宋体"/>
                <w:b/>
                <w:bCs/>
                <w:szCs w:val="24"/>
                <w:lang w:val="en-US" w:eastAsia="zh-CN" w:bidi="ar-SA"/>
              </w:rPr>
            </w:pPr>
            <w:r>
              <w:rPr>
                <w:rFonts w:hint="eastAsia" w:ascii="Calibri" w:hAnsi="Calibri" w:cs="宋体"/>
                <w:b/>
                <w:szCs w:val="24"/>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7402" w:type="dxa"/>
            <w:vAlign w:val="center"/>
            <w:textDirection w:val="lrTb"/>
            <w:noWrap w:val="false"/>
          </w:tcPr>
          <w:p>
            <w:pPr>
              <w:jc w:val="center"/>
              <w:spacing w:line="440" w:lineRule="exact"/>
              <w:rPr>
                <w:rFonts w:hint="eastAsia" w:ascii="Calibri" w:hAnsi="Calibri" w:cs="宋体"/>
                <w:b/>
                <w:bCs/>
                <w:szCs w:val="24"/>
                <w:lang w:val="en-US" w:eastAsia="zh-CN" w:bidi="ar-SA"/>
              </w:rPr>
            </w:pPr>
            <w:r>
              <w:rPr>
                <w:rFonts w:hint="eastAsia" w:ascii="Calibri" w:hAnsi="Calibri" w:cs="宋体"/>
                <w:b/>
                <w:szCs w:val="24"/>
                <w:lang w:val="en-US" w:eastAsia="zh-CN" w:bidi="ar-SA"/>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价格</w:t>
            </w:r>
            <w:r/>
          </w:p>
          <w:p>
            <w:pPr>
              <w:jc w:val="cente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w:t>
            </w:r>
            <w:r>
              <w:rPr>
                <w:rFonts w:hint="default" w:ascii="Calibri" w:hAnsi="Calibri" w:cs="宋体"/>
                <w:szCs w:val="24"/>
                <w:lang w:val="en-US" w:eastAsia="zh-CN" w:bidi="ar-SA"/>
              </w:rPr>
              <w:t xml:space="preserve">10</w:t>
            </w:r>
            <w:r>
              <w:rPr>
                <w:rFonts w:hint="eastAsia" w:ascii="Calibri" w:hAnsi="Calibri" w:cs="宋体"/>
                <w:szCs w:val="24"/>
                <w:lang w:val="en-US" w:eastAsia="zh-CN"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02" w:type="dxa"/>
            <w:vAlign w:val="center"/>
            <w:textDirection w:val="lrTb"/>
            <w:noWrap w:val="false"/>
          </w:tcPr>
          <w:p>
            <w:pPr>
              <w:spacing w:line="280" w:lineRule="exact"/>
              <w:rPr>
                <w:rFonts w:hint="eastAsia" w:ascii="宋体" w:hAnsi="宋体" w:eastAsia="宋体" w:cs="宋体"/>
                <w:sz w:val="21"/>
                <w:szCs w:val="24"/>
                <w:lang w:val="en-US" w:eastAsia="zh-CN" w:bidi="ar-SA"/>
              </w:rPr>
            </w:pPr>
            <w:r>
              <w:rPr>
                <w:rFonts w:hint="eastAsia" w:ascii="宋体" w:hAnsi="宋体" w:eastAsia="宋体" w:cs="宋体"/>
                <w:szCs w:val="24"/>
                <w:lang w:val="en-US" w:eastAsia="zh-CN" w:bidi="ar-SA"/>
              </w:rPr>
              <w:t xml:space="preserve">以满足招标文件要求的最低</w:t>
            </w:r>
            <w:r>
              <w:rPr>
                <w:rFonts w:hint="eastAsia" w:ascii="宋体" w:hAnsi="宋体" w:cs="宋体"/>
                <w:szCs w:val="24"/>
                <w:lang w:val="en-US" w:eastAsia="zh-CN" w:bidi="ar-SA"/>
              </w:rPr>
              <w:t xml:space="preserve">投标报</w:t>
            </w:r>
            <w:r>
              <w:rPr>
                <w:rFonts w:hint="eastAsia" w:ascii="宋体" w:hAnsi="宋体" w:eastAsia="宋体" w:cs="宋体"/>
                <w:szCs w:val="24"/>
                <w:lang w:val="en-US" w:eastAsia="zh-CN" w:bidi="ar-SA"/>
              </w:rPr>
              <w:t xml:space="preserve">价为基准价，得满分</w:t>
            </w:r>
            <w:r>
              <w:rPr>
                <w:rFonts w:hint="eastAsia" w:ascii="宋体" w:hAnsi="宋体" w:cs="宋体"/>
                <w:szCs w:val="24"/>
                <w:lang w:val="en-US" w:eastAsia="zh-CN" w:bidi="ar-SA"/>
              </w:rPr>
              <w:t xml:space="preserve">1</w:t>
            </w:r>
            <w:r>
              <w:rPr>
                <w:rFonts w:hint="eastAsia" w:ascii="宋体" w:hAnsi="宋体" w:eastAsia="宋体" w:cs="宋体"/>
                <w:szCs w:val="24"/>
                <w:lang w:val="en-US" w:eastAsia="zh-CN" w:bidi="ar-SA"/>
              </w:rPr>
              <w:t xml:space="preserve">0分，其他</w:t>
            </w:r>
            <w:r>
              <w:rPr>
                <w:rFonts w:hint="eastAsia" w:ascii="宋体" w:hAnsi="宋体" w:cs="宋体"/>
                <w:szCs w:val="24"/>
                <w:lang w:val="en-US" w:eastAsia="zh-CN" w:bidi="ar-SA"/>
              </w:rPr>
              <w:t xml:space="preserve">投标报价</w:t>
            </w:r>
            <w:r>
              <w:rPr>
                <w:rFonts w:hint="eastAsia" w:ascii="宋体" w:hAnsi="宋体" w:eastAsia="宋体" w:cs="宋体"/>
                <w:szCs w:val="24"/>
                <w:lang w:val="en-US" w:eastAsia="zh-CN" w:bidi="ar-SA"/>
              </w:rPr>
              <w:t xml:space="preserve">得分＝（基准价/</w:t>
            </w:r>
            <w:r>
              <w:rPr>
                <w:rFonts w:hint="eastAsia" w:ascii="宋体" w:hAnsi="宋体" w:cs="宋体"/>
                <w:szCs w:val="24"/>
                <w:lang w:val="en-US" w:eastAsia="zh-CN" w:bidi="ar-SA"/>
              </w:rPr>
              <w:t xml:space="preserve">其他投标</w:t>
            </w:r>
            <w:r>
              <w:rPr>
                <w:rFonts w:hint="eastAsia" w:ascii="宋体" w:hAnsi="宋体" w:eastAsia="宋体" w:cs="宋体"/>
                <w:szCs w:val="24"/>
                <w:lang w:val="en-US" w:eastAsia="zh-CN" w:bidi="ar-SA"/>
              </w:rPr>
              <w:t xml:space="preserve">报价）×</w:t>
            </w:r>
            <w:r>
              <w:rPr>
                <w:rFonts w:hint="eastAsia" w:ascii="宋体" w:hAnsi="宋体" w:cs="宋体"/>
                <w:szCs w:val="24"/>
                <w:lang w:val="en-US" w:eastAsia="zh-CN" w:bidi="ar-SA"/>
              </w:rPr>
              <w:t xml:space="preserve">1</w:t>
            </w:r>
            <w:bookmarkStart w:id="442" w:name="_GoBack"/>
            <w:r/>
            <w:bookmarkEnd w:id="442"/>
            <w:r>
              <w:rPr>
                <w:rFonts w:hint="eastAsia" w:ascii="宋体" w:hAnsi="宋体" w:eastAsia="宋体" w:cs="宋体"/>
                <w:szCs w:val="24"/>
                <w:lang w:val="en-US" w:eastAsia="zh-CN" w:bidi="ar-SA"/>
              </w:rPr>
              <w:t xml:space="preserve">0×100％（保留小数点后两位）。</w:t>
            </w:r>
            <w:r/>
          </w:p>
        </w:tc>
      </w:tr>
      <w:tr>
        <w:trPr>
          <w:jc w:val="center"/>
        </w:trPr>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企业资质</w:t>
            </w:r>
            <w:r/>
          </w:p>
          <w:p>
            <w:pPr>
              <w:jc w:val="cente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（5分）</w:t>
            </w:r>
            <w:r/>
          </w:p>
        </w:tc>
        <w:tc>
          <w:tcPr>
            <w:tcBorders>
              <w:top w:val="single" w:color="auto" w:sz="4" w:space="0"/>
              <w:left w:val="single" w:color="auto" w:sz="4" w:space="0"/>
              <w:bottom w:val="single" w:color="auto" w:sz="4" w:space="0"/>
              <w:right w:val="single" w:color="auto" w:sz="4" w:space="0"/>
            </w:tcBorders>
            <w:tcW w:w="7402" w:type="dxa"/>
            <w:vAlign w:val="center"/>
            <w:textDirection w:val="lrTb"/>
            <w:noWrap w:val="false"/>
          </w:tcPr>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1、供应商具有具有甲级信息系统工程监理服务标准贯标证书的得1分。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2、供应商具有ISO9001质量管理体系认证证书，得1分； </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3、供应商具有ISO/IEC 27701</w:t>
            </w:r>
            <w:r>
              <w:rPr>
                <w:rFonts w:hint="eastAsia" w:ascii="Calibri" w:hAnsi="Calibri"/>
                <w:szCs w:val="24"/>
                <w:lang w:val="en-US" w:eastAsia="zh-CN" w:bidi="ar-SA"/>
              </w:rPr>
              <w:t xml:space="preserve">隐私信息管理体系认证证书</w:t>
            </w:r>
            <w:r>
              <w:rPr>
                <w:rFonts w:hint="eastAsia" w:ascii="Calibri" w:hAnsi="Calibri" w:cs="宋体"/>
                <w:szCs w:val="24"/>
                <w:lang w:val="en-US" w:eastAsia="zh-CN" w:bidi="ar-SA"/>
              </w:rPr>
              <w:t xml:space="preserve">得1分；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4、供应商具有ISO20000信息技术服务管理体系认证证书，得1分；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5、供应商具有ISO27001信息安全管理体系认证证书，得1分。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（以上提供有效期内的证书原件，扫描上传）</w:t>
            </w:r>
            <w:r/>
          </w:p>
        </w:tc>
      </w:tr>
      <w:tr>
        <w:trPr>
          <w:jc w:val="center"/>
        </w:trPr>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人员配备</w:t>
            </w:r>
            <w:r/>
          </w:p>
          <w:p>
            <w:pPr>
              <w:jc w:val="center"/>
              <w:spacing w:line="440" w:lineRule="exact"/>
              <w:rPr>
                <w:rFonts w:hint="eastAsia" w:ascii="Calibri" w:hAnsi="Calibri" w:cs="宋体"/>
                <w:color w:val="ff0000"/>
                <w:szCs w:val="24"/>
                <w:lang w:val="en-US" w:eastAsia="zh-CN" w:bidi="ar-SA"/>
              </w:rPr>
            </w:pPr>
            <w:r>
              <w:rPr>
                <w:rFonts w:hint="eastAsia" w:ascii="Calibri" w:hAnsi="Calibri" w:cs="宋体"/>
                <w:szCs w:val="24"/>
                <w:lang w:val="en-US" w:eastAsia="zh-CN" w:bidi="ar-SA"/>
              </w:rPr>
              <w:t xml:space="preserve">（30分）</w:t>
            </w:r>
            <w:r/>
          </w:p>
        </w:tc>
        <w:tc>
          <w:tcPr>
            <w:tcBorders>
              <w:top w:val="single" w:color="auto" w:sz="4" w:space="0"/>
              <w:left w:val="single" w:color="auto" w:sz="4" w:space="0"/>
              <w:bottom w:val="single" w:color="auto" w:sz="4" w:space="0"/>
              <w:right w:val="single" w:color="auto" w:sz="4" w:space="0"/>
            </w:tcBorders>
            <w:tcW w:w="7402" w:type="dxa"/>
            <w:vAlign w:val="center"/>
            <w:textDirection w:val="lrTb"/>
            <w:noWrap w:val="false"/>
          </w:tcPr>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1、项目总监（1人）：具有国家人社部门</w:t>
            </w:r>
            <w:r>
              <w:rPr>
                <w:rFonts w:hint="eastAsia" w:ascii="Calibri" w:hAnsi="Calibri" w:cs="宋体"/>
                <w:color w:val="auto"/>
                <w:szCs w:val="24"/>
                <w:lang w:val="en-US" w:eastAsia="zh-CN" w:bidi="ar-SA"/>
              </w:rPr>
              <w:t xml:space="preserve">或</w:t>
            </w:r>
            <w:r>
              <w:rPr>
                <w:rFonts w:hint="eastAsia" w:ascii="Calibri" w:hAnsi="Calibri" w:cs="宋体"/>
                <w:szCs w:val="24"/>
                <w:lang w:val="en-US" w:eastAsia="zh-CN" w:bidi="ar-SA"/>
              </w:rPr>
              <w:t xml:space="preserve">工信部门颁发的信息系统监理师资格证书的基础上，项目总监具有国家人社部门</w:t>
            </w:r>
            <w:r>
              <w:rPr>
                <w:rFonts w:hint="eastAsia" w:ascii="Calibri" w:hAnsi="Calibri" w:cs="宋体"/>
                <w:color w:val="auto"/>
                <w:szCs w:val="24"/>
                <w:lang w:val="en-US" w:eastAsia="zh-CN" w:bidi="ar-SA"/>
              </w:rPr>
              <w:t xml:space="preserve">或</w:t>
            </w:r>
            <w:r>
              <w:rPr>
                <w:rFonts w:hint="eastAsia" w:ascii="Calibri" w:hAnsi="Calibri" w:cs="宋体"/>
                <w:szCs w:val="24"/>
                <w:lang w:val="en-US" w:eastAsia="zh-CN" w:bidi="ar-SA"/>
              </w:rPr>
              <w:t xml:space="preserve">工信部门颁发的信息系统项目管理师、数据库系统工程师证书，具有中国信息安全测评中心颁发的注册信息安全专业人员（CISP)证书，每项证书得3分，本小项目最高得9分。</w:t>
            </w:r>
            <w:r>
              <w:rPr>
                <w:rFonts w:hint="eastAsia" w:ascii="Calibri" w:hAnsi="Calibri" w:cs="宋体"/>
                <w:szCs w:val="24"/>
                <w:lang w:val="en-US" w:eastAsia="zh-CN" w:bidi="ar-SA"/>
              </w:rPr>
              <w:t xml:space="preserve">（项目总监</w:t>
            </w:r>
            <w:r>
              <w:rPr>
                <w:rFonts w:hint="eastAsia" w:ascii="Calibri" w:hAnsi="Calibri" w:cs="宋体"/>
                <w:color w:val="000000"/>
                <w:szCs w:val="24"/>
                <w:lang w:val="en-US" w:eastAsia="zh-CN" w:bidi="ar-SA"/>
              </w:rPr>
              <w:t xml:space="preserve">提供证书原件及投标人近三个月任意一个月为其缴纳社保的证明材料，扫描上传。</w:t>
            </w:r>
            <w:r>
              <w:rPr>
                <w:rFonts w:hint="eastAsia" w:ascii="Calibri" w:hAnsi="Calibri" w:cs="宋体"/>
                <w:szCs w:val="24"/>
                <w:lang w:val="en-US" w:eastAsia="zh-CN" w:bidi="ar-SA"/>
              </w:rPr>
              <w:t xml:space="preserve">）</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2、项目团队（不包括项目总监）：具有国家人社部门</w:t>
            </w:r>
            <w:r>
              <w:rPr>
                <w:rFonts w:hint="eastAsia" w:ascii="Calibri" w:hAnsi="Calibri" w:cs="宋体"/>
                <w:color w:val="auto"/>
                <w:szCs w:val="24"/>
                <w:lang w:val="en-US" w:eastAsia="zh-CN" w:bidi="ar-SA"/>
              </w:rPr>
              <w:t xml:space="preserve">或</w:t>
            </w:r>
            <w:r>
              <w:rPr>
                <w:rFonts w:hint="eastAsia" w:ascii="Calibri" w:hAnsi="Calibri" w:cs="宋体"/>
                <w:szCs w:val="24"/>
                <w:lang w:val="en-US" w:eastAsia="zh-CN" w:bidi="ar-SA"/>
              </w:rPr>
              <w:t xml:space="preserve">工信部门颁发的信息系统监理师资格证书的基础上，具有下列证书的，每项得3分，最高得21分：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人社部门或工信部门颁发的信息系统项目管理师</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rPr>
              <w:t xml:space="preserve">人社部门</w:t>
            </w:r>
            <w:r>
              <w:rPr>
                <w:rFonts w:hint="eastAsia" w:ascii="宋体" w:hAnsi="宋体" w:cs="宋体"/>
                <w:color w:val="auto"/>
                <w:szCs w:val="21"/>
                <w:highlight w:val="none"/>
                <w:lang w:eastAsia="zh-CN"/>
              </w:rPr>
              <w:t xml:space="preserve">或</w:t>
            </w:r>
            <w:r>
              <w:rPr>
                <w:rFonts w:hint="eastAsia" w:ascii="宋体" w:hAnsi="宋体" w:cs="宋体"/>
                <w:color w:val="auto"/>
                <w:szCs w:val="21"/>
                <w:highlight w:val="none"/>
              </w:rPr>
              <w:t xml:space="preserve">工信部门颁发的系统集成项目管理工程师证书</w:t>
            </w:r>
            <w:r>
              <w:rPr>
                <w:rFonts w:hint="eastAsia" w:ascii="宋体" w:hAnsi="宋体" w:cs="宋体"/>
                <w:color w:val="auto"/>
                <w:szCs w:val="21"/>
                <w:highlight w:val="none"/>
                <w:lang w:eastAsia="zh-CN"/>
              </w:rPr>
              <w:t xml:space="preserve">；</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人社部门</w:t>
            </w:r>
            <w:r>
              <w:rPr>
                <w:rFonts w:hint="eastAsia" w:ascii="宋体" w:hAnsi="宋体" w:cs="宋体"/>
                <w:color w:val="auto"/>
                <w:szCs w:val="21"/>
                <w:highlight w:val="none"/>
                <w:lang w:eastAsia="zh-CN"/>
              </w:rPr>
              <w:t xml:space="preserve">或</w:t>
            </w:r>
            <w:r>
              <w:rPr>
                <w:rFonts w:hint="eastAsia" w:ascii="宋体" w:hAnsi="宋体" w:cs="宋体"/>
                <w:color w:val="auto"/>
                <w:szCs w:val="21"/>
                <w:highlight w:val="none"/>
              </w:rPr>
              <w:t xml:space="preserve">工信部门颁发的</w:t>
            </w:r>
            <w:r>
              <w:rPr>
                <w:rFonts w:hint="eastAsia" w:ascii="宋体" w:hAnsi="宋体" w:cs="宋体"/>
                <w:color w:val="auto"/>
                <w:szCs w:val="21"/>
                <w:highlight w:val="none"/>
                <w:lang w:eastAsia="zh-CN"/>
              </w:rPr>
              <w:t xml:space="preserve">网络</w:t>
            </w:r>
            <w:r>
              <w:rPr>
                <w:rFonts w:hint="eastAsia" w:ascii="宋体" w:hAnsi="宋体" w:cs="宋体"/>
                <w:color w:val="auto"/>
                <w:szCs w:val="21"/>
                <w:highlight w:val="none"/>
              </w:rPr>
              <w:t xml:space="preserve">工程师</w:t>
            </w:r>
            <w:r>
              <w:rPr>
                <w:rFonts w:hint="eastAsia" w:ascii="宋体" w:hAnsi="宋体" w:cs="宋体"/>
                <w:color w:val="auto"/>
                <w:szCs w:val="21"/>
                <w:highlight w:val="none"/>
                <w:lang w:eastAsia="zh-CN"/>
              </w:rPr>
              <w:t xml:space="preserve">；</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中国信息安全测评中心颁发的注册信息安全专业人员（CISP）证书</w:t>
            </w:r>
            <w:r/>
          </w:p>
          <w:p>
            <w:pPr>
              <w:spacing w:line="440" w:lineRule="exact"/>
              <w:rPr>
                <w:rFonts w:hint="eastAsia" w:ascii="Calibri" w:hAnsi="Calibri" w:cs="宋体"/>
                <w:color w:val="ff0000"/>
                <w:szCs w:val="24"/>
                <w:highlight w:val="none"/>
                <w:lang w:val="en-US" w:eastAsia="zh-CN" w:bidi="ar-SA"/>
              </w:rPr>
            </w:pPr>
            <w:r>
              <w:rPr>
                <w:rFonts w:hint="eastAsia" w:ascii="Calibri" w:hAnsi="Calibri" w:cs="宋体"/>
                <w:szCs w:val="24"/>
                <w:lang w:val="en-US" w:eastAsia="zh-CN" w:bidi="ar-SA"/>
              </w:rPr>
              <w:t xml:space="preserve">人社部门颁发的</w:t>
            </w:r>
            <w:r>
              <w:rPr>
                <w:rFonts w:hint="eastAsia" w:ascii="宋体" w:hAnsi="宋体" w:cs="宋体"/>
                <w:color w:val="auto"/>
                <w:szCs w:val="21"/>
                <w:highlight w:val="none"/>
                <w:lang w:eastAsia="zh-CN"/>
              </w:rPr>
              <w:t xml:space="preserve">电子信息专业工程师或以上职称证书；</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工信部门颁发的软件工程造价师</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住建部颁发的注册监理工程师证书（通信工程专业）。</w:t>
            </w:r>
            <w:r/>
          </w:p>
          <w:p>
            <w:pPr>
              <w:spacing w:line="440" w:lineRule="exact"/>
              <w:rPr>
                <w:rFonts w:hint="eastAsia" w:ascii="Calibri" w:hAnsi="Calibri" w:cs="宋体"/>
                <w:b/>
                <w:color w:val="ff0000"/>
                <w:szCs w:val="24"/>
                <w:lang w:val="en-US" w:eastAsia="zh-CN" w:bidi="ar-SA"/>
              </w:rPr>
            </w:pPr>
            <w:r>
              <w:rPr>
                <w:rFonts w:hint="eastAsia" w:ascii="Calibri" w:hAnsi="Calibri" w:cs="宋体"/>
                <w:szCs w:val="24"/>
                <w:lang w:val="en-US" w:eastAsia="zh-CN" w:bidi="ar-SA"/>
              </w:rPr>
              <w:t xml:space="preserve">（</w:t>
            </w:r>
            <w:r>
              <w:rPr>
                <w:rFonts w:hint="eastAsia" w:ascii="Calibri" w:hAnsi="Calibri" w:cs="宋体"/>
                <w:szCs w:val="24"/>
                <w:lang w:val="en-US" w:eastAsia="zh-CN" w:bidi="ar-SA"/>
              </w:rPr>
              <w:t xml:space="preserve">项目团队成员一人多证的按1种证书计分，</w:t>
            </w:r>
            <w:r>
              <w:rPr>
                <w:rFonts w:hint="eastAsia" w:ascii="Calibri" w:hAnsi="Calibri" w:cs="宋体"/>
                <w:szCs w:val="24"/>
                <w:lang w:val="en-US" w:eastAsia="zh-CN" w:bidi="ar-SA"/>
              </w:rPr>
              <w:t xml:space="preserve">提供有效期内的证书及投标人</w:t>
            </w:r>
            <w:r>
              <w:rPr>
                <w:rFonts w:hint="eastAsia" w:ascii="Calibri" w:hAnsi="Calibri" w:cs="宋体"/>
                <w:color w:val="000000"/>
                <w:szCs w:val="24"/>
                <w:lang w:val="en-US" w:eastAsia="zh-CN" w:bidi="ar-SA"/>
              </w:rPr>
              <w:t xml:space="preserve">近三个月任意一个月</w:t>
            </w:r>
            <w:r>
              <w:rPr>
                <w:rFonts w:hint="eastAsia" w:ascii="Calibri" w:hAnsi="Calibri" w:cs="宋体"/>
                <w:szCs w:val="24"/>
                <w:lang w:val="en-US" w:eastAsia="zh-CN" w:bidi="ar-SA"/>
              </w:rPr>
              <w:t xml:space="preserve">为其缴纳社保的证明材料原件，</w:t>
            </w:r>
            <w:r>
              <w:rPr>
                <w:rFonts w:hint="eastAsia" w:ascii="Calibri" w:hAnsi="Calibri" w:cs="宋体"/>
                <w:color w:val="000000"/>
                <w:szCs w:val="24"/>
                <w:lang w:val="en-US" w:eastAsia="zh-CN" w:bidi="ar-SA"/>
              </w:rPr>
              <w:t xml:space="preserve">扫描上传。</w:t>
            </w:r>
            <w:r>
              <w:rPr>
                <w:rFonts w:hint="eastAsia" w:ascii="Calibri" w:hAnsi="Calibri" w:cs="宋体"/>
                <w:szCs w:val="24"/>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业绩</w:t>
            </w:r>
            <w:r/>
          </w:p>
          <w:p>
            <w:pPr>
              <w:jc w:val="cente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（15分）</w:t>
            </w:r>
            <w:r/>
          </w:p>
        </w:tc>
        <w:tc>
          <w:tcPr>
            <w:tcBorders>
              <w:top w:val="single" w:color="auto" w:sz="4" w:space="0"/>
              <w:left w:val="single" w:color="auto" w:sz="4" w:space="0"/>
              <w:bottom w:val="single" w:color="auto" w:sz="4" w:space="0"/>
              <w:right w:val="single" w:color="auto" w:sz="4" w:space="0"/>
            </w:tcBorders>
            <w:tcW w:w="7402" w:type="dxa"/>
            <w:vAlign w:val="center"/>
            <w:textDirection w:val="lrTb"/>
            <w:noWrap w:val="false"/>
          </w:tcPr>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投标人须提供2021年1月1日至今，</w:t>
            </w:r>
            <w:r>
              <w:rPr>
                <w:rFonts w:hint="eastAsia" w:ascii="Calibri" w:hAnsi="Calibri" w:cs="宋体"/>
                <w:szCs w:val="24"/>
                <w:lang w:val="en-US" w:eastAsia="zh-CN" w:bidi="ar-SA"/>
              </w:rPr>
              <w:t xml:space="preserve">类似项目案例</w:t>
            </w:r>
            <w:r>
              <w:rPr>
                <w:rFonts w:hint="eastAsia" w:ascii="Calibri" w:hAnsi="Calibri" w:cs="宋体"/>
                <w:color w:val="000000"/>
                <w:szCs w:val="24"/>
                <w:lang w:val="en-US" w:eastAsia="zh-CN" w:bidi="ar-SA"/>
              </w:rPr>
              <w:t xml:space="preserve">，</w:t>
            </w:r>
            <w:r>
              <w:rPr>
                <w:rFonts w:hint="eastAsia" w:ascii="Calibri" w:hAnsi="Calibri" w:cs="宋体"/>
                <w:szCs w:val="24"/>
                <w:lang w:val="en-US" w:eastAsia="zh-CN" w:bidi="ar-SA"/>
              </w:rPr>
              <w:t xml:space="preserve">每提供1个得3分，满分15分。（提供合同原件，</w:t>
            </w:r>
            <w:r>
              <w:rPr>
                <w:rFonts w:hint="eastAsia" w:ascii="Calibri" w:hAnsi="Calibri" w:cs="宋体"/>
                <w:szCs w:val="24"/>
                <w:lang w:val="en-US" w:eastAsia="zh-CN" w:bidi="ar-SA"/>
              </w:rPr>
              <w:t xml:space="preserve">扫描上传</w:t>
            </w:r>
            <w:r>
              <w:rPr>
                <w:rFonts w:hint="eastAsia" w:ascii="Calibri" w:hAnsi="Calibri" w:cs="宋体"/>
                <w:szCs w:val="24"/>
                <w:lang w:val="en-US" w:eastAsia="zh-CN" w:bidi="ar-SA"/>
              </w:rPr>
              <w:t xml:space="preserve">，合同以签订时间为准）</w:t>
            </w:r>
            <w:r/>
          </w:p>
        </w:tc>
      </w:tr>
      <w:tr>
        <w:trPr>
          <w:jc w:val="center"/>
        </w:trPr>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服务方案</w:t>
            </w:r>
            <w:r/>
          </w:p>
          <w:p>
            <w:pPr>
              <w:jc w:val="cente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（40分）</w:t>
            </w:r>
            <w:r/>
          </w:p>
        </w:tc>
        <w:tc>
          <w:tcPr>
            <w:tcBorders>
              <w:top w:val="single" w:color="auto" w:sz="4" w:space="0"/>
              <w:left w:val="single" w:color="auto" w:sz="4" w:space="0"/>
              <w:bottom w:val="single" w:color="auto" w:sz="4" w:space="0"/>
              <w:right w:val="single" w:color="auto" w:sz="4" w:space="0"/>
            </w:tcBorders>
            <w:tcW w:w="7402" w:type="dxa"/>
            <w:vAlign w:val="center"/>
            <w:textDirection w:val="lrTb"/>
            <w:noWrap w:val="false"/>
          </w:tcPr>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1、投标人应根据招标文件要求提供项目质量控制措施方案</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优于招标文件要求的得5分；满足招标文件要求的得3分；不符合招标文件要求或未提供的不得分。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2、投标人应根据招标文件要求提供项目进度控制措施方案</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优于招标文件要求的得5分；满足招标文件要求的得3分；不符合招标文件要求或未提供的不得分。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3、投标人应根据招标文件要求提供项目变更控制措施方案</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优于招标文件要求的得5分；满足招标文件要求的得3分；不符合招标文件要求或未提供的不得分。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4、投标人应根据招标文件要求提供项目合同与信息管理措施方案</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优于招标文件要求的得5分；满足招标文件要求的得3分；不符合招标文件要求或未提供的不得分。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5、投标人应根据招标文件要求提供安全生产控制措施方案</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优于招标文件要求的得5分；满足招标文件要求的得3分；不符合招标文件要求或未提供的不得分。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6、投标人应根据招标文件要求提供监理服务电子化解决方案</w:t>
            </w:r>
            <w:r/>
          </w:p>
          <w:p>
            <w:pPr>
              <w:spacing w:line="440" w:lineRule="exact"/>
              <w:rPr>
                <w:rFonts w:hint="default" w:ascii="Calibri" w:hAnsi="Calibri" w:eastAsia="宋体" w:cs="宋体"/>
                <w:color w:val="ff0000"/>
                <w:szCs w:val="24"/>
                <w:lang w:val="en-US" w:eastAsia="zh-CN" w:bidi="ar-SA"/>
              </w:rPr>
            </w:pPr>
            <w:r>
              <w:rPr>
                <w:rFonts w:hint="eastAsia" w:ascii="Calibri" w:hAnsi="Calibri" w:cs="宋体"/>
                <w:szCs w:val="24"/>
                <w:lang w:val="en-US" w:eastAsia="zh-CN" w:bidi="ar-SA"/>
              </w:rPr>
              <w:t xml:space="preserve">优于招标文件要求的得5分；满足招标文件要求的得3分；不符合招标文件要求或未提供的不得分。</w:t>
            </w:r>
            <w:r/>
          </w:p>
          <w:p>
            <w:pPr>
              <w:spacing w:line="440" w:lineRule="exact"/>
              <w:rPr>
                <w:rFonts w:hint="default" w:ascii="Calibri" w:hAnsi="Calibri" w:cs="宋体"/>
                <w:color w:val="4f81bd" w:themeColor="accent1"/>
                <w:szCs w:val="24"/>
                <w:lang w:val="en-US" w:eastAsia="zh-CN" w:bidi="ar-SA"/>
                <w14:textFill>
                  <w14:solidFill>
                    <w14:schemeClr w14:val="accent1"/>
                  </w14:solidFill>
                </w14:textFill>
              </w:rPr>
            </w:pPr>
            <w:r>
              <w:rPr>
                <w:rFonts w:hint="eastAsia" w:ascii="Calibri" w:hAnsi="Calibri" w:cs="宋体"/>
                <w:szCs w:val="24"/>
                <w:lang w:val="en-US" w:eastAsia="zh-CN" w:bidi="ar-SA"/>
              </w:rPr>
              <w:t xml:space="preserve">7、投标人应根据招标文件要求提供项目建设实施建议方案</w:t>
            </w:r>
            <w:r>
              <w:rPr>
                <w:rFonts w:hint="eastAsia" w:ascii="Calibri" w:hAnsi="Calibri" w:cs="宋体"/>
                <w:color w:val="4f81bd" w:themeColor="accent1"/>
                <w:szCs w:val="24"/>
                <w:lang w:val="en-US" w:eastAsia="zh-CN" w:bidi="ar-SA"/>
                <w14:textFill>
                  <w14:solidFill>
                    <w14:schemeClr w14:val="accent1"/>
                  </w14:solidFill>
                </w14:textFill>
              </w:rPr>
              <w:t xml:space="preserve">，科学、严密、合理，描述详细且具有针对性的建议，有一条得2.5分，满分5分。</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8、投标人应根据招标文件要求提供现场组织协调方法及措施方案</w:t>
            </w:r>
            <w:r/>
          </w:p>
          <w:p>
            <w:pPr>
              <w:spacing w:line="440" w:lineRule="exac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优于招标文件要求的得5分；符合招标文件要求的得3分；不符合招标文件要求或未提供的不得分。</w:t>
            </w:r>
            <w:r/>
          </w:p>
        </w:tc>
      </w:tr>
    </w:tbl>
    <w:p>
      <w:pPr>
        <w:rPr>
          <w:rFonts w:hint="eastAsia" w:ascii="Calibri" w:hAnsi="Calibri"/>
          <w:szCs w:val="24"/>
          <w:lang w:val="en-US" w:eastAsia="zh-CN" w:bidi="ar-SA"/>
        </w:rPr>
      </w:pPr>
      <w:r>
        <w:rPr>
          <w:rFonts w:hint="eastAsia" w:ascii="Calibri" w:hAnsi="Calibri"/>
          <w:szCs w:val="24"/>
          <w:lang w:val="en-US" w:eastAsia="zh-CN" w:bidi="ar-SA"/>
        </w:rPr>
      </w:r>
      <w:r/>
    </w:p>
    <w:p>
      <w:pPr>
        <w:ind w:firstLine="480"/>
        <w:spacing w:line="360" w:lineRule="auto"/>
        <w:rPr>
          <w:rFonts w:hint="eastAsia"/>
          <w:bCs/>
          <w:iCs/>
          <w:sz w:val="24"/>
          <w:szCs w:val="24"/>
          <w:lang w:val="en-US" w:eastAsia="zh-CN"/>
        </w:rPr>
      </w:pPr>
      <w:r>
        <w:rPr>
          <w:rFonts w:hint="eastAsia"/>
          <w:bCs/>
          <w:iCs/>
          <w:sz w:val="24"/>
          <w:szCs w:val="24"/>
          <w:lang w:val="en-US" w:eastAsia="zh-CN"/>
        </w:rPr>
        <w:t xml:space="preserve">包四：</w:t>
      </w:r>
      <w:r/>
    </w:p>
    <w:p>
      <w:pPr>
        <w:ind w:firstLine="480"/>
        <w:spacing w:line="360" w:lineRule="auto"/>
        <w:rPr>
          <w:rFonts w:hint="eastAsia" w:eastAsia="宋体"/>
          <w:bCs/>
          <w:iCs/>
          <w:sz w:val="24"/>
          <w:szCs w:val="24"/>
          <w:lang w:val="en-US" w:eastAsia="zh-CN"/>
        </w:rPr>
      </w:pPr>
      <w:r>
        <w:rPr>
          <w:rFonts w:hint="eastAsia"/>
          <w:bCs/>
          <w:iCs/>
          <w:sz w:val="24"/>
          <w:szCs w:val="24"/>
          <w:lang w:val="en-US" w:eastAsia="zh-CN"/>
        </w:rPr>
        <w:t xml:space="preserve"> </w:t>
      </w:r>
      <w:r/>
    </w:p>
    <w:tbl>
      <w:tblPr>
        <w:tblStyle w:val="739"/>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7433"/>
      </w:tblGrid>
      <w:tr>
        <w:trPr>
          <w:jc w:val="center"/>
          <w:trHeight w:val="315"/>
        </w:trPr>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项 目</w:t>
            </w:r>
            <w:r/>
          </w:p>
        </w:tc>
        <w:tc>
          <w:tcPr>
            <w:tcBorders>
              <w:top w:val="single" w:color="auto" w:sz="4" w:space="0"/>
              <w:left w:val="none" w:color="000000" w:sz="4" w:space="0"/>
              <w:bottom w:val="single" w:color="auto" w:sz="4" w:space="0"/>
              <w:right w:val="single" w:color="auto" w:sz="4" w:space="0"/>
            </w:tcBorders>
            <w:tcW w:w="7433" w:type="dxa"/>
            <w:vAlign w:val="center"/>
            <w:textDirection w:val="lrTb"/>
            <w:noWrap w:val="false"/>
          </w:tcPr>
          <w:p>
            <w:pPr>
              <w:ind w:firstLine="420"/>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评分标准</w:t>
            </w:r>
            <w:r/>
          </w:p>
        </w:tc>
      </w:tr>
      <w:tr>
        <w:trPr>
          <w:jc w:val="center"/>
          <w:trHeight w:val="926"/>
        </w:trPr>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价 格</w:t>
            </w:r>
            <w:r/>
          </w:p>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（10分）</w:t>
            </w:r>
            <w:r/>
          </w:p>
        </w:tc>
        <w:tc>
          <w:tcPr>
            <w:tcBorders>
              <w:top w:val="single" w:color="auto" w:sz="4" w:space="0"/>
              <w:left w:val="none" w:color="000000" w:sz="4" w:space="0"/>
              <w:bottom w:val="single" w:color="auto" w:sz="4" w:space="0"/>
              <w:right w:val="single" w:color="auto" w:sz="4" w:space="0"/>
            </w:tcBorders>
            <w:tcW w:w="7433" w:type="dxa"/>
            <w:vAlign w:val="center"/>
            <w:textDirection w:val="lrTb"/>
            <w:noWrap w:val="false"/>
          </w:tcPr>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以满足招标文件要求的最低投标报价为评标基准价，得满分10分，其他投标报价得分=（评标基准价/其他投标报价）×10×100%。</w:t>
            </w:r>
            <w:r/>
          </w:p>
        </w:tc>
      </w:tr>
      <w:tr>
        <w:trPr>
          <w:jc w:val="center"/>
          <w:trHeight w:val="484"/>
        </w:trPr>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服务方案</w:t>
            </w:r>
            <w:r/>
          </w:p>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（42分）</w:t>
            </w:r>
            <w:r/>
          </w:p>
        </w:tc>
        <w:tc>
          <w:tcPr>
            <w:tcBorders>
              <w:top w:val="single" w:color="auto" w:sz="4" w:space="0"/>
              <w:left w:val="none" w:color="000000" w:sz="4" w:space="0"/>
              <w:bottom w:val="single" w:color="auto" w:sz="4" w:space="0"/>
              <w:right w:val="single" w:color="auto" w:sz="4" w:space="0"/>
            </w:tcBorders>
            <w:tcW w:w="7433" w:type="dxa"/>
            <w:vAlign w:val="center"/>
            <w:textDirection w:val="lrTb"/>
            <w:noWrap w:val="false"/>
          </w:tcPr>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1、投标人根据招标文件要求提供针对本项目的工作内容及工作要求</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优于招标文件要求得</w:t>
            </w:r>
            <w:r>
              <w:rPr>
                <w:rFonts w:hint="eastAsia" w:ascii="Calibri" w:hAnsi="Calibri" w:cs="宋体"/>
                <w:color w:val="auto"/>
                <w:szCs w:val="24"/>
                <w:lang w:val="en-US" w:eastAsia="zh-CN" w:bidi="ar-SA"/>
              </w:rPr>
              <w:t xml:space="preserve">6</w:t>
            </w:r>
            <w:r>
              <w:rPr>
                <w:rFonts w:hint="eastAsia" w:ascii="Calibri" w:hAnsi="Calibri" w:cs="宋体"/>
                <w:szCs w:val="24"/>
                <w:lang w:val="en-US" w:eastAsia="zh-CN" w:bidi="ar-SA"/>
              </w:rPr>
              <w:t xml:space="preserve">分；符合招标文件要求得</w:t>
            </w:r>
            <w:r>
              <w:rPr>
                <w:rFonts w:hint="eastAsia" w:ascii="Calibri" w:hAnsi="Calibri" w:cs="宋体"/>
                <w:color w:val="auto"/>
                <w:szCs w:val="24"/>
                <w:lang w:val="en-US" w:eastAsia="zh-CN" w:bidi="ar-SA"/>
              </w:rPr>
              <w:t xml:space="preserve">4</w:t>
            </w:r>
            <w:r>
              <w:rPr>
                <w:rFonts w:hint="eastAsia" w:ascii="Calibri" w:hAnsi="Calibri" w:cs="宋体"/>
                <w:szCs w:val="24"/>
                <w:lang w:val="en-US" w:eastAsia="zh-CN" w:bidi="ar-SA"/>
              </w:rPr>
              <w:t xml:space="preserve">分；不符合招标文件要求或未提供的不得分。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2、投标人根据招标文件要求提供针对本项目的服务质量、服务时限保证措施</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优于招标文件要求得6分；符合招标文件要求得</w:t>
            </w:r>
            <w:r>
              <w:rPr>
                <w:rFonts w:hint="eastAsia" w:ascii="Calibri" w:hAnsi="Calibri" w:cs="宋体"/>
                <w:color w:val="4f81bd" w:themeColor="accent1"/>
                <w:szCs w:val="24"/>
                <w:lang w:val="en-US" w:eastAsia="zh-CN" w:bidi="ar-SA"/>
                <w14:textFill>
                  <w14:solidFill>
                    <w14:schemeClr w14:val="accent1"/>
                  </w14:solidFill>
                </w14:textFill>
              </w:rPr>
              <w:t xml:space="preserve">4</w:t>
            </w:r>
            <w:r>
              <w:rPr>
                <w:rFonts w:hint="eastAsia" w:ascii="Calibri" w:hAnsi="Calibri" w:cs="宋体"/>
                <w:szCs w:val="24"/>
                <w:lang w:val="en-US" w:eastAsia="zh-CN" w:bidi="ar-SA"/>
              </w:rPr>
              <w:t xml:space="preserve">分；不符合招标文件要求或未提供的不得分。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3、投标人根据招标文件要求提供针对本项目的组织机构与管理办法</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优于招标文件要求得6分；符合招标文件要求得</w:t>
            </w:r>
            <w:r>
              <w:rPr>
                <w:rFonts w:hint="eastAsia" w:ascii="Calibri" w:hAnsi="Calibri" w:cs="宋体"/>
                <w:color w:val="4f81bd" w:themeColor="accent1"/>
                <w:szCs w:val="24"/>
                <w:lang w:val="en-US" w:eastAsia="zh-CN" w:bidi="ar-SA"/>
                <w14:textFill>
                  <w14:solidFill>
                    <w14:schemeClr w14:val="accent1"/>
                  </w14:solidFill>
                </w14:textFill>
              </w:rPr>
              <w:t xml:space="preserve">4</w:t>
            </w:r>
            <w:r>
              <w:rPr>
                <w:rFonts w:hint="eastAsia" w:ascii="Calibri" w:hAnsi="Calibri" w:cs="宋体"/>
                <w:szCs w:val="24"/>
                <w:lang w:val="en-US" w:eastAsia="zh-CN" w:bidi="ar-SA"/>
              </w:rPr>
              <w:t xml:space="preserve">分；不符合招标文件要求或未提供的不得分。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4、投标人根据招标文件要求提供针对本项目的工作流程</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优于招标文件要求得6分；符合招标文件要求得</w:t>
            </w:r>
            <w:r>
              <w:rPr>
                <w:rFonts w:hint="eastAsia" w:ascii="Calibri" w:hAnsi="Calibri" w:cs="宋体"/>
                <w:color w:val="4f81bd" w:themeColor="accent1"/>
                <w:szCs w:val="24"/>
                <w:lang w:val="en-US" w:eastAsia="zh-CN" w:bidi="ar-SA"/>
                <w14:textFill>
                  <w14:solidFill>
                    <w14:schemeClr w14:val="accent1"/>
                  </w14:solidFill>
                </w14:textFill>
              </w:rPr>
              <w:t xml:space="preserve">4</w:t>
            </w:r>
            <w:r>
              <w:rPr>
                <w:rFonts w:hint="eastAsia" w:ascii="Calibri" w:hAnsi="Calibri" w:cs="宋体"/>
                <w:szCs w:val="24"/>
                <w:lang w:val="en-US" w:eastAsia="zh-CN" w:bidi="ar-SA"/>
              </w:rPr>
              <w:t xml:space="preserve">分；不符合招标文件要求或未提供的不得分。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5、投标人根据招标文件要求提供针对本项目的工作要点</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优于招标文件要求得6分；符合招标文件要求得</w:t>
            </w:r>
            <w:r>
              <w:rPr>
                <w:rFonts w:hint="eastAsia" w:ascii="Calibri" w:hAnsi="Calibri" w:cs="宋体"/>
                <w:color w:val="4f81bd" w:themeColor="accent1"/>
                <w:szCs w:val="24"/>
                <w:lang w:val="en-US" w:eastAsia="zh-CN" w:bidi="ar-SA"/>
                <w14:textFill>
                  <w14:solidFill>
                    <w14:schemeClr w14:val="accent1"/>
                  </w14:solidFill>
                </w14:textFill>
              </w:rPr>
              <w:t xml:space="preserve">4</w:t>
            </w:r>
            <w:r>
              <w:rPr>
                <w:rFonts w:hint="eastAsia" w:ascii="Calibri" w:hAnsi="Calibri" w:cs="宋体"/>
                <w:szCs w:val="24"/>
                <w:lang w:val="en-US" w:eastAsia="zh-CN" w:bidi="ar-SA"/>
              </w:rPr>
              <w:t xml:space="preserve">分；不符合招标文件要求或未提供的不得分。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6、投标人根据招标文件要求提供针对本项目的重点、难点分析及优化与建议</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优于招标文件要求得6分；符合招标文件要求得4分；不符合招标文件要求或未提供的不得分。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7、投标人按照招标文件要求提供驻场服务承诺，满分6分。（承诺函扫描上传）</w:t>
            </w:r>
            <w:r/>
          </w:p>
        </w:tc>
      </w:tr>
      <w:tr>
        <w:trPr>
          <w:jc w:val="center"/>
          <w:trHeight w:val="557"/>
        </w:trPr>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企业资信</w:t>
            </w:r>
            <w:r/>
          </w:p>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（3分）</w:t>
            </w:r>
            <w:r/>
          </w:p>
        </w:tc>
        <w:tc>
          <w:tcPr>
            <w:tcBorders>
              <w:top w:val="single" w:color="auto" w:sz="4" w:space="0"/>
              <w:left w:val="none" w:color="000000" w:sz="4" w:space="0"/>
              <w:bottom w:val="single" w:color="auto" w:sz="4" w:space="0"/>
              <w:right w:val="single" w:color="auto" w:sz="4" w:space="0"/>
            </w:tcBorders>
            <w:tcW w:w="7433" w:type="dxa"/>
            <w:vAlign w:val="center"/>
            <w:textDirection w:val="lrTb"/>
            <w:noWrap w:val="false"/>
          </w:tcPr>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1、投标人具有有效期内ISO9001质量管理体系认证证书的得</w:t>
            </w:r>
            <w:r>
              <w:rPr>
                <w:rFonts w:hint="default" w:ascii="Calibri" w:hAnsi="Calibri" w:cs="宋体"/>
                <w:szCs w:val="24"/>
                <w:lang w:val="en-US" w:eastAsia="zh-CN" w:bidi="ar-SA"/>
              </w:rPr>
              <w:t xml:space="preserve">1</w:t>
            </w:r>
            <w:r>
              <w:rPr>
                <w:rFonts w:hint="eastAsia" w:ascii="Calibri" w:hAnsi="Calibri" w:cs="宋体"/>
                <w:szCs w:val="24"/>
                <w:lang w:val="en-US" w:eastAsia="zh-CN" w:bidi="ar-SA"/>
              </w:rPr>
              <w:t xml:space="preserve">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2、投标人具有有效期内ISO14001环境管理体系认证证书的得</w:t>
            </w:r>
            <w:r>
              <w:rPr>
                <w:rFonts w:hint="default" w:ascii="Calibri" w:hAnsi="Calibri" w:cs="宋体"/>
                <w:szCs w:val="24"/>
                <w:lang w:val="en-US" w:eastAsia="zh-CN" w:bidi="ar-SA"/>
              </w:rPr>
              <w:t xml:space="preserve">1</w:t>
            </w:r>
            <w:r>
              <w:rPr>
                <w:rFonts w:hint="eastAsia" w:ascii="Calibri" w:hAnsi="Calibri" w:cs="宋体"/>
                <w:szCs w:val="24"/>
                <w:lang w:val="en-US" w:eastAsia="zh-CN" w:bidi="ar-SA"/>
              </w:rPr>
              <w:t xml:space="preserve">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3、投标人具有有效期内ISO45001职业健康安全管理体系认证证书的得</w:t>
            </w:r>
            <w:r>
              <w:rPr>
                <w:rFonts w:hint="default" w:ascii="Calibri" w:hAnsi="Calibri" w:cs="宋体"/>
                <w:szCs w:val="24"/>
                <w:lang w:val="en-US" w:eastAsia="zh-CN" w:bidi="ar-SA"/>
              </w:rPr>
              <w:t xml:space="preserve">1</w:t>
            </w:r>
            <w:r>
              <w:rPr>
                <w:rFonts w:hint="eastAsia" w:ascii="Calibri" w:hAnsi="Calibri" w:cs="宋体"/>
                <w:szCs w:val="24"/>
                <w:lang w:val="en-US" w:eastAsia="zh-CN" w:bidi="ar-SA"/>
              </w:rPr>
              <w:t xml:space="preserve">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注：管理体系认证证书，原件扫描上传。</w:t>
            </w:r>
            <w:r/>
          </w:p>
        </w:tc>
      </w:tr>
      <w:tr>
        <w:trPr>
          <w:jc w:val="center"/>
          <w:trHeight w:val="2421"/>
        </w:trPr>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人员配备</w:t>
            </w:r>
            <w:r/>
          </w:p>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（30分）</w:t>
            </w:r>
            <w:r/>
          </w:p>
        </w:tc>
        <w:tc>
          <w:tcPr>
            <w:tcBorders>
              <w:top w:val="single" w:color="auto" w:sz="4" w:space="0"/>
              <w:left w:val="none" w:color="000000" w:sz="4" w:space="0"/>
              <w:bottom w:val="single" w:color="auto" w:sz="4" w:space="0"/>
              <w:right w:val="single" w:color="auto" w:sz="4" w:space="0"/>
            </w:tcBorders>
            <w:tcW w:w="7433" w:type="dxa"/>
            <w:vAlign w:val="center"/>
            <w:textDirection w:val="lrTb"/>
            <w:noWrap w:val="false"/>
          </w:tcPr>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1、拟派项目负责人具有安装专业一级注册造价工程师资格、软件工程造价师和高级技术职称的，提供1个得3分，满分9分。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2、拟派项目组成员（项目负责人除外），具有安装专业一级注册造价工程师资格，有1人得3分，满分9分。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3、拟派项目组成员（项目负责人除外），软件工程造价师（工业和信息化部教育与考试中心颁发），有1人得3分，满分12分。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注：提供以上人员资格证书、职称证书及</w:t>
            </w:r>
            <w:r>
              <w:rPr>
                <w:rFonts w:hint="eastAsia" w:ascii="Calibri" w:hAnsi="Calibri" w:cs="宋体"/>
                <w:szCs w:val="24"/>
                <w:lang w:val="en-US" w:eastAsia="zh-CN" w:bidi="ar-SA"/>
              </w:rPr>
              <w:t xml:space="preserve">投标人</w:t>
            </w:r>
            <w:r>
              <w:rPr>
                <w:rFonts w:hint="eastAsia" w:ascii="Calibri" w:hAnsi="Calibri" w:cs="宋体"/>
                <w:szCs w:val="24"/>
                <w:lang w:val="en-US" w:eastAsia="zh-CN" w:bidi="ar-SA"/>
              </w:rPr>
              <w:t xml:space="preserve">近三个月任意一个月</w:t>
            </w:r>
            <w:r>
              <w:rPr>
                <w:rFonts w:hint="eastAsia" w:ascii="Calibri" w:hAnsi="Calibri" w:cs="宋体"/>
                <w:szCs w:val="24"/>
                <w:lang w:val="en-US" w:eastAsia="zh-CN" w:bidi="ar-SA"/>
              </w:rPr>
              <w:t xml:space="preserve">为其缴纳社保的证明材料原件，</w:t>
            </w:r>
            <w:r>
              <w:rPr>
                <w:rFonts w:hint="eastAsia" w:ascii="Calibri" w:hAnsi="Calibri" w:cs="宋体"/>
                <w:szCs w:val="24"/>
                <w:lang w:val="en-US" w:eastAsia="zh-CN" w:bidi="ar-SA"/>
              </w:rPr>
              <w:t xml:space="preserve">扫描上传。</w:t>
            </w:r>
            <w:r/>
          </w:p>
        </w:tc>
      </w:tr>
      <w:tr>
        <w:trPr>
          <w:jc w:val="center"/>
          <w:trHeight w:val="327"/>
        </w:trPr>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业绩</w:t>
            </w:r>
            <w:r/>
          </w:p>
          <w:p>
            <w:pPr>
              <w:jc w:val="center"/>
              <w:rPr>
                <w:rFonts w:hint="eastAsia" w:ascii="Calibri" w:hAnsi="Calibri" w:cs="宋体"/>
                <w:szCs w:val="24"/>
                <w:lang w:val="en-US" w:eastAsia="zh-CN" w:bidi="ar-SA"/>
              </w:rPr>
            </w:pPr>
            <w:r>
              <w:rPr>
                <w:rFonts w:hint="eastAsia" w:ascii="Calibri" w:hAnsi="Calibri" w:cs="宋体"/>
                <w:szCs w:val="24"/>
                <w:lang w:val="en-US" w:eastAsia="zh-CN" w:bidi="ar-SA"/>
              </w:rPr>
              <w:t xml:space="preserve">（15分）</w:t>
            </w:r>
            <w:r/>
          </w:p>
        </w:tc>
        <w:tc>
          <w:tcPr>
            <w:tcBorders>
              <w:top w:val="single" w:color="auto" w:sz="4" w:space="0"/>
              <w:left w:val="none" w:color="000000" w:sz="4" w:space="0"/>
              <w:bottom w:val="single" w:color="auto" w:sz="4" w:space="0"/>
              <w:right w:val="single" w:color="auto" w:sz="4" w:space="0"/>
            </w:tcBorders>
            <w:tcW w:w="7433" w:type="dxa"/>
            <w:vAlign w:val="center"/>
            <w:textDirection w:val="lrTb"/>
            <w:noWrap w:val="false"/>
          </w:tcPr>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投标人提供20</w:t>
            </w:r>
            <w:r>
              <w:rPr>
                <w:rFonts w:hint="default" w:ascii="Calibri" w:hAnsi="Calibri" w:cs="宋体"/>
                <w:szCs w:val="24"/>
                <w:lang w:val="en-US" w:eastAsia="zh-CN" w:bidi="ar-SA"/>
              </w:rPr>
              <w:t xml:space="preserve">2</w:t>
            </w:r>
            <w:r>
              <w:rPr>
                <w:rFonts w:hint="eastAsia" w:ascii="Calibri" w:hAnsi="Calibri" w:cs="宋体"/>
                <w:szCs w:val="24"/>
                <w:lang w:val="en-US" w:eastAsia="zh-CN" w:bidi="ar-SA"/>
              </w:rPr>
              <w:t xml:space="preserve">1年1月1日以来承担过类似业绩，每有一项得</w:t>
            </w:r>
            <w:r>
              <w:rPr>
                <w:rFonts w:hint="default" w:ascii="Calibri" w:hAnsi="Calibri" w:cs="宋体"/>
                <w:szCs w:val="24"/>
                <w:lang w:val="en-US" w:eastAsia="zh-CN" w:bidi="ar-SA"/>
              </w:rPr>
              <w:t xml:space="preserve">3</w:t>
            </w:r>
            <w:r>
              <w:rPr>
                <w:rFonts w:hint="eastAsia" w:ascii="Calibri" w:hAnsi="Calibri" w:cs="宋体"/>
                <w:szCs w:val="24"/>
                <w:lang w:val="en-US" w:eastAsia="zh-CN" w:bidi="ar-SA"/>
              </w:rPr>
              <w:t xml:space="preserve">分，满分15分。（以咨询报告出具时间为准）</w:t>
            </w:r>
            <w:r/>
          </w:p>
          <w:p>
            <w:pPr>
              <w:jc w:val="left"/>
              <w:rPr>
                <w:rFonts w:hint="eastAsia" w:ascii="Calibri" w:hAnsi="Calibri" w:cs="宋体"/>
                <w:szCs w:val="24"/>
                <w:lang w:val="en-US" w:eastAsia="zh-CN" w:bidi="ar-SA"/>
              </w:rPr>
            </w:pPr>
            <w:r>
              <w:rPr>
                <w:rFonts w:hint="eastAsia" w:ascii="Calibri" w:hAnsi="Calibri" w:cs="宋体"/>
                <w:szCs w:val="24"/>
                <w:lang w:val="en-US" w:eastAsia="zh-CN" w:bidi="ar-SA"/>
              </w:rPr>
              <w:t xml:space="preserve">注：须提供合同和咨询报告，原件扫描上传。</w:t>
            </w:r>
            <w:r/>
          </w:p>
        </w:tc>
      </w:tr>
    </w:tbl>
    <w:p>
      <w:pPr>
        <w:ind w:firstLine="480"/>
        <w:spacing w:line="360" w:lineRule="auto"/>
        <w:rPr>
          <w:rFonts w:hint="eastAsia" w:eastAsia="宋体"/>
          <w:bCs/>
          <w:iCs/>
          <w:sz w:val="24"/>
          <w:szCs w:val="24"/>
          <w:lang w:val="en-US" w:eastAsia="zh-CN"/>
        </w:rPr>
      </w:pPr>
      <w:r>
        <w:rPr>
          <w:rFonts w:hint="eastAsia" w:eastAsia="宋体"/>
          <w:bCs/>
          <w:iCs/>
          <w:sz w:val="24"/>
          <w:szCs w:val="24"/>
          <w:lang w:val="en-US" w:eastAsia="zh-CN"/>
        </w:rPr>
      </w:r>
      <w:r/>
    </w:p>
    <w:p>
      <w:pPr>
        <w:jc w:val="center"/>
        <w:spacing w:line="500" w:lineRule="exact"/>
        <w:rPr>
          <w:rFonts w:ascii="宋体" w:hAnsi="宋体"/>
          <w:b/>
          <w:bCs/>
          <w:sz w:val="24"/>
          <w:szCs w:val="24"/>
        </w:rPr>
      </w:pPr>
      <w:r>
        <w:rPr>
          <w:rFonts w:ascii="宋体" w:hAnsi="宋体"/>
          <w:b/>
          <w:bCs/>
          <w:sz w:val="24"/>
          <w:szCs w:val="24"/>
        </w:rPr>
      </w:r>
      <w:r/>
    </w:p>
    <w:p>
      <w:pPr>
        <w:pStyle w:val="742"/>
        <w:rPr>
          <w:rFonts w:ascii="宋体" w:hAnsi="宋体"/>
          <w:b/>
          <w:bCs/>
          <w:sz w:val="24"/>
          <w:szCs w:val="24"/>
        </w:rPr>
      </w:pPr>
      <w:r>
        <w:rPr>
          <w:rFonts w:ascii="宋体" w:hAnsi="宋体"/>
          <w:b/>
          <w:bCs/>
          <w:sz w:val="24"/>
          <w:szCs w:val="24"/>
        </w:rPr>
      </w:r>
      <w:r/>
    </w:p>
    <w:p>
      <w:pPr>
        <w:pStyle w:val="742"/>
        <w:rPr>
          <w:rFonts w:ascii="宋体" w:hAnsi="宋体"/>
          <w:b/>
          <w:bCs/>
          <w:sz w:val="24"/>
          <w:szCs w:val="24"/>
        </w:rPr>
      </w:pPr>
      <w:r>
        <w:rPr>
          <w:rFonts w:ascii="宋体" w:hAnsi="宋体"/>
          <w:b/>
          <w:bCs/>
          <w:sz w:val="24"/>
          <w:szCs w:val="24"/>
        </w:rPr>
      </w:r>
      <w:r/>
    </w:p>
    <w:p>
      <w:pPr>
        <w:pStyle w:val="742"/>
        <w:rPr>
          <w:rFonts w:ascii="宋体" w:hAnsi="宋体"/>
          <w:b/>
          <w:bCs/>
          <w:sz w:val="24"/>
          <w:szCs w:val="24"/>
        </w:rPr>
      </w:pPr>
      <w:r>
        <w:rPr>
          <w:rFonts w:ascii="宋体" w:hAnsi="宋体"/>
          <w:b/>
          <w:bCs/>
          <w:sz w:val="24"/>
          <w:szCs w:val="24"/>
        </w:rPr>
      </w:r>
      <w:r/>
    </w:p>
    <w:p>
      <w:pPr>
        <w:pStyle w:val="742"/>
        <w:rPr>
          <w:rFonts w:ascii="宋体" w:hAnsi="宋体"/>
          <w:b/>
          <w:bCs/>
          <w:sz w:val="24"/>
          <w:szCs w:val="24"/>
        </w:rPr>
      </w:pPr>
      <w:r>
        <w:rPr>
          <w:rFonts w:ascii="宋体" w:hAnsi="宋体"/>
          <w:b/>
          <w:bCs/>
          <w:sz w:val="24"/>
          <w:szCs w:val="24"/>
        </w:rPr>
      </w:r>
      <w:r/>
    </w:p>
    <w:p>
      <w:pPr>
        <w:pStyle w:val="742"/>
        <w:rPr>
          <w:rFonts w:ascii="宋体" w:hAnsi="宋体"/>
          <w:b/>
          <w:bCs/>
          <w:sz w:val="24"/>
          <w:szCs w:val="24"/>
        </w:rPr>
      </w:pPr>
      <w:r>
        <w:rPr>
          <w:rFonts w:ascii="宋体" w:hAnsi="宋体"/>
          <w:b/>
          <w:bCs/>
          <w:sz w:val="24"/>
          <w:szCs w:val="24"/>
        </w:rPr>
      </w:r>
      <w:r/>
    </w:p>
    <w:p>
      <w:r/>
      <w:r/>
    </w:p>
    <w:p>
      <w:pPr>
        <w:pStyle w:val="729"/>
        <w:jc w:val="center"/>
      </w:pPr>
      <w:r/>
      <w:bookmarkStart w:id="417" w:name="_Toc176441265"/>
      <w:r>
        <w:rPr>
          <w:rFonts w:hint="eastAsia"/>
        </w:rPr>
        <w:t xml:space="preserve">第六章  投标</w:t>
      </w:r>
      <w:bookmarkEnd w:id="65"/>
      <w:r/>
      <w:bookmarkEnd w:id="66"/>
      <w:r/>
      <w:bookmarkEnd w:id="67"/>
      <w:r>
        <w:rPr>
          <w:rFonts w:hint="eastAsia"/>
        </w:rPr>
        <w:t xml:space="preserve">文件格式</w:t>
      </w:r>
      <w:bookmarkEnd w:id="417"/>
      <w:r>
        <w:rPr>
          <w:rFonts w:hint="eastAsia"/>
        </w:rPr>
        <w:t xml:space="preserve"> </w:t>
      </w:r>
      <w:r/>
    </w:p>
    <w:p>
      <w:pPr>
        <w:jc w:val="center"/>
        <w:rPr>
          <w:rFonts w:ascii="宋体" w:hAnsi="宋体"/>
          <w:b/>
          <w:sz w:val="72"/>
        </w:rPr>
      </w:pPr>
      <w:r/>
      <w:bookmarkStart w:id="418" w:name="_Hlt26955039"/>
      <w:r/>
      <w:bookmarkEnd w:id="418"/>
      <w:r/>
      <w:bookmarkStart w:id="419" w:name="_Hlt26671244"/>
      <w:r/>
      <w:bookmarkEnd w:id="419"/>
      <w:r/>
      <w:bookmarkStart w:id="420" w:name="_Toc49090576"/>
      <w:r/>
      <w:bookmarkStart w:id="421" w:name="_Toc120614282"/>
      <w:r/>
      <w:bookmarkStart w:id="422" w:name="_Toc2655409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val="0"/>
          <w:iCs/>
          <w:sz w:val="24"/>
          <w:u w:val="none"/>
        </w:rPr>
      </w:pPr>
      <w:r>
        <w:rPr>
          <w:rFonts w:hint="eastAsia" w:ascii="宋体" w:hAnsi="宋体"/>
          <w:i w:val="0"/>
          <w:iCs/>
          <w:sz w:val="24"/>
          <w:u w:val="non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80"/>
        <w:spacing w:line="440" w:lineRule="exact"/>
        <w:rPr>
          <w:rFonts w:hint="eastAsia" w:ascii="宋体" w:hAnsi="宋体" w:eastAsia="宋体"/>
          <w:i/>
          <w:iCs/>
          <w:sz w:val="24"/>
          <w:u w:val="single"/>
          <w:lang w:eastAsia="zh-CN"/>
        </w:rPr>
      </w:pPr>
      <w:r>
        <w:rPr>
          <w:rFonts w:hint="eastAsia" w:ascii="宋体" w:hAnsi="宋体"/>
          <w:i/>
          <w:iCs/>
          <w:sz w:val="24"/>
          <w:u w:val="single"/>
        </w:rPr>
        <w:t xml:space="preserve">十一、联合体协议</w:t>
      </w:r>
      <w:r>
        <w:rPr>
          <w:rFonts w:hint="eastAsia" w:ascii="宋体" w:hAnsi="宋体"/>
          <w:i/>
          <w:iCs/>
          <w:sz w:val="24"/>
          <w:u w:val="single"/>
          <w:lang w:eastAsia="zh-CN"/>
        </w:rPr>
        <w:t xml:space="preserve">（</w:t>
      </w:r>
      <w:r>
        <w:rPr>
          <w:rFonts w:hint="eastAsia" w:ascii="宋体" w:hAnsi="宋体"/>
          <w:i/>
          <w:iCs/>
          <w:sz w:val="24"/>
          <w:u w:val="single"/>
          <w:lang w:val="en-US" w:eastAsia="zh-CN"/>
        </w:rPr>
        <w:t xml:space="preserve">包一、包二</w:t>
      </w:r>
      <w:r>
        <w:rPr>
          <w:rFonts w:hint="eastAsia" w:ascii="宋体" w:hAnsi="宋体"/>
          <w:i/>
          <w:iCs/>
          <w:sz w:val="24"/>
          <w:u w:val="single"/>
          <w:lang w:eastAsia="zh-CN"/>
        </w:rPr>
        <w:t xml:space="preserve">）</w:t>
      </w:r>
      <w:r/>
    </w:p>
    <w:p>
      <w:pPr>
        <w:ind w:firstLine="480"/>
        <w:spacing w:line="440" w:lineRule="exact"/>
        <w:rPr>
          <w:rFonts w:ascii="宋体" w:hAnsi="宋体"/>
          <w:iCs/>
          <w:sz w:val="24"/>
        </w:rPr>
      </w:pPr>
      <w:r>
        <w:rPr>
          <w:rFonts w:hint="eastAsia" w:ascii="宋体" w:hAnsi="宋体"/>
          <w:iCs/>
          <w:sz w:val="24"/>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420"/>
      <w:r/>
      <w:bookmarkEnd w:id="421"/>
      <w:r/>
      <w:bookmarkEnd w:id="422"/>
      <w:r/>
      <w:r/>
    </w:p>
    <w:p>
      <w:pPr>
        <w:ind w:firstLine="480"/>
        <w:rPr>
          <w:rFonts w:ascii="宋体" w:hAnsi="宋体"/>
          <w:bCs/>
          <w:sz w:val="24"/>
        </w:rPr>
      </w:pPr>
      <w:r/>
      <w:bookmarkStart w:id="423" w:name="_Toc120614284"/>
      <w:r>
        <w:rPr>
          <w:rFonts w:hint="eastAsia" w:ascii="宋体" w:hAnsi="宋体"/>
          <w:bCs/>
          <w:sz w:val="24"/>
        </w:rPr>
        <w:t xml:space="preserve">提供提交投标文件截止时间前一年内任意一个月依法缴纳税收及缴纳社会保障资金的证明材料。投标人依法享受缓缴、免缴税收、社会保障资金的提供证明材料。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963"/>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spacing w:line="560" w:lineRule="exact"/>
        <w:rPr>
          <w:rFonts w:ascii="宋体" w:hAnsi="宋体" w:eastAsia="等线" w:cs="宋体"/>
        </w:rPr>
      </w:pPr>
      <w:r>
        <w:rPr>
          <w:rFonts w:ascii="宋体" w:hAnsi="宋体" w:eastAsia="等线" w:cs="宋体"/>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val="0"/>
          <w:iCs/>
          <w:sz w:val="32"/>
          <w:szCs w:val="32"/>
          <w:u w:val="none"/>
        </w:rPr>
      </w:pPr>
      <w:r>
        <w:rPr>
          <w:rFonts w:hint="eastAsia" w:ascii="黑体" w:hAnsi="黑体" w:eastAsia="黑体"/>
          <w:i w:val="0"/>
          <w:iCs/>
          <w:sz w:val="32"/>
          <w:szCs w:val="32"/>
          <w:u w:val="non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35"/>
        <w:ind w:firstLine="480"/>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rPr>
        <w:t xml:space="preserve">***</w:t>
      </w:r>
      <w:r>
        <w:rPr>
          <w:rFonts w:hint="eastAsia"/>
          <w:sz w:val="24"/>
          <w:szCs w:val="24"/>
        </w:rPr>
        <w:t xml:space="preserve">号项目采购活动的合法代理人，以本单位名义全权处理一切与该项目采购有关的事务。</w:t>
      </w:r>
      <w:r/>
    </w:p>
    <w:p>
      <w:pPr>
        <w:pStyle w:val="1035"/>
        <w:ind w:firstLine="480"/>
        <w:rPr>
          <w:sz w:val="24"/>
          <w:szCs w:val="24"/>
        </w:rPr>
      </w:pPr>
      <w:r>
        <w:rPr>
          <w:rFonts w:hint="eastAsia"/>
          <w:sz w:val="24"/>
          <w:szCs w:val="24"/>
        </w:rPr>
        <w:t xml:space="preserve">本授权书于______年____月____日起生效，特此声明。</w:t>
      </w:r>
      <w:r/>
    </w:p>
    <w:p>
      <w:pPr>
        <w:pStyle w:val="1035"/>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35"/>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35"/>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35"/>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35"/>
        <w:ind w:firstLine="480"/>
        <w:rPr>
          <w:sz w:val="24"/>
          <w:szCs w:val="24"/>
        </w:rPr>
      </w:pPr>
      <w:r>
        <w:rPr>
          <w:rFonts w:hint="eastAsia"/>
          <w:sz w:val="24"/>
          <w:szCs w:val="24"/>
        </w:rPr>
        <w:t xml:space="preserve">      日期：</w:t>
      </w:r>
      <w:bookmarkStart w:id="424" w:name="_Hlt26955070"/>
      <w:r/>
      <w:bookmarkEnd w:id="424"/>
      <w:r/>
      <w:bookmarkStart w:id="425" w:name="_Hlt26671380"/>
      <w:r/>
      <w:bookmarkEnd w:id="425"/>
      <w:r/>
      <w:bookmarkStart w:id="426" w:name="_格式3__银行出具的资信证明"/>
      <w:r/>
      <w:bookmarkEnd w:id="426"/>
      <w:r>
        <w:rPr>
          <w:rFonts w:hint="eastAsia"/>
          <w:sz w:val="24"/>
          <w:szCs w:val="24"/>
          <w:u w:val="single"/>
        </w:rPr>
        <w:t xml:space="preserve">                                         </w:t>
      </w:r>
      <w:r/>
    </w:p>
    <w:p>
      <w:pPr>
        <w:pStyle w:val="963"/>
        <w:rPr>
          <w:i/>
          <w:sz w:val="24"/>
          <w:szCs w:val="24"/>
          <w:u w:val="single"/>
        </w:rPr>
      </w:pPr>
      <w:r>
        <w:rPr>
          <w:i/>
          <w:sz w:val="24"/>
          <w:szCs w:val="24"/>
          <w:u w:val="single"/>
        </w:rPr>
      </w:r>
      <w:r/>
    </w:p>
    <w:p>
      <w:pPr>
        <w:pStyle w:val="963"/>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宋体" w:hAnsi="宋体"/>
          <w:sz w:val="24"/>
        </w:rPr>
        <w:br w:type="page" w:clear="all"/>
      </w:r>
      <w:r>
        <w:rPr>
          <w:rFonts w:hint="eastAsia" w:ascii="黑体" w:hAnsi="黑体" w:eastAsia="黑体"/>
          <w:i/>
          <w:sz w:val="32"/>
          <w:szCs w:val="32"/>
          <w:u w:val="single"/>
        </w:rPr>
        <w:t xml:space="preserve">九、投标函</w:t>
      </w:r>
      <w:r/>
    </w:p>
    <w:p>
      <w:pPr>
        <w:pStyle w:val="1055"/>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1055"/>
        <w:spacing w:before="0" w:after="0" w:line="420" w:lineRule="exact"/>
        <w:rPr>
          <w:rFonts w:ascii="宋体" w:hAnsi="宋体"/>
          <w:szCs w:val="21"/>
        </w:rPr>
      </w:pPr>
      <w:r>
        <w:rPr>
          <w:rFonts w:hint="eastAsia" w:ascii="宋体" w:hAnsi="宋体"/>
          <w:szCs w:val="21"/>
        </w:rPr>
        <w:t xml:space="preserve">根据贵方的        号招标文件，正式授权下述签字人______(姓名)代表我方______________（投标人的名称），全权处理本次项目投标的有关事宜。</w:t>
      </w:r>
      <w:r/>
    </w:p>
    <w:p>
      <w:pPr>
        <w:pStyle w:val="1055"/>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55"/>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5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5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5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55"/>
        <w:ind w:left="420"/>
        <w:spacing w:before="0" w:after="0" w:line="420" w:lineRule="exact"/>
        <w:rPr>
          <w:rFonts w:ascii="宋体" w:hAnsi="宋体"/>
          <w:szCs w:val="21"/>
        </w:rPr>
      </w:pPr>
      <w:r>
        <w:rPr>
          <w:rFonts w:hint="eastAsia" w:ascii="宋体" w:hAnsi="宋体"/>
          <w:szCs w:val="21"/>
        </w:rPr>
        <w:t xml:space="preserve">地          址：</w:t>
      </w:r>
      <w:r/>
    </w:p>
    <w:p>
      <w:pPr>
        <w:pStyle w:val="1055"/>
        <w:ind w:left="420"/>
        <w:spacing w:before="0" w:after="0" w:line="420" w:lineRule="exact"/>
        <w:rPr>
          <w:rFonts w:ascii="宋体" w:hAnsi="宋体"/>
          <w:szCs w:val="21"/>
        </w:rPr>
      </w:pPr>
      <w:r>
        <w:rPr>
          <w:rFonts w:hint="eastAsia" w:ascii="宋体" w:hAnsi="宋体"/>
          <w:szCs w:val="21"/>
        </w:rPr>
        <w:t xml:space="preserve">邮          编：</w:t>
      </w:r>
      <w:r/>
    </w:p>
    <w:p>
      <w:pPr>
        <w:pStyle w:val="1055"/>
        <w:ind w:left="420"/>
        <w:spacing w:before="0" w:after="0" w:line="420" w:lineRule="exact"/>
        <w:rPr>
          <w:rFonts w:ascii="宋体" w:hAnsi="宋体"/>
          <w:szCs w:val="21"/>
        </w:rPr>
      </w:pPr>
      <w:r>
        <w:rPr>
          <w:rFonts w:hint="eastAsia" w:ascii="宋体" w:hAnsi="宋体"/>
          <w:szCs w:val="21"/>
        </w:rPr>
        <w:t xml:space="preserve">电          话：</w:t>
      </w:r>
      <w:r/>
    </w:p>
    <w:p>
      <w:pPr>
        <w:pStyle w:val="1055"/>
        <w:ind w:left="420"/>
        <w:spacing w:before="0" w:after="0" w:line="420" w:lineRule="exact"/>
        <w:rPr>
          <w:rFonts w:ascii="宋体" w:hAnsi="宋体"/>
          <w:szCs w:val="21"/>
        </w:rPr>
      </w:pPr>
      <w:r>
        <w:rPr>
          <w:rFonts w:hint="eastAsia" w:ascii="宋体" w:hAnsi="宋体"/>
          <w:szCs w:val="21"/>
        </w:rPr>
        <w:t xml:space="preserve">传          真：</w:t>
      </w:r>
      <w:r/>
    </w:p>
    <w:p>
      <w:pPr>
        <w:pStyle w:val="1055"/>
        <w:ind w:left="420"/>
        <w:spacing w:before="0" w:after="0" w:line="420" w:lineRule="exact"/>
        <w:rPr>
          <w:rFonts w:ascii="宋体" w:hAnsi="宋体"/>
          <w:szCs w:val="21"/>
        </w:rPr>
      </w:pPr>
      <w:r>
        <w:rPr>
          <w:rFonts w:hint="eastAsia" w:ascii="宋体" w:hAnsi="宋体"/>
          <w:szCs w:val="21"/>
        </w:rPr>
        <w:t xml:space="preserve">投标人开户行：</w:t>
      </w:r>
      <w:r/>
    </w:p>
    <w:p>
      <w:pPr>
        <w:pStyle w:val="1055"/>
        <w:ind w:left="420"/>
        <w:spacing w:before="0" w:after="0" w:line="420" w:lineRule="exact"/>
        <w:rPr>
          <w:rFonts w:ascii="宋体" w:hAnsi="宋体"/>
          <w:szCs w:val="21"/>
        </w:rPr>
      </w:pPr>
      <w:r>
        <w:rPr>
          <w:rFonts w:hint="eastAsia" w:ascii="宋体" w:hAnsi="宋体"/>
          <w:szCs w:val="21"/>
        </w:rPr>
        <w:t xml:space="preserve">账          号： </w:t>
      </w:r>
      <w:r/>
    </w:p>
    <w:p>
      <w:pPr>
        <w:pStyle w:val="1055"/>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Cs/>
          <w:sz w:val="24"/>
        </w:rPr>
      </w:pPr>
      <w:r>
        <w:rPr>
          <w:rFonts w:ascii="宋体" w:hAnsi="宋体"/>
          <w:bCs/>
          <w:sz w:val="24"/>
        </w:rPr>
      </w:r>
      <w:r/>
    </w:p>
    <w:p>
      <w:pPr>
        <w:pStyle w:val="792"/>
        <w:rPr>
          <w:rFonts w:hAnsi="宋体"/>
          <w:bCs/>
        </w:rPr>
      </w:pPr>
      <w:r>
        <w:rPr>
          <w:rFonts w:hAnsi="宋体"/>
          <w:bCs/>
        </w:rPr>
      </w:r>
      <w:r/>
    </w:p>
    <w:p>
      <w:r/>
      <w:r/>
    </w:p>
    <w:p>
      <w:pPr>
        <w:jc w:val="center"/>
        <w:spacing w:line="460" w:lineRule="exact"/>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br w:type="page" w:clear="all"/>
      </w:r>
      <w:r/>
    </w:p>
    <w:p>
      <w:pPr>
        <w:jc w:val="center"/>
        <w:spacing w:line="460" w:lineRule="exact"/>
        <w:rPr>
          <w:rFonts w:ascii="黑体" w:hAnsi="黑体" w:eastAsia="黑体"/>
          <w:b/>
          <w:i/>
          <w:iCs/>
          <w:sz w:val="32"/>
          <w:szCs w:val="32"/>
          <w:u w:val="single"/>
        </w:rPr>
      </w:pPr>
      <w:r/>
      <w:bookmarkStart w:id="427" w:name="_Toc150519795"/>
      <w:r>
        <w:rPr>
          <w:rFonts w:hint="eastAsia" w:ascii="黑体" w:hAnsi="黑体" w:eastAsia="黑体"/>
          <w:b/>
          <w:sz w:val="32"/>
          <w:szCs w:val="32"/>
        </w:rPr>
        <w:t xml:space="preserve">十、中小企业声明函（货物）（分包一）</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工业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工业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spacing w:line="560" w:lineRule="exact"/>
        <w:rPr>
          <w:rFonts w:ascii="宋体" w:hAnsi="宋体"/>
          <w:sz w:val="24"/>
          <w:szCs w:val="24"/>
        </w:rPr>
      </w:pPr>
      <w:r>
        <w:rPr>
          <w:rFonts w:ascii="宋体" w:hAnsi="宋体"/>
          <w:sz w:val="24"/>
          <w:szCs w:val="24"/>
        </w:rPr>
      </w:r>
      <w:r/>
    </w:p>
    <w:p>
      <w:pPr>
        <w:jc w:val="center"/>
        <w:rPr>
          <w:rFonts w:ascii="宋体" w:hAnsi="宋体" w:cs="宋体"/>
          <w:sz w:val="24"/>
          <w:szCs w:val="24"/>
        </w:rPr>
      </w:pPr>
      <w:r>
        <w:rPr>
          <w:rFonts w:hint="eastAsia" w:ascii="Arial" w:hAnsi="Arial" w:eastAsia="幼圆" w:cs="微软雅黑"/>
          <w:b/>
          <w:bCs/>
          <w:color w:val="333333"/>
        </w:rPr>
        <w:br w:type="page" w:clear="all"/>
      </w:r>
      <w:r>
        <w:rPr>
          <w:rFonts w:hint="eastAsia" w:ascii="黑体" w:hAnsi="黑体" w:eastAsia="黑体" w:cs="宋体"/>
          <w:b/>
          <w:bCs/>
          <w:iCs/>
          <w:color w:val="000000" w:themeColor="text1"/>
          <w:sz w:val="32"/>
          <w:szCs w:val="32"/>
          <w14:textFill>
            <w14:solidFill>
              <w14:schemeClr w14:val="tx1"/>
            </w14:solidFill>
          </w14:textFill>
        </w:rPr>
        <w:t xml:space="preserve">中小企业</w:t>
      </w:r>
      <w:r>
        <w:rPr>
          <w:rFonts w:hint="eastAsia" w:ascii="黑体" w:hAnsi="黑体" w:eastAsia="黑体" w:cs="宋体"/>
          <w:b/>
          <w:bCs/>
          <w:iCs/>
          <w:color w:val="000000"/>
          <w:sz w:val="32"/>
          <w:szCs w:val="32"/>
        </w:rPr>
        <w:t xml:space="preserve">声明函（</w:t>
      </w:r>
      <w:r>
        <w:rPr>
          <w:rFonts w:hint="eastAsia" w:ascii="黑体" w:hAnsi="黑体" w:eastAsia="黑体" w:cs="宋体"/>
          <w:b/>
          <w:bCs/>
          <w:iCs/>
          <w:color w:val="000000"/>
          <w:sz w:val="32"/>
          <w:szCs w:val="32"/>
          <w:lang w:val="en-US" w:eastAsia="zh-CN"/>
        </w:rPr>
        <w:t xml:space="preserve">货物</w:t>
      </w:r>
      <w:r>
        <w:rPr>
          <w:rFonts w:hint="eastAsia" w:ascii="黑体" w:hAnsi="黑体" w:eastAsia="黑体" w:cs="宋体"/>
          <w:b/>
          <w:bCs/>
          <w:iCs/>
          <w:color w:val="000000"/>
          <w:sz w:val="32"/>
          <w:szCs w:val="32"/>
        </w:rPr>
        <w:t xml:space="preserve">）（分包二）</w:t>
      </w:r>
      <w:r/>
    </w:p>
    <w:p>
      <w:pPr>
        <w:ind w:firstLine="360"/>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（项目名称）（分包号：**）</w:t>
      </w:r>
      <w:r>
        <w:rPr>
          <w:rFonts w:hint="eastAsia" w:ascii="宋体" w:hAnsi="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lang w:val="en-US" w:eastAsia="zh-CN"/>
        </w:rPr>
        <w:t xml:space="preserve">工业</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（小型企业、微型企业）；</w:t>
      </w:r>
      <w:r/>
    </w:p>
    <w:p>
      <w:pPr>
        <w:ind w:firstLine="360"/>
        <w:rPr>
          <w:rFonts w:ascii="宋体" w:hAnsi="宋体" w:cs="宋体"/>
          <w:sz w:val="24"/>
          <w:szCs w:val="24"/>
        </w:rPr>
      </w:pPr>
      <w:r>
        <w:rPr>
          <w:rFonts w:hint="eastAsia" w:ascii="宋体" w:hAnsi="宋体" w:cs="宋体"/>
          <w:color w:val="000000"/>
          <w:sz w:val="24"/>
          <w:szCs w:val="24"/>
        </w:rPr>
        <w:t xml:space="preserve">……</w:t>
      </w:r>
      <w:r/>
    </w:p>
    <w:p>
      <w:pPr>
        <w:ind w:firstLine="360"/>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rPr>
          <w:rFonts w:ascii="宋体" w:hAnsi="宋体" w:cs="宋体"/>
          <w:sz w:val="24"/>
          <w:szCs w:val="24"/>
        </w:rPr>
      </w:pPr>
      <w:r>
        <w:rPr>
          <w:rFonts w:ascii="宋体" w:hAnsi="宋体" w:cs="宋体"/>
          <w:sz w:val="24"/>
          <w:szCs w:val="24"/>
        </w:rPr>
        <w:t xml:space="preserve"> </w:t>
      </w:r>
      <w:r/>
    </w:p>
    <w:p>
      <w:pPr>
        <w:ind w:right="180" w:firstLine="360"/>
        <w:jc w:val="right"/>
        <w:rPr>
          <w:rFonts w:ascii="宋体" w:hAnsi="宋体" w:cs="宋体"/>
          <w:sz w:val="24"/>
          <w:szCs w:val="24"/>
        </w:rPr>
      </w:pPr>
      <w:r>
        <w:rPr>
          <w:rFonts w:hint="eastAsia" w:ascii="宋体" w:hAnsi="宋体" w:cs="宋体"/>
          <w:color w:val="000000"/>
          <w:sz w:val="24"/>
          <w:szCs w:val="24"/>
        </w:rPr>
        <w:t xml:space="preserve">企业名称（加盖CA电子公章）：</w:t>
      </w:r>
      <w:r/>
    </w:p>
    <w:p>
      <w:pPr>
        <w:ind w:right="480" w:firstLine="5400"/>
        <w:rPr>
          <w:rFonts w:ascii="宋体" w:hAnsi="宋体" w:cs="宋体"/>
          <w:sz w:val="24"/>
          <w:szCs w:val="24"/>
        </w:rPr>
      </w:pPr>
      <w:r>
        <w:rPr>
          <w:rFonts w:hint="eastAsia" w:ascii="宋体" w:hAnsi="宋体" w:cs="宋体"/>
          <w:color w:val="000000"/>
          <w:sz w:val="24"/>
          <w:szCs w:val="24"/>
        </w:rPr>
        <w:t xml:space="preserve">日  期：</w:t>
      </w:r>
      <w:r/>
    </w:p>
    <w:p>
      <w:pPr>
        <w:ind w:firstLine="240"/>
        <w:rPr>
          <w:rFonts w:ascii="宋体" w:hAnsi="宋体" w:cs="宋体"/>
          <w:color w:val="000000" w:themeColor="text1"/>
          <w:sz w:val="24"/>
          <w:szCs w:val="24"/>
          <w14:textFill>
            <w14:solidFill>
              <w14:schemeClr w14:val="tx1"/>
            </w14:solidFill>
          </w14:textFill>
        </w:rPr>
      </w:pPr>
      <w:r>
        <w:rPr>
          <w:rFonts w:ascii="宋体" w:hAnsi="宋体" w:cs="宋体"/>
          <w:sz w:val="24"/>
          <w:szCs w:val="24"/>
        </w:rPr>
        <w:t xml:space="preserve"> </w:t>
      </w:r>
      <w:r/>
    </w:p>
    <w:p>
      <w:pPr>
        <w:ind w:firstLine="480"/>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备注1</w:t>
      </w:r>
      <w:r>
        <w:rPr>
          <w:rFonts w:hint="eastAsia" w:ascii="宋体" w:hAnsi="宋体" w:cs="宋体"/>
          <w:color w:val="0000ff"/>
          <w:sz w:val="24"/>
          <w:szCs w:val="24"/>
        </w:rPr>
        <w:t xml:space="preserve">：</w:t>
      </w:r>
      <w:r>
        <w:rPr>
          <w:rFonts w:hint="eastAsia" w:ascii="宋体" w:hAnsi="宋体" w:cs="宋体"/>
          <w:color w:val="000000"/>
          <w:sz w:val="24"/>
          <w:szCs w:val="24"/>
        </w:rPr>
        <w:t xml:space="preserve">从业人员、营业收入、资产总额填报上一年度数据，无上一年度数据的新成立企业可不填报。</w:t>
      </w:r>
      <w:r/>
    </w:p>
    <w:p>
      <w:pPr>
        <w:rPr>
          <w:rFonts w:ascii="Arial" w:hAnsi="Arial" w:eastAsia="幼圆" w:cs="微软雅黑"/>
          <w:b/>
          <w:bCs/>
          <w:color w:val="333333"/>
        </w:rPr>
      </w:pPr>
      <w:r>
        <w:rPr>
          <w:rFonts w:ascii="Arial" w:hAnsi="Arial" w:eastAsia="幼圆" w:cs="微软雅黑"/>
          <w:b/>
          <w:bCs/>
          <w:color w:val="333333"/>
        </w:rPr>
      </w:r>
      <w:r/>
    </w:p>
    <w:p>
      <w:pPr>
        <w:jc w:val="center"/>
        <w:rPr>
          <w:rFonts w:ascii="Arial" w:hAnsi="Arial" w:eastAsia="幼圆" w:cs="微软雅黑"/>
          <w:b/>
          <w:bCs/>
          <w:color w:val="333333"/>
        </w:rPr>
      </w:pPr>
      <w:r>
        <w:rPr>
          <w:rFonts w:ascii="Arial" w:hAnsi="Arial" w:eastAsia="幼圆" w:cs="微软雅黑"/>
          <w:b/>
          <w:bCs/>
          <w:color w:val="333333"/>
        </w:rPr>
      </w:r>
      <w:r/>
    </w:p>
    <w:p>
      <w:pPr>
        <w:jc w:val="center"/>
        <w:rPr>
          <w:rFonts w:ascii="Arial" w:hAnsi="Arial" w:eastAsia="幼圆" w:cs="微软雅黑"/>
          <w:b/>
          <w:bCs/>
          <w:color w:val="333333"/>
        </w:rPr>
      </w:pPr>
      <w:r>
        <w:rPr>
          <w:rFonts w:ascii="Arial" w:hAnsi="Arial" w:eastAsia="幼圆" w:cs="微软雅黑"/>
          <w:b/>
          <w:bCs/>
          <w:color w:val="333333"/>
        </w:rPr>
      </w:r>
      <w:r/>
    </w:p>
    <w:p>
      <w:pPr>
        <w:jc w:val="center"/>
        <w:rPr>
          <w:rFonts w:ascii="Arial" w:hAnsi="Arial" w:eastAsia="幼圆" w:cs="微软雅黑"/>
          <w:b/>
          <w:bCs/>
          <w:color w:val="333333"/>
        </w:rPr>
      </w:pPr>
      <w:r>
        <w:rPr>
          <w:rFonts w:ascii="Arial" w:hAnsi="Arial" w:eastAsia="幼圆" w:cs="微软雅黑"/>
          <w:b/>
          <w:bCs/>
          <w:color w:val="333333"/>
        </w:rPr>
      </w:r>
      <w:r/>
    </w:p>
    <w:p>
      <w:pPr>
        <w:jc w:val="center"/>
        <w:rPr>
          <w:rFonts w:ascii="宋体" w:hAnsi="宋体" w:cs="宋体"/>
          <w:sz w:val="24"/>
          <w:szCs w:val="24"/>
        </w:rPr>
      </w:pPr>
      <w:r>
        <w:rPr>
          <w:rFonts w:hint="eastAsia" w:ascii="黑体" w:hAnsi="黑体" w:eastAsia="黑体" w:cs="宋体"/>
          <w:b/>
          <w:bCs/>
          <w:i/>
          <w:iCs/>
          <w:color w:val="000000" w:themeColor="text1"/>
          <w:sz w:val="32"/>
          <w:szCs w:val="32"/>
          <w:u w:val="single"/>
          <w14:textFill>
            <w14:solidFill>
              <w14:schemeClr w14:val="tx1"/>
            </w14:solidFill>
          </w14:textFill>
        </w:rPr>
        <w:t xml:space="preserve">中小企业</w:t>
      </w:r>
      <w:r>
        <w:rPr>
          <w:rFonts w:hint="eastAsia" w:ascii="黑体" w:hAnsi="黑体" w:eastAsia="黑体" w:cs="宋体"/>
          <w:b/>
          <w:bCs/>
          <w:i/>
          <w:iCs/>
          <w:color w:val="000000"/>
          <w:sz w:val="32"/>
          <w:szCs w:val="32"/>
          <w:u w:val="single"/>
        </w:rPr>
        <w:t xml:space="preserve">声明函（服务）（分包三）</w:t>
      </w:r>
      <w:r/>
    </w:p>
    <w:p>
      <w:pPr>
        <w:ind w:firstLine="360"/>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（项目名称）（分包号：**）</w:t>
      </w:r>
      <w:r>
        <w:rPr>
          <w:rFonts w:hint="eastAsia" w:ascii="宋体" w:hAnsi="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软件和信息技术服务业</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（小型企业、微型企业）；</w:t>
      </w:r>
      <w:r/>
    </w:p>
    <w:p>
      <w:pPr>
        <w:ind w:firstLine="360"/>
        <w:rPr>
          <w:rFonts w:ascii="宋体" w:hAnsi="宋体" w:cs="宋体"/>
          <w:sz w:val="24"/>
          <w:szCs w:val="24"/>
        </w:rPr>
      </w:pPr>
      <w:r>
        <w:rPr>
          <w:rFonts w:hint="eastAsia" w:ascii="宋体" w:hAnsi="宋体" w:cs="宋体"/>
          <w:color w:val="000000"/>
          <w:sz w:val="24"/>
          <w:szCs w:val="24"/>
        </w:rPr>
        <w:t xml:space="preserve">……</w:t>
      </w:r>
      <w:r/>
    </w:p>
    <w:p>
      <w:pPr>
        <w:ind w:firstLine="360"/>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rPr>
          <w:rFonts w:ascii="宋体" w:hAnsi="宋体" w:cs="宋体"/>
          <w:sz w:val="24"/>
          <w:szCs w:val="24"/>
        </w:rPr>
      </w:pPr>
      <w:r>
        <w:rPr>
          <w:rFonts w:ascii="宋体" w:hAnsi="宋体" w:cs="宋体"/>
          <w:sz w:val="24"/>
          <w:szCs w:val="24"/>
        </w:rPr>
        <w:t xml:space="preserve"> </w:t>
      </w:r>
      <w:r/>
    </w:p>
    <w:p>
      <w:pPr>
        <w:ind w:right="180" w:firstLine="360"/>
        <w:jc w:val="right"/>
        <w:rPr>
          <w:rFonts w:ascii="宋体" w:hAnsi="宋体" w:cs="宋体"/>
          <w:sz w:val="24"/>
          <w:szCs w:val="24"/>
        </w:rPr>
      </w:pPr>
      <w:r>
        <w:rPr>
          <w:rFonts w:hint="eastAsia" w:ascii="宋体" w:hAnsi="宋体" w:cs="宋体"/>
          <w:color w:val="000000"/>
          <w:sz w:val="24"/>
          <w:szCs w:val="24"/>
        </w:rPr>
        <w:t xml:space="preserve">企业名称（加盖CA电子公章）：</w:t>
      </w:r>
      <w:r/>
    </w:p>
    <w:p>
      <w:pPr>
        <w:ind w:right="480" w:firstLine="5400"/>
        <w:rPr>
          <w:rFonts w:ascii="宋体" w:hAnsi="宋体" w:cs="宋体"/>
          <w:sz w:val="24"/>
          <w:szCs w:val="24"/>
        </w:rPr>
      </w:pPr>
      <w:r>
        <w:rPr>
          <w:rFonts w:hint="eastAsia" w:ascii="宋体" w:hAnsi="宋体" w:cs="宋体"/>
          <w:color w:val="000000"/>
          <w:sz w:val="24"/>
          <w:szCs w:val="24"/>
        </w:rPr>
        <w:t xml:space="preserve">日  期：</w:t>
      </w:r>
      <w:r/>
    </w:p>
    <w:p>
      <w:pPr>
        <w:ind w:firstLine="240"/>
        <w:rPr>
          <w:rFonts w:ascii="宋体" w:hAnsi="宋体" w:cs="宋体"/>
          <w:color w:val="000000" w:themeColor="text1"/>
          <w:sz w:val="24"/>
          <w:szCs w:val="24"/>
          <w14:textFill>
            <w14:solidFill>
              <w14:schemeClr w14:val="tx1"/>
            </w14:solidFill>
          </w14:textFill>
        </w:rPr>
      </w:pPr>
      <w:r>
        <w:rPr>
          <w:rFonts w:ascii="宋体" w:hAnsi="宋体" w:cs="宋体"/>
          <w:sz w:val="24"/>
          <w:szCs w:val="24"/>
        </w:rPr>
        <w:t xml:space="preserve"> </w:t>
      </w:r>
      <w:r/>
    </w:p>
    <w:p>
      <w:pPr>
        <w:ind w:firstLine="480"/>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备注1</w:t>
      </w:r>
      <w:r>
        <w:rPr>
          <w:rFonts w:hint="eastAsia" w:ascii="宋体" w:hAnsi="宋体" w:cs="宋体"/>
          <w:color w:val="0000ff"/>
          <w:sz w:val="24"/>
          <w:szCs w:val="24"/>
        </w:rPr>
        <w:t xml:space="preserve">：</w:t>
      </w:r>
      <w:r>
        <w:rPr>
          <w:rFonts w:hint="eastAsia" w:ascii="宋体" w:hAnsi="宋体" w:cs="宋体"/>
          <w:color w:val="000000"/>
          <w:sz w:val="24"/>
          <w:szCs w:val="24"/>
        </w:rPr>
        <w:t xml:space="preserve">从业人员、营业收入、资产总额填报上一年度数据，无上一年度数据的新成立企业可不填报。</w:t>
      </w:r>
      <w:r/>
    </w:p>
    <w:p>
      <w:pPr>
        <w:jc w:val="center"/>
        <w:rPr>
          <w:rFonts w:ascii="Arial" w:hAnsi="Arial" w:eastAsia="幼圆" w:cs="微软雅黑"/>
          <w:b/>
          <w:bCs/>
          <w:color w:val="333333"/>
        </w:rPr>
      </w:pPr>
      <w:r>
        <w:rPr>
          <w:rFonts w:ascii="Arial" w:hAnsi="Arial" w:eastAsia="幼圆" w:cs="微软雅黑"/>
          <w:b/>
          <w:bCs/>
          <w:color w:val="333333"/>
        </w:rPr>
      </w:r>
      <w:r/>
    </w:p>
    <w:p>
      <w:pPr>
        <w:jc w:val="center"/>
        <w:rPr>
          <w:rFonts w:ascii="宋体" w:hAnsi="宋体" w:eastAsia="宋体" w:cs="宋体"/>
          <w:sz w:val="24"/>
          <w:szCs w:val="24"/>
        </w:rPr>
      </w:pPr>
      <w:r>
        <w:rPr>
          <w:rFonts w:hint="eastAsia" w:ascii="黑体" w:hAnsi="黑体" w:eastAsia="黑体" w:cs="宋体"/>
          <w:b/>
          <w:bCs/>
          <w:i/>
          <w:iCs/>
          <w:color w:val="000000" w:themeColor="text1"/>
          <w:sz w:val="32"/>
          <w:szCs w:val="32"/>
          <w:u w:val="single"/>
          <w14:textFill>
            <w14:solidFill>
              <w14:schemeClr w14:val="tx1"/>
            </w14:solidFill>
          </w14:textFill>
        </w:rPr>
        <w:t xml:space="preserve">中小企业</w:t>
      </w:r>
      <w:r>
        <w:rPr>
          <w:rFonts w:hint="eastAsia" w:ascii="黑体" w:hAnsi="黑体" w:eastAsia="黑体" w:cs="宋体"/>
          <w:b/>
          <w:bCs/>
          <w:i/>
          <w:iCs/>
          <w:color w:val="000000"/>
          <w:sz w:val="32"/>
          <w:szCs w:val="32"/>
          <w:u w:val="single"/>
        </w:rPr>
        <w:t xml:space="preserve">声明函（服务）（分包</w:t>
      </w:r>
      <w:r>
        <w:rPr>
          <w:rFonts w:hint="eastAsia" w:ascii="黑体" w:hAnsi="黑体" w:eastAsia="黑体" w:cs="宋体"/>
          <w:b/>
          <w:bCs/>
          <w:i/>
          <w:iCs/>
          <w:color w:val="000000"/>
          <w:sz w:val="32"/>
          <w:szCs w:val="32"/>
          <w:u w:val="single"/>
          <w:lang w:val="en-US" w:eastAsia="zh-CN"/>
        </w:rPr>
        <w:t xml:space="preserve">四</w:t>
      </w:r>
      <w:r>
        <w:rPr>
          <w:rFonts w:hint="eastAsia" w:ascii="黑体" w:hAnsi="黑体" w:eastAsia="黑体" w:cs="宋体"/>
          <w:b/>
          <w:bCs/>
          <w:i/>
          <w:iCs/>
          <w:color w:val="000000"/>
          <w:sz w:val="32"/>
          <w:szCs w:val="32"/>
          <w:u w:val="single"/>
        </w:rPr>
        <w:t xml:space="preserve">）</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（项目名称）（分包号：**）</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rPr>
          <w:rFonts w:ascii="宋体" w:hAnsi="宋体" w:eastAsia="宋体" w:cs="宋体"/>
          <w:color w:val="000000" w:themeColor="text1"/>
          <w:sz w:val="24"/>
          <w:szCs w:val="24"/>
          <w14:textFill>
            <w14:solidFill>
              <w14:schemeClr w14:val="tx1"/>
            </w14:solidFill>
          </w14:textFill>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备注1</w:t>
      </w:r>
      <w:r>
        <w:rPr>
          <w:rFonts w:hint="eastAsia" w:ascii="宋体" w:hAnsi="宋体" w:eastAsia="宋体" w:cs="宋体"/>
          <w:color w:val="0000ff"/>
          <w:sz w:val="24"/>
          <w:szCs w:val="24"/>
        </w:rPr>
        <w:t xml:space="preserve">：</w:t>
      </w:r>
      <w:r>
        <w:rPr>
          <w:rFonts w:hint="eastAsia" w:ascii="宋体" w:hAnsi="宋体" w:eastAsia="宋体" w:cs="宋体"/>
          <w:color w:val="000000"/>
          <w:sz w:val="24"/>
          <w:szCs w:val="24"/>
        </w:rPr>
        <w:t xml:space="preserve">从业人员、营业收入、资产总额填报上一年度数据，无上一年度数据的新成立企业可不填报。</w:t>
      </w:r>
      <w:r/>
    </w:p>
    <w:p>
      <w:pPr>
        <w:jc w:val="center"/>
        <w:rPr>
          <w:rFonts w:ascii="Arial" w:hAnsi="Arial" w:eastAsia="幼圆" w:cs="微软雅黑"/>
          <w:b/>
          <w:bCs/>
          <w:color w:val="333333"/>
        </w:rPr>
      </w:pPr>
      <w:r>
        <w:rPr>
          <w:rFonts w:ascii="Arial" w:hAnsi="Arial" w:eastAsia="幼圆" w:cs="微软雅黑"/>
          <w:b/>
          <w:bCs/>
          <w:color w:val="333333"/>
        </w:rPr>
      </w:r>
      <w:r/>
    </w:p>
    <w:p>
      <w:pPr>
        <w:jc w:val="center"/>
        <w:rPr>
          <w:rFonts w:ascii="Arial" w:hAnsi="Arial" w:eastAsia="幼圆" w:cs="微软雅黑"/>
          <w:b/>
          <w:bCs/>
          <w:color w:val="333333"/>
        </w:rPr>
      </w:pPr>
      <w:r>
        <w:rPr>
          <w:rFonts w:ascii="Arial" w:hAnsi="Arial" w:eastAsia="幼圆" w:cs="微软雅黑"/>
          <w:b/>
          <w:bCs/>
          <w:color w:val="333333"/>
        </w:rPr>
      </w:r>
      <w:r/>
    </w:p>
    <w:p>
      <w:pPr>
        <w:rPr>
          <w:rFonts w:ascii="Arial" w:hAnsi="Arial" w:eastAsia="幼圆" w:cs="微软雅黑"/>
          <w:b/>
          <w:bCs/>
          <w:color w:val="333333"/>
        </w:rPr>
      </w:pPr>
      <w:r>
        <w:rPr>
          <w:rFonts w:hint="eastAsia" w:ascii="Arial" w:hAnsi="Arial" w:eastAsia="幼圆" w:cs="微软雅黑"/>
          <w:b/>
          <w:bCs/>
          <w:color w:val="333333"/>
        </w:rPr>
        <w:br w:type="page" w:clear="all"/>
      </w:r>
      <w:r/>
    </w:p>
    <w:p>
      <w:pPr>
        <w:jc w:val="center"/>
        <w:rPr>
          <w:rFonts w:ascii="Arial" w:hAnsi="Arial" w:eastAsia="幼圆" w:cs="Arial"/>
          <w:b/>
          <w:bCs/>
          <w:color w:val="666666"/>
        </w:rPr>
      </w:pPr>
      <w:r>
        <w:rPr>
          <w:rFonts w:hint="eastAsia" w:ascii="Arial" w:hAnsi="Arial" w:eastAsia="幼圆" w:cs="微软雅黑"/>
          <w:b/>
          <w:bCs/>
          <w:color w:val="333333"/>
        </w:rPr>
        <w:t xml:space="preserve">中小微企业划型标准</w:t>
      </w:r>
      <w:bookmarkEnd w:id="427"/>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39"/>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spacing w:line="560" w:lineRule="exact"/>
        <w:rPr>
          <w:rFonts w:ascii="宋体" w:hAnsi="宋体"/>
          <w:sz w:val="24"/>
          <w:szCs w:val="24"/>
        </w:rPr>
      </w:pPr>
      <w:r>
        <w:rPr>
          <w:rFonts w:ascii="宋体" w:hAnsi="宋体"/>
          <w:sz w:val="24"/>
          <w:szCs w:val="24"/>
        </w:rPr>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w:t>
      </w:r>
      <w:r>
        <w:rPr>
          <w:rFonts w:hint="eastAsia" w:ascii="黑体" w:hAnsi="黑体" w:eastAsia="黑体"/>
          <w:b/>
          <w:sz w:val="32"/>
          <w:szCs w:val="32"/>
          <w:lang w:val="en-US" w:eastAsia="zh-CN"/>
        </w:rPr>
        <w:t xml:space="preserve">货物类</w:t>
      </w:r>
      <w:r>
        <w:rPr>
          <w:rFonts w:hint="eastAsia" w:ascii="黑体" w:hAnsi="黑体" w:eastAsia="黑体"/>
          <w:b/>
          <w:sz w:val="32"/>
          <w:szCs w:val="32"/>
        </w:rPr>
        <w:t xml:space="preserve">）</w:t>
      </w:r>
      <w:r/>
    </w:p>
    <w:tbl>
      <w:tblPr>
        <w:tblStyle w:val="739"/>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ind w:firstLine="480"/>
        <w:rPr>
          <w:rFonts w:ascii="宋体" w:hAnsi="宋体"/>
          <w:b/>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jc w:val="left"/>
        <w:widowControl/>
        <w:rPr>
          <w:rFonts w:ascii="宋体" w:hAnsi="宋体" w:cs="Arial"/>
          <w:b/>
          <w:bCs/>
          <w:color w:val="000000"/>
        </w:rPr>
      </w:pPr>
      <w:r>
        <w:rPr>
          <w:rFonts w:ascii="宋体" w:hAnsi="宋体" w:cs="Arial"/>
          <w:b/>
          <w:bCs/>
          <w:color w:val="000000"/>
        </w:rPr>
      </w:r>
      <w:r/>
    </w:p>
    <w:p>
      <w:pPr>
        <w:jc w:val="center"/>
        <w:rPr>
          <w:rFonts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 xml:space="preserve">投标分项报价表（分包号：**）（服务类）</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27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128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92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203"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161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179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分项服务名称</w:t>
            </w:r>
            <w:r/>
          </w:p>
        </w:tc>
        <w:tc>
          <w:tcPr>
            <w:tcW w:w="128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交付期</w:t>
            </w:r>
            <w:r/>
          </w:p>
        </w:tc>
        <w:tc>
          <w:tcPr>
            <w:tcW w:w="92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分项单位</w:t>
            </w:r>
            <w:r/>
          </w:p>
        </w:tc>
        <w:tc>
          <w:tcPr>
            <w:tcW w:w="1203"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161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w:t>
            </w:r>
            <w:r/>
          </w:p>
        </w:tc>
        <w:tc>
          <w:tcPr>
            <w:tcW w:w="179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127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8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03"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1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79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127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8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03"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1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79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27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8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03"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1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79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127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128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03"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1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79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87"/>
        </w:trPr>
        <w:tc>
          <w:tcPr>
            <w:gridSpan w:val="6"/>
            <w:tcW w:w="725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投标总报价（人民币：元）</w:t>
            </w:r>
            <w:r/>
          </w:p>
        </w:tc>
        <w:tc>
          <w:tcPr>
            <w:tcW w:w="1798" w:type="dxa"/>
            <w:textDirection w:val="lrTb"/>
            <w:noWrap w:val="false"/>
          </w:tcPr>
          <w:p>
            <w:pP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 投标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jc w:val="left"/>
        <w:widowControl/>
        <w:rPr>
          <w:rFonts w:ascii="宋体" w:hAnsi="宋体" w:cs="Arial"/>
          <w:b/>
          <w:bCs/>
          <w:color w:val="000000"/>
        </w:rPr>
      </w:pPr>
      <w:r>
        <w:rPr>
          <w:rFonts w:ascii="宋体" w:hAnsi="宋体" w:cs="Arial"/>
          <w:b/>
          <w:bCs/>
          <w:color w:val="000000"/>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pStyle w:val="792"/>
      </w:p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tbl>
      <w:tblPr>
        <w:tblStyle w:val="73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bookmarkEnd w:id="423"/>
      <w:r/>
    </w:p>
    <w:p>
      <w:pPr>
        <w:rPr>
          <w:rFonts w:hint="eastAsia" w:ascii="黑体" w:hAnsi="Arial" w:eastAsia="黑体"/>
          <w:sz w:val="32"/>
          <w:lang w:eastAsia="zh-CN"/>
        </w:rPr>
      </w:pPr>
      <w:r>
        <w:rPr>
          <w:rFonts w:hint="eastAsia" w:ascii="黑体" w:hAnsi="Arial" w:eastAsia="黑体"/>
          <w:sz w:val="32"/>
          <w:lang w:eastAsia="zh-CN"/>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428" w:name="_Hlt26955054"/>
      <w:r/>
      <w:bookmarkEnd w:id="428"/>
      <w:r>
        <w:rPr>
          <w:rFonts w:hint="eastAsia" w:ascii="黑体" w:hAnsi="黑体" w:eastAsia="黑体"/>
          <w:b/>
          <w:sz w:val="32"/>
          <w:szCs w:val="32"/>
        </w:rPr>
        <w:t xml:space="preserve">十四、商务要求响应及偏离表（分包号：**）</w:t>
      </w:r>
      <w:r/>
    </w:p>
    <w:tbl>
      <w:tblPr>
        <w:tblStyle w:val="73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429" w:name="_Hlt24879081"/>
            <w:r/>
            <w:bookmarkEnd w:id="429"/>
            <w:r/>
            <w:bookmarkStart w:id="430" w:name="_Hlt26671343"/>
            <w:r/>
            <w:bookmarkEnd w:id="430"/>
            <w:r/>
            <w:bookmarkStart w:id="431" w:name="_Hlt26609391"/>
            <w:r/>
            <w:bookmarkEnd w:id="431"/>
            <w:r/>
            <w:bookmarkStart w:id="432" w:name="_Hlt26671372"/>
            <w:r/>
            <w:bookmarkEnd w:id="432"/>
            <w:r/>
            <w:bookmarkStart w:id="433" w:name="_Hlt26782999"/>
            <w:r/>
            <w:bookmarkEnd w:id="433"/>
            <w:r/>
            <w:bookmarkStart w:id="434" w:name="_Hlt26955064"/>
            <w:r/>
            <w:bookmarkEnd w:id="434"/>
            <w:r/>
            <w:bookmarkStart w:id="435" w:name="_Hlt26580838"/>
            <w:r/>
            <w:bookmarkEnd w:id="435"/>
            <w:r/>
            <w:bookmarkStart w:id="436" w:name="_Hlt26955056"/>
            <w:r/>
            <w:bookmarkEnd w:id="436"/>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bookmarkEnd w:id="58"/>
      <w:r/>
      <w:bookmarkEnd w:id="59"/>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63"/>
        <w:ind w:firstLine="0"/>
        <w:rPr>
          <w:rFonts w:ascii="宋体" w:hAnsi="宋体"/>
          <w:sz w:val="24"/>
        </w:rPr>
      </w:pPr>
      <w:r/>
      <w:bookmarkStart w:id="437" w:name="_Hlt26955066"/>
      <w:r/>
      <w:bookmarkEnd w:id="437"/>
      <w:r/>
      <w:bookmarkStart w:id="438" w:name="_Hlt26671374"/>
      <w:r/>
      <w:bookmarkEnd w:id="438"/>
      <w:r/>
      <w:bookmarkStart w:id="439" w:name="_Hlt26609389"/>
      <w:r/>
      <w:bookmarkEnd w:id="439"/>
      <w:r/>
      <w:bookmarkStart w:id="440" w:name="_Toc462564146"/>
      <w:r/>
      <w:bookmarkEnd w:id="440"/>
      <w:r/>
      <w:r/>
    </w:p>
    <w:p>
      <w:pPr>
        <w:jc w:val="center"/>
        <w:rPr>
          <w:rFonts w:ascii="黑体" w:hAnsi="黑体" w:eastAsia="黑体"/>
          <w:b/>
          <w:sz w:val="32"/>
          <w:szCs w:val="32"/>
        </w:rPr>
      </w:pPr>
      <w:r/>
      <w:bookmarkStart w:id="441" w:name="_格式2__法定代表人授权书"/>
      <w:r/>
      <w:bookmarkEnd w:id="441"/>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i/>
          <w:sz w:val="32"/>
          <w:szCs w:val="32"/>
          <w:u w:val="single"/>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                                   分包号：</w:t>
      </w:r>
      <w:r/>
    </w:p>
    <w:tbl>
      <w:tblPr>
        <w:tblStyle w:val="73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trHeight w:val="612"/>
        </w:trPr>
        <w:tc>
          <w:tcPr>
            <w:tcW w:w="8206" w:type="dxa"/>
            <w:vAlign w:val="center"/>
            <w:vMerge w:val="restart"/>
            <w:textDirection w:val="lrTb"/>
            <w:noWrap w:val="false"/>
          </w:tcPr>
          <w:p>
            <w:pPr>
              <w:pStyle w:val="1055"/>
              <w:ind w:firstLine="0"/>
              <w:spacing w:before="0" w:after="0" w:line="500" w:lineRule="exact"/>
              <w:rPr>
                <w:rFonts w:ascii="宋体" w:hAnsi="宋体" w:cs="宋体"/>
              </w:rPr>
            </w:pPr>
            <w:r>
              <w:rPr>
                <w:rFonts w:hint="eastAsia" w:ascii="宋体" w:hAnsi="宋体" w:cs="宋体"/>
              </w:rPr>
              <w:t xml:space="preserve">大写：                              （人民币：元）</w:t>
            </w:r>
            <w:r/>
          </w:p>
        </w:tc>
      </w:tr>
      <w:tr>
        <w:trPr>
          <w:cantSplit/>
          <w:trHeight w:val="612"/>
        </w:trPr>
        <w:tc>
          <w:tcPr>
            <w:tcW w:w="8206" w:type="dxa"/>
            <w:vAlign w:val="center"/>
            <w:textDirection w:val="lrTb"/>
            <w:noWrap w:val="false"/>
          </w:tcPr>
          <w:p>
            <w:pPr>
              <w:pStyle w:val="1055"/>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r/>
      <w:r/>
    </w:p>
    <w:p>
      <w:pPr>
        <w:jc w:val="center"/>
        <w:rPr>
          <w:rFonts w:ascii="宋体" w:hAnsi="宋体" w:cs="仿宋"/>
          <w:b/>
          <w:bCs/>
          <w:sz w:val="32"/>
          <w:szCs w:val="32"/>
        </w:rPr>
      </w:pPr>
      <w:r>
        <w:rPr>
          <w:rFonts w:ascii="宋体" w:hAnsi="宋体" w:cs="仿宋"/>
          <w:b/>
          <w:bCs/>
          <w:sz w:val="32"/>
          <w:szCs w:val="32"/>
        </w:rPr>
      </w:r>
      <w:r/>
    </w:p>
    <w:p>
      <w:pPr>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3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63"/>
        <w:rPr>
          <w:sz w:val="24"/>
          <w:szCs w:val="24"/>
        </w:rPr>
      </w:pPr>
      <w:r>
        <w:rPr>
          <w:sz w:val="24"/>
          <w:szCs w:val="24"/>
        </w:rPr>
      </w:r>
      <w:r/>
    </w:p>
    <w:p>
      <w:pPr>
        <w:pStyle w:val="963"/>
        <w:rPr>
          <w:sz w:val="24"/>
          <w:szCs w:val="24"/>
        </w:rPr>
      </w:pPr>
      <w:r>
        <w:rPr>
          <w:sz w:val="24"/>
          <w:szCs w:val="24"/>
        </w:r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
    <w:panose1 w:val="02010609060101010101"/>
  </w:font>
  <w:font w:name="等线">
    <w:panose1 w:val="02010600030101010101"/>
  </w:font>
  <w:font w:name="楷体_GB2312">
    <w:panose1 w:val="02010609060101010101"/>
  </w:font>
  <w:font w:name="Times">
    <w:panose1 w:val="020206030504050203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5"/>
      <w:isLgl w:val="false"/>
      <w:suff w:val="nothing"/>
      <w:lvlText w:val=""/>
      <w:lvlJc w:val="left"/>
      <w:pPr>
        <w:ind w:left="0" w:firstLine="0"/>
      </w:pPr>
      <w:rPr>
        <w:rFonts w:hint="eastAsia"/>
      </w:rPr>
    </w:lvl>
    <w:lvl w:ilvl="6">
      <w:start w:val="1"/>
      <w:numFmt w:val="decimal"/>
      <w:pStyle w:val="966"/>
      <w:isLgl w:val="false"/>
      <w:suff w:val="nothing"/>
      <w:lvlText w:val=""/>
      <w:lvlJc w:val="left"/>
      <w:pPr>
        <w:ind w:left="0" w:firstLine="0"/>
      </w:pPr>
      <w:rPr>
        <w:rFonts w:hint="eastAsia"/>
      </w:rPr>
    </w:lvl>
    <w:lvl w:ilvl="7">
      <w:start w:val="1"/>
      <w:numFmt w:val="decimal"/>
      <w:pStyle w:val="967"/>
      <w:isLgl w:val="false"/>
      <w:suff w:val="nothing"/>
      <w:lvlText w:val=""/>
      <w:lvlJc w:val="left"/>
      <w:pPr>
        <w:ind w:left="0" w:firstLine="0"/>
      </w:pPr>
      <w:rPr>
        <w:rFonts w:hint="eastAsia"/>
      </w:rPr>
    </w:lvl>
    <w:lvl w:ilvl="8">
      <w:start w:val="1"/>
      <w:numFmt w:val="decimal"/>
      <w:pStyle w:val="968"/>
      <w:isLgl w:val="false"/>
      <w:suff w:val="nothing"/>
      <w:lvlText w:val=""/>
      <w:lvlJc w:val="left"/>
      <w:pPr>
        <w:ind w:left="0" w:firstLine="0"/>
      </w:pPr>
      <w:rPr>
        <w:rFonts w:hint="eastAsia"/>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4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6"/>
  </w:num>
  <w:num w:numId="4">
    <w:abstractNumId w:val="5"/>
  </w:num>
  <w:num w:numId="5">
    <w:abstractNumId w:val="4"/>
  </w:num>
  <w:num w:numId="6">
    <w:abstractNumId w:val="13"/>
  </w:num>
  <w:num w:numId="7">
    <w:abstractNumId w:val="3"/>
  </w:num>
  <w:num w:numId="8">
    <w:abstractNumId w:val="8"/>
  </w:num>
  <w:num w:numId="9">
    <w:abstractNumId w:val="12"/>
  </w:num>
  <w:num w:numId="10">
    <w:abstractNumId w:val="6"/>
  </w:num>
  <w:num w:numId="11">
    <w:abstractNumId w:val="11"/>
  </w:num>
  <w:num w:numId="12">
    <w:abstractNumId w:val="10"/>
  </w:num>
  <w:num w:numId="13">
    <w:abstractNumId w:val="1"/>
  </w:num>
  <w:num w:numId="14">
    <w:abstractNumId w:val="0"/>
  </w:num>
  <w:num w:numId="15">
    <w:abstractNumId w:val="15"/>
  </w:num>
  <w:num w:numId="16">
    <w:abstractNumId w:val="2"/>
  </w:num>
  <w:num w:numId="17">
    <w:abstractNumId w:val="14"/>
  </w:num>
  <w:num w:numId="18">
    <w:abstractNumId w:val="18"/>
  </w:num>
  <w:num w:numId="19">
    <w:abstractNumId w:val="1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pPr>
      <w:jc w:val="both"/>
      <w:widowControl w:val="off"/>
    </w:pPr>
    <w:rPr>
      <w:rFonts w:hint="default" w:ascii="Times New Roman" w:hAnsi="Times New Roman" w:eastAsia="宋体" w:cs="Times New Roman"/>
      <w:sz w:val="21"/>
      <w:szCs w:val="21"/>
    </w:rPr>
  </w:style>
  <w:style w:type="paragraph" w:styleId="729">
    <w:name w:val="Heading 1"/>
    <w:basedOn w:val="728"/>
    <w:next w:val="728"/>
    <w:link w:val="830"/>
    <w:uiPriority w:val="9"/>
    <w:qFormat/>
    <w:pPr>
      <w:keepLines/>
      <w:keepNext/>
      <w:spacing w:before="480" w:after="200"/>
      <w:outlineLvl w:val="0"/>
    </w:pPr>
    <w:rPr>
      <w:rFonts w:ascii="Arial" w:hAnsi="Arial" w:eastAsia="黑体" w:cs="Arial"/>
      <w:sz w:val="44"/>
      <w:szCs w:val="40"/>
    </w:rPr>
  </w:style>
  <w:style w:type="paragraph" w:styleId="730">
    <w:name w:val="Heading 2"/>
    <w:basedOn w:val="728"/>
    <w:next w:val="728"/>
    <w:link w:val="831"/>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108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833"/>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34"/>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835"/>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837"/>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838"/>
    <w:uiPriority w:val="9"/>
    <w:unhideWhenUsed/>
    <w:qFormat/>
    <w:pPr>
      <w:keepLines/>
      <w:keepNext/>
      <w:spacing w:before="320" w:after="200"/>
      <w:outlineLvl w:val="8"/>
    </w:pPr>
    <w:rPr>
      <w:rFonts w:ascii="Arial" w:hAnsi="Arial" w:eastAsia="Arial" w:cs="Arial"/>
      <w:i/>
      <w:iCs/>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First Indent 2"/>
    <w:basedOn w:val="741"/>
    <w:next w:val="742"/>
    <w:uiPriority w:val="0"/>
    <w:qFormat/>
    <w:pPr>
      <w:ind w:left="0"/>
    </w:pPr>
  </w:style>
  <w:style w:type="paragraph" w:styleId="741">
    <w:name w:val="Body Text Indent"/>
    <w:basedOn w:val="728"/>
    <w:next w:val="728"/>
    <w:uiPriority w:val="0"/>
    <w:qFormat/>
    <w:pPr>
      <w:ind w:left="901"/>
    </w:pPr>
    <w:rPr>
      <w:rFonts w:ascii="Times" w:hAnsi="Times"/>
    </w:rPr>
  </w:style>
  <w:style w:type="paragraph" w:styleId="742">
    <w:name w:val="Body Text First Indent"/>
    <w:basedOn w:val="743"/>
    <w:next w:val="744"/>
    <w:uiPriority w:val="0"/>
    <w:unhideWhenUsed/>
    <w:qFormat/>
    <w:pPr>
      <w:ind w:firstLine="420"/>
      <w:jc w:val="both"/>
      <w:spacing w:after="120"/>
      <w:widowControl w:val="off"/>
    </w:pPr>
    <w:rPr>
      <w:rFonts w:ascii="Times New Roman" w:hAnsi="Times New Roman" w:eastAsia="宋体" w:cs="Times New Roman"/>
      <w:sz w:val="21"/>
      <w:szCs w:val="21"/>
      <w:lang w:val="en-US" w:eastAsia="zh-CN" w:bidi="ar-SA"/>
    </w:rPr>
  </w:style>
  <w:style w:type="paragraph" w:styleId="743">
    <w:name w:val="Body Text"/>
    <w:basedOn w:val="728"/>
    <w:next w:val="742"/>
    <w:link w:val="1085"/>
    <w:uiPriority w:val="0"/>
    <w:qFormat/>
    <w:rPr>
      <w:rFonts w:ascii="楷体_GB2312" w:hAnsi="Arial" w:eastAsia="楷体_GB2312"/>
      <w:sz w:val="28"/>
      <w:szCs w:val="28"/>
    </w:rPr>
  </w:style>
  <w:style w:type="paragraph" w:styleId="744">
    <w:name w:val="toc 6"/>
    <w:basedOn w:val="728"/>
    <w:next w:val="728"/>
    <w:uiPriority w:val="39"/>
    <w:unhideWhenUsed/>
    <w:qFormat/>
    <w:pPr>
      <w:ind w:left="1417"/>
      <w:spacing w:after="57"/>
    </w:pPr>
  </w:style>
  <w:style w:type="paragraph" w:styleId="745">
    <w:name w:val="toc 7"/>
    <w:basedOn w:val="728"/>
    <w:next w:val="728"/>
    <w:uiPriority w:val="39"/>
    <w:unhideWhenUsed/>
    <w:qFormat/>
    <w:pPr>
      <w:ind w:left="1701"/>
      <w:spacing w:after="57"/>
    </w:pPr>
  </w:style>
  <w:style w:type="paragraph" w:styleId="746">
    <w:name w:val="Normal Indent"/>
    <w:basedOn w:val="728"/>
    <w:uiPriority w:val="0"/>
    <w:unhideWhenUsed/>
    <w:qFormat/>
    <w:pPr>
      <w:ind w:firstLine="420"/>
    </w:pPr>
  </w:style>
  <w:style w:type="paragraph" w:styleId="747">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28"/>
    <w:uiPriority w:val="99"/>
    <w:unhideWhenUsed/>
    <w:qFormat/>
    <w:pPr>
      <w:jc w:val="left"/>
      <w:widowControl w:val="off"/>
    </w:pPr>
    <w:rPr>
      <w:rFonts w:ascii="Times New Roman" w:hAnsi="Times New Roman" w:eastAsia="宋体" w:cs="Times New Roman"/>
      <w:sz w:val="21"/>
      <w:szCs w:val="24"/>
      <w:lang w:val="en-US" w:eastAsia="zh-CN" w:bidi="ar-SA"/>
    </w:rPr>
  </w:style>
  <w:style w:type="paragraph" w:styleId="749">
    <w:name w:val="List Bullet 2"/>
    <w:basedOn w:val="728"/>
    <w:uiPriority w:val="99"/>
    <w:semiHidden/>
    <w:unhideWhenUsed/>
    <w:qFormat/>
    <w:pPr>
      <w:numPr>
        <w:ilvl w:val="0"/>
        <w:numId w:val="1"/>
      </w:numPr>
    </w:pPr>
  </w:style>
  <w:style w:type="paragraph" w:styleId="750">
    <w:name w:val="index 4"/>
    <w:basedOn w:val="728"/>
    <w:next w:val="728"/>
    <w:uiPriority w:val="0"/>
    <w:qFormat/>
    <w:pPr>
      <w:ind w:left="600" w:firstLine="200"/>
      <w:spacing w:line="360" w:lineRule="auto"/>
    </w:pPr>
    <w:rPr>
      <w:rFonts w:ascii="等线" w:hAnsi="等线" w:eastAsia="等线"/>
      <w:sz w:val="24"/>
      <w:szCs w:val="24"/>
    </w:rPr>
  </w:style>
  <w:style w:type="paragraph" w:styleId="751">
    <w:name w:val="toc 5"/>
    <w:basedOn w:val="728"/>
    <w:next w:val="728"/>
    <w:uiPriority w:val="39"/>
    <w:unhideWhenUsed/>
    <w:qFormat/>
    <w:pPr>
      <w:ind w:left="1134"/>
      <w:spacing w:after="57"/>
    </w:pPr>
  </w:style>
  <w:style w:type="paragraph" w:styleId="752">
    <w:name w:val="toc 3"/>
    <w:basedOn w:val="728"/>
    <w:next w:val="728"/>
    <w:uiPriority w:val="39"/>
    <w:unhideWhenUsed/>
    <w:qFormat/>
    <w:pPr>
      <w:ind w:left="567"/>
      <w:spacing w:after="57"/>
    </w:pPr>
  </w:style>
  <w:style w:type="paragraph" w:styleId="753">
    <w:name w:val="Plain Text"/>
    <w:uiPriority w:val="0"/>
    <w:qFormat/>
    <w:pPr>
      <w:jc w:val="both"/>
      <w:widowControl w:val="off"/>
    </w:pPr>
    <w:rPr>
      <w:rFonts w:ascii="宋体" w:hAnsi="Courier New" w:eastAsia="宋体" w:cs="Courier New"/>
      <w:sz w:val="21"/>
      <w:szCs w:val="21"/>
      <w:lang w:val="en-US" w:eastAsia="zh-CN" w:bidi="ar-SA"/>
    </w:rPr>
  </w:style>
  <w:style w:type="paragraph" w:styleId="754">
    <w:name w:val="toc 8"/>
    <w:basedOn w:val="728"/>
    <w:next w:val="728"/>
    <w:uiPriority w:val="39"/>
    <w:unhideWhenUsed/>
    <w:qFormat/>
    <w:pPr>
      <w:ind w:left="1984"/>
      <w:spacing w:after="57"/>
    </w:pPr>
  </w:style>
  <w:style w:type="paragraph" w:styleId="755">
    <w:name w:val="endnote text"/>
    <w:basedOn w:val="728"/>
    <w:link w:val="957"/>
    <w:uiPriority w:val="99"/>
    <w:semiHidden/>
    <w:unhideWhenUsed/>
    <w:qFormat/>
    <w:rPr>
      <w:sz w:val="20"/>
    </w:rPr>
  </w:style>
  <w:style w:type="paragraph" w:styleId="756">
    <w:name w:val="Footer"/>
    <w:basedOn w:val="728"/>
    <w:link w:val="849"/>
    <w:uiPriority w:val="99"/>
    <w:unhideWhenUsed/>
    <w:qFormat/>
    <w:pPr>
      <w:tabs>
        <w:tab w:val="center" w:pos="7143" w:leader="none"/>
        <w:tab w:val="right" w:pos="14287" w:leader="none"/>
      </w:tabs>
    </w:pPr>
  </w:style>
  <w:style w:type="paragraph" w:styleId="757">
    <w:name w:val="Header"/>
    <w:basedOn w:val="728"/>
    <w:link w:val="847"/>
    <w:uiPriority w:val="99"/>
    <w:unhideWhenUsed/>
    <w:qFormat/>
    <w:pPr>
      <w:tabs>
        <w:tab w:val="center" w:pos="7143" w:leader="none"/>
        <w:tab w:val="right" w:pos="14287" w:leader="none"/>
      </w:tabs>
    </w:p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842"/>
    <w:uiPriority w:val="11"/>
    <w:qFormat/>
    <w:pPr>
      <w:spacing w:before="200" w:after="200"/>
    </w:pPr>
    <w:rPr>
      <w:sz w:val="24"/>
      <w:szCs w:val="24"/>
    </w:rPr>
  </w:style>
  <w:style w:type="paragraph" w:styleId="761">
    <w:name w:val="footnote text"/>
    <w:basedOn w:val="728"/>
    <w:link w:val="956"/>
    <w:uiPriority w:val="99"/>
    <w:semiHidden/>
    <w:unhideWhenUsed/>
    <w:qFormat/>
    <w:pPr>
      <w:spacing w:after="40"/>
    </w:pPr>
    <w:rPr>
      <w:sz w:val="18"/>
    </w:rPr>
  </w:style>
  <w:style w:type="paragraph" w:styleId="762">
    <w:name w:val="table of figures"/>
    <w:basedOn w:val="728"/>
    <w:next w:val="728"/>
    <w:uiPriority w:val="99"/>
    <w:unhideWhenUsed/>
    <w:qFormat/>
  </w:style>
  <w:style w:type="paragraph" w:styleId="763">
    <w:name w:val="toc 2"/>
    <w:basedOn w:val="728"/>
    <w:next w:val="728"/>
    <w:uiPriority w:val="39"/>
    <w:unhideWhenUsed/>
    <w:qFormat/>
    <w:pPr>
      <w:ind w:left="283"/>
      <w:spacing w:after="57"/>
    </w:pPr>
  </w:style>
  <w:style w:type="paragraph" w:styleId="764">
    <w:name w:val="toc 9"/>
    <w:basedOn w:val="728"/>
    <w:next w:val="728"/>
    <w:uiPriority w:val="39"/>
    <w:unhideWhenUsed/>
    <w:qFormat/>
    <w:pPr>
      <w:ind w:left="2268"/>
      <w:spacing w:after="57"/>
    </w:pPr>
  </w:style>
  <w:style w:type="paragraph" w:styleId="765">
    <w:name w:val="Normal (Web)"/>
    <w:basedOn w:val="728"/>
    <w:uiPriority w:val="0"/>
    <w:qFormat/>
    <w:rPr>
      <w:sz w:val="24"/>
    </w:rPr>
  </w:style>
  <w:style w:type="paragraph" w:styleId="766">
    <w:name w:val="Title"/>
    <w:basedOn w:val="728"/>
    <w:next w:val="728"/>
    <w:link w:val="841"/>
    <w:uiPriority w:val="10"/>
    <w:qFormat/>
    <w:pPr>
      <w:contextualSpacing/>
      <w:spacing w:before="300" w:after="200"/>
    </w:pPr>
    <w:rPr>
      <w:sz w:val="48"/>
      <w:szCs w:val="48"/>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索引 41"/>
    <w:next w:val="728"/>
    <w:uiPriority w:val="0"/>
    <w:qFormat/>
    <w:pPr>
      <w:ind w:left="1260"/>
      <w:jc w:val="both"/>
      <w:widowControl w:val="off"/>
    </w:pPr>
    <w:rPr>
      <w:rFonts w:ascii="Calibri" w:hAnsi="Calibri" w:eastAsia="宋体" w:cs="Times New Roman"/>
      <w:sz w:val="21"/>
      <w:szCs w:val="20"/>
      <w:lang w:val="en-US" w:eastAsia="zh-CN" w:bidi="ar-SA"/>
    </w:rPr>
  </w:style>
  <w:style w:type="table" w:styleId="772"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Default"/>
    <w:next w:val="728"/>
    <w:uiPriority w:val="0"/>
    <w:qFormat/>
    <w:pPr>
      <w:widowControl w:val="off"/>
    </w:pPr>
    <w:rPr>
      <w:rFonts w:hint="default" w:ascii="宋体" w:hAnsi="Times New Roman" w:eastAsia="宋体" w:cs="宋体"/>
      <w:color w:val="000000"/>
      <w:sz w:val="24"/>
      <w:szCs w:val="24"/>
    </w:rPr>
  </w:style>
  <w:style w:type="character" w:styleId="793" w:customStyle="1">
    <w:name w:val="Heading 1 Char"/>
    <w:basedOn w:val="738"/>
    <w:uiPriority w:val="9"/>
    <w:qFormat/>
    <w:rPr>
      <w:rFonts w:ascii="Arial" w:hAnsi="Arial" w:eastAsia="Arial" w:cs="Arial"/>
      <w:sz w:val="40"/>
      <w:szCs w:val="40"/>
    </w:rPr>
  </w:style>
  <w:style w:type="character" w:styleId="794" w:customStyle="1">
    <w:name w:val="Heading 2 Char"/>
    <w:basedOn w:val="738"/>
    <w:uiPriority w:val="9"/>
    <w:qFormat/>
    <w:rPr>
      <w:rFonts w:ascii="Arial" w:hAnsi="Arial" w:eastAsia="Arial" w:cs="Arial"/>
      <w:sz w:val="34"/>
    </w:rPr>
  </w:style>
  <w:style w:type="character" w:styleId="795" w:customStyle="1">
    <w:name w:val="Heading 3 Char"/>
    <w:basedOn w:val="738"/>
    <w:uiPriority w:val="9"/>
    <w:qFormat/>
    <w:rPr>
      <w:rFonts w:ascii="Arial" w:hAnsi="Arial" w:eastAsia="Arial" w:cs="Arial"/>
      <w:sz w:val="30"/>
      <w:szCs w:val="30"/>
    </w:rPr>
  </w:style>
  <w:style w:type="character" w:styleId="796" w:customStyle="1">
    <w:name w:val="Heading 4 Char"/>
    <w:basedOn w:val="738"/>
    <w:uiPriority w:val="9"/>
    <w:qFormat/>
    <w:rPr>
      <w:rFonts w:ascii="Arial" w:hAnsi="Arial" w:eastAsia="Arial" w:cs="Arial"/>
      <w:b/>
      <w:bCs/>
      <w:sz w:val="26"/>
      <w:szCs w:val="26"/>
    </w:rPr>
  </w:style>
  <w:style w:type="character" w:styleId="797" w:customStyle="1">
    <w:name w:val="Heading 5 Char"/>
    <w:basedOn w:val="738"/>
    <w:uiPriority w:val="9"/>
    <w:qFormat/>
    <w:rPr>
      <w:rFonts w:ascii="Arial" w:hAnsi="Arial" w:eastAsia="Arial" w:cs="Arial"/>
      <w:b/>
      <w:bCs/>
      <w:sz w:val="24"/>
      <w:szCs w:val="24"/>
    </w:rPr>
  </w:style>
  <w:style w:type="character" w:styleId="798" w:customStyle="1">
    <w:name w:val="Heading 6 Char"/>
    <w:basedOn w:val="738"/>
    <w:uiPriority w:val="9"/>
    <w:qFormat/>
    <w:rPr>
      <w:rFonts w:ascii="Arial" w:hAnsi="Arial" w:eastAsia="Arial" w:cs="Arial"/>
      <w:b/>
      <w:bCs/>
      <w:sz w:val="22"/>
      <w:szCs w:val="22"/>
    </w:rPr>
  </w:style>
  <w:style w:type="character" w:styleId="799" w:customStyle="1">
    <w:name w:val="Heading 7 Char"/>
    <w:basedOn w:val="738"/>
    <w:uiPriority w:val="9"/>
    <w:qFormat/>
    <w:rPr>
      <w:rFonts w:ascii="Arial" w:hAnsi="Arial" w:eastAsia="Arial" w:cs="Arial"/>
      <w:b/>
      <w:bCs/>
      <w:i/>
      <w:iCs/>
      <w:sz w:val="22"/>
      <w:szCs w:val="22"/>
    </w:rPr>
  </w:style>
  <w:style w:type="character" w:styleId="800" w:customStyle="1">
    <w:name w:val="Heading 8 Char"/>
    <w:basedOn w:val="738"/>
    <w:uiPriority w:val="9"/>
    <w:qFormat/>
    <w:rPr>
      <w:rFonts w:ascii="Arial" w:hAnsi="Arial" w:eastAsia="Arial" w:cs="Arial"/>
      <w:i/>
      <w:iCs/>
      <w:sz w:val="22"/>
      <w:szCs w:val="22"/>
    </w:rPr>
  </w:style>
  <w:style w:type="character" w:styleId="801" w:customStyle="1">
    <w:name w:val="Heading 9 Char"/>
    <w:basedOn w:val="738"/>
    <w:uiPriority w:val="9"/>
    <w:qFormat/>
    <w:rPr>
      <w:rFonts w:ascii="Arial" w:hAnsi="Arial" w:eastAsia="Arial" w:cs="Arial"/>
      <w:i/>
      <w:iCs/>
      <w:sz w:val="21"/>
      <w:szCs w:val="21"/>
    </w:rPr>
  </w:style>
  <w:style w:type="character" w:styleId="802" w:customStyle="1">
    <w:name w:val="Title Char"/>
    <w:basedOn w:val="738"/>
    <w:uiPriority w:val="10"/>
    <w:qFormat/>
    <w:rPr>
      <w:sz w:val="48"/>
      <w:szCs w:val="48"/>
    </w:rPr>
  </w:style>
  <w:style w:type="character" w:styleId="803" w:customStyle="1">
    <w:name w:val="Subtitle Char"/>
    <w:basedOn w:val="738"/>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Header Char"/>
    <w:basedOn w:val="738"/>
    <w:uiPriority w:val="99"/>
    <w:qFormat/>
  </w:style>
  <w:style w:type="character" w:styleId="807" w:customStyle="1">
    <w:name w:val="Caption Char"/>
    <w:uiPriority w:val="99"/>
    <w:qFormat/>
  </w:style>
  <w:style w:type="table" w:styleId="808" w:customStyle="1">
    <w:name w:val="无格式表格 1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清单表 6 彩色1"/>
    <w:basedOn w:val="73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清单表 7 彩色1"/>
    <w:basedOn w:val="73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
    <w:uiPriority w:val="39"/>
    <w:unhideWhenUsed/>
    <w:qFormat/>
    <w:rPr>
      <w:rFonts w:hint="default" w:ascii="Times New Roman" w:hAnsi="Times New Roman" w:eastAsia="宋体" w:cs="Times New Roman"/>
    </w:rPr>
  </w:style>
  <w:style w:type="character" w:styleId="830" w:customStyle="1">
    <w:name w:val="标题 1 Char1"/>
    <w:link w:val="729"/>
    <w:uiPriority w:val="9"/>
    <w:qFormat/>
    <w:rPr>
      <w:rFonts w:ascii="Arial" w:hAnsi="Arial" w:eastAsia="黑体" w:cs="Arial"/>
      <w:sz w:val="44"/>
      <w:szCs w:val="40"/>
    </w:rPr>
  </w:style>
  <w:style w:type="character" w:styleId="831" w:customStyle="1">
    <w:name w:val="标题 2 Char1"/>
    <w:link w:val="730"/>
    <w:uiPriority w:val="9"/>
    <w:qFormat/>
    <w:rPr>
      <w:rFonts w:ascii="Arial" w:hAnsi="Arial" w:eastAsia="Arial" w:cs="Arial"/>
      <w:sz w:val="34"/>
    </w:rPr>
  </w:style>
  <w:style w:type="character" w:styleId="832" w:customStyle="1">
    <w:name w:val="标题 3 Char1"/>
    <w:link w:val="731"/>
    <w:uiPriority w:val="9"/>
    <w:qFormat/>
    <w:rPr>
      <w:rFonts w:ascii="Arial" w:hAnsi="Arial" w:eastAsia="Arial" w:cs="Arial"/>
      <w:sz w:val="30"/>
      <w:szCs w:val="30"/>
    </w:rPr>
  </w:style>
  <w:style w:type="character" w:styleId="833" w:customStyle="1">
    <w:name w:val="标题 4 Char1"/>
    <w:link w:val="732"/>
    <w:uiPriority w:val="9"/>
    <w:qFormat/>
    <w:rPr>
      <w:rFonts w:ascii="Arial" w:hAnsi="Arial" w:eastAsia="Arial" w:cs="Arial"/>
      <w:b/>
      <w:bCs/>
      <w:sz w:val="26"/>
      <w:szCs w:val="26"/>
    </w:rPr>
  </w:style>
  <w:style w:type="character" w:styleId="834" w:customStyle="1">
    <w:name w:val="标题 5 Char1"/>
    <w:link w:val="733"/>
    <w:uiPriority w:val="9"/>
    <w:qFormat/>
    <w:rPr>
      <w:rFonts w:ascii="Arial" w:hAnsi="Arial" w:eastAsia="Arial" w:cs="Arial"/>
      <w:b/>
      <w:bCs/>
      <w:sz w:val="24"/>
      <w:szCs w:val="24"/>
    </w:rPr>
  </w:style>
  <w:style w:type="character" w:styleId="835" w:customStyle="1">
    <w:name w:val="标题 6 Char1"/>
    <w:link w:val="734"/>
    <w:uiPriority w:val="9"/>
    <w:qFormat/>
    <w:rPr>
      <w:rFonts w:ascii="Arial" w:hAnsi="Arial" w:eastAsia="Arial" w:cs="Arial"/>
      <w:b/>
      <w:bCs/>
      <w:sz w:val="22"/>
      <w:szCs w:val="22"/>
    </w:rPr>
  </w:style>
  <w:style w:type="character" w:styleId="836" w:customStyle="1">
    <w:name w:val="标题 7 Char1"/>
    <w:link w:val="735"/>
    <w:uiPriority w:val="9"/>
    <w:qFormat/>
    <w:rPr>
      <w:rFonts w:ascii="Arial" w:hAnsi="Arial" w:eastAsia="Arial" w:cs="Arial"/>
      <w:b/>
      <w:bCs/>
      <w:i/>
      <w:iCs/>
      <w:sz w:val="22"/>
      <w:szCs w:val="22"/>
    </w:rPr>
  </w:style>
  <w:style w:type="character" w:styleId="837" w:customStyle="1">
    <w:name w:val="标题 8 Char1"/>
    <w:link w:val="736"/>
    <w:uiPriority w:val="9"/>
    <w:qFormat/>
    <w:rPr>
      <w:rFonts w:ascii="Arial" w:hAnsi="Arial" w:eastAsia="Arial" w:cs="Arial"/>
      <w:i/>
      <w:iCs/>
      <w:sz w:val="22"/>
      <w:szCs w:val="22"/>
    </w:rPr>
  </w:style>
  <w:style w:type="character" w:styleId="838" w:customStyle="1">
    <w:name w:val="标题 9 Char1"/>
    <w:link w:val="737"/>
    <w:uiPriority w:val="9"/>
    <w:qFormat/>
    <w:rPr>
      <w:rFonts w:ascii="Arial" w:hAnsi="Arial" w:eastAsia="Arial" w:cs="Arial"/>
      <w:i/>
      <w:iCs/>
      <w:sz w:val="21"/>
      <w:szCs w:val="21"/>
    </w:rPr>
  </w:style>
  <w:style w:type="paragraph" w:styleId="839">
    <w:name w:val="List Paragraph"/>
    <w:basedOn w:val="728"/>
    <w:uiPriority w:val="34"/>
    <w:qFormat/>
    <w:pPr>
      <w:contextualSpacing/>
      <w:ind w:left="720"/>
    </w:pPr>
  </w:style>
  <w:style w:type="paragraph" w:styleId="840">
    <w:name w:val="No Spacing"/>
    <w:uiPriority w:val="1"/>
    <w:qFormat/>
    <w:rPr>
      <w:rFonts w:hint="default" w:ascii="Calibri" w:hAnsi="Calibri" w:eastAsia="宋体" w:cs="Times New Roman"/>
    </w:rPr>
  </w:style>
  <w:style w:type="character" w:styleId="841" w:customStyle="1">
    <w:name w:val="标题 Char"/>
    <w:link w:val="766"/>
    <w:uiPriority w:val="10"/>
    <w:qFormat/>
    <w:rPr>
      <w:sz w:val="48"/>
      <w:szCs w:val="48"/>
    </w:rPr>
  </w:style>
  <w:style w:type="character" w:styleId="842" w:customStyle="1">
    <w:name w:val="副标题 Char"/>
    <w:link w:val="760"/>
    <w:uiPriority w:val="11"/>
    <w:qFormat/>
    <w:rPr>
      <w:sz w:val="24"/>
      <w:szCs w:val="24"/>
    </w:rPr>
  </w:style>
  <w:style w:type="paragraph" w:styleId="843">
    <w:name w:val="Quote"/>
    <w:basedOn w:val="728"/>
    <w:next w:val="728"/>
    <w:link w:val="844"/>
    <w:uiPriority w:val="29"/>
    <w:qFormat/>
    <w:pPr>
      <w:ind w:left="720" w:right="720"/>
    </w:pPr>
    <w:rPr>
      <w:i/>
    </w:rPr>
  </w:style>
  <w:style w:type="character" w:styleId="844" w:customStyle="1">
    <w:name w:val="引用 Char"/>
    <w:link w:val="843"/>
    <w:uiPriority w:val="29"/>
    <w:qFormat/>
    <w:rPr>
      <w:i/>
    </w:rPr>
  </w:style>
  <w:style w:type="paragraph" w:styleId="845">
    <w:name w:val="Intense Quote"/>
    <w:basedOn w:val="728"/>
    <w:next w:val="728"/>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qFormat/>
    <w:rPr>
      <w:i/>
    </w:rPr>
  </w:style>
  <w:style w:type="character" w:styleId="847" w:customStyle="1">
    <w:name w:val="页眉 Char1"/>
    <w:link w:val="757"/>
    <w:uiPriority w:val="99"/>
    <w:qFormat/>
  </w:style>
  <w:style w:type="character" w:styleId="848" w:customStyle="1">
    <w:name w:val="Footer Char"/>
    <w:uiPriority w:val="99"/>
    <w:qFormat/>
  </w:style>
  <w:style w:type="character" w:styleId="849" w:customStyle="1">
    <w:name w:val="页脚 Char1"/>
    <w:link w:val="756"/>
    <w:uiPriority w:val="99"/>
    <w:qFormat/>
  </w:style>
  <w:style w:type="table" w:styleId="8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Char"/>
    <w:link w:val="761"/>
    <w:uiPriority w:val="99"/>
    <w:qFormat/>
    <w:rPr>
      <w:sz w:val="18"/>
    </w:rPr>
  </w:style>
  <w:style w:type="character" w:styleId="957" w:customStyle="1">
    <w:name w:val="尾注文本 Char"/>
    <w:link w:val="755"/>
    <w:uiPriority w:val="99"/>
    <w:qFormat/>
    <w:rPr>
      <w:sz w:val="20"/>
    </w:rPr>
  </w:style>
  <w:style w:type="paragraph" w:styleId="958" w:customStyle="1">
    <w:name w:val="TOC 标题11"/>
    <w:uiPriority w:val="39"/>
    <w:unhideWhenUsed/>
    <w:qFormat/>
    <w:rPr>
      <w:rFonts w:hint="default" w:ascii="Calibri" w:hAnsi="Calibri" w:eastAsia="宋体" w:cs="Times New Roman"/>
    </w:rPr>
  </w:style>
  <w:style w:type="paragraph" w:styleId="959" w:customStyle="1">
    <w:name w:val="标题 11"/>
    <w:basedOn w:val="728"/>
    <w:next w:val="728"/>
    <w:link w:val="1012"/>
    <w:uiPriority w:val="0"/>
    <w:qFormat/>
    <w:pPr>
      <w:jc w:val="center"/>
      <w:keepNext/>
      <w:outlineLvl w:val="0"/>
    </w:pPr>
    <w:rPr>
      <w:rFonts w:ascii="楷体_GB2312" w:hAnsi="楷体_GB2312" w:eastAsia="黑体"/>
      <w:sz w:val="44"/>
      <w:szCs w:val="28"/>
    </w:rPr>
  </w:style>
  <w:style w:type="paragraph" w:styleId="960" w:customStyle="1">
    <w:name w:val="标题 21"/>
    <w:basedOn w:val="728"/>
    <w:next w:val="728"/>
    <w:link w:val="10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1" w:customStyle="1">
    <w:name w:val="标题 31"/>
    <w:basedOn w:val="728"/>
    <w:next w:val="728"/>
    <w:link w:val="994"/>
    <w:uiPriority w:val="0"/>
    <w:qFormat/>
    <w:pPr>
      <w:keepLines/>
      <w:keepNext/>
      <w:spacing w:before="260" w:after="260" w:line="416" w:lineRule="auto"/>
      <w:outlineLvl w:val="2"/>
    </w:pPr>
    <w:rPr>
      <w:b/>
      <w:bCs/>
      <w:sz w:val="32"/>
      <w:szCs w:val="32"/>
    </w:rPr>
  </w:style>
  <w:style w:type="paragraph" w:styleId="962" w:customStyle="1">
    <w:name w:val="标题 41"/>
    <w:basedOn w:val="728"/>
    <w:next w:val="963"/>
    <w:link w:val="985"/>
    <w:uiPriority w:val="0"/>
    <w:qFormat/>
    <w:pPr>
      <w:keepLines/>
      <w:keepNext/>
      <w:spacing w:before="280" w:after="290" w:line="376" w:lineRule="auto"/>
      <w:outlineLvl w:val="3"/>
    </w:pPr>
    <w:rPr>
      <w:rFonts w:ascii="Arial" w:hAnsi="Arial" w:eastAsia="黑体" w:cs="Arial"/>
      <w:b/>
      <w:bCs/>
      <w:sz w:val="28"/>
      <w:szCs w:val="28"/>
    </w:rPr>
  </w:style>
  <w:style w:type="paragraph" w:styleId="963" w:customStyle="1">
    <w:name w:val="正文缩进1"/>
    <w:basedOn w:val="728"/>
    <w:link w:val="997"/>
    <w:uiPriority w:val="0"/>
    <w:qFormat/>
    <w:pPr>
      <w:ind w:firstLine="420"/>
    </w:pPr>
  </w:style>
  <w:style w:type="paragraph" w:styleId="964" w:customStyle="1">
    <w:name w:val="标题 51"/>
    <w:basedOn w:val="728"/>
    <w:next w:val="963"/>
    <w:link w:val="1004"/>
    <w:uiPriority w:val="0"/>
    <w:qFormat/>
    <w:pPr>
      <w:keepNext/>
      <w:outlineLvl w:val="4"/>
    </w:pPr>
    <w:rPr>
      <w:rFonts w:ascii="宋体"/>
      <w:color w:val="000000"/>
      <w:sz w:val="28"/>
      <w:szCs w:val="28"/>
    </w:rPr>
  </w:style>
  <w:style w:type="paragraph" w:styleId="965" w:customStyle="1">
    <w:name w:val="标题 61"/>
    <w:basedOn w:val="728"/>
    <w:next w:val="728"/>
    <w:link w:val="983"/>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66" w:customStyle="1">
    <w:name w:val="标题 71"/>
    <w:basedOn w:val="728"/>
    <w:next w:val="728"/>
    <w:link w:val="978"/>
    <w:uiPriority w:val="0"/>
    <w:qFormat/>
    <w:pPr>
      <w:numPr>
        <w:ilvl w:val="6"/>
        <w:numId w:val="2"/>
      </w:numPr>
      <w:keepLines/>
      <w:keepNext/>
      <w:spacing w:before="240" w:after="64" w:line="320" w:lineRule="auto"/>
      <w:outlineLvl w:val="6"/>
    </w:pPr>
    <w:rPr>
      <w:b/>
      <w:bCs/>
      <w:sz w:val="24"/>
      <w:szCs w:val="24"/>
    </w:rPr>
  </w:style>
  <w:style w:type="paragraph" w:styleId="967" w:customStyle="1">
    <w:name w:val="标题 81"/>
    <w:basedOn w:val="728"/>
    <w:next w:val="728"/>
    <w:link w:val="977"/>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68" w:customStyle="1">
    <w:name w:val="标题 91"/>
    <w:basedOn w:val="728"/>
    <w:next w:val="728"/>
    <w:link w:val="1014"/>
    <w:uiPriority w:val="0"/>
    <w:qFormat/>
    <w:pPr>
      <w:numPr>
        <w:ilvl w:val="8"/>
        <w:numId w:val="2"/>
      </w:numPr>
      <w:keepLines/>
      <w:keepNext/>
      <w:spacing w:before="240" w:after="64" w:line="320" w:lineRule="auto"/>
      <w:outlineLvl w:val="8"/>
    </w:pPr>
    <w:rPr>
      <w:rFonts w:ascii="Arial" w:hAnsi="Arial" w:eastAsia="黑体"/>
    </w:rPr>
  </w:style>
  <w:style w:type="character" w:styleId="969" w:customStyle="1">
    <w:name w:val="默认段落字体1"/>
    <w:uiPriority w:val="1"/>
    <w:unhideWhenUsed/>
    <w:qFormat/>
  </w:style>
  <w:style w:type="table" w:styleId="970" w:customStyle="1">
    <w:name w:val="普通表格1"/>
    <w:uiPriority w:val="99"/>
    <w:unhideWhenUsed/>
    <w:qFormat/>
    <w:tblPr>
      <w:tblCellMar>
        <w:left w:w="0" w:type="dxa"/>
        <w:top w:w="0" w:type="dxa"/>
        <w:right w:w="0" w:type="dxa"/>
        <w:bottom w:w="0" w:type="dxa"/>
      </w:tblCellMar>
    </w:tblPr>
  </w:style>
  <w:style w:type="character" w:styleId="971" w:customStyle="1">
    <w:name w:val="批注框文本 Char"/>
    <w:link w:val="972"/>
    <w:uiPriority w:val="0"/>
    <w:semiHidden/>
    <w:qFormat/>
    <w:rPr>
      <w:rFonts w:ascii="Times New Roman" w:hAnsi="Times New Roman" w:eastAsia="宋体" w:cs="Times New Roman"/>
      <w:sz w:val="18"/>
      <w:szCs w:val="18"/>
    </w:rPr>
  </w:style>
  <w:style w:type="paragraph" w:styleId="972" w:customStyle="1">
    <w:name w:val="批注框文本1"/>
    <w:basedOn w:val="728"/>
    <w:link w:val="971"/>
    <w:uiPriority w:val="0"/>
    <w:semiHidden/>
    <w:qFormat/>
    <w:rPr>
      <w:sz w:val="18"/>
      <w:szCs w:val="18"/>
    </w:rPr>
  </w:style>
  <w:style w:type="character" w:styleId="973" w:customStyle="1">
    <w:name w:val="列出段落 Char"/>
    <w:link w:val="974"/>
    <w:uiPriority w:val="0"/>
    <w:qFormat/>
    <w:rPr>
      <w:rFonts w:ascii="Calibri" w:hAnsi="Calibri"/>
      <w:sz w:val="24"/>
      <w:szCs w:val="24"/>
      <w:lang w:eastAsia="en-US" w:bidi="en-US"/>
    </w:rPr>
  </w:style>
  <w:style w:type="paragraph" w:styleId="974" w:customStyle="1">
    <w:name w:val="列出段落1"/>
    <w:basedOn w:val="728"/>
    <w:link w:val="973"/>
    <w:uiPriority w:val="0"/>
    <w:qFormat/>
    <w:pPr>
      <w:contextualSpacing/>
      <w:ind w:left="720"/>
      <w:jc w:val="left"/>
      <w:widowControl/>
    </w:pPr>
    <w:rPr>
      <w:rFonts w:ascii="Calibri" w:hAnsi="Calibri"/>
      <w:sz w:val="24"/>
      <w:szCs w:val="24"/>
      <w:lang w:eastAsia="en-US" w:bidi="en-US"/>
    </w:rPr>
  </w:style>
  <w:style w:type="character" w:styleId="975" w:customStyle="1">
    <w:name w:val="正文文本 Char"/>
    <w:link w:val="976"/>
    <w:uiPriority w:val="0"/>
    <w:qFormat/>
    <w:rPr>
      <w:rFonts w:ascii="楷体_GB2312" w:hAnsi="Arial" w:eastAsia="楷体_GB2312" w:cs="Times New Roman"/>
      <w:sz w:val="28"/>
      <w:szCs w:val="28"/>
    </w:rPr>
  </w:style>
  <w:style w:type="paragraph" w:styleId="976" w:customStyle="1">
    <w:name w:val="正文文本1"/>
    <w:basedOn w:val="728"/>
    <w:link w:val="975"/>
    <w:uiPriority w:val="0"/>
    <w:qFormat/>
    <w:rPr>
      <w:rFonts w:ascii="楷体_GB2312" w:hAnsi="Arial" w:eastAsia="楷体_GB2312"/>
      <w:sz w:val="28"/>
      <w:szCs w:val="28"/>
    </w:rPr>
  </w:style>
  <w:style w:type="character" w:styleId="977" w:customStyle="1">
    <w:name w:val="标题 8 Char"/>
    <w:link w:val="967"/>
    <w:uiPriority w:val="0"/>
    <w:qFormat/>
    <w:rPr>
      <w:rFonts w:ascii="Arial" w:hAnsi="Arial" w:eastAsia="黑体" w:cs="Times New Roman"/>
      <w:sz w:val="24"/>
      <w:szCs w:val="24"/>
    </w:rPr>
  </w:style>
  <w:style w:type="character" w:styleId="978" w:customStyle="1">
    <w:name w:val="标题 7 Char"/>
    <w:link w:val="966"/>
    <w:uiPriority w:val="0"/>
    <w:qFormat/>
    <w:rPr>
      <w:rFonts w:ascii="Times New Roman" w:hAnsi="Times New Roman" w:eastAsia="宋体" w:cs="Times New Roman"/>
      <w:b/>
      <w:bCs/>
      <w:sz w:val="24"/>
      <w:szCs w:val="24"/>
    </w:rPr>
  </w:style>
  <w:style w:type="character" w:styleId="979" w:customStyle="1">
    <w:name w:val="超链接1"/>
    <w:uiPriority w:val="0"/>
    <w:qFormat/>
    <w:rPr>
      <w:color w:val="0000ff"/>
      <w:u w:val="single"/>
    </w:rPr>
  </w:style>
  <w:style w:type="character" w:styleId="980" w:customStyle="1">
    <w:name w:val="正文文本 3 Char"/>
    <w:link w:val="981"/>
    <w:uiPriority w:val="0"/>
    <w:qFormat/>
    <w:rPr>
      <w:rFonts w:ascii="仿宋_GB2312" w:hAnsi="Arial" w:eastAsia="仿宋_GB2312" w:cs="Times New Roman"/>
      <w:sz w:val="32"/>
      <w:szCs w:val="32"/>
    </w:rPr>
  </w:style>
  <w:style w:type="paragraph" w:styleId="981" w:customStyle="1">
    <w:name w:val="正文文本 31"/>
    <w:basedOn w:val="728"/>
    <w:link w:val="980"/>
    <w:uiPriority w:val="0"/>
    <w:qFormat/>
    <w:rPr>
      <w:rFonts w:ascii="仿宋_GB2312" w:hAnsi="Arial" w:eastAsia="仿宋_GB2312"/>
      <w:sz w:val="32"/>
      <w:szCs w:val="32"/>
    </w:rPr>
  </w:style>
  <w:style w:type="character" w:styleId="982" w:customStyle="1">
    <w:name w:val="font5 Char"/>
    <w:uiPriority w:val="0"/>
    <w:qFormat/>
    <w:rPr>
      <w:rFonts w:ascii="宋体" w:hAnsi="宋体" w:eastAsia="宋体"/>
      <w:sz w:val="28"/>
      <w:szCs w:val="28"/>
      <w:lang w:val="en-US" w:eastAsia="zh-CN" w:bidi="ar-SA"/>
    </w:rPr>
  </w:style>
  <w:style w:type="character" w:styleId="983" w:customStyle="1">
    <w:name w:val="标题 6 Char"/>
    <w:link w:val="965"/>
    <w:uiPriority w:val="0"/>
    <w:qFormat/>
    <w:rPr>
      <w:rFonts w:ascii="Arial" w:hAnsi="Arial" w:eastAsia="黑体" w:cs="Times New Roman"/>
      <w:b/>
      <w:bCs/>
      <w:sz w:val="24"/>
      <w:szCs w:val="24"/>
    </w:rPr>
  </w:style>
  <w:style w:type="character" w:styleId="984" w:customStyle="1">
    <w:name w:val="已访问的超链接1"/>
    <w:uiPriority w:val="0"/>
    <w:qFormat/>
    <w:rPr>
      <w:color w:val="800080"/>
      <w:u w:val="single"/>
    </w:rPr>
  </w:style>
  <w:style w:type="character" w:styleId="985" w:customStyle="1">
    <w:name w:val="标题 4 Char"/>
    <w:link w:val="962"/>
    <w:uiPriority w:val="0"/>
    <w:qFormat/>
    <w:rPr>
      <w:rFonts w:ascii="Arial" w:hAnsi="Arial" w:eastAsia="黑体" w:cs="Arial"/>
      <w:b/>
      <w:bCs/>
      <w:sz w:val="28"/>
      <w:szCs w:val="28"/>
    </w:rPr>
  </w:style>
  <w:style w:type="character" w:styleId="986" w:customStyle="1">
    <w:name w:val="二级目录 Char"/>
    <w:link w:val="987"/>
    <w:uiPriority w:val="0"/>
    <w:qFormat/>
    <w:rPr>
      <w:b/>
      <w:sz w:val="30"/>
      <w:szCs w:val="28"/>
    </w:rPr>
  </w:style>
  <w:style w:type="paragraph" w:styleId="987" w:customStyle="1">
    <w:name w:val="二级目录"/>
    <w:next w:val="728"/>
    <w:link w:val="98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988" w:customStyle="1">
    <w:name w:val="页眉 Char"/>
    <w:link w:val="989"/>
    <w:uiPriority w:val="0"/>
    <w:qFormat/>
    <w:rPr>
      <w:rFonts w:ascii="Times New Roman" w:hAnsi="Times New Roman" w:eastAsia="宋体" w:cs="Times New Roman"/>
      <w:sz w:val="18"/>
      <w:szCs w:val="18"/>
    </w:rPr>
  </w:style>
  <w:style w:type="paragraph" w:styleId="989" w:customStyle="1">
    <w:name w:val="页眉1"/>
    <w:basedOn w:val="728"/>
    <w:link w:val="988"/>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页码1"/>
    <w:uiPriority w:val="0"/>
    <w:qFormat/>
  </w:style>
  <w:style w:type="character" w:styleId="991" w:customStyle="1">
    <w:name w:val="正文首行缩进 2 Char"/>
    <w:link w:val="992"/>
    <w:uiPriority w:val="0"/>
    <w:qFormat/>
    <w:rPr>
      <w:rFonts w:ascii="宋体" w:hAnsi="宋体" w:eastAsia="宋体" w:cs="Times New Roman"/>
      <w:sz w:val="32"/>
      <w:szCs w:val="20"/>
    </w:rPr>
  </w:style>
  <w:style w:type="paragraph" w:styleId="992" w:customStyle="1">
    <w:name w:val="正文首行缩进 21"/>
    <w:basedOn w:val="993"/>
    <w:link w:val="991"/>
    <w:uiPriority w:val="0"/>
    <w:qFormat/>
    <w:pPr>
      <w:ind w:firstLine="420"/>
      <w:spacing w:line="360" w:lineRule="auto"/>
    </w:pPr>
    <w:rPr>
      <w:rFonts w:ascii="宋体" w:hAnsi="宋体" w:eastAsia="宋体"/>
      <w:sz w:val="21"/>
      <w:szCs w:val="20"/>
    </w:rPr>
  </w:style>
  <w:style w:type="paragraph" w:styleId="993" w:customStyle="1">
    <w:name w:val="正文文本缩进1"/>
    <w:basedOn w:val="728"/>
    <w:link w:val="1009"/>
    <w:uiPriority w:val="0"/>
    <w:qFormat/>
    <w:pPr>
      <w:ind w:firstLine="645"/>
    </w:pPr>
    <w:rPr>
      <w:rFonts w:ascii="楷体_GB2312" w:eastAsia="楷体_GB2312"/>
      <w:sz w:val="32"/>
      <w:szCs w:val="32"/>
    </w:rPr>
  </w:style>
  <w:style w:type="character" w:styleId="994" w:customStyle="1">
    <w:name w:val="标题 3 Char"/>
    <w:link w:val="961"/>
    <w:uiPriority w:val="0"/>
    <w:qFormat/>
    <w:rPr>
      <w:rFonts w:ascii="Times New Roman" w:hAnsi="Times New Roman" w:eastAsia="宋体" w:cs="Times New Roman"/>
      <w:b/>
      <w:bCs/>
      <w:sz w:val="32"/>
      <w:szCs w:val="32"/>
    </w:rPr>
  </w:style>
  <w:style w:type="character" w:styleId="995" w:customStyle="1">
    <w:name w:val="批注文字 Char"/>
    <w:link w:val="996"/>
    <w:uiPriority w:val="0"/>
    <w:semiHidden/>
    <w:qFormat/>
    <w:rPr>
      <w:rFonts w:ascii="Times New Roman" w:hAnsi="Times New Roman" w:eastAsia="宋体" w:cs="Times New Roman"/>
      <w:szCs w:val="21"/>
    </w:rPr>
  </w:style>
  <w:style w:type="paragraph" w:styleId="996" w:customStyle="1">
    <w:name w:val="批注文字1"/>
    <w:basedOn w:val="728"/>
    <w:link w:val="995"/>
    <w:uiPriority w:val="0"/>
    <w:semiHidden/>
    <w:qFormat/>
    <w:pPr>
      <w:jc w:val="left"/>
    </w:pPr>
  </w:style>
  <w:style w:type="character" w:styleId="997" w:customStyle="1">
    <w:name w:val="正文缩进 Char"/>
    <w:link w:val="963"/>
    <w:uiPriority w:val="0"/>
    <w:qFormat/>
    <w:rPr>
      <w:rFonts w:ascii="Times New Roman" w:hAnsi="Times New Roman" w:eastAsia="宋体" w:cs="Times New Roman"/>
      <w:szCs w:val="21"/>
    </w:rPr>
  </w:style>
  <w:style w:type="character" w:styleId="998" w:customStyle="1">
    <w:name w:val="日期 Char"/>
    <w:link w:val="999"/>
    <w:uiPriority w:val="0"/>
    <w:qFormat/>
    <w:rPr>
      <w:rFonts w:ascii="Times New Roman" w:hAnsi="Times New Roman" w:eastAsia="宋体" w:cs="Times New Roman"/>
      <w:sz w:val="24"/>
      <w:szCs w:val="24"/>
    </w:rPr>
  </w:style>
  <w:style w:type="paragraph" w:styleId="999" w:customStyle="1">
    <w:name w:val="日期1"/>
    <w:basedOn w:val="728"/>
    <w:next w:val="728"/>
    <w:link w:val="998"/>
    <w:uiPriority w:val="0"/>
    <w:qFormat/>
    <w:rPr>
      <w:sz w:val="24"/>
      <w:szCs w:val="24"/>
    </w:rPr>
  </w:style>
  <w:style w:type="character" w:styleId="1000" w:customStyle="1">
    <w:name w:val="要点1"/>
    <w:uiPriority w:val="0"/>
    <w:qFormat/>
    <w:rPr>
      <w:b/>
      <w:bCs/>
    </w:rPr>
  </w:style>
  <w:style w:type="character" w:styleId="1001" w:customStyle="1">
    <w:name w:val="页脚 Char"/>
    <w:link w:val="1002"/>
    <w:uiPriority w:val="0"/>
    <w:qFormat/>
    <w:rPr>
      <w:rFonts w:ascii="Times New Roman" w:hAnsi="Times New Roman" w:eastAsia="宋体" w:cs="Times New Roman"/>
      <w:sz w:val="18"/>
      <w:szCs w:val="18"/>
    </w:rPr>
  </w:style>
  <w:style w:type="paragraph" w:styleId="1002" w:customStyle="1">
    <w:name w:val="页脚1"/>
    <w:basedOn w:val="728"/>
    <w:link w:val="1001"/>
    <w:uiPriority w:val="0"/>
    <w:qFormat/>
    <w:pPr>
      <w:jc w:val="left"/>
      <w:tabs>
        <w:tab w:val="center" w:pos="4153" w:leader="none"/>
        <w:tab w:val="right" w:pos="8306" w:leader="none"/>
      </w:tabs>
    </w:pPr>
    <w:rPr>
      <w:sz w:val="18"/>
      <w:szCs w:val="18"/>
    </w:rPr>
  </w:style>
  <w:style w:type="character" w:styleId="1003" w:customStyle="1">
    <w:name w:val="批注引用1"/>
    <w:uiPriority w:val="0"/>
    <w:semiHidden/>
    <w:qFormat/>
    <w:rPr>
      <w:sz w:val="21"/>
      <w:szCs w:val="21"/>
    </w:rPr>
  </w:style>
  <w:style w:type="character" w:styleId="1004" w:customStyle="1">
    <w:name w:val="标题 5 Char"/>
    <w:link w:val="964"/>
    <w:uiPriority w:val="0"/>
    <w:qFormat/>
    <w:rPr>
      <w:rFonts w:ascii="宋体" w:hAnsi="Times New Roman" w:eastAsia="宋体" w:cs="Times New Roman"/>
      <w:color w:val="000000"/>
      <w:sz w:val="28"/>
      <w:szCs w:val="28"/>
    </w:rPr>
  </w:style>
  <w:style w:type="character" w:styleId="1005" w:customStyle="1">
    <w:name w:val="文档结构图 Char"/>
    <w:link w:val="1006"/>
    <w:uiPriority w:val="0"/>
    <w:semiHidden/>
    <w:qFormat/>
    <w:rPr>
      <w:rFonts w:ascii="Times New Roman" w:hAnsi="Times New Roman" w:eastAsia="宋体" w:cs="Times New Roman"/>
      <w:szCs w:val="21"/>
      <w:shd w:val="clear" w:color="auto" w:fill="000080"/>
    </w:rPr>
  </w:style>
  <w:style w:type="paragraph" w:styleId="1006" w:customStyle="1">
    <w:name w:val="文档结构图1"/>
    <w:basedOn w:val="728"/>
    <w:link w:val="1005"/>
    <w:uiPriority w:val="0"/>
    <w:semiHidden/>
    <w:qFormat/>
    <w:pPr>
      <w:shd w:val="clear" w:color="auto" w:fill="000080"/>
    </w:pPr>
  </w:style>
  <w:style w:type="character" w:styleId="1007" w:customStyle="1">
    <w:name w:val="正文文本缩进 3 Char"/>
    <w:link w:val="1008"/>
    <w:uiPriority w:val="0"/>
    <w:qFormat/>
    <w:rPr>
      <w:rFonts w:ascii="Arial" w:hAnsi="Arial" w:eastAsia="仿宋_GB2312" w:cs="Arial"/>
      <w:color w:val="ffff00"/>
      <w:sz w:val="32"/>
      <w:szCs w:val="32"/>
    </w:rPr>
  </w:style>
  <w:style w:type="paragraph" w:styleId="1008" w:customStyle="1">
    <w:name w:val="正文文本缩进 31"/>
    <w:basedOn w:val="728"/>
    <w:link w:val="1007"/>
    <w:uiPriority w:val="0"/>
    <w:qFormat/>
    <w:pPr>
      <w:ind w:left="645" w:firstLine="645"/>
    </w:pPr>
    <w:rPr>
      <w:rFonts w:ascii="Arial" w:hAnsi="Arial" w:eastAsia="仿宋_GB2312" w:cs="Arial"/>
      <w:color w:val="ffff00"/>
      <w:sz w:val="32"/>
      <w:szCs w:val="32"/>
    </w:rPr>
  </w:style>
  <w:style w:type="character" w:styleId="1009" w:customStyle="1">
    <w:name w:val="正文文本缩进 Char"/>
    <w:link w:val="993"/>
    <w:uiPriority w:val="0"/>
    <w:qFormat/>
    <w:rPr>
      <w:rFonts w:ascii="楷体_GB2312" w:hAnsi="Times New Roman" w:eastAsia="楷体_GB2312" w:cs="Times New Roman"/>
      <w:sz w:val="32"/>
      <w:szCs w:val="32"/>
    </w:rPr>
  </w:style>
  <w:style w:type="character" w:styleId="1010" w:customStyle="1">
    <w:name w:val="纯文本 Char"/>
    <w:link w:val="1011"/>
    <w:uiPriority w:val="0"/>
    <w:qFormat/>
    <w:rPr>
      <w:rFonts w:ascii="宋体" w:hAnsi="Courier New" w:eastAsia="宋体" w:cs="Courier New"/>
      <w:szCs w:val="21"/>
    </w:rPr>
  </w:style>
  <w:style w:type="paragraph" w:styleId="1011" w:customStyle="1">
    <w:name w:val="纯文本1"/>
    <w:basedOn w:val="728"/>
    <w:link w:val="1010"/>
    <w:uiPriority w:val="0"/>
    <w:qFormat/>
    <w:rPr>
      <w:rFonts w:ascii="宋体" w:hAnsi="Courier New" w:cs="Courier New"/>
    </w:rPr>
  </w:style>
  <w:style w:type="character" w:styleId="1012" w:customStyle="1">
    <w:name w:val="标题 1 Char"/>
    <w:link w:val="959"/>
    <w:uiPriority w:val="0"/>
    <w:qFormat/>
    <w:rPr>
      <w:rFonts w:ascii="楷体_GB2312" w:hAnsi="楷体_GB2312" w:eastAsia="黑体" w:cs="Times New Roman"/>
      <w:sz w:val="44"/>
      <w:szCs w:val="28"/>
    </w:rPr>
  </w:style>
  <w:style w:type="character" w:styleId="1013" w:customStyle="1">
    <w:name w:val="标题 2 Char"/>
    <w:link w:val="960"/>
    <w:uiPriority w:val="0"/>
    <w:qFormat/>
    <w:rPr>
      <w:rFonts w:ascii="Arial" w:hAnsi="Arial" w:eastAsia="幼圆" w:cs="Arial"/>
      <w:b/>
      <w:bCs/>
      <w:sz w:val="44"/>
      <w:szCs w:val="44"/>
    </w:rPr>
  </w:style>
  <w:style w:type="character" w:styleId="1014" w:customStyle="1">
    <w:name w:val="标题 9 Char"/>
    <w:link w:val="968"/>
    <w:uiPriority w:val="0"/>
    <w:qFormat/>
    <w:rPr>
      <w:rFonts w:ascii="Arial" w:hAnsi="Arial" w:eastAsia="黑体" w:cs="Times New Roman"/>
      <w:szCs w:val="21"/>
    </w:rPr>
  </w:style>
  <w:style w:type="character" w:styleId="1015" w:customStyle="1">
    <w:name w:val="正文文本缩进 2 Char"/>
    <w:link w:val="1016"/>
    <w:uiPriority w:val="0"/>
    <w:qFormat/>
    <w:rPr>
      <w:rFonts w:ascii="Arial" w:hAnsi="Arial" w:eastAsia="仿宋_GB2312" w:cs="Arial"/>
      <w:sz w:val="32"/>
      <w:szCs w:val="32"/>
    </w:rPr>
  </w:style>
  <w:style w:type="paragraph" w:styleId="1016" w:customStyle="1">
    <w:name w:val="正文文本缩进 21"/>
    <w:basedOn w:val="728"/>
    <w:link w:val="1015"/>
    <w:uiPriority w:val="0"/>
    <w:qFormat/>
    <w:pPr>
      <w:ind w:left="630" w:firstLine="645"/>
    </w:pPr>
    <w:rPr>
      <w:rFonts w:ascii="Arial" w:hAnsi="Arial" w:eastAsia="仿宋_GB2312" w:cs="Arial"/>
      <w:sz w:val="32"/>
      <w:szCs w:val="32"/>
    </w:rPr>
  </w:style>
  <w:style w:type="character" w:styleId="1017" w:customStyle="1">
    <w:name w:val="正文文本 2 Char"/>
    <w:link w:val="1018"/>
    <w:uiPriority w:val="0"/>
    <w:qFormat/>
    <w:rPr>
      <w:rFonts w:ascii="楷体_GB2312" w:hAnsi="Times New Roman" w:eastAsia="楷体_GB2312" w:cs="Times New Roman"/>
      <w:sz w:val="28"/>
      <w:szCs w:val="28"/>
    </w:rPr>
  </w:style>
  <w:style w:type="paragraph" w:styleId="1018" w:customStyle="1">
    <w:name w:val="正文文本 21"/>
    <w:basedOn w:val="728"/>
    <w:link w:val="1017"/>
    <w:uiPriority w:val="0"/>
    <w:qFormat/>
    <w:pPr>
      <w:jc w:val="center"/>
      <w:widowControl/>
    </w:pPr>
    <w:rPr>
      <w:rFonts w:ascii="楷体_GB2312" w:eastAsia="楷体_GB2312"/>
      <w:sz w:val="28"/>
      <w:szCs w:val="28"/>
    </w:rPr>
  </w:style>
  <w:style w:type="character" w:styleId="1019" w:customStyle="1">
    <w:name w:val="批注主题 Char"/>
    <w:link w:val="1020"/>
    <w:uiPriority w:val="0"/>
    <w:semiHidden/>
    <w:qFormat/>
    <w:rPr>
      <w:rFonts w:ascii="Times New Roman" w:hAnsi="Times New Roman" w:eastAsia="宋体" w:cs="Times New Roman"/>
      <w:b/>
      <w:bCs/>
      <w:szCs w:val="21"/>
    </w:rPr>
  </w:style>
  <w:style w:type="paragraph" w:styleId="1020" w:customStyle="1">
    <w:name w:val="批注主题1"/>
    <w:basedOn w:val="996"/>
    <w:next w:val="996"/>
    <w:link w:val="1019"/>
    <w:uiPriority w:val="0"/>
    <w:semiHidden/>
    <w:qFormat/>
    <w:rPr>
      <w:b/>
      <w:bCs/>
    </w:rPr>
  </w:style>
  <w:style w:type="character" w:styleId="1021" w:customStyle="1">
    <w:name w:val="正文首行缩进 Char"/>
    <w:link w:val="1022"/>
    <w:uiPriority w:val="0"/>
    <w:qFormat/>
    <w:rPr>
      <w:rFonts w:ascii="仿宋_GB2312" w:hAnsi="Times New Roman" w:eastAsia="仿宋_GB2312" w:cs="Times New Roman"/>
      <w:sz w:val="30"/>
      <w:szCs w:val="30"/>
    </w:rPr>
  </w:style>
  <w:style w:type="paragraph" w:styleId="1022" w:customStyle="1">
    <w:name w:val="正文首行缩进1"/>
    <w:basedOn w:val="728"/>
    <w:link w:val="1021"/>
    <w:uiPriority w:val="0"/>
    <w:qFormat/>
    <w:pPr>
      <w:ind w:firstLine="200"/>
      <w:spacing w:line="360" w:lineRule="auto"/>
    </w:pPr>
    <w:rPr>
      <w:rFonts w:ascii="仿宋_GB2312" w:eastAsia="仿宋_GB2312"/>
      <w:sz w:val="30"/>
      <w:szCs w:val="30"/>
    </w:rPr>
  </w:style>
  <w:style w:type="paragraph" w:styleId="1023" w:customStyle="1">
    <w:name w:val="table_lines"/>
    <w:basedOn w:val="728"/>
    <w:uiPriority w:val="0"/>
    <w:qFormat/>
    <w:pPr>
      <w:jc w:val="left"/>
      <w:widowControl/>
    </w:pPr>
    <w:rPr>
      <w:sz w:val="20"/>
      <w:szCs w:val="20"/>
      <w:lang w:val="de-DE" w:eastAsia="de-DE"/>
    </w:rPr>
  </w:style>
  <w:style w:type="paragraph" w:styleId="1024" w:customStyle="1">
    <w:name w:val="Char"/>
    <w:basedOn w:val="1006"/>
    <w:uiPriority w:val="0"/>
    <w:qFormat/>
    <w:rPr>
      <w:rFonts w:ascii="Tahoma" w:hAnsi="Tahoma"/>
      <w:sz w:val="24"/>
      <w:szCs w:val="24"/>
    </w:rPr>
  </w:style>
  <w:style w:type="paragraph" w:styleId="1025" w:customStyle="1">
    <w:name w:val="索引 11"/>
    <w:basedOn w:val="728"/>
    <w:next w:val="728"/>
    <w:uiPriority w:val="0"/>
    <w:semiHidden/>
    <w:qFormat/>
    <w:pPr>
      <w:spacing w:line="240" w:lineRule="atLeast"/>
    </w:pPr>
    <w:rPr>
      <w:b/>
      <w:bCs/>
    </w:rPr>
  </w:style>
  <w:style w:type="paragraph" w:styleId="1026" w:customStyle="1">
    <w:name w:val="目录 51"/>
    <w:basedOn w:val="728"/>
    <w:next w:val="728"/>
    <w:uiPriority w:val="0"/>
    <w:semiHidden/>
    <w:qFormat/>
    <w:pPr>
      <w:ind w:left="840"/>
      <w:jc w:val="left"/>
    </w:pPr>
  </w:style>
  <w:style w:type="paragraph" w:styleId="1027" w:customStyle="1">
    <w:name w:val="Char Char Char Char"/>
    <w:basedOn w:val="1006"/>
    <w:uiPriority w:val="0"/>
    <w:qFormat/>
    <w:pPr>
      <w:spacing w:line="360" w:lineRule="auto"/>
    </w:pPr>
    <w:rPr>
      <w:rFonts w:ascii="Tahoma" w:hAnsi="Tahoma"/>
      <w:sz w:val="24"/>
      <w:szCs w:val="24"/>
    </w:rPr>
  </w:style>
  <w:style w:type="paragraph" w:styleId="1028" w:customStyle="1">
    <w:name w:val="列出段落2"/>
    <w:basedOn w:val="728"/>
    <w:uiPriority w:val="0"/>
    <w:qFormat/>
    <w:pPr>
      <w:contextualSpacing/>
      <w:ind w:left="720"/>
      <w:jc w:val="left"/>
      <w:widowControl/>
    </w:pPr>
    <w:rPr>
      <w:rFonts w:ascii="Calibri" w:hAnsi="Calibri"/>
      <w:sz w:val="24"/>
      <w:szCs w:val="24"/>
      <w:lang w:eastAsia="en-US" w:bidi="en-US"/>
    </w:rPr>
  </w:style>
  <w:style w:type="paragraph" w:styleId="1029" w:customStyle="1">
    <w:name w:val="普通(网站)1"/>
    <w:basedOn w:val="728"/>
    <w:uiPriority w:val="99"/>
    <w:qFormat/>
    <w:pPr>
      <w:jc w:val="left"/>
      <w:spacing w:before="100" w:beforeAutospacing="1" w:after="100" w:afterAutospacing="1"/>
      <w:widowControl/>
    </w:pPr>
    <w:rPr>
      <w:rFonts w:ascii="宋体" w:hAnsi="宋体" w:cs="宋体"/>
      <w:sz w:val="24"/>
      <w:szCs w:val="24"/>
    </w:rPr>
  </w:style>
  <w:style w:type="paragraph" w:styleId="1030"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031" w:customStyle="1">
    <w:name w:val="普通 (Web)"/>
    <w:basedOn w:val="728"/>
    <w:uiPriority w:val="0"/>
    <w:qFormat/>
    <w:pPr>
      <w:jc w:val="left"/>
      <w:spacing w:before="100" w:beforeAutospacing="1" w:after="100" w:afterAutospacing="1"/>
      <w:widowControl/>
    </w:pPr>
    <w:rPr>
      <w:rFonts w:ascii="宋体" w:hAnsi="宋体"/>
      <w:sz w:val="24"/>
      <w:szCs w:val="24"/>
    </w:rPr>
  </w:style>
  <w:style w:type="paragraph" w:styleId="1032"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目录 81"/>
    <w:basedOn w:val="728"/>
    <w:next w:val="728"/>
    <w:uiPriority w:val="0"/>
    <w:semiHidden/>
    <w:qFormat/>
    <w:pPr>
      <w:ind w:left="1470"/>
      <w:jc w:val="left"/>
    </w:pPr>
  </w:style>
  <w:style w:type="paragraph" w:styleId="1034" w:customStyle="1">
    <w:name w:val="目录 91"/>
    <w:basedOn w:val="728"/>
    <w:next w:val="728"/>
    <w:uiPriority w:val="0"/>
    <w:semiHidden/>
    <w:qFormat/>
    <w:pPr>
      <w:ind w:left="1680"/>
      <w:jc w:val="left"/>
    </w:pPr>
  </w:style>
  <w:style w:type="paragraph" w:styleId="1035" w:customStyle="1">
    <w:name w:val="Char1"/>
    <w:basedOn w:val="728"/>
    <w:uiPriority w:val="0"/>
    <w:qFormat/>
    <w:pPr>
      <w:ind w:firstLine="200"/>
      <w:tabs>
        <w:tab w:val="left" w:pos="360" w:leader="none"/>
      </w:tabs>
    </w:pPr>
    <w:rPr>
      <w:sz w:val="28"/>
      <w:szCs w:val="30"/>
    </w:rPr>
  </w:style>
  <w:style w:type="paragraph" w:styleId="1036" w:customStyle="1">
    <w:name w:val="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037" w:customStyle="1">
    <w:name w:val="font7"/>
    <w:basedOn w:val="728"/>
    <w:uiPriority w:val="0"/>
    <w:qFormat/>
    <w:pPr>
      <w:jc w:val="left"/>
      <w:spacing w:before="100" w:beforeAutospacing="1" w:after="100" w:afterAutospacing="1"/>
      <w:widowControl/>
    </w:pPr>
    <w:rPr>
      <w:rFonts w:hint="eastAsia" w:ascii="宋体" w:hAnsi="宋体"/>
      <w:sz w:val="18"/>
      <w:szCs w:val="18"/>
    </w:rPr>
  </w:style>
  <w:style w:type="paragraph" w:styleId="1038" w:customStyle="1">
    <w:name w:val="Char Char Char Char Char Char Char Char Char Char"/>
    <w:basedOn w:val="728"/>
    <w:uiPriority w:val="0"/>
    <w:qFormat/>
    <w:pPr>
      <w:spacing w:line="360" w:lineRule="auto"/>
    </w:pPr>
    <w:rPr>
      <w:sz w:val="24"/>
      <w:szCs w:val="20"/>
    </w:rPr>
  </w:style>
  <w:style w:type="paragraph" w:styleId="1039"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table_1stline"/>
    <w:basedOn w:val="728"/>
    <w:uiPriority w:val="0"/>
    <w:qFormat/>
    <w:pPr>
      <w:jc w:val="left"/>
      <w:spacing w:before="120"/>
      <w:widowControl/>
    </w:pPr>
    <w:rPr>
      <w:bCs/>
      <w:sz w:val="20"/>
      <w:szCs w:val="20"/>
      <w:lang w:val="de-DE" w:eastAsia="de-DE"/>
    </w:rPr>
  </w:style>
  <w:style w:type="paragraph" w:styleId="1041"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2" w:customStyle="1">
    <w:name w:val="目录 31"/>
    <w:basedOn w:val="728"/>
    <w:next w:val="728"/>
    <w:uiPriority w:val="0"/>
    <w:semiHidden/>
    <w:qFormat/>
    <w:pPr>
      <w:ind w:left="420"/>
      <w:jc w:val="left"/>
    </w:pPr>
    <w:rPr>
      <w:i/>
      <w:iCs/>
      <w:szCs w:val="24"/>
    </w:rPr>
  </w:style>
  <w:style w:type="paragraph" w:styleId="1043" w:customStyle="1">
    <w:name w:val="目录 61"/>
    <w:basedOn w:val="728"/>
    <w:next w:val="728"/>
    <w:uiPriority w:val="0"/>
    <w:semiHidden/>
    <w:qFormat/>
    <w:pPr>
      <w:ind w:left="1050"/>
      <w:jc w:val="left"/>
    </w:pPr>
  </w:style>
  <w:style w:type="paragraph" w:styleId="1044" w:customStyle="1">
    <w:name w:val="目录 71"/>
    <w:basedOn w:val="728"/>
    <w:next w:val="728"/>
    <w:uiPriority w:val="0"/>
    <w:semiHidden/>
    <w:qFormat/>
    <w:pPr>
      <w:ind w:left="1260"/>
      <w:jc w:val="left"/>
    </w:pPr>
  </w:style>
  <w:style w:type="paragraph" w:styleId="1045" w:customStyle="1">
    <w:name w:val="附录1"/>
    <w:uiPriority w:val="0"/>
    <w:qFormat/>
    <w:pPr>
      <w:numPr>
        <w:ilvl w:val="0"/>
        <w:numId w:val="3"/>
      </w:numPr>
      <w:spacing w:before="240" w:line="600" w:lineRule="atLeast"/>
    </w:pPr>
    <w:rPr>
      <w:rFonts w:hint="default" w:ascii="Times New Roman" w:hAnsi="Times New Roman" w:eastAsia="宋体" w:cs="Times New Roman"/>
      <w:b/>
      <w:i/>
      <w:sz w:val="28"/>
    </w:rPr>
  </w:style>
  <w:style w:type="paragraph" w:styleId="1046" w:customStyle="1">
    <w:name w:val="标题3"/>
    <w:basedOn w:val="728"/>
    <w:next w:val="728"/>
    <w:uiPriority w:val="0"/>
    <w:qFormat/>
    <w:pPr>
      <w:ind w:firstLine="624"/>
      <w:spacing w:line="590" w:lineRule="atLeast"/>
    </w:pPr>
    <w:rPr>
      <w:rFonts w:ascii="方正黑体_GBK" w:eastAsia="方正黑体_GBK"/>
      <w:sz w:val="32"/>
      <w:szCs w:val="32"/>
    </w:rPr>
  </w:style>
  <w:style w:type="paragraph" w:styleId="1047" w:customStyle="1">
    <w:name w:val="列表 31"/>
    <w:basedOn w:val="728"/>
    <w:uiPriority w:val="0"/>
    <w:qFormat/>
    <w:pPr>
      <w:ind w:left="100" w:hanging="200"/>
    </w:pPr>
  </w:style>
  <w:style w:type="paragraph" w:styleId="1048" w:customStyle="1">
    <w:name w:val="目录 11"/>
    <w:basedOn w:val="728"/>
    <w:next w:val="728"/>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xl30"/>
    <w:basedOn w:val="728"/>
    <w:uiPriority w:val="0"/>
    <w:qFormat/>
    <w:pPr>
      <w:jc w:val="center"/>
      <w:spacing w:before="100" w:beforeAutospacing="1" w:after="100" w:afterAutospacing="1"/>
      <w:widowControl/>
    </w:pPr>
    <w:rPr>
      <w:rFonts w:ascii="宋体" w:hAnsi="宋体"/>
      <w:b/>
      <w:bCs/>
      <w:sz w:val="36"/>
      <w:szCs w:val="36"/>
    </w:rPr>
  </w:style>
  <w:style w:type="paragraph" w:styleId="1050" w:customStyle="1">
    <w:name w:val="目录 41"/>
    <w:basedOn w:val="728"/>
    <w:next w:val="728"/>
    <w:uiPriority w:val="0"/>
    <w:semiHidden/>
    <w:qFormat/>
    <w:pPr>
      <w:ind w:left="630"/>
      <w:jc w:val="left"/>
    </w:pPr>
  </w:style>
  <w:style w:type="paragraph" w:styleId="1051" w:customStyle="1">
    <w:name w:val="4"/>
    <w:basedOn w:val="728"/>
    <w:next w:val="1008"/>
    <w:uiPriority w:val="0"/>
    <w:qFormat/>
    <w:pPr>
      <w:ind w:firstLine="420"/>
      <w:spacing w:line="360" w:lineRule="auto"/>
    </w:pPr>
    <w:rPr>
      <w:color w:val="ff0000"/>
      <w:sz w:val="24"/>
      <w:szCs w:val="24"/>
    </w:rPr>
  </w:style>
  <w:style w:type="paragraph" w:styleId="1052" w:customStyle="1">
    <w:name w:val="列表 21"/>
    <w:basedOn w:val="728"/>
    <w:uiPriority w:val="0"/>
    <w:qFormat/>
    <w:pPr>
      <w:ind w:left="100" w:hanging="200"/>
    </w:pPr>
  </w:style>
  <w:style w:type="paragraph" w:styleId="1053" w:customStyle="1">
    <w:name w:val="目录 21"/>
    <w:basedOn w:val="728"/>
    <w:next w:val="728"/>
    <w:uiPriority w:val="0"/>
    <w:semiHidden/>
    <w:qFormat/>
    <w:pPr>
      <w:ind w:left="210"/>
      <w:jc w:val="left"/>
    </w:pPr>
    <w:rPr>
      <w:smallCaps/>
      <w:szCs w:val="24"/>
    </w:rPr>
  </w:style>
  <w:style w:type="paragraph" w:styleId="1054" w:customStyle="1">
    <w:name w:val="Char Char Char Char1"/>
    <w:basedOn w:val="1006"/>
    <w:uiPriority w:val="0"/>
    <w:qFormat/>
    <w:pPr>
      <w:spacing w:line="360" w:lineRule="auto"/>
    </w:pPr>
    <w:rPr>
      <w:rFonts w:ascii="Tahoma" w:hAnsi="Tahoma"/>
      <w:sz w:val="24"/>
      <w:szCs w:val="24"/>
    </w:rPr>
  </w:style>
  <w:style w:type="paragraph" w:styleId="1055" w:customStyle="1">
    <w:name w:val="普通正文"/>
    <w:basedOn w:val="728"/>
    <w:uiPriority w:val="0"/>
    <w:qFormat/>
    <w:pPr>
      <w:ind w:firstLine="480"/>
      <w:jc w:val="left"/>
      <w:spacing w:before="120" w:after="120" w:line="360" w:lineRule="auto"/>
    </w:pPr>
    <w:rPr>
      <w:rFonts w:ascii="Arial" w:hAnsi="Arial"/>
      <w:sz w:val="24"/>
      <w:szCs w:val="24"/>
    </w:rPr>
  </w:style>
  <w:style w:type="paragraph" w:styleId="1056" w:customStyle="1">
    <w:name w:val="Body Text(ch)"/>
    <w:basedOn w:val="728"/>
    <w:next w:val="976"/>
    <w:uiPriority w:val="0"/>
    <w:qFormat/>
    <w:pPr>
      <w:spacing w:after="120"/>
    </w:pPr>
    <w:rPr>
      <w:rFonts w:ascii="宋体" w:hAnsi="Arial"/>
      <w:bCs/>
      <w:iCs/>
      <w:szCs w:val="24"/>
    </w:rPr>
  </w:style>
  <w:style w:type="paragraph" w:styleId="1057" w:customStyle="1">
    <w:name w:val="列表1"/>
    <w:basedOn w:val="728"/>
    <w:uiPriority w:val="0"/>
    <w:qFormat/>
    <w:pPr>
      <w:ind w:left="200" w:hanging="200"/>
    </w:pPr>
  </w:style>
  <w:style w:type="paragraph" w:styleId="1058" w:customStyle="1">
    <w:name w:val="样式1"/>
    <w:basedOn w:val="728"/>
    <w:uiPriority w:val="0"/>
    <w:qFormat/>
    <w:pPr>
      <w:numPr>
        <w:ilvl w:val="0"/>
        <w:numId w:val="4"/>
      </w:numPr>
    </w:pPr>
    <w:rPr>
      <w:rFonts w:ascii="宋体" w:hAnsi="宋体"/>
    </w:rPr>
  </w:style>
  <w:style w:type="paragraph" w:styleId="1059"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0" w:customStyle="1">
    <w:name w:val="font5"/>
    <w:basedOn w:val="728"/>
    <w:uiPriority w:val="0"/>
    <w:qFormat/>
    <w:pPr>
      <w:jc w:val="left"/>
      <w:spacing w:before="100" w:beforeAutospacing="1" w:after="100" w:afterAutospacing="1"/>
      <w:widowControl/>
    </w:pPr>
    <w:rPr>
      <w:rFonts w:hint="eastAsia" w:ascii="宋体" w:hAnsi="宋体"/>
      <w:sz w:val="28"/>
      <w:szCs w:val="28"/>
    </w:rPr>
  </w:style>
  <w:style w:type="paragraph" w:styleId="1061" w:customStyle="1">
    <w:name w:val="图表目录1"/>
    <w:basedOn w:val="728"/>
    <w:next w:val="728"/>
    <w:uiPriority w:val="0"/>
    <w:semiHidden/>
    <w:qFormat/>
    <w:pPr>
      <w:ind w:left="840" w:hanging="420"/>
    </w:pPr>
  </w:style>
  <w:style w:type="paragraph" w:styleId="1062"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3" w:customStyle="1">
    <w:name w:val="font6"/>
    <w:basedOn w:val="728"/>
    <w:uiPriority w:val="0"/>
    <w:qFormat/>
    <w:pPr>
      <w:jc w:val="left"/>
      <w:spacing w:before="100" w:beforeAutospacing="1" w:after="100" w:afterAutospacing="1"/>
      <w:widowControl/>
    </w:pPr>
    <w:rPr>
      <w:rFonts w:hint="eastAsia" w:ascii="宋体" w:hAnsi="宋体"/>
      <w:sz w:val="28"/>
      <w:szCs w:val="28"/>
      <w:u w:val="single"/>
    </w:rPr>
  </w:style>
  <w:style w:type="paragraph" w:styleId="1064" w:customStyle="1">
    <w:name w:val="xl25"/>
    <w:basedOn w:val="7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customStyle="1">
    <w:name w:val="Char Char Char Char Char Char Char Char1"/>
    <w:basedOn w:val="728"/>
    <w:uiPriority w:val="0"/>
    <w:qFormat/>
    <w:pPr>
      <w:jc w:val="left"/>
      <w:spacing w:after="160" w:line="240" w:lineRule="exact"/>
      <w:widowControl/>
    </w:pPr>
    <w:rPr>
      <w:rFonts w:ascii="Verdana" w:hAnsi="Verdana"/>
      <w:sz w:val="20"/>
      <w:szCs w:val="20"/>
      <w:lang w:eastAsia="en-US"/>
    </w:rPr>
  </w:style>
  <w:style w:type="paragraph" w:styleId="1067" w:customStyle="1">
    <w:name w:val="标题1"/>
    <w:basedOn w:val="728"/>
    <w:next w:val="7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8" w:customStyle="1">
    <w:name w:val="修订1"/>
    <w:uiPriority w:val="99"/>
    <w:semiHidden/>
    <w:qFormat/>
    <w:rPr>
      <w:rFonts w:hint="default" w:ascii="Times New Roman" w:hAnsi="Times New Roman" w:eastAsia="宋体" w:cs="Times New Roman"/>
      <w:sz w:val="21"/>
      <w:szCs w:val="21"/>
    </w:rPr>
  </w:style>
  <w:style w:type="paragraph" w:styleId="1069" w:customStyle="1">
    <w:name w:val="正文1"/>
    <w:basedOn w:val="728"/>
    <w:next w:val="728"/>
    <w:uiPriority w:val="99"/>
    <w:qFormat/>
    <w:pPr>
      <w:ind w:firstLine="480"/>
      <w:spacing w:line="440" w:lineRule="exact"/>
    </w:pPr>
    <w:rPr>
      <w:rFonts w:ascii="微软雅黑" w:hAnsi="微软雅黑" w:eastAsia="微软雅黑"/>
      <w:sz w:val="24"/>
      <w:szCs w:val="20"/>
    </w:rPr>
  </w:style>
  <w:style w:type="table" w:styleId="1070" w:customStyle="1">
    <w:name w:val="网格型1"/>
    <w:basedOn w:val="970"/>
    <w:uiPriority w:val="0"/>
    <w:qFormat/>
    <w:pPr>
      <w:jc w:val="both"/>
      <w:widowControl w:val="off"/>
    </w:pPr>
    <w:tblPr>
      <w:tblCellMar>
        <w:left w:w="0" w:type="dxa"/>
        <w:top w:w="0" w:type="dxa"/>
        <w:right w:w="0" w:type="dxa"/>
        <w:bottom w:w="0" w:type="dxa"/>
      </w:tblCellMar>
    </w:tblPr>
  </w:style>
  <w:style w:type="character" w:styleId="1071" w:customStyle="1">
    <w:name w:val="正文文本 Char1"/>
    <w:basedOn w:val="738"/>
    <w:uiPriority w:val="99"/>
    <w:semiHidden/>
    <w:qFormat/>
    <w:rPr>
      <w:rFonts w:ascii="Times New Roman" w:hAnsi="Times New Roman"/>
      <w:sz w:val="21"/>
      <w:szCs w:val="21"/>
    </w:rPr>
  </w:style>
  <w:style w:type="paragraph" w:styleId="1072" w:customStyle="1">
    <w:name w:val="正文2"/>
    <w:basedOn w:val="728"/>
    <w:uiPriority w:val="0"/>
    <w:qFormat/>
    <w:pPr>
      <w:spacing w:line="360" w:lineRule="auto"/>
      <w:tabs>
        <w:tab w:val="left" w:pos="6480" w:leader="none"/>
      </w:tabs>
    </w:pPr>
    <w:rPr>
      <w:sz w:val="24"/>
      <w:szCs w:val="24"/>
    </w:rPr>
  </w:style>
  <w:style w:type="paragraph" w:styleId="1073" w:customStyle="1">
    <w:name w:val="1 正文"/>
    <w:basedOn w:val="728"/>
    <w:uiPriority w:val="0"/>
    <w:qFormat/>
    <w:pPr>
      <w:ind w:firstLine="420"/>
      <w:spacing w:line="360" w:lineRule="auto"/>
    </w:pPr>
    <w:rPr>
      <w:rFonts w:ascii="宋体" w:hAnsi="宋体"/>
      <w:sz w:val="24"/>
      <w:szCs w:val="24"/>
    </w:rPr>
  </w:style>
  <w:style w:type="paragraph" w:styleId="1074" w:customStyle="1">
    <w:name w:val="A正文"/>
    <w:basedOn w:val="728"/>
    <w:uiPriority w:val="0"/>
    <w:qFormat/>
    <w:pPr>
      <w:ind w:firstLine="200"/>
      <w:spacing w:line="360" w:lineRule="auto"/>
    </w:pPr>
    <w:rPr>
      <w:rFonts w:cs="宋体"/>
      <w:sz w:val="24"/>
      <w:szCs w:val="28"/>
      <w:lang w:eastAsia="zh-Hans"/>
    </w:rPr>
  </w:style>
  <w:style w:type="paragraph" w:styleId="1075" w:customStyle="1">
    <w:name w:val="列出段落11"/>
    <w:uiPriority w:val="34"/>
    <w:qFormat/>
    <w:pPr>
      <w:ind w:firstLine="420"/>
      <w:jc w:val="both"/>
      <w:widowControl w:val="off"/>
    </w:pPr>
    <w:rPr>
      <w:rFonts w:hint="default" w:ascii="宋体" w:hAnsi="宋体" w:eastAsia="宋体" w:cs="Times New Roman"/>
      <w:sz w:val="24"/>
      <w:szCs w:val="24"/>
    </w:rPr>
  </w:style>
  <w:style w:type="paragraph" w:styleId="1076" w:customStyle="1">
    <w:name w:val="列表段落1"/>
    <w:uiPriority w:val="34"/>
    <w:qFormat/>
    <w:pPr>
      <w:ind w:firstLine="420"/>
      <w:jc w:val="both"/>
      <w:widowControl w:val="off"/>
    </w:pPr>
    <w:rPr>
      <w:rFonts w:hint="default" w:ascii="Times New Roman" w:hAnsi="Times New Roman" w:eastAsia="宋体" w:cs="Times New Roman"/>
      <w:sz w:val="21"/>
      <w:szCs w:val="24"/>
    </w:rPr>
  </w:style>
  <w:style w:type="paragraph" w:styleId="1077" w:customStyle="1">
    <w:name w:val="UserStyle_16"/>
    <w:uiPriority w:val="0"/>
    <w:qFormat/>
    <w:pPr>
      <w:ind w:firstLine="283"/>
      <w:jc w:val="both"/>
      <w:spacing w:line="360" w:lineRule="auto"/>
    </w:pPr>
    <w:rPr>
      <w:rFonts w:hint="default" w:ascii="宋体" w:hAnsi="宋体" w:eastAsia="宋体" w:cs="Times New Roman"/>
      <w:sz w:val="24"/>
      <w:szCs w:val="21"/>
    </w:rPr>
  </w:style>
  <w:style w:type="character" w:styleId="1078" w:customStyle="1">
    <w:name w:val="UserStyle_11"/>
    <w:uiPriority w:val="0"/>
    <w:qFormat/>
    <w:rPr>
      <w:sz w:val="21"/>
      <w:szCs w:val="21"/>
      <w:lang w:val="en-US" w:eastAsia="zh-CN" w:bidi="ar-SA"/>
    </w:rPr>
  </w:style>
  <w:style w:type="character" w:styleId="1079" w:customStyle="1">
    <w:name w:val="NormalCharacter"/>
    <w:uiPriority w:val="0"/>
    <w:qFormat/>
  </w:style>
  <w:style w:type="character" w:styleId="1080" w:customStyle="1">
    <w:name w:val="font31"/>
    <w:basedOn w:val="738"/>
    <w:uiPriority w:val="0"/>
    <w:qFormat/>
    <w:rPr>
      <w:rFonts w:hint="eastAsia" w:ascii="宋体" w:hAnsi="宋体" w:eastAsia="宋体" w:cs="宋体"/>
      <w:color w:val="000000"/>
      <w:sz w:val="16"/>
      <w:szCs w:val="16"/>
      <w:u w:val="none"/>
    </w:rPr>
  </w:style>
  <w:style w:type="character" w:styleId="1081" w:customStyle="1">
    <w:name w:val="font51"/>
    <w:basedOn w:val="738"/>
    <w:uiPriority w:val="0"/>
    <w:qFormat/>
    <w:rPr>
      <w:rFonts w:hint="eastAsia" w:ascii="宋体" w:hAnsi="宋体" w:eastAsia="宋体" w:cs="宋体"/>
      <w:color w:val="ff0000"/>
      <w:sz w:val="16"/>
      <w:szCs w:val="16"/>
      <w:u w:val="none"/>
    </w:rPr>
  </w:style>
  <w:style w:type="character" w:styleId="1082" w:customStyle="1">
    <w:name w:val="font41"/>
    <w:basedOn w:val="738"/>
    <w:uiPriority w:val="0"/>
    <w:qFormat/>
    <w:rPr>
      <w:rFonts w:hint="eastAsia" w:ascii="宋体" w:hAnsi="宋体" w:eastAsia="宋体" w:cs="宋体"/>
      <w:color w:val="000000"/>
      <w:sz w:val="20"/>
      <w:szCs w:val="20"/>
      <w:u w:val="none"/>
    </w:rPr>
  </w:style>
  <w:style w:type="character" w:styleId="1083" w:customStyle="1">
    <w:name w:val="font81"/>
    <w:basedOn w:val="738"/>
    <w:uiPriority w:val="0"/>
    <w:qFormat/>
    <w:rPr>
      <w:rFonts w:ascii="Arial" w:hAnsi="Arial" w:cs="Arial"/>
      <w:color w:val="000000"/>
      <w:sz w:val="20"/>
      <w:szCs w:val="20"/>
      <w:u w:val="none"/>
    </w:rPr>
  </w:style>
  <w:style w:type="character" w:styleId="1084" w:customStyle="1">
    <w:name w:val="font91"/>
    <w:basedOn w:val="738"/>
    <w:uiPriority w:val="0"/>
    <w:qFormat/>
    <w:rPr>
      <w:rFonts w:ascii="Calibri" w:hAnsi="Calibri" w:cs="Calibri"/>
      <w:color w:val="000000"/>
      <w:sz w:val="20"/>
      <w:szCs w:val="20"/>
      <w:u w:val="none"/>
    </w:rPr>
  </w:style>
  <w:style w:type="character" w:styleId="1085" w:customStyle="1">
    <w:name w:val="正文文本 字符"/>
    <w:link w:val="743"/>
    <w:uiPriority w:val="0"/>
    <w:qFormat/>
    <w:rPr>
      <w:rFonts w:ascii="楷体_GB2312" w:hAnsi="Arial" w:eastAsia="楷体_GB2312"/>
      <w:sz w:val="28"/>
      <w:szCs w:val="28"/>
    </w:rPr>
  </w:style>
  <w:style w:type="paragraph" w:styleId="1086" w:customStyle="1">
    <w:name w:val="表格正文"/>
    <w:uiPriority w:val="0"/>
    <w:qFormat/>
    <w:pPr>
      <w:jc w:val="center"/>
      <w:spacing w:line="276" w:lineRule="auto"/>
      <w:widowControl/>
    </w:pPr>
    <w:rPr>
      <w:rFonts w:ascii="Calibri" w:hAnsi="Calibri" w:eastAsia="宋体" w:cs="Times New Roman"/>
      <w:sz w:val="21"/>
      <w:szCs w:val="21"/>
      <w:lang w:val="en-US" w:eastAsia="zh-CN" w:bidi="ar-SA"/>
    </w:rPr>
  </w:style>
  <w:style w:type="paragraph" w:styleId="1087" w:customStyle="1">
    <w:name w:val="表格"/>
    <w:uiPriority w:val="0"/>
    <w:qFormat/>
    <w:pPr>
      <w:jc w:val="center"/>
      <w:spacing w:line="400" w:lineRule="exact"/>
      <w:widowControl w:val="off"/>
    </w:pPr>
    <w:rPr>
      <w:rFonts w:hint="eastAsia" w:ascii="宋体" w:hAnsi="宋体" w:eastAsia="宋体" w:cs="Times New Roman"/>
      <w:sz w:val="24"/>
      <w:szCs w:val="24"/>
      <w:lang w:val="en-US" w:eastAsia="zh-CN" w:bidi="ar-SA"/>
    </w:rPr>
  </w:style>
  <w:style w:type="character" w:styleId="1088" w:customStyle="1">
    <w:name w:val="标题 3 字符"/>
    <w:link w:val="731"/>
    <w:uiPriority w:val="9"/>
    <w:qFormat/>
    <w:rPr>
      <w:rFonts w:ascii="宋体" w:hAnsi="宋体" w:cs="宋体"/>
      <w:b/>
      <w:bCs/>
      <w:sz w:val="24"/>
      <w:szCs w:val="24"/>
    </w:rPr>
  </w:style>
  <w:style w:type="paragraph" w:styleId="1089" w:customStyle="1">
    <w:name w:val="正文格式"/>
    <w:uiPriority w:val="0"/>
    <w:qFormat/>
    <w:pPr>
      <w:ind w:right="44" w:hanging="178"/>
      <w:jc w:val="left"/>
      <w:spacing w:line="360" w:lineRule="auto"/>
      <w:widowControl/>
    </w:pPr>
    <w:rPr>
      <w:rFonts w:ascii="宋体" w:hAnsi="宋体" w:eastAsia="宋体" w:cs="Times New Roman"/>
      <w:bCs/>
      <w:sz w:val="24"/>
      <w:szCs w:val="21"/>
      <w:lang w:val="en-US" w:eastAsia="zh-CN" w:bidi="ar-SA"/>
    </w:rPr>
  </w:style>
  <w:style w:type="paragraph" w:styleId="1090" w:customStyle="1">
    <w:name w:val="正文_20"/>
    <w:uiPriority w:val="0"/>
    <w:qFormat/>
    <w:pPr>
      <w:jc w:val="both"/>
      <w:widowControl w:val="off"/>
    </w:pPr>
    <w:rPr>
      <w:rFonts w:ascii="Calibri" w:hAnsi="Calibri" w:eastAsia="宋体" w:cs="Times New Roman"/>
      <w:sz w:val="21"/>
      <w:szCs w:val="22"/>
      <w:lang w:val="en-US" w:eastAsia="zh-CN" w:bidi="ar-SA"/>
    </w:rPr>
  </w:style>
  <w:style w:type="numbering" w:styleId="547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王宇昊</cp:lastModifiedBy>
  <cp:revision>50</cp:revision>
  <dcterms:created xsi:type="dcterms:W3CDTF">2023-12-04T02:59:00Z</dcterms:created>
  <dcterms:modified xsi:type="dcterms:W3CDTF">2024-12-06T06:30:50Z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02355A3BB0F54F84A58284D4AB71B865_13</vt:lpwstr>
  </property>
</Properties>
</file>