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jc w:val="center"/>
        <w:spacing w:line="360" w:lineRule="auto"/>
        <w:rPr>
          <w:rFonts w:ascii="宋体" w:hAnsi="宋体"/>
          <w:bCs/>
          <w:color w:val="000000"/>
          <w:spacing w:val="20"/>
          <w:sz w:val="44"/>
          <w:highlight w:val="none"/>
        </w:rPr>
      </w:pPr>
      <w:r>
        <w:rPr>
          <w:rFonts w:ascii="宋体" w:hAnsi="宋体"/>
          <w:bCs/>
          <w:color w:val="000000"/>
          <w:spacing w:val="20"/>
          <w:sz w:val="44"/>
          <w:highlight w:val="none"/>
        </w:rPr>
      </w:r>
      <w:r/>
    </w:p>
    <w:p>
      <w:pPr>
        <w:pStyle w:val="794"/>
        <w:jc w:val="center"/>
        <w:spacing w:line="360" w:lineRule="auto"/>
        <w:rPr>
          <w:rFonts w:ascii="宋体" w:hAnsi="宋体"/>
          <w:bCs/>
          <w:color w:val="000000"/>
          <w:spacing w:val="20"/>
          <w:sz w:val="44"/>
          <w:highlight w:val="none"/>
        </w:rPr>
      </w:pPr>
      <w:r>
        <w:rPr>
          <w:rFonts w:hint="eastAsia" w:ascii="宋体" w:hAnsi="宋体"/>
          <w:bCs/>
          <w:color w:val="000000"/>
          <w:spacing w:val="20"/>
          <w:sz w:val="44"/>
          <w:highlight w:val="none"/>
        </w:rPr>
        <w:t xml:space="preserve">如皋市中医院信息化集成平台项目</w:t>
      </w:r>
      <w:r>
        <w:rPr>
          <w:rFonts w:ascii="宋体" w:hAnsi="宋体"/>
          <w:bCs/>
          <w:color w:val="000000"/>
          <w:spacing w:val="20"/>
          <w:sz w:val="44"/>
          <w:highlight w:val="none"/>
        </w:rPr>
      </w:r>
      <w:r/>
    </w:p>
    <w:p>
      <w:pPr>
        <w:pStyle w:val="794"/>
        <w:jc w:val="center"/>
        <w:spacing w:line="360" w:lineRule="auto"/>
        <w:rPr>
          <w:rFonts w:ascii="宋体" w:hAnsi="宋体"/>
          <w:bCs/>
          <w:color w:val="000000"/>
          <w:sz w:val="100"/>
          <w:szCs w:val="100"/>
          <w:highlight w:val="none"/>
        </w:rPr>
      </w:pPr>
      <w:r>
        <w:rPr>
          <w:rFonts w:hint="eastAsia" w:ascii="宋体" w:hAnsi="宋体"/>
          <w:bCs/>
          <w:color w:val="000000"/>
          <w:sz w:val="100"/>
          <w:szCs w:val="100"/>
          <w:highlight w:val="none"/>
        </w:rPr>
        <w:t xml:space="preserve">政府采购招标文件</w:t>
      </w:r>
      <w:r>
        <w:rPr>
          <w:rFonts w:ascii="宋体" w:hAnsi="宋体"/>
          <w:bCs/>
          <w:color w:val="000000"/>
          <w:sz w:val="100"/>
          <w:szCs w:val="100"/>
          <w:highlight w:val="none"/>
        </w:rPr>
      </w:r>
      <w:r/>
    </w:p>
    <w:p>
      <w:pPr>
        <w:pStyle w:val="794"/>
        <w:jc w:val="center"/>
        <w:spacing w:line="360" w:lineRule="auto"/>
        <w:rPr>
          <w:rFonts w:ascii="宋体" w:hAnsi="宋体"/>
          <w:b/>
          <w:color w:val="000000"/>
          <w:sz w:val="36"/>
          <w:highlight w:val="none"/>
        </w:rPr>
      </w:pPr>
      <w:r>
        <w:rPr>
          <w:rFonts w:hint="eastAsia" w:hAnsi="宋体"/>
          <w:b/>
          <w:bCs/>
          <w:color w:val="000000"/>
          <w:sz w:val="36"/>
          <w:szCs w:val="52"/>
          <w:highlight w:val="none"/>
        </w:rPr>
        <w:t xml:space="preserve">采购文件编号： JSZC-320682-JZCG-G2024-0025</w:t>
      </w:r>
      <w:r>
        <w:rPr>
          <w:rFonts w:ascii="宋体" w:hAnsi="宋体"/>
          <w:b/>
          <w:color w:val="000000"/>
          <w:sz w:val="36"/>
          <w:highlight w:val="none"/>
        </w:rPr>
      </w:r>
      <w:r/>
    </w:p>
    <w:p>
      <w:pPr>
        <w:pStyle w:val="794"/>
        <w:jc w:val="center"/>
        <w:spacing w:line="360" w:lineRule="auto"/>
        <w:rPr>
          <w:rFonts w:ascii="宋体" w:hAnsi="宋体"/>
          <w:b/>
          <w:color w:val="000000"/>
          <w:sz w:val="36"/>
          <w:highlight w:val="none"/>
        </w:rPr>
      </w:pPr>
      <w:r>
        <w:rPr>
          <w:rFonts w:ascii="宋体" w:hAnsi="宋体"/>
          <w:b/>
          <w:color w:val="000000"/>
          <w:sz w:val="36"/>
          <w:highlight w:val="none"/>
        </w:rPr>
      </w:r>
      <w:r/>
    </w:p>
    <w:p>
      <w:pPr>
        <w:pStyle w:val="794"/>
        <w:jc w:val="center"/>
        <w:spacing w:line="360" w:lineRule="auto"/>
        <w:rPr>
          <w:rFonts w:ascii="宋体" w:hAnsi="宋体"/>
          <w:b/>
          <w:color w:val="000000"/>
          <w:sz w:val="36"/>
          <w:highlight w:val="none"/>
        </w:rPr>
      </w:pPr>
      <w:r>
        <w:rPr>
          <w:rFonts w:ascii="宋体" w:hAnsi="宋体"/>
          <w:b/>
          <w:color w:val="000000"/>
          <w:sz w:val="36"/>
          <w:highlight w:val="none"/>
        </w:rPr>
      </w:r>
      <w:r/>
    </w:p>
    <w:p>
      <w:pPr>
        <w:pStyle w:val="794"/>
        <w:spacing w:line="360" w:lineRule="auto"/>
        <w:rPr>
          <w:rFonts w:ascii="宋体" w:hAnsi="宋体"/>
          <w:color w:val="000000"/>
          <w:highlight w:val="none"/>
        </w:rPr>
      </w:pPr>
      <w:r>
        <w:rPr>
          <w:rFonts w:ascii="宋体" w:hAnsi="宋体"/>
          <w:color w:val="000000"/>
          <w:highlight w:val="none"/>
        </w:rPr>
      </w:r>
      <w:r>
        <w:rPr>
          <w:rFonts w:ascii="宋体" w:hAnsi="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 ShapeID="_x0000_i0" Type="Embed"/>
        </w:object>
      </w:r>
      <w:r>
        <w:rPr>
          <w:rFonts w:ascii="宋体" w:hAnsi="宋体"/>
          <w:color w:val="000000"/>
          <w:highlight w:val="none"/>
        </w:rPr>
      </w:r>
      <w:r/>
    </w:p>
    <w:p>
      <w:pPr>
        <w:pStyle w:val="794"/>
        <w:jc w:val="center"/>
        <w:spacing w:line="360" w:lineRule="auto"/>
        <w:rPr>
          <w:rFonts w:ascii="宋体" w:hAnsi="宋体"/>
          <w:color w:val="000000"/>
          <w:sz w:val="32"/>
          <w:highlight w:val="none"/>
        </w:rPr>
      </w:pPr>
      <w:r>
        <w:rPr>
          <w:rFonts w:ascii="宋体" w:hAnsi="宋体"/>
          <w:color w:val="000000"/>
          <w:sz w:val="32"/>
          <w:highlight w:val="none"/>
        </w:rPr>
      </w:r>
      <w:r/>
    </w:p>
    <w:p>
      <w:pPr>
        <w:pStyle w:val="794"/>
        <w:jc w:val="center"/>
        <w:spacing w:line="360" w:lineRule="auto"/>
        <w:rPr>
          <w:rFonts w:ascii="宋体" w:hAnsi="宋体"/>
          <w:color w:val="000000"/>
          <w:sz w:val="32"/>
          <w:highlight w:val="none"/>
        </w:rPr>
      </w:pPr>
      <w:r>
        <w:rPr>
          <w:rFonts w:ascii="宋体" w:hAnsi="宋体"/>
          <w:color w:val="000000"/>
          <w:sz w:val="32"/>
          <w:highlight w:val="none"/>
        </w:rPr>
      </w:r>
      <w:r/>
    </w:p>
    <w:p>
      <w:pPr>
        <w:pStyle w:val="794"/>
        <w:jc w:val="center"/>
        <w:spacing w:line="360" w:lineRule="auto"/>
        <w:rPr>
          <w:rFonts w:ascii="宋体" w:hAnsi="宋体"/>
          <w:b/>
          <w:color w:val="000000"/>
          <w:spacing w:val="20"/>
          <w:sz w:val="44"/>
          <w:highlight w:val="none"/>
        </w:rPr>
      </w:pPr>
      <w:r>
        <w:rPr>
          <w:rFonts w:hint="eastAsia" w:ascii="宋体" w:hAnsi="宋体"/>
          <w:b/>
          <w:color w:val="000000"/>
          <w:spacing w:val="20"/>
          <w:sz w:val="44"/>
          <w:highlight w:val="none"/>
        </w:rPr>
        <w:t xml:space="preserve">如皋市公共资源交易中心</w:t>
      </w:r>
      <w:r>
        <w:rPr>
          <w:rFonts w:ascii="宋体" w:hAnsi="宋体"/>
          <w:b/>
          <w:color w:val="000000"/>
          <w:spacing w:val="20"/>
          <w:sz w:val="44"/>
          <w:highlight w:val="none"/>
        </w:rPr>
      </w:r>
      <w:r/>
    </w:p>
    <w:p>
      <w:pPr>
        <w:pStyle w:val="1033"/>
        <w:ind w:firstLine="0"/>
        <w:rPr>
          <w:rFonts w:ascii="宋体" w:hAnsi="宋体"/>
          <w:b/>
          <w:bCs/>
          <w:color w:val="000000"/>
          <w:sz w:val="32"/>
          <w:highlight w:val="none"/>
        </w:rPr>
      </w:pPr>
      <w:r>
        <w:rPr>
          <w:rFonts w:hint="eastAsia" w:ascii="宋体" w:hAnsi="宋体"/>
          <w:b/>
          <w:bCs/>
          <w:color w:val="000000"/>
          <w:sz w:val="32"/>
          <w:highlight w:val="none"/>
        </w:rPr>
        <w:t xml:space="preserve">2024年</w:t>
      </w:r>
      <w:r>
        <w:rPr>
          <w:rFonts w:hint="eastAsia" w:ascii="宋体" w:hAnsi="宋体"/>
          <w:b/>
          <w:bCs/>
          <w:color w:val="000000"/>
          <w:sz w:val="32"/>
          <w:highlight w:val="none"/>
          <w:lang w:val="en-US" w:eastAsia="zh-CN"/>
        </w:rPr>
        <w:t xml:space="preserve">6</w:t>
      </w:r>
      <w:r>
        <w:rPr>
          <w:rFonts w:hint="eastAsia" w:ascii="宋体" w:hAnsi="宋体"/>
          <w:b/>
          <w:bCs/>
          <w:color w:val="000000"/>
          <w:sz w:val="32"/>
          <w:highlight w:val="none"/>
        </w:rPr>
        <w:t xml:space="preserve">月</w:t>
      </w:r>
      <w:r>
        <w:rPr>
          <w:rFonts w:hint="eastAsia" w:ascii="宋体" w:hAnsi="宋体"/>
          <w:b/>
          <w:bCs/>
          <w:color w:val="000000"/>
          <w:sz w:val="32"/>
          <w:highlight w:val="none"/>
          <w:lang w:val="en-US" w:eastAsia="zh-CN"/>
        </w:rPr>
        <w:t xml:space="preserve">17</w:t>
      </w:r>
      <w:r>
        <w:rPr>
          <w:rFonts w:hint="eastAsia" w:ascii="宋体" w:hAnsi="宋体"/>
          <w:b/>
          <w:bCs/>
          <w:color w:val="000000"/>
          <w:sz w:val="32"/>
          <w:highlight w:val="none"/>
        </w:rPr>
        <w:t xml:space="preserve">日</w:t>
      </w:r>
      <w:r>
        <w:rPr>
          <w:rFonts w:ascii="宋体" w:hAnsi="宋体"/>
          <w:b/>
          <w:bCs/>
          <w:color w:val="000000"/>
          <w:sz w:val="32"/>
          <w:highlight w:val="none"/>
        </w:rPr>
      </w:r>
      <w:r/>
    </w:p>
    <w:p>
      <w:pPr>
        <w:pStyle w:val="794"/>
        <w:ind w:left="-158"/>
        <w:spacing w:line="360" w:lineRule="auto"/>
        <w:rPr>
          <w:rFonts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ascii="宋体" w:hAnsi="宋体"/>
          <w:b/>
          <w:color w:val="000000"/>
          <w:sz w:val="26"/>
          <w:szCs w:val="28"/>
          <w:highlight w:val="none"/>
          <w:u w:val="single"/>
        </w:rPr>
      </w:r>
      <w:r/>
    </w:p>
    <w:p>
      <w:pPr>
        <w:pStyle w:val="794"/>
        <w:ind w:left="-158"/>
        <w:spacing w:line="360" w:lineRule="auto"/>
        <w:rPr>
          <w:rFonts w:ascii="宋体" w:hAnsi="宋体"/>
          <w:color w:val="000000"/>
          <w:sz w:val="32"/>
          <w:szCs w:val="32"/>
          <w:highlight w:val="none"/>
        </w:rPr>
      </w:pPr>
      <w:r>
        <w:rPr>
          <w:rFonts w:ascii="宋体" w:hAnsi="宋体"/>
          <w:b/>
          <w:color w:val="000000"/>
          <w:sz w:val="32"/>
          <w:szCs w:val="32"/>
          <w:highlight w:val="none"/>
        </w:rPr>
        <w:t xml:space="preserve">地址:</w:t>
      </w:r>
      <w:r>
        <w:rPr>
          <w:rFonts w:ascii="宋体" w:hAnsi="宋体"/>
          <w:color w:val="000000"/>
          <w:sz w:val="32"/>
          <w:szCs w:val="32"/>
          <w:highlight w:val="none"/>
        </w:rPr>
        <w:t xml:space="preserve"> </w:t>
      </w:r>
      <w:r>
        <w:rPr>
          <w:rFonts w:hint="eastAsia" w:ascii="宋体" w:hAnsi="宋体"/>
          <w:color w:val="000000"/>
          <w:sz w:val="32"/>
          <w:szCs w:val="32"/>
          <w:highlight w:val="none"/>
        </w:rPr>
        <w:t xml:space="preserve">如皋市惠政路1799号</w:t>
      </w:r>
      <w:r>
        <w:rPr>
          <w:rFonts w:ascii="宋体" w:hAnsi="宋体"/>
          <w:color w:val="000000"/>
          <w:sz w:val="32"/>
          <w:szCs w:val="32"/>
          <w:highlight w:val="none"/>
        </w:rPr>
        <w:t xml:space="preserve">         </w:t>
      </w:r>
      <w:r>
        <w:rPr>
          <w:rFonts w:ascii="宋体" w:hAnsi="宋体"/>
          <w:b/>
          <w:color w:val="000000"/>
          <w:sz w:val="32"/>
          <w:szCs w:val="32"/>
          <w:highlight w:val="none"/>
        </w:rPr>
        <w:t xml:space="preserve">邮政编码：</w:t>
      </w:r>
      <w:r>
        <w:rPr>
          <w:rFonts w:ascii="宋体" w:hAnsi="宋体"/>
          <w:color w:val="000000"/>
          <w:sz w:val="32"/>
          <w:szCs w:val="32"/>
          <w:highlight w:val="none"/>
        </w:rPr>
        <w:t xml:space="preserve">226</w:t>
      </w:r>
      <w:r>
        <w:rPr>
          <w:rFonts w:hint="eastAsia" w:ascii="宋体" w:hAnsi="宋体"/>
          <w:color w:val="000000"/>
          <w:sz w:val="32"/>
          <w:szCs w:val="32"/>
          <w:highlight w:val="none"/>
        </w:rPr>
        <w:t xml:space="preserve">500</w:t>
      </w:r>
      <w:r>
        <w:rPr>
          <w:rFonts w:ascii="宋体" w:hAnsi="宋体"/>
          <w:color w:val="000000"/>
          <w:sz w:val="32"/>
          <w:szCs w:val="32"/>
          <w:highlight w:val="none"/>
        </w:rPr>
        <w:t xml:space="preserve">       </w:t>
      </w:r>
      <w:r>
        <w:rPr>
          <w:rFonts w:ascii="宋体" w:hAnsi="宋体"/>
          <w:color w:val="000000"/>
          <w:sz w:val="32"/>
          <w:szCs w:val="32"/>
          <w:highlight w:val="none"/>
        </w:rPr>
      </w:r>
      <w:r/>
    </w:p>
    <w:p>
      <w:pPr>
        <w:pStyle w:val="794"/>
        <w:ind w:left="-158" w:right="-601"/>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809"/>
        <w:spacing w:line="360" w:lineRule="auto"/>
        <w:rPr>
          <w:rFonts w:ascii="宋体" w:hAnsi="宋体" w:eastAsia="宋体"/>
          <w:color w:val="000000"/>
          <w:highlight w:val="none"/>
        </w:rPr>
      </w:pPr>
      <w:r>
        <w:rPr>
          <w:rFonts w:ascii="宋体" w:hAnsi="宋体" w:eastAsia="宋体"/>
          <w:color w:val="000000"/>
          <w:highlight w:val="none"/>
        </w:rPr>
      </w:r>
      <w:r/>
    </w:p>
    <w:p>
      <w:pPr>
        <w:pStyle w:val="794"/>
        <w:jc w:val="center"/>
        <w:spacing w:line="360" w:lineRule="auto"/>
        <w:rPr>
          <w:rFonts w:ascii="宋体" w:hAnsi="宋体"/>
          <w:color w:val="000000"/>
          <w:sz w:val="44"/>
          <w:szCs w:val="44"/>
          <w:highlight w:val="none"/>
        </w:rPr>
      </w:pPr>
      <w:r>
        <w:rPr>
          <w:rFonts w:ascii="宋体" w:hAnsi="宋体"/>
          <w:color w:val="000000"/>
          <w:sz w:val="44"/>
          <w:szCs w:val="44"/>
          <w:highlight w:val="none"/>
        </w:rPr>
      </w:r>
      <w:r/>
    </w:p>
    <w:p>
      <w:pPr>
        <w:pStyle w:val="794"/>
        <w:jc w:val="center"/>
        <w:spacing w:line="360" w:lineRule="auto"/>
        <w:rPr>
          <w:rFonts w:ascii="宋体" w:hAnsi="宋体"/>
          <w:color w:val="000000"/>
          <w:sz w:val="44"/>
          <w:szCs w:val="44"/>
          <w:highlight w:val="none"/>
        </w:rPr>
      </w:pPr>
      <w:r>
        <w:rPr>
          <w:rFonts w:hint="eastAsia" w:ascii="宋体" w:hAnsi="宋体"/>
          <w:color w:val="000000"/>
          <w:sz w:val="44"/>
          <w:szCs w:val="44"/>
          <w:highlight w:val="none"/>
        </w:rPr>
        <w:t xml:space="preserve">目 录</w:t>
      </w:r>
      <w:r>
        <w:rPr>
          <w:rFonts w:ascii="宋体" w:hAnsi="宋体"/>
          <w:color w:val="000000"/>
          <w:sz w:val="44"/>
          <w:szCs w:val="44"/>
          <w:highlight w:val="none"/>
        </w:rPr>
      </w:r>
      <w:r/>
    </w:p>
    <w:p>
      <w:pPr>
        <w:pStyle w:val="794"/>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794"/>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794"/>
        <w:numPr>
          <w:ilvl w:val="0"/>
          <w:numId w:val="3"/>
        </w:numPr>
        <w:ind w:firstLine="640"/>
        <w:spacing w:line="360" w:lineRule="auto"/>
        <w:tabs>
          <w:tab w:val="left" w:pos="7740" w:leader="none"/>
        </w:tabs>
        <w:rPr>
          <w:rFonts w:ascii="宋体" w:hAnsi="宋体"/>
          <w:bCs/>
          <w:color w:val="000000"/>
          <w:sz w:val="32"/>
          <w:szCs w:val="32"/>
          <w:highlight w:val="none"/>
        </w:rPr>
      </w:pPr>
      <w:r>
        <w:rPr>
          <w:rFonts w:hint="eastAsia" w:ascii="宋体" w:hAnsi="宋体"/>
          <w:bCs/>
          <w:color w:val="000000"/>
          <w:sz w:val="32"/>
          <w:szCs w:val="32"/>
          <w:highlight w:val="none"/>
        </w:rPr>
        <w:t xml:space="preserve"> 投标邀请</w:t>
      </w:r>
      <w:r>
        <w:rPr>
          <w:rFonts w:ascii="宋体" w:hAnsi="宋体"/>
          <w:bCs/>
          <w:color w:val="000000"/>
          <w:sz w:val="32"/>
          <w:szCs w:val="32"/>
          <w:highlight w:val="none"/>
        </w:rPr>
      </w:r>
      <w:r/>
    </w:p>
    <w:p>
      <w:pPr>
        <w:pStyle w:val="794"/>
        <w:numPr>
          <w:ilvl w:val="0"/>
          <w:numId w:val="3"/>
        </w:numPr>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 投标须知</w:t>
      </w:r>
      <w:r>
        <w:rPr>
          <w:rFonts w:ascii="宋体" w:hAnsi="宋体"/>
          <w:color w:val="000000"/>
          <w:spacing w:val="2"/>
          <w:sz w:val="32"/>
          <w:szCs w:val="32"/>
          <w:highlight w:val="none"/>
        </w:rPr>
      </w:r>
      <w:r/>
    </w:p>
    <w:p>
      <w:pPr>
        <w:pStyle w:val="794"/>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rPr>
          <w:rFonts w:ascii="宋体" w:hAnsi="宋体"/>
          <w:color w:val="000000"/>
          <w:spacing w:val="2"/>
          <w:sz w:val="32"/>
          <w:szCs w:val="32"/>
          <w:highlight w:val="none"/>
        </w:rPr>
      </w:r>
      <w:r/>
    </w:p>
    <w:p>
      <w:pPr>
        <w:pStyle w:val="794"/>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开标和评标</w:t>
      </w:r>
      <w:r>
        <w:rPr>
          <w:rFonts w:ascii="宋体" w:hAnsi="宋体"/>
          <w:color w:val="000000"/>
          <w:spacing w:val="2"/>
          <w:sz w:val="32"/>
          <w:szCs w:val="32"/>
          <w:highlight w:val="none"/>
        </w:rPr>
      </w:r>
      <w:r/>
    </w:p>
    <w:p>
      <w:pPr>
        <w:pStyle w:val="794"/>
        <w:ind w:firstLine="640"/>
        <w:spacing w:line="360" w:lineRule="auto"/>
        <w:tabs>
          <w:tab w:val="left" w:pos="7740" w:leader="none"/>
        </w:tabs>
        <w:rPr>
          <w:rFonts w:ascii="宋体" w:hAnsi="宋体"/>
          <w:bCs/>
          <w:color w:val="000000"/>
          <w:sz w:val="32"/>
          <w:szCs w:val="32"/>
          <w:highlight w:val="none"/>
        </w:rPr>
      </w:pPr>
      <w:r>
        <w:rPr>
          <w:rFonts w:hint="eastAsia" w:ascii="宋体" w:hAnsi="宋体"/>
          <w:bCs/>
          <w:color w:val="000000"/>
          <w:sz w:val="32"/>
          <w:szCs w:val="32"/>
          <w:highlight w:val="none"/>
        </w:rPr>
        <w:t xml:space="preserve">第五部分  投标文件组成</w:t>
      </w:r>
      <w:r>
        <w:rPr>
          <w:rFonts w:ascii="宋体" w:hAnsi="宋体"/>
          <w:bCs/>
          <w:color w:val="000000"/>
          <w:sz w:val="32"/>
          <w:szCs w:val="32"/>
          <w:highlight w:val="none"/>
        </w:rPr>
      </w:r>
      <w:r/>
    </w:p>
    <w:p>
      <w:pPr>
        <w:pStyle w:val="794"/>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第六部分  合同签订与验收付款</w:t>
      </w:r>
      <w:r>
        <w:rPr>
          <w:rFonts w:ascii="宋体" w:hAnsi="宋体"/>
          <w:color w:val="000000"/>
          <w:spacing w:val="2"/>
          <w:sz w:val="32"/>
          <w:szCs w:val="32"/>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w:r>
      <w:r/>
    </w:p>
    <w:p>
      <w:pPr>
        <w:pStyle w:val="794"/>
        <w:jc w:val="center"/>
        <w:spacing w:line="360" w:lineRule="auto"/>
        <w:rPr>
          <w:rFonts w:ascii="宋体" w:hAnsi="宋体"/>
          <w:bCs/>
          <w:color w:val="000000"/>
          <w:sz w:val="36"/>
          <w:szCs w:val="36"/>
          <w:highlight w:val="none"/>
        </w:rPr>
        <w:outlineLvl w:val="0"/>
      </w:pP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 xml:space="preserve">第一部分  </w:t>
      </w:r>
      <w:bookmarkStart w:id="0" w:name="OLE_LINK7"/>
      <w:r/>
      <w:bookmarkStart w:id="1" w:name="OLE_LINK5"/>
      <w:r>
        <w:rPr>
          <w:rFonts w:hint="eastAsia" w:ascii="宋体" w:hAnsi="宋体"/>
          <w:bCs/>
          <w:color w:val="000000"/>
          <w:sz w:val="36"/>
          <w:szCs w:val="36"/>
          <w:highlight w:val="none"/>
        </w:rPr>
        <w:t xml:space="preserve">投标邀请</w:t>
      </w:r>
      <w:r>
        <w:rPr>
          <w:rFonts w:ascii="宋体" w:hAnsi="宋体"/>
          <w:bCs/>
          <w:color w:val="000000"/>
          <w:sz w:val="36"/>
          <w:szCs w:val="36"/>
          <w:highlight w:val="none"/>
        </w:rPr>
      </w:r>
      <w:r/>
    </w:p>
    <w:p>
      <w:pPr>
        <w:pStyle w:val="794"/>
        <w:ind w:firstLine="560"/>
        <w:spacing w:line="360" w:lineRule="auto"/>
        <w:rPr>
          <w:rFonts w:ascii="宋体" w:hAnsi="宋体"/>
          <w:color w:val="000000"/>
          <w:sz w:val="28"/>
          <w:szCs w:val="28"/>
          <w:highlight w:val="none"/>
        </w:rPr>
      </w:pPr>
      <w:r/>
      <w:bookmarkStart w:id="2" w:name="OLE_LINK6"/>
      <w:r>
        <w:rPr>
          <w:rFonts w:ascii="宋体" w:hAnsi="宋体"/>
          <w:color w:val="000000"/>
          <w:sz w:val="28"/>
          <w:szCs w:val="28"/>
          <w:highlight w:val="none"/>
        </w:rPr>
        <w:t xml:space="preserve">受</w:t>
      </w:r>
      <w:r>
        <w:rPr>
          <w:rFonts w:hint="eastAsia" w:ascii="宋体" w:hAnsi="宋体"/>
          <w:color w:val="000000"/>
          <w:sz w:val="28"/>
          <w:szCs w:val="28"/>
          <w:highlight w:val="none"/>
        </w:rPr>
        <w:t xml:space="preserve">如皋市中医院</w:t>
      </w:r>
      <w:r>
        <w:rPr>
          <w:rFonts w:ascii="宋体" w:hAnsi="宋体"/>
          <w:color w:val="000000"/>
          <w:sz w:val="28"/>
          <w:szCs w:val="28"/>
          <w:highlight w:val="none"/>
        </w:rPr>
        <w:t xml:space="preserve">的委托，</w:t>
      </w:r>
      <w:r>
        <w:rPr>
          <w:rFonts w:hint="eastAsia" w:ascii="宋体" w:hAnsi="宋体"/>
          <w:color w:val="000000"/>
          <w:sz w:val="28"/>
          <w:szCs w:val="28"/>
          <w:highlight w:val="none"/>
        </w:rPr>
        <w:t xml:space="preserve">如皋</w:t>
      </w:r>
      <w:r>
        <w:rPr>
          <w:rFonts w:ascii="宋体" w:hAnsi="宋体"/>
          <w:color w:val="000000"/>
          <w:sz w:val="28"/>
          <w:szCs w:val="28"/>
          <w:highlight w:val="none"/>
        </w:rPr>
        <w:t xml:space="preserve">市</w:t>
      </w:r>
      <w:r>
        <w:rPr>
          <w:rFonts w:hint="eastAsia" w:ascii="宋体" w:hAnsi="宋体"/>
          <w:color w:val="000000"/>
          <w:sz w:val="28"/>
          <w:szCs w:val="28"/>
          <w:highlight w:val="none"/>
        </w:rPr>
        <w:t xml:space="preserve">公共资源交易中心（以下简称：“交易中心”）</w:t>
      </w:r>
      <w:r>
        <w:rPr>
          <w:rFonts w:ascii="宋体" w:hAnsi="宋体"/>
          <w:color w:val="000000"/>
          <w:sz w:val="28"/>
          <w:szCs w:val="28"/>
          <w:highlight w:val="none"/>
        </w:rPr>
        <w:t xml:space="preserve">就</w:t>
      </w:r>
      <w:r>
        <w:rPr>
          <w:rFonts w:hint="eastAsia" w:ascii="宋体" w:hAnsi="宋体"/>
          <w:color w:val="000000"/>
          <w:sz w:val="28"/>
          <w:szCs w:val="28"/>
          <w:highlight w:val="none"/>
        </w:rPr>
        <w:t xml:space="preserve">如皋市中医院信息化集成平台项目</w:t>
      </w: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JSZC-320682-JZCG-G2024-0025 </w:t>
      </w:r>
      <w:r>
        <w:rPr>
          <w:rFonts w:ascii="宋体" w:hAnsi="宋体"/>
          <w:color w:val="000000"/>
          <w:sz w:val="28"/>
          <w:szCs w:val="28"/>
          <w:highlight w:val="none"/>
        </w:rPr>
        <w:t xml:space="preserve">)进行公开招标采购，欢迎符合条件的供应商投标。</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ascii="宋体" w:hAnsi="宋体"/>
          <w:color w:val="000000"/>
          <w:sz w:val="28"/>
          <w:szCs w:val="28"/>
          <w:highlight w:val="none"/>
        </w:rPr>
        <w:t xml:space="preserve">项目概况</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8"/>
          <w:szCs w:val="28"/>
          <w:highlight w:val="none"/>
        </w:rPr>
        <w:t xml:space="preserve">如皋市中医院信息化集成平台项目</w:t>
      </w:r>
      <w:r>
        <w:rPr>
          <w:rFonts w:ascii="宋体" w:hAnsi="宋体"/>
          <w:color w:val="000000"/>
          <w:sz w:val="28"/>
          <w:szCs w:val="28"/>
          <w:highlight w:val="none"/>
        </w:rPr>
        <w:t xml:space="preserve">的潜在投标人</w:t>
      </w:r>
      <w:r>
        <w:rPr>
          <w:rFonts w:hint="eastAsia" w:ascii="宋体" w:hAnsi="宋体"/>
          <w:color w:val="000000"/>
          <w:sz w:val="28"/>
          <w:szCs w:val="28"/>
          <w:highlight w:val="none"/>
        </w:rPr>
        <w:t xml:space="preserve">可在“江苏政府采购网”自行免费下载招标文件</w:t>
      </w:r>
      <w:r>
        <w:rPr>
          <w:rFonts w:ascii="宋体" w:hAnsi="宋体"/>
          <w:color w:val="000000"/>
          <w:sz w:val="28"/>
          <w:szCs w:val="28"/>
          <w:highlight w:val="none"/>
        </w:rPr>
        <w:t xml:space="preserve">，并于</w:t>
      </w:r>
      <w:r>
        <w:rPr>
          <w:rFonts w:hint="eastAsia" w:ascii="宋体" w:hAnsi="宋体"/>
          <w:color w:val="000000"/>
          <w:sz w:val="28"/>
          <w:szCs w:val="28"/>
          <w:highlight w:val="none"/>
        </w:rPr>
        <w:t xml:space="preserve">2024</w:t>
      </w:r>
      <w:r>
        <w:rPr>
          <w:rFonts w:ascii="宋体" w:hAnsi="宋体"/>
          <w:color w:val="000000"/>
          <w:sz w:val="28"/>
          <w:szCs w:val="28"/>
          <w:highlight w:val="none"/>
        </w:rPr>
        <w:t xml:space="preserve">年</w:t>
      </w:r>
      <w:r>
        <w:rPr>
          <w:rFonts w:hint="eastAsia" w:ascii="宋体" w:hAnsi="宋体"/>
          <w:color w:val="000000"/>
          <w:sz w:val="28"/>
          <w:szCs w:val="28"/>
          <w:highlight w:val="none"/>
          <w:lang w:val="en-US" w:eastAsia="zh-CN"/>
        </w:rPr>
        <w:t xml:space="preserve">7</w:t>
      </w:r>
      <w:r>
        <w:rPr>
          <w:rFonts w:ascii="宋体" w:hAnsi="宋体"/>
          <w:color w:val="000000"/>
          <w:sz w:val="28"/>
          <w:szCs w:val="28"/>
          <w:highlight w:val="none"/>
        </w:rPr>
        <w:t xml:space="preserve">月</w:t>
      </w:r>
      <w:r>
        <w:rPr>
          <w:rFonts w:hint="eastAsia" w:ascii="宋体" w:hAnsi="宋体"/>
          <w:color w:val="000000"/>
          <w:sz w:val="28"/>
          <w:szCs w:val="28"/>
          <w:highlight w:val="none"/>
          <w:lang w:val="en-US" w:eastAsia="zh-CN"/>
        </w:rPr>
        <w:t xml:space="preserve">9</w:t>
      </w:r>
      <w:r>
        <w:rPr>
          <w:rFonts w:ascii="宋体" w:hAnsi="宋体"/>
          <w:color w:val="000000"/>
          <w:sz w:val="28"/>
          <w:szCs w:val="28"/>
          <w:highlight w:val="none"/>
        </w:rPr>
        <w:t xml:space="preserve">日</w:t>
      </w:r>
      <w:r>
        <w:rPr>
          <w:rFonts w:hint="eastAsia" w:ascii="宋体" w:hAnsi="宋体"/>
          <w:color w:val="000000"/>
          <w:sz w:val="28"/>
          <w:szCs w:val="28"/>
          <w:highlight w:val="none"/>
          <w:lang w:val="en-US" w:eastAsia="zh-CN"/>
        </w:rPr>
        <w:t xml:space="preserve">9</w:t>
      </w:r>
      <w:r>
        <w:rPr>
          <w:rFonts w:ascii="宋体" w:hAnsi="宋体"/>
          <w:color w:val="000000"/>
          <w:sz w:val="28"/>
          <w:szCs w:val="28"/>
          <w:highlight w:val="none"/>
        </w:rPr>
        <w:t xml:space="preserve">点</w:t>
      </w:r>
      <w:r>
        <w:rPr>
          <w:rFonts w:hint="eastAsia" w:ascii="宋体" w:hAnsi="宋体"/>
          <w:color w:val="000000"/>
          <w:sz w:val="28"/>
          <w:szCs w:val="28"/>
          <w:highlight w:val="none"/>
          <w:lang w:val="en-US" w:eastAsia="zh-CN"/>
        </w:rPr>
        <w:t xml:space="preserve">00</w:t>
      </w:r>
      <w:r>
        <w:rPr>
          <w:rFonts w:ascii="宋体" w:hAnsi="宋体"/>
          <w:color w:val="000000"/>
          <w:sz w:val="28"/>
          <w:szCs w:val="28"/>
          <w:highlight w:val="none"/>
        </w:rPr>
        <w:t xml:space="preserve">分（北京时间）前递交投标文件。</w:t>
      </w:r>
      <w:r>
        <w:rPr>
          <w:rFonts w:ascii="宋体" w:hAnsi="宋体"/>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 一、项目基本情况</w:t>
      </w:r>
      <w:r>
        <w:rPr>
          <w:rFonts w:ascii="宋体" w:hAnsi="宋体"/>
          <w:b/>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JSZC-320682-JZCG-G2024-0025</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rPr>
        <w:t xml:space="preserve">如皋市中医院信息化集成平台项目</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项目类型：服务</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所属行业：</w:t>
      </w:r>
      <w:r>
        <w:rPr>
          <w:rFonts w:hint="eastAsia" w:ascii="宋体" w:hAnsi="宋体"/>
          <w:color w:val="000000"/>
          <w:sz w:val="28"/>
          <w:szCs w:val="28"/>
          <w:highlight w:val="none"/>
        </w:rPr>
        <w:t xml:space="preserve">软件及信息服务业</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预算金额：</w:t>
      </w:r>
      <w:r>
        <w:rPr>
          <w:rFonts w:hint="eastAsia" w:ascii="宋体" w:hAnsi="宋体"/>
          <w:color w:val="000000"/>
          <w:sz w:val="28"/>
          <w:szCs w:val="28"/>
          <w:highlight w:val="none"/>
        </w:rPr>
        <w:t xml:space="preserve">600</w:t>
      </w:r>
      <w:r>
        <w:rPr>
          <w:rFonts w:ascii="宋体" w:hAnsi="宋体"/>
          <w:color w:val="000000"/>
          <w:sz w:val="28"/>
          <w:szCs w:val="28"/>
          <w:highlight w:val="none"/>
        </w:rPr>
        <w:t xml:space="preserve">万元</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最高限价：</w:t>
      </w:r>
      <w:r>
        <w:rPr>
          <w:rFonts w:hint="eastAsia" w:ascii="宋体" w:hAnsi="宋体"/>
          <w:color w:val="000000"/>
          <w:sz w:val="28"/>
          <w:szCs w:val="28"/>
          <w:highlight w:val="none"/>
          <w:lang w:val="en-US" w:eastAsia="zh-CN"/>
        </w:rPr>
        <w:t xml:space="preserve">580</w:t>
      </w:r>
      <w:r>
        <w:rPr>
          <w:rFonts w:hint="eastAsia" w:ascii="宋体" w:hAnsi="宋体"/>
          <w:color w:val="000000"/>
          <w:sz w:val="28"/>
          <w:szCs w:val="28"/>
          <w:highlight w:val="none"/>
        </w:rPr>
        <w:t xml:space="preserve">万元</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采购需求：详见采购文件，请仔细研究。</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合同履行期限：2025年前完成互联互通四级甲等测评，2026年前完成电子病历应用水平五级测评。</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本项目是否接受联合体投标：否。</w:t>
      </w:r>
      <w:r>
        <w:rPr>
          <w:rFonts w:ascii="宋体" w:hAnsi="宋体"/>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本项目是否接受分包：否。</w:t>
      </w:r>
      <w:r>
        <w:rPr>
          <w:rFonts w:ascii="宋体" w:hAnsi="宋体" w:eastAsia="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本项目是否专门面向中小微企业采购:否。</w:t>
      </w:r>
      <w:r>
        <w:rPr>
          <w:rFonts w:ascii="宋体" w:hAnsi="宋体"/>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二、申请人的资格要求：</w:t>
      </w:r>
      <w:r>
        <w:rPr>
          <w:rFonts w:ascii="宋体" w:hAnsi="宋体"/>
          <w:b/>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1.满足《中华人民共和国政府采购法》第二十二条规定</w:t>
      </w:r>
      <w:r>
        <w:rPr>
          <w:rFonts w:hint="eastAsia" w:ascii="宋体" w:hAnsi="宋体"/>
          <w:color w:val="000000"/>
          <w:sz w:val="28"/>
          <w:szCs w:val="28"/>
          <w:highlight w:val="none"/>
        </w:rPr>
        <w:t xml:space="preserve">，并提供下列材料：</w:t>
      </w:r>
      <w:r>
        <w:rPr>
          <w:rFonts w:ascii="宋体" w:hAnsi="宋体"/>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1.1 法人或者其他组织的营业执照等证明文件，自然人的身份证明；</w:t>
      </w:r>
      <w:r>
        <w:rPr>
          <w:rFonts w:ascii="宋体" w:hAnsi="宋体" w:eastAsia="宋体"/>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1.2上一年度的财务状况报告（成立不满一年不需提供）；</w:t>
      </w:r>
      <w:r>
        <w:rPr>
          <w:rFonts w:ascii="宋体" w:hAnsi="宋体" w:eastAsia="宋体"/>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eastAsia="宋体"/>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1.4具备履行合同所必需的设备和专业技术能力的书面声明；</w:t>
      </w:r>
      <w:r>
        <w:rPr>
          <w:rFonts w:ascii="宋体" w:hAnsi="宋体" w:eastAsia="宋体"/>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1.5参加政府采购活动前3年内在经营活动中没有重大违法记录的书面声明。</w:t>
      </w:r>
      <w:r>
        <w:rPr>
          <w:rFonts w:ascii="宋体" w:hAnsi="宋体" w:eastAsia="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u w:val="singl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.落实政府采购政策需满足的资格要求：</w:t>
      </w:r>
      <w:r>
        <w:rPr>
          <w:rFonts w:hint="eastAsia" w:ascii="宋体" w:hAnsi="宋体"/>
          <w:color w:val="000000"/>
          <w:sz w:val="28"/>
          <w:szCs w:val="28"/>
          <w:highlight w:val="none"/>
        </w:rPr>
        <w:t xml:space="preserve">无</w:t>
      </w:r>
      <w:r>
        <w:rPr>
          <w:rFonts w:ascii="宋体" w:hAnsi="宋体"/>
          <w:color w:val="000000"/>
          <w:sz w:val="28"/>
          <w:szCs w:val="28"/>
          <w:highlight w:val="none"/>
          <w:u w:val="single"/>
        </w:rPr>
        <w:t xml:space="preserve"> </w:t>
      </w:r>
      <w:r>
        <w:rPr>
          <w:rFonts w:ascii="宋体" w:hAnsi="宋体"/>
          <w:color w:val="000000"/>
          <w:sz w:val="28"/>
          <w:szCs w:val="28"/>
          <w:highlight w:val="none"/>
          <w:u w:val="single"/>
        </w:rPr>
      </w:r>
      <w:r/>
    </w:p>
    <w:p>
      <w:pPr>
        <w:pStyle w:val="794"/>
        <w:ind w:firstLine="560"/>
        <w:spacing w:line="360" w:lineRule="auto"/>
        <w:rPr>
          <w:rFonts w:ascii="宋体" w:hAnsi="宋体"/>
          <w:color w:val="000000"/>
          <w:sz w:val="28"/>
          <w:szCs w:val="28"/>
          <w:highlight w:val="none"/>
          <w:u w:val="singl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.本项目的特定资格要求：</w:t>
      </w:r>
      <w:r>
        <w:rPr>
          <w:rFonts w:hint="eastAsia" w:ascii="宋体" w:hAnsi="宋体"/>
          <w:color w:val="000000"/>
          <w:sz w:val="28"/>
          <w:szCs w:val="28"/>
          <w:highlight w:val="none"/>
        </w:rPr>
        <w:t xml:space="preserve">无</w:t>
      </w:r>
      <w:r>
        <w:rPr>
          <w:rFonts w:ascii="宋体" w:hAnsi="宋体"/>
          <w:color w:val="000000"/>
          <w:sz w:val="28"/>
          <w:szCs w:val="28"/>
          <w:highlight w:val="none"/>
          <w:u w:val="singl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5.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ascii="宋体" w:hAnsi="宋体"/>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三、获取招标文件</w:t>
      </w:r>
      <w:r>
        <w:rPr>
          <w:rFonts w:ascii="宋体" w:hAnsi="宋体"/>
          <w:b/>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时间：</w:t>
      </w:r>
      <w:r>
        <w:rPr>
          <w:rFonts w:hint="eastAsia" w:ascii="宋体" w:hAnsi="宋体"/>
          <w:color w:val="000000"/>
          <w:sz w:val="28"/>
          <w:szCs w:val="28"/>
          <w:highlight w:val="none"/>
        </w:rPr>
        <w:t xml:space="preserve">自公告发布之日起5个工作日内</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地点：</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方式：</w:t>
      </w:r>
      <w:r>
        <w:rPr>
          <w:rFonts w:hint="eastAsia" w:ascii="宋体" w:hAnsi="宋体"/>
          <w:color w:val="000000"/>
          <w:sz w:val="28"/>
          <w:szCs w:val="28"/>
          <w:highlight w:val="none"/>
        </w:rPr>
        <w:t xml:space="preserve">本项目采用“苏采云”系统网上注册登记方式，具体详见江苏政府采购网-办事指南-资料下载-江苏省政府采购管理交易系统（苏采云）供应商操作指南。</w:t>
      </w:r>
      <w:r>
        <w:rPr>
          <w:rFonts w:ascii="宋体" w:hAnsi="宋体"/>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四、提交投标文件截止时间、开标时间和地点</w:t>
      </w:r>
      <w:r>
        <w:rPr>
          <w:rFonts w:ascii="宋体" w:hAnsi="宋体"/>
          <w:b/>
          <w:color w:val="000000"/>
          <w:sz w:val="28"/>
          <w:szCs w:val="28"/>
          <w:highlight w:val="none"/>
        </w:rPr>
      </w:r>
      <w:r/>
    </w:p>
    <w:p>
      <w:pPr>
        <w:pStyle w:val="794"/>
        <w:ind w:firstLine="560"/>
        <w:spacing w:line="360" w:lineRule="auto"/>
        <w:rPr>
          <w:rFonts w:ascii="宋体" w:hAnsi="宋体"/>
          <w:i/>
          <w:color w:val="000000"/>
          <w:sz w:val="28"/>
          <w:szCs w:val="28"/>
          <w:highlight w:val="none"/>
          <w:u w:val="single"/>
        </w:rPr>
      </w:pPr>
      <w:r>
        <w:rPr>
          <w:rFonts w:hint="eastAsia" w:ascii="宋体" w:hAnsi="宋体"/>
          <w:color w:val="000000"/>
          <w:sz w:val="28"/>
          <w:szCs w:val="28"/>
          <w:highlight w:val="none"/>
        </w:rPr>
        <w:t xml:space="preserve">提交投标文件截止时间、开标时间: 2024</w:t>
      </w:r>
      <w:r>
        <w:rPr>
          <w:rFonts w:ascii="宋体" w:hAnsi="宋体"/>
          <w:color w:val="000000"/>
          <w:sz w:val="28"/>
          <w:szCs w:val="28"/>
          <w:highlight w:val="none"/>
        </w:rPr>
        <w:t xml:space="preserve">年</w:t>
      </w:r>
      <w:r>
        <w:rPr>
          <w:rFonts w:hint="eastAsia" w:ascii="宋体" w:hAnsi="宋体"/>
          <w:color w:val="000000"/>
          <w:sz w:val="28"/>
          <w:szCs w:val="28"/>
          <w:highlight w:val="none"/>
          <w:lang w:val="en-US" w:eastAsia="zh-CN"/>
        </w:rPr>
        <w:t xml:space="preserve">7</w:t>
      </w:r>
      <w:r>
        <w:rPr>
          <w:rFonts w:ascii="宋体" w:hAnsi="宋体"/>
          <w:color w:val="000000"/>
          <w:sz w:val="28"/>
          <w:szCs w:val="28"/>
          <w:highlight w:val="none"/>
        </w:rPr>
        <w:t xml:space="preserve">月</w:t>
      </w:r>
      <w:r>
        <w:rPr>
          <w:rFonts w:hint="eastAsia" w:ascii="宋体" w:hAnsi="宋体"/>
          <w:color w:val="000000"/>
          <w:sz w:val="28"/>
          <w:szCs w:val="28"/>
          <w:highlight w:val="none"/>
          <w:lang w:val="en-US" w:eastAsia="zh-CN"/>
        </w:rPr>
        <w:t xml:space="preserve">9</w:t>
      </w:r>
      <w:r>
        <w:rPr>
          <w:rFonts w:ascii="宋体" w:hAnsi="宋体"/>
          <w:color w:val="000000"/>
          <w:sz w:val="28"/>
          <w:szCs w:val="28"/>
          <w:highlight w:val="none"/>
        </w:rPr>
        <w:t xml:space="preserve">日</w:t>
      </w:r>
      <w:r>
        <w:rPr>
          <w:rFonts w:hint="eastAsia" w:ascii="宋体" w:hAnsi="宋体"/>
          <w:color w:val="000000"/>
          <w:sz w:val="28"/>
          <w:szCs w:val="28"/>
          <w:highlight w:val="none"/>
          <w:lang w:val="en-US" w:eastAsia="zh-CN"/>
        </w:rPr>
        <w:t xml:space="preserve">9</w:t>
      </w:r>
      <w:r>
        <w:rPr>
          <w:rFonts w:ascii="宋体" w:hAnsi="宋体"/>
          <w:color w:val="000000"/>
          <w:sz w:val="28"/>
          <w:szCs w:val="28"/>
          <w:highlight w:val="none"/>
        </w:rPr>
        <w:t xml:space="preserve">点</w:t>
      </w:r>
      <w:r>
        <w:rPr>
          <w:rFonts w:hint="eastAsia" w:ascii="宋体" w:hAnsi="宋体"/>
          <w:color w:val="000000"/>
          <w:sz w:val="28"/>
          <w:szCs w:val="28"/>
          <w:highlight w:val="none"/>
          <w:lang w:val="en-US" w:eastAsia="zh-CN"/>
        </w:rPr>
        <w:t xml:space="preserve">00</w:t>
      </w:r>
      <w:r>
        <w:rPr>
          <w:rFonts w:ascii="宋体" w:hAnsi="宋体"/>
          <w:color w:val="000000"/>
          <w:sz w:val="28"/>
          <w:szCs w:val="28"/>
          <w:highlight w:val="none"/>
        </w:rPr>
        <w:t xml:space="preserve">分（北京时间）</w:t>
      </w:r>
      <w:r>
        <w:rPr>
          <w:rFonts w:ascii="宋体" w:hAnsi="宋体"/>
          <w:i/>
          <w:color w:val="000000"/>
          <w:sz w:val="28"/>
          <w:szCs w:val="28"/>
          <w:highlight w:val="none"/>
          <w:u w:val="singl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提醒：</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1.通过“苏采云”系统提交，具体详见江苏政府采购网-办事指南-资料下载-江苏省政府采购管理交易系统（苏采云）供应商操作指南。</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t xml:space="preserve">逾时，系统将拒绝接受上传</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电子文档。</w:t>
      </w:r>
      <w:r>
        <w:rPr>
          <w:rFonts w:ascii="宋体" w:hAnsi="宋体"/>
          <w:color w:val="000000"/>
          <w:sz w:val="28"/>
          <w:szCs w:val="28"/>
          <w:highlight w:val="none"/>
        </w:rPr>
      </w:r>
      <w:r/>
    </w:p>
    <w:p>
      <w:pPr>
        <w:pStyle w:val="116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开标</w:t>
      </w:r>
      <w:r>
        <w:rPr>
          <w:rFonts w:ascii="宋体" w:hAnsi="宋体"/>
          <w:color w:val="000000"/>
          <w:sz w:val="28"/>
          <w:szCs w:val="28"/>
          <w:highlight w:val="none"/>
        </w:rPr>
        <w:t xml:space="preserve">地点：</w:t>
      </w:r>
      <w:r>
        <w:rPr>
          <w:rFonts w:hint="eastAsia" w:ascii="宋体" w:hAnsi="宋体"/>
          <w:color w:val="000000"/>
          <w:sz w:val="28"/>
          <w:szCs w:val="28"/>
          <w:highlight w:val="none"/>
        </w:rPr>
        <w:t xml:space="preserve">“苏采云”政府采购交易系统网上开标大厅。</w:t>
      </w:r>
      <w:r>
        <w:rPr>
          <w:rFonts w:ascii="宋体" w:hAnsi="宋体"/>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五、公告期限</w:t>
      </w:r>
      <w:r>
        <w:rPr>
          <w:rFonts w:ascii="宋体" w:hAnsi="宋体"/>
          <w:b/>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自本公告发布之日起5个工作日。</w:t>
      </w:r>
      <w:r>
        <w:rPr>
          <w:rFonts w:ascii="宋体" w:hAnsi="宋体"/>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六、其他补充事宜</w:t>
      </w:r>
      <w:r>
        <w:rPr>
          <w:rFonts w:ascii="宋体" w:hAnsi="宋体"/>
          <w:b/>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1、投标保证金</w:t>
      </w:r>
      <w:r>
        <w:rPr>
          <w:rFonts w:hint="eastAsia" w:ascii="宋体" w:hAnsi="宋体"/>
          <w:color w:val="000000"/>
          <w:sz w:val="28"/>
          <w:szCs w:val="28"/>
          <w:highlight w:val="none"/>
        </w:rPr>
        <w:t xml:space="preserve">及履约保证金</w:t>
      </w:r>
      <w:r>
        <w:rPr>
          <w:rFonts w:ascii="宋体" w:hAnsi="宋体"/>
          <w:color w:val="000000"/>
          <w:sz w:val="28"/>
          <w:szCs w:val="28"/>
          <w:highlight w:val="none"/>
        </w:rPr>
        <w:t xml:space="preserve">：免收</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2、项目开标活动模式：不见面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具体详见江苏政府采购网-办事指南-资料下载-江苏省政府采购管理交易系统（苏采云）供应商操作指南。特别注意以下事项：</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（2）使用谷歌浏览器。</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（3）提前准备好麦克风、音响，摄像头，并检查保证能够正常使用。</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（4）操作系统至少win7以上，建议使用win10操作系统。</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（5）供应商应当通过“苏采云”系统提交电子投标文件，投标文件不得超过150M。</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3、项目演示、样品、答辩等：</w:t>
      </w:r>
      <w:r>
        <w:rPr>
          <w:rFonts w:hint="eastAsia" w:ascii="宋体" w:hAnsi="宋体"/>
          <w:color w:val="000000"/>
          <w:sz w:val="28"/>
          <w:szCs w:val="28"/>
          <w:highlight w:val="none"/>
        </w:rPr>
        <w:t xml:space="preserve">无</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5、</w:t>
      </w:r>
      <w:r>
        <w:rPr>
          <w:rFonts w:hint="eastAsia" w:ascii="宋体" w:hAnsi="宋体"/>
          <w:color w:val="000000"/>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宋体" w:hAnsi="宋体"/>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6、本次采购事项若存在变动或修改，敬请及时关注“江苏政府采购网”发布的信息更正公告。</w:t>
      </w:r>
      <w:r>
        <w:rPr>
          <w:rFonts w:ascii="宋体" w:hAnsi="宋体" w:eastAsia="宋体"/>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七、对本次招标提出询问，请按以下方式联系。</w:t>
      </w:r>
      <w:r>
        <w:rPr>
          <w:rFonts w:ascii="宋体" w:hAnsi="宋体"/>
          <w:b/>
          <w:color w:val="000000"/>
          <w:sz w:val="28"/>
          <w:szCs w:val="28"/>
          <w:highlight w:val="none"/>
        </w:rPr>
      </w:r>
      <w:r/>
    </w:p>
    <w:p>
      <w:pPr>
        <w:pStyle w:val="794"/>
        <w:ind w:firstLine="840"/>
        <w:spacing w:line="360" w:lineRule="auto"/>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信息</w:t>
      </w:r>
      <w:r>
        <w:rPr>
          <w:rFonts w:ascii="宋体" w:hAnsi="宋体"/>
          <w:color w:val="000000"/>
          <w:sz w:val="28"/>
          <w:szCs w:val="28"/>
          <w:highlight w:val="none"/>
        </w:rPr>
      </w:r>
      <w:r/>
    </w:p>
    <w:p>
      <w:pPr>
        <w:pStyle w:val="794"/>
        <w:ind w:firstLine="1120"/>
        <w:spacing w:line="360" w:lineRule="auto"/>
        <w:rPr>
          <w:rFonts w:ascii="宋体" w:hAnsi="宋体"/>
          <w:color w:val="000000"/>
          <w:sz w:val="28"/>
          <w:szCs w:val="28"/>
          <w:highlight w:val="none"/>
        </w:rPr>
      </w:pPr>
      <w:r>
        <w:rPr>
          <w:rFonts w:ascii="宋体" w:hAnsi="宋体"/>
          <w:color w:val="000000"/>
          <w:sz w:val="28"/>
          <w:szCs w:val="28"/>
          <w:highlight w:val="none"/>
        </w:rPr>
        <w:t xml:space="preserve">名 称：</w:t>
      </w:r>
      <w:r>
        <w:rPr>
          <w:rFonts w:hint="eastAsia" w:ascii="宋体" w:hAnsi="宋体"/>
          <w:color w:val="000000"/>
          <w:sz w:val="28"/>
          <w:szCs w:val="28"/>
          <w:highlight w:val="none"/>
        </w:rPr>
        <w:t xml:space="preserve">如皋市中医院</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94"/>
        <w:ind w:firstLine="1120"/>
        <w:spacing w:line="360" w:lineRule="auto"/>
        <w:rPr>
          <w:rFonts w:ascii="宋体" w:hAnsi="宋体"/>
          <w:color w:val="000000"/>
          <w:sz w:val="28"/>
          <w:szCs w:val="28"/>
          <w:highlight w:val="none"/>
        </w:rPr>
      </w:pPr>
      <w:r>
        <w:rPr>
          <w:rFonts w:ascii="宋体" w:hAnsi="宋体"/>
          <w:color w:val="000000"/>
          <w:sz w:val="28"/>
          <w:szCs w:val="28"/>
          <w:highlight w:val="none"/>
        </w:rPr>
        <w:t xml:space="preserve">地址：如城街道大司马路269号</w:t>
      </w:r>
      <w:r>
        <w:rPr>
          <w:rFonts w:ascii="宋体" w:hAnsi="宋体"/>
          <w:color w:val="000000"/>
          <w:sz w:val="28"/>
          <w:szCs w:val="28"/>
          <w:highlight w:val="none"/>
        </w:rPr>
      </w:r>
      <w:r/>
    </w:p>
    <w:p>
      <w:pPr>
        <w:pStyle w:val="794"/>
        <w:ind w:firstLine="1120"/>
        <w:spacing w:line="360" w:lineRule="auto"/>
        <w:rPr>
          <w:rFonts w:ascii="宋体" w:hAnsi="宋体"/>
          <w:color w:val="000000"/>
          <w:sz w:val="28"/>
          <w:szCs w:val="28"/>
          <w:highlight w:val="none"/>
        </w:rPr>
      </w:pPr>
      <w:r>
        <w:rPr>
          <w:rFonts w:ascii="宋体" w:hAnsi="宋体"/>
          <w:color w:val="000000"/>
          <w:sz w:val="28"/>
          <w:szCs w:val="28"/>
          <w:highlight w:val="none"/>
        </w:rPr>
        <w:t xml:space="preserve">联系人：</w:t>
      </w:r>
      <w:r>
        <w:rPr>
          <w:rFonts w:hint="eastAsia" w:ascii="宋体" w:hAnsi="宋体"/>
          <w:color w:val="000000"/>
          <w:sz w:val="28"/>
          <w:szCs w:val="28"/>
          <w:highlight w:val="none"/>
        </w:rPr>
        <w:t xml:space="preserve">周培</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94"/>
        <w:ind w:firstLine="1120"/>
        <w:spacing w:line="360" w:lineRule="auto"/>
        <w:rPr>
          <w:rFonts w:ascii="宋体" w:hAnsi="宋体"/>
          <w:color w:val="000000"/>
          <w:sz w:val="28"/>
          <w:szCs w:val="28"/>
          <w:highlight w:val="none"/>
        </w:rPr>
      </w:pPr>
      <w:r>
        <w:rPr>
          <w:rFonts w:ascii="宋体" w:hAnsi="宋体"/>
          <w:color w:val="000000"/>
          <w:sz w:val="28"/>
          <w:szCs w:val="28"/>
          <w:highlight w:val="none"/>
        </w:rPr>
        <w:t xml:space="preserve">联系方式：</w:t>
      </w:r>
      <w:r>
        <w:rPr>
          <w:rFonts w:hint="eastAsia" w:ascii="宋体" w:hAnsi="宋体"/>
          <w:color w:val="000000"/>
          <w:sz w:val="28"/>
          <w:szCs w:val="28"/>
          <w:highlight w:val="none"/>
        </w:rPr>
        <w:t xml:space="preserve">0513-87693192</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94"/>
        <w:ind w:firstLine="840"/>
        <w:jc w:val="left"/>
        <w:spacing w:line="360" w:lineRule="auto"/>
        <w:shd w:val="clear" w:color="auto" w:fill="ffffff"/>
        <w:widowControl/>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如皋</w:t>
      </w:r>
      <w:r>
        <w:rPr>
          <w:rFonts w:ascii="宋体" w:hAnsi="宋体"/>
          <w:color w:val="000000"/>
          <w:sz w:val="28"/>
          <w:szCs w:val="28"/>
          <w:highlight w:val="none"/>
        </w:rPr>
        <w:t xml:space="preserve">市</w:t>
      </w:r>
      <w:r>
        <w:rPr>
          <w:rFonts w:hint="eastAsia" w:ascii="宋体" w:hAnsi="宋体"/>
          <w:color w:val="000000"/>
          <w:sz w:val="28"/>
          <w:szCs w:val="28"/>
          <w:highlight w:val="none"/>
        </w:rPr>
        <w:t xml:space="preserve">公共资源交易中心</w:t>
      </w:r>
      <w:r>
        <w:rPr>
          <w:rFonts w:ascii="宋体" w:hAnsi="宋体"/>
          <w:color w:val="000000"/>
          <w:sz w:val="28"/>
          <w:szCs w:val="28"/>
          <w:highlight w:val="none"/>
        </w:rPr>
      </w:r>
      <w:r/>
    </w:p>
    <w:p>
      <w:pPr>
        <w:pStyle w:val="794"/>
        <w:ind w:firstLine="1120"/>
        <w:jc w:val="left"/>
        <w:spacing w:line="360" w:lineRule="auto"/>
        <w:shd w:val="clear" w:color="auto" w:fill="ffffff"/>
        <w:widowControl/>
        <w:rPr>
          <w:rFonts w:ascii="宋体" w:hAnsi="宋体"/>
          <w:color w:val="000000"/>
          <w:sz w:val="28"/>
          <w:szCs w:val="28"/>
          <w:highlight w:val="none"/>
        </w:rPr>
      </w:pPr>
      <w:r>
        <w:rPr>
          <w:rFonts w:ascii="宋体" w:hAnsi="宋体"/>
          <w:color w:val="000000"/>
          <w:sz w:val="28"/>
          <w:szCs w:val="28"/>
          <w:highlight w:val="none"/>
        </w:rPr>
        <w:t xml:space="preserve">地址：</w:t>
      </w:r>
      <w:r>
        <w:rPr>
          <w:rFonts w:hint="eastAsia" w:ascii="宋体" w:hAnsi="宋体"/>
          <w:color w:val="000000"/>
          <w:sz w:val="28"/>
          <w:szCs w:val="28"/>
          <w:highlight w:val="none"/>
        </w:rPr>
        <w:t xml:space="preserve">如皋市惠政路1799号 </w:t>
      </w:r>
      <w:r>
        <w:rPr>
          <w:rFonts w:ascii="宋体" w:hAnsi="宋体"/>
          <w:color w:val="000000"/>
          <w:sz w:val="28"/>
          <w:szCs w:val="28"/>
          <w:highlight w:val="none"/>
        </w:rPr>
      </w:r>
      <w:r/>
    </w:p>
    <w:p>
      <w:pPr>
        <w:pStyle w:val="794"/>
        <w:ind w:firstLine="1120"/>
        <w:jc w:val="left"/>
        <w:spacing w:line="360" w:lineRule="auto"/>
        <w:shd w:val="clear" w:color="auto" w:fill="ffffff"/>
        <w:widowControl/>
        <w:rPr>
          <w:rFonts w:ascii="宋体" w:hAnsi="宋体"/>
          <w:color w:val="000000"/>
          <w:sz w:val="28"/>
          <w:szCs w:val="28"/>
          <w:highlight w:val="none"/>
        </w:rPr>
      </w:pPr>
      <w:r>
        <w:rPr>
          <w:rFonts w:ascii="宋体" w:hAnsi="宋体"/>
          <w:color w:val="000000"/>
          <w:sz w:val="28"/>
          <w:szCs w:val="28"/>
          <w:highlight w:val="none"/>
        </w:rPr>
        <w:t xml:space="preserve">联系方式：见项目联系方式</w:t>
      </w:r>
      <w:r>
        <w:rPr>
          <w:rFonts w:ascii="宋体" w:hAnsi="宋体"/>
          <w:color w:val="000000"/>
          <w:sz w:val="28"/>
          <w:szCs w:val="28"/>
          <w:highlight w:val="none"/>
        </w:rPr>
      </w:r>
      <w:r/>
    </w:p>
    <w:p>
      <w:pPr>
        <w:pStyle w:val="794"/>
        <w:ind w:firstLine="840"/>
        <w:spacing w:line="360" w:lineRule="auto"/>
        <w:rPr>
          <w:rFonts w:ascii="宋体" w:hAnsi="宋体"/>
          <w:color w:val="000000"/>
          <w:sz w:val="28"/>
          <w:szCs w:val="28"/>
          <w:highlight w:val="none"/>
        </w:rPr>
      </w:pPr>
      <w:r>
        <w:rPr>
          <w:rFonts w:ascii="宋体" w:hAnsi="宋体"/>
          <w:color w:val="000000"/>
          <w:sz w:val="28"/>
          <w:szCs w:val="28"/>
          <w:highlight w:val="none"/>
        </w:rPr>
        <w:t xml:space="preserve">3.项目联系方式</w:t>
      </w:r>
      <w:r>
        <w:rPr>
          <w:rFonts w:ascii="宋体" w:hAnsi="宋体"/>
          <w:color w:val="000000"/>
          <w:sz w:val="28"/>
          <w:szCs w:val="28"/>
          <w:highlight w:val="none"/>
        </w:rPr>
      </w:r>
      <w:r/>
    </w:p>
    <w:p>
      <w:pPr>
        <w:pStyle w:val="794"/>
        <w:ind w:firstLine="1120"/>
        <w:spacing w:line="360" w:lineRule="auto"/>
        <w:rPr>
          <w:rFonts w:ascii="宋体" w:hAnsi="宋体"/>
          <w:color w:val="000000"/>
          <w:sz w:val="28"/>
          <w:szCs w:val="28"/>
          <w:highlight w:val="none"/>
        </w:rPr>
      </w:pPr>
      <w:r>
        <w:rPr>
          <w:rFonts w:ascii="宋体" w:hAnsi="宋体"/>
          <w:color w:val="000000"/>
          <w:sz w:val="28"/>
          <w:szCs w:val="28"/>
          <w:highlight w:val="none"/>
        </w:rPr>
        <w:t xml:space="preserve">招标文件</w:t>
      </w:r>
      <w:r>
        <w:rPr>
          <w:rFonts w:hint="eastAsia" w:ascii="宋体" w:hAnsi="宋体"/>
          <w:color w:val="000000"/>
          <w:sz w:val="28"/>
          <w:szCs w:val="28"/>
          <w:highlight w:val="none"/>
        </w:rPr>
        <w:t xml:space="preserve">联系人</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王珊珊</w:t>
      </w:r>
      <w:r>
        <w:rPr>
          <w:rFonts w:ascii="宋体" w:hAnsi="宋体"/>
          <w:color w:val="000000"/>
          <w:sz w:val="28"/>
          <w:szCs w:val="28"/>
          <w:highlight w:val="none"/>
        </w:rPr>
        <w:t xml:space="preserve">（0513-</w:t>
      </w:r>
      <w:r>
        <w:rPr>
          <w:rFonts w:hint="eastAsia" w:ascii="宋体" w:hAnsi="宋体"/>
          <w:color w:val="000000"/>
          <w:sz w:val="28"/>
          <w:szCs w:val="28"/>
          <w:highlight w:val="none"/>
        </w:rPr>
        <w:t xml:space="preserve">87620882</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ind w:firstLine="1120"/>
        <w:spacing w:line="360" w:lineRule="auto"/>
        <w:rPr>
          <w:rFonts w:ascii="宋体" w:hAnsi="宋体"/>
          <w:color w:val="000000"/>
          <w:sz w:val="28"/>
          <w:szCs w:val="28"/>
          <w:highlight w:val="none"/>
        </w:rPr>
      </w:pPr>
      <w:r>
        <w:rPr>
          <w:rFonts w:ascii="宋体" w:hAnsi="宋体"/>
          <w:color w:val="000000"/>
          <w:sz w:val="28"/>
          <w:szCs w:val="28"/>
          <w:highlight w:val="none"/>
        </w:rPr>
        <w:t xml:space="preserve">项目开标人：</w:t>
      </w:r>
      <w:r>
        <w:rPr>
          <w:rFonts w:hint="eastAsia" w:ascii="宋体" w:hAnsi="宋体"/>
          <w:color w:val="000000"/>
          <w:sz w:val="28"/>
          <w:szCs w:val="28"/>
          <w:highlight w:val="none"/>
        </w:rPr>
        <w:t xml:space="preserve">张蒋浩</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18068120110</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ind w:firstLine="8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软件</w:t>
      </w:r>
      <w:r>
        <w:rPr>
          <w:rFonts w:hint="eastAsia" w:ascii="宋体" w:hAnsi="宋体"/>
          <w:color w:val="000000"/>
          <w:sz w:val="28"/>
          <w:szCs w:val="28"/>
          <w:highlight w:val="none"/>
        </w:rPr>
        <w:t xml:space="preserve">技术支持</w:t>
      </w:r>
      <w:r>
        <w:rPr>
          <w:rFonts w:ascii="宋体" w:hAnsi="宋体"/>
          <w:color w:val="000000"/>
          <w:sz w:val="28"/>
          <w:szCs w:val="28"/>
          <w:highlight w:val="none"/>
        </w:rPr>
        <w:t xml:space="preserve">人员：</w:t>
      </w:r>
      <w:r>
        <w:rPr>
          <w:rFonts w:hint="eastAsia" w:ascii="宋体" w:hAnsi="宋体"/>
          <w:color w:val="000000"/>
          <w:sz w:val="28"/>
          <w:szCs w:val="28"/>
          <w:highlight w:val="none"/>
        </w:rPr>
        <w:t xml:space="preserve">0519-86722801、0519-86722806</w:t>
      </w:r>
      <w:r>
        <w:rPr>
          <w:rFonts w:ascii="宋体" w:hAnsi="宋体"/>
          <w:color w:val="000000"/>
          <w:sz w:val="28"/>
          <w:szCs w:val="28"/>
          <w:highlight w:val="none"/>
        </w:rPr>
      </w:r>
      <w:r/>
    </w:p>
    <w:p>
      <w:pPr>
        <w:pStyle w:val="794"/>
        <w:ind w:firstLine="8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5.CA联系电话：朱俊杰（18951314963）</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spacing w:line="360" w:lineRule="auto"/>
        <w:rPr>
          <w:rFonts w:ascii="宋体" w:hAnsi="宋体"/>
          <w:b/>
          <w:color w:val="000000"/>
          <w:sz w:val="28"/>
          <w:szCs w:val="28"/>
          <w:highlight w:val="none"/>
        </w:rPr>
      </w:pPr>
      <w:r>
        <w:rPr>
          <w:rFonts w:ascii="宋体" w:hAnsi="宋体"/>
          <w:b/>
          <w:color w:val="000000"/>
          <w:sz w:val="28"/>
          <w:szCs w:val="28"/>
          <w:highlight w:val="none"/>
        </w:rPr>
        <w:t xml:space="preserve">附件:</w:t>
      </w:r>
      <w:r>
        <w:rPr>
          <w:rFonts w:hint="eastAsia" w:ascii="宋体" w:hAnsi="宋体"/>
          <w:b/>
          <w:color w:val="000000"/>
          <w:sz w:val="28"/>
          <w:szCs w:val="28"/>
          <w:highlight w:val="none"/>
        </w:rPr>
        <w:t xml:space="preserve"> 1.南通市政府采购线上合同信用融资政策告知函</w:t>
      </w:r>
      <w:r>
        <w:rPr>
          <w:rFonts w:ascii="宋体" w:hAnsi="宋体"/>
          <w:b/>
          <w:color w:val="000000"/>
          <w:sz w:val="28"/>
          <w:szCs w:val="28"/>
          <w:highlight w:val="none"/>
        </w:rPr>
      </w:r>
      <w:r/>
    </w:p>
    <w:p>
      <w:pPr>
        <w:pStyle w:val="794"/>
        <w:ind w:firstLine="843"/>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w:t>
      </w:r>
      <w:r>
        <w:rPr>
          <w:rFonts w:ascii="宋体" w:hAnsi="宋体"/>
          <w:b/>
          <w:color w:val="000000"/>
          <w:sz w:val="28"/>
          <w:szCs w:val="28"/>
          <w:highlight w:val="none"/>
        </w:rPr>
        <w:t xml:space="preserve">招标文件</w:t>
      </w:r>
      <w:r>
        <w:rPr>
          <w:rFonts w:ascii="宋体" w:hAnsi="宋体"/>
          <w:b/>
          <w:color w:val="000000"/>
          <w:sz w:val="28"/>
          <w:szCs w:val="28"/>
          <w:highlight w:val="none"/>
        </w:rPr>
      </w:r>
      <w:r/>
    </w:p>
    <w:p>
      <w:pPr>
        <w:pStyle w:val="794"/>
        <w:ind w:firstLine="843"/>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3.采购人</w:t>
      </w:r>
      <w:r>
        <w:rPr>
          <w:rFonts w:ascii="宋体" w:hAnsi="宋体"/>
          <w:b/>
          <w:color w:val="000000"/>
          <w:sz w:val="28"/>
          <w:szCs w:val="28"/>
          <w:highlight w:val="none"/>
        </w:rPr>
        <w:t xml:space="preserve">信用承诺</w:t>
      </w:r>
      <w:r>
        <w:rPr>
          <w:rFonts w:ascii="宋体" w:hAnsi="宋体"/>
          <w:b/>
          <w:color w:val="000000"/>
          <w:sz w:val="28"/>
          <w:szCs w:val="28"/>
          <w:highlight w:val="none"/>
        </w:rPr>
      </w:r>
      <w:r/>
    </w:p>
    <w:p>
      <w:pPr>
        <w:pStyle w:val="1167"/>
        <w:ind w:firstLine="480"/>
        <w:spacing w:line="360" w:lineRule="auto"/>
        <w:rPr>
          <w:rFonts w:ascii="宋体" w:hAnsi="宋体"/>
          <w:color w:val="000000"/>
          <w:highlight w:val="none"/>
        </w:rPr>
      </w:pPr>
      <w:r>
        <w:rPr>
          <w:rFonts w:ascii="宋体" w:hAnsi="宋体"/>
          <w:color w:val="000000"/>
          <w:highlight w:val="none"/>
        </w:rPr>
        <mc:AlternateContent>
          <mc:Choice Requires="wpg">
            <w:drawing>
              <wp:inline xmlns:wp="http://schemas.openxmlformats.org/drawingml/2006/wordprocessingDrawing" distT="0" distB="0" distL="0" distR="0">
                <wp:extent cx="5265598" cy="415296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5598" cy="4152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6pt;height:327.0pt;mso-wrap-distance-left:0.0pt;mso-wrap-distance-top:0.0pt;mso-wrap-distance-right:0.0pt;mso-wrap-distance-bottom:0.0pt;" stroked="f">
                <v:path textboxrect="0,0,0,0"/>
                <v:imagedata r:id="rId15" o:title=""/>
              </v:shape>
            </w:pict>
          </mc:Fallback>
        </mc:AlternateContent>
      </w:r>
      <w:r>
        <w:rPr>
          <w:rFonts w:ascii="宋体" w:hAnsi="宋体"/>
          <w:color w:val="000000"/>
          <w:highlight w:val="none"/>
        </w:rPr>
      </w:r>
      <w:r/>
    </w:p>
    <w:p>
      <w:pPr>
        <w:pStyle w:val="794"/>
        <w:jc w:val="center"/>
        <w:spacing w:line="360" w:lineRule="auto"/>
        <w:rPr>
          <w:rFonts w:ascii="宋体" w:hAnsi="宋体"/>
          <w:bCs/>
          <w:color w:val="000000"/>
          <w:sz w:val="36"/>
          <w:szCs w:val="36"/>
          <w:highlight w:val="none"/>
        </w:rPr>
        <w:outlineLvl w:val="0"/>
      </w:pP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 xml:space="preserve">第二部分  投标须知</w:t>
      </w:r>
      <w:r>
        <w:rPr>
          <w:rFonts w:ascii="宋体" w:hAnsi="宋体"/>
          <w:bCs/>
          <w:color w:val="000000"/>
          <w:sz w:val="36"/>
          <w:szCs w:val="36"/>
          <w:highlight w:val="none"/>
        </w:rPr>
      </w:r>
      <w:r/>
    </w:p>
    <w:p>
      <w:pPr>
        <w:pStyle w:val="797"/>
        <w:spacing w:before="0" w:after="0" w:line="360" w:lineRule="auto"/>
        <w:rPr>
          <w:rFonts w:ascii="宋体" w:hAnsi="宋体"/>
          <w:color w:val="000000"/>
          <w:sz w:val="28"/>
          <w:szCs w:val="28"/>
          <w:highlight w:val="none"/>
        </w:rPr>
      </w:pPr>
      <w:r/>
      <w:bookmarkStart w:id="3" w:name="_Toc120614214"/>
      <w:r/>
      <w:bookmarkStart w:id="4" w:name="_Toc513029203"/>
      <w:r/>
      <w:bookmarkStart w:id="5" w:name="_Toc20823275"/>
      <w:r/>
      <w:bookmarkStart w:id="6" w:name="_Toc16938519"/>
      <w:r>
        <w:rPr>
          <w:rFonts w:ascii="宋体" w:hAnsi="宋体"/>
          <w:color w:val="000000"/>
          <w:sz w:val="28"/>
          <w:szCs w:val="28"/>
          <w:highlight w:val="none"/>
        </w:rPr>
        <w:t xml:space="preserve">（一）总则</w:t>
      </w:r>
      <w:bookmarkEnd w:id="3"/>
      <w:r/>
      <w:bookmarkEnd w:id="4"/>
      <w:r/>
      <w:bookmarkEnd w:id="5"/>
      <w:r/>
      <w:bookmarkEnd w:id="6"/>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7" w:name="_Hlt16619475"/>
      <w:r/>
      <w:bookmarkEnd w:id="7"/>
      <w:r/>
      <w:bookmarkStart w:id="8" w:name="_Toc458694821"/>
      <w:r/>
      <w:bookmarkStart w:id="9" w:name="_Toc513029204"/>
      <w:r/>
      <w:bookmarkStart w:id="10" w:name="_Toc20823276"/>
      <w:r/>
      <w:bookmarkStart w:id="11" w:name="_Toc16938520"/>
      <w:r>
        <w:rPr>
          <w:rFonts w:ascii="宋体" w:hAnsi="宋体" w:eastAsia="宋体"/>
          <w:color w:val="000000"/>
          <w:sz w:val="28"/>
          <w:szCs w:val="28"/>
          <w:highlight w:val="none"/>
        </w:rPr>
        <w:t xml:space="preserve">1</w:t>
      </w:r>
      <w:bookmarkEnd w:id="8"/>
      <w:r>
        <w:rPr>
          <w:rFonts w:ascii="宋体" w:hAnsi="宋体" w:eastAsia="宋体"/>
          <w:color w:val="000000"/>
          <w:sz w:val="28"/>
          <w:szCs w:val="28"/>
          <w:highlight w:val="none"/>
        </w:rPr>
        <w:t xml:space="preserve">.招标方式</w:t>
      </w:r>
      <w:bookmarkEnd w:id="9"/>
      <w:r/>
      <w:bookmarkEnd w:id="10"/>
      <w:r/>
      <w:bookmarkEnd w:id="11"/>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1.1 本次招标采取公开招标方式，本招标文件仅适用于招标公告中所述项目。</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12" w:name="_Toc20823277"/>
      <w:r/>
      <w:bookmarkStart w:id="13" w:name="_Toc16938521"/>
      <w:r/>
      <w:bookmarkStart w:id="14" w:name="_Toc513029205"/>
      <w:r>
        <w:rPr>
          <w:rFonts w:ascii="宋体" w:hAnsi="宋体" w:eastAsia="宋体"/>
          <w:color w:val="000000"/>
          <w:sz w:val="28"/>
          <w:szCs w:val="28"/>
          <w:highlight w:val="none"/>
        </w:rPr>
        <w:t xml:space="preserve">2.合格的投标人</w:t>
      </w:r>
      <w:bookmarkEnd w:id="12"/>
      <w:r/>
      <w:bookmarkEnd w:id="13"/>
      <w:r/>
      <w:bookmarkEnd w:id="14"/>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2.1满足招标公告中供应商的资格要求的规定。</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2.2 满足本文件实质性条款的规定。</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15" w:name="_Toc513029206"/>
      <w:r/>
      <w:bookmarkStart w:id="16" w:name="_Toc16938522"/>
      <w:r/>
      <w:bookmarkStart w:id="17" w:name="_Toc20823278"/>
      <w:r>
        <w:rPr>
          <w:rFonts w:ascii="宋体" w:hAnsi="宋体" w:eastAsia="宋体"/>
          <w:color w:val="000000"/>
          <w:sz w:val="28"/>
          <w:szCs w:val="28"/>
          <w:highlight w:val="none"/>
        </w:rPr>
        <w:t xml:space="preserve">3.适用法律</w:t>
      </w:r>
      <w:bookmarkEnd w:id="15"/>
      <w:r/>
      <w:bookmarkEnd w:id="16"/>
      <w:r/>
      <w:bookmarkEnd w:id="17"/>
      <w:r>
        <w:rPr>
          <w:rFonts w:ascii="宋体" w:hAnsi="宋体" w:eastAsia="宋体"/>
          <w:b/>
          <w:bCs/>
          <w:color w:val="000000"/>
          <w:sz w:val="28"/>
          <w:szCs w:val="28"/>
          <w:highlight w:val="none"/>
        </w:rPr>
      </w:r>
      <w:r/>
    </w:p>
    <w:p>
      <w:pPr>
        <w:pStyle w:val="794"/>
        <w:ind w:firstLine="490"/>
        <w:spacing w:line="360" w:lineRule="auto"/>
        <w:rPr>
          <w:rFonts w:ascii="宋体" w:hAnsi="宋体"/>
          <w:color w:val="000000"/>
          <w:sz w:val="28"/>
          <w:szCs w:val="28"/>
          <w:highlight w:val="none"/>
        </w:rPr>
      </w:pPr>
      <w:r>
        <w:rPr>
          <w:rFonts w:ascii="宋体" w:hAnsi="宋体"/>
          <w:color w:val="000000"/>
          <w:sz w:val="28"/>
          <w:szCs w:val="28"/>
          <w:highlight w:val="none"/>
        </w:rPr>
        <w:t xml:space="preserve">3.1 本次招标及由此产生的合同受中华人民共和国有关的法律法规制约和保护。</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18" w:name="_Toc462564067"/>
      <w:r/>
      <w:bookmarkStart w:id="19" w:name="_Toc20823279"/>
      <w:r/>
      <w:bookmarkStart w:id="20" w:name="_Toc16938523"/>
      <w:r/>
      <w:bookmarkStart w:id="21" w:name="_Toc513029207"/>
      <w:r>
        <w:rPr>
          <w:rFonts w:ascii="宋体" w:hAnsi="宋体" w:eastAsia="宋体"/>
          <w:color w:val="000000"/>
          <w:sz w:val="28"/>
          <w:szCs w:val="28"/>
          <w:highlight w:val="none"/>
        </w:rPr>
        <w:t xml:space="preserve">4.投标费用</w:t>
      </w:r>
      <w:bookmarkEnd w:id="18"/>
      <w:r/>
      <w:bookmarkEnd w:id="19"/>
      <w:r/>
      <w:bookmarkEnd w:id="20"/>
      <w:r/>
      <w:bookmarkEnd w:id="21"/>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4.1</w:t>
      </w:r>
      <w:r>
        <w:rPr>
          <w:rFonts w:ascii="宋体" w:hAnsi="宋体"/>
          <w:color w:val="000000"/>
          <w:sz w:val="28"/>
          <w:szCs w:val="28"/>
          <w:highlight w:val="none"/>
        </w:rPr>
        <w:t xml:space="preserve"> 投标人应自行承担所有与参加投标有关的费用，无论投标过程中的做法和结果如何，</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在任何情况下均无义务和责任承担这些费用。</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4.2本次招标</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中心和</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不收取标书工本费与中标服务费。</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rPr>
          <w:rFonts w:ascii="宋体" w:hAnsi="宋体" w:eastAsia="宋体"/>
          <w:color w:val="000000"/>
          <w:sz w:val="28"/>
          <w:szCs w:val="28"/>
          <w:highlight w:val="none"/>
        </w:rPr>
        <w:t xml:space="preserve">5.招标文件的约束力</w:t>
      </w:r>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5.1</w:t>
      </w:r>
      <w:r>
        <w:rPr>
          <w:rFonts w:ascii="宋体" w:hAnsi="宋体"/>
          <w:color w:val="000000"/>
          <w:sz w:val="28"/>
          <w:szCs w:val="28"/>
          <w:highlight w:val="none"/>
        </w:rPr>
        <w:t xml:space="preserve"> 投标人一旦参加本项目采购活动，即被认为接受了本招标文件的规定和约束。</w:t>
      </w:r>
      <w:r>
        <w:rPr>
          <w:rFonts w:ascii="宋体" w:hAnsi="宋体"/>
          <w:color w:val="000000"/>
          <w:sz w:val="28"/>
          <w:szCs w:val="28"/>
          <w:highlight w:val="none"/>
        </w:rPr>
      </w:r>
      <w:r/>
    </w:p>
    <w:p>
      <w:pPr>
        <w:pStyle w:val="798"/>
        <w:jc w:val="both"/>
        <w:spacing w:line="360" w:lineRule="auto"/>
        <w:rPr>
          <w:rFonts w:ascii="宋体" w:hAnsi="宋体" w:eastAsia="宋体"/>
          <w:color w:val="000000"/>
          <w:sz w:val="28"/>
          <w:szCs w:val="28"/>
          <w:highlight w:val="none"/>
        </w:rPr>
      </w:pPr>
      <w:r>
        <w:rPr>
          <w:rFonts w:ascii="宋体" w:hAnsi="宋体" w:eastAsia="宋体"/>
          <w:color w:val="000000"/>
          <w:sz w:val="28"/>
          <w:szCs w:val="28"/>
          <w:highlight w:val="none"/>
        </w:rPr>
        <w:t xml:space="preserve">6.招标文件的解释</w:t>
      </w:r>
      <w:r>
        <w:rPr>
          <w:rFonts w:ascii="宋体" w:hAnsi="宋体" w:eastAsia="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6.1</w:t>
      </w:r>
      <w:r>
        <w:rPr>
          <w:rFonts w:ascii="宋体" w:hAnsi="宋体"/>
          <w:color w:val="000000"/>
          <w:sz w:val="28"/>
          <w:szCs w:val="28"/>
          <w:highlight w:val="none"/>
        </w:rPr>
        <w:t xml:space="preserve">招标文件需求部分（供应商资格要求、项目需求、商务技术评分标准）由</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解释，其它部分由</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中心解释。</w:t>
      </w:r>
      <w:r>
        <w:rPr>
          <w:rFonts w:ascii="宋体" w:hAnsi="宋体"/>
          <w:color w:val="000000"/>
          <w:sz w:val="28"/>
          <w:szCs w:val="28"/>
          <w:highlight w:val="none"/>
        </w:rPr>
      </w:r>
      <w:r/>
    </w:p>
    <w:p>
      <w:pPr>
        <w:pStyle w:val="797"/>
        <w:spacing w:before="0" w:after="0" w:line="360" w:lineRule="auto"/>
        <w:rPr>
          <w:rFonts w:ascii="宋体" w:hAnsi="宋体"/>
          <w:color w:val="000000"/>
          <w:sz w:val="28"/>
          <w:szCs w:val="28"/>
          <w:highlight w:val="none"/>
        </w:rPr>
      </w:pPr>
      <w:r/>
      <w:bookmarkStart w:id="22" w:name="_Toc513029209"/>
      <w:r/>
      <w:bookmarkStart w:id="23" w:name="_Toc20823281"/>
      <w:r/>
      <w:bookmarkStart w:id="24" w:name="_Toc16938525"/>
      <w:r/>
      <w:bookmarkStart w:id="25" w:name="_Toc120614215"/>
      <w:r>
        <w:rPr>
          <w:rFonts w:ascii="宋体" w:hAnsi="宋体"/>
          <w:color w:val="000000"/>
          <w:sz w:val="28"/>
          <w:szCs w:val="28"/>
          <w:highlight w:val="none"/>
        </w:rPr>
        <w:t xml:space="preserve">（二）招标文件</w:t>
      </w:r>
      <w:bookmarkEnd w:id="22"/>
      <w:r/>
      <w:bookmarkEnd w:id="23"/>
      <w:r/>
      <w:bookmarkEnd w:id="24"/>
      <w:r/>
      <w:bookmarkEnd w:id="25"/>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26" w:name="_Toc16938526"/>
      <w:r/>
      <w:bookmarkStart w:id="27" w:name="_Toc20823282"/>
      <w:r/>
      <w:bookmarkStart w:id="28" w:name="_Toc513029210"/>
      <w:r>
        <w:rPr>
          <w:rFonts w:ascii="宋体" w:hAnsi="宋体" w:eastAsia="宋体"/>
          <w:color w:val="000000"/>
          <w:sz w:val="28"/>
          <w:szCs w:val="28"/>
          <w:highlight w:val="none"/>
        </w:rPr>
        <w:t xml:space="preserve">1.招标文件构成</w:t>
      </w:r>
      <w:bookmarkEnd w:id="26"/>
      <w:r/>
      <w:bookmarkEnd w:id="27"/>
      <w:r/>
      <w:bookmarkEnd w:id="28"/>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招标文件由以下部分组成：</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投标邀请</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（2）投标须知</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（3）项目需求</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（4）开标和评标</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（5）投标文件组成</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（6）合同签订与验收付款</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7</w:t>
      </w:r>
      <w:r>
        <w:rPr>
          <w:rFonts w:ascii="宋体" w:hAnsi="宋体"/>
          <w:color w:val="000000"/>
          <w:sz w:val="28"/>
          <w:szCs w:val="28"/>
          <w:highlight w:val="none"/>
        </w:rPr>
        <w:t xml:space="preserve">）附件</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请仔细检查招标文件是否齐全，如有缺漏请立即与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中心联系解决。</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29" w:name="_Toc513029211"/>
      <w:r/>
      <w:bookmarkStart w:id="30" w:name="_Toc20823283"/>
      <w:r/>
      <w:bookmarkStart w:id="31" w:name="_Toc16938527"/>
      <w:r/>
      <w:bookmarkStart w:id="32" w:name="_Toc462564070"/>
      <w:r>
        <w:rPr>
          <w:rFonts w:ascii="宋体" w:hAnsi="宋体" w:eastAsia="宋体"/>
          <w:color w:val="000000"/>
          <w:sz w:val="28"/>
          <w:szCs w:val="28"/>
          <w:highlight w:val="none"/>
        </w:rPr>
        <w:t xml:space="preserve">2.招标文件的澄清</w:t>
      </w:r>
      <w:bookmarkEnd w:id="29"/>
      <w:r/>
      <w:bookmarkEnd w:id="30"/>
      <w:r/>
      <w:bookmarkEnd w:id="31"/>
      <w:r/>
      <w:bookmarkEnd w:id="32"/>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任何要求对招标文件进行澄清的投标人，应在投标截止期十日前按招标公告中的通讯地址，以书面形式通知</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有权对发出的招标文件进行必要的澄清或修改</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2.2</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视情组织答疑会</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33" w:name="_Toc462564071"/>
      <w:r/>
      <w:bookmarkStart w:id="34" w:name="_Toc513029212"/>
      <w:r/>
      <w:bookmarkStart w:id="35" w:name="_Toc16938528"/>
      <w:r/>
      <w:bookmarkStart w:id="36" w:name="_Toc20823284"/>
      <w:r>
        <w:rPr>
          <w:rFonts w:ascii="宋体" w:hAnsi="宋体" w:eastAsia="宋体"/>
          <w:color w:val="000000"/>
          <w:sz w:val="28"/>
          <w:szCs w:val="28"/>
          <w:highlight w:val="none"/>
        </w:rPr>
        <w:t xml:space="preserve">3.招标文件的修改</w:t>
      </w:r>
      <w:bookmarkEnd w:id="33"/>
      <w:r/>
      <w:bookmarkEnd w:id="34"/>
      <w:r/>
      <w:bookmarkEnd w:id="35"/>
      <w:r/>
      <w:bookmarkEnd w:id="36"/>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3.1</w:t>
      </w:r>
      <w:r>
        <w:rPr>
          <w:rFonts w:ascii="宋体" w:hAnsi="宋体"/>
          <w:color w:val="000000"/>
          <w:sz w:val="28"/>
          <w:szCs w:val="28"/>
          <w:highlight w:val="none"/>
        </w:rPr>
        <w:t xml:space="preserve"> 在投标截止时间前，</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可以对招标文件进行修改。</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3.2 </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有权按照法定的要求推迟投标截止日期和开标日期。</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3.3 </w:t>
      </w:r>
      <w:r>
        <w:rPr>
          <w:rFonts w:ascii="宋体" w:hAnsi="宋体"/>
          <w:color w:val="000000"/>
          <w:sz w:val="28"/>
          <w:szCs w:val="28"/>
          <w:highlight w:val="none"/>
        </w:rPr>
        <w:t xml:space="preserve">招标文件的修改将在</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t xml:space="preserve">公布，补充文件将作为招标文件的组成部分，并对投标人具有约束力。</w:t>
      </w:r>
      <w:r>
        <w:rPr>
          <w:rFonts w:ascii="宋体" w:hAnsi="宋体"/>
          <w:color w:val="000000"/>
          <w:sz w:val="28"/>
          <w:szCs w:val="28"/>
          <w:highlight w:val="none"/>
        </w:rPr>
      </w:r>
      <w:r/>
    </w:p>
    <w:p>
      <w:pPr>
        <w:pStyle w:val="797"/>
        <w:spacing w:before="0" w:after="0" w:line="360" w:lineRule="auto"/>
        <w:rPr>
          <w:rFonts w:ascii="宋体" w:hAnsi="宋体"/>
          <w:color w:val="000000"/>
          <w:sz w:val="28"/>
          <w:szCs w:val="28"/>
          <w:highlight w:val="none"/>
        </w:rPr>
      </w:pPr>
      <w:r/>
      <w:bookmarkStart w:id="37" w:name="_Toc120614216"/>
      <w:r/>
      <w:bookmarkStart w:id="38" w:name="_Toc20823285"/>
      <w:r/>
      <w:bookmarkStart w:id="39" w:name="_Toc513029213"/>
      <w:r/>
      <w:bookmarkStart w:id="40" w:name="_Toc16938529"/>
      <w:r/>
      <w:bookmarkStart w:id="41" w:name="_Toc462564072"/>
      <w:r>
        <w:rPr>
          <w:rFonts w:ascii="宋体" w:hAnsi="宋体"/>
          <w:color w:val="000000"/>
          <w:sz w:val="28"/>
          <w:szCs w:val="28"/>
          <w:highlight w:val="none"/>
        </w:rPr>
        <w:t xml:space="preserve">（三）投标文件的编制</w:t>
      </w:r>
      <w:bookmarkEnd w:id="37"/>
      <w:r/>
      <w:bookmarkEnd w:id="38"/>
      <w:r/>
      <w:bookmarkEnd w:id="39"/>
      <w:r/>
      <w:bookmarkEnd w:id="40"/>
      <w:r/>
      <w:bookmarkEnd w:id="41"/>
      <w:r>
        <w:rPr>
          <w:rFonts w:ascii="宋体" w:hAnsi="宋体"/>
          <w:color w:val="000000"/>
          <w:sz w:val="28"/>
          <w:szCs w:val="28"/>
          <w:highlight w:val="none"/>
        </w:rPr>
      </w:r>
      <w:r/>
    </w:p>
    <w:p>
      <w:pPr>
        <w:pStyle w:val="798"/>
        <w:jc w:val="both"/>
        <w:spacing w:line="360" w:lineRule="auto"/>
        <w:rPr>
          <w:rFonts w:ascii="宋体" w:hAnsi="宋体" w:eastAsia="宋体"/>
          <w:bCs/>
          <w:color w:val="000000"/>
          <w:sz w:val="28"/>
          <w:szCs w:val="28"/>
          <w:highlight w:val="none"/>
        </w:rPr>
      </w:pPr>
      <w:r/>
      <w:bookmarkStart w:id="42" w:name="_Toc20823286"/>
      <w:r/>
      <w:bookmarkStart w:id="43" w:name="_Toc462564073"/>
      <w:r/>
      <w:bookmarkStart w:id="44" w:name="_Toc513029214"/>
      <w:r/>
      <w:bookmarkStart w:id="45" w:name="_Toc16938530"/>
      <w:r>
        <w:rPr>
          <w:rFonts w:ascii="宋体" w:hAnsi="宋体" w:eastAsia="宋体"/>
          <w:color w:val="000000"/>
          <w:sz w:val="28"/>
          <w:szCs w:val="28"/>
          <w:highlight w:val="none"/>
        </w:rPr>
        <w:t xml:space="preserve">1.投标文件的语言及度量衡单位</w:t>
      </w:r>
      <w:bookmarkEnd w:id="42"/>
      <w:r/>
      <w:bookmarkEnd w:id="43"/>
      <w:r/>
      <w:bookmarkEnd w:id="44"/>
      <w:r/>
      <w:bookmarkEnd w:id="45"/>
      <w:r>
        <w:rPr>
          <w:rFonts w:ascii="宋体" w:hAnsi="宋体" w:eastAsia="宋体"/>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投标人提交的投标文件以及投标人与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就有关投标的所有来往通知、函件和文件均应使用</w:t>
      </w:r>
      <w:r>
        <w:rPr>
          <w:rFonts w:ascii="宋体" w:hAnsi="宋体"/>
          <w:bCs/>
          <w:color w:val="000000"/>
          <w:sz w:val="28"/>
          <w:szCs w:val="28"/>
          <w:highlight w:val="none"/>
        </w:rPr>
        <w:t xml:space="preserve">简体中文</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除技术性能另有规定外，投标文件所使用的度量衡单位，均须采用国家法定计量单位。</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46" w:name="_Toc16938531"/>
      <w:r/>
      <w:bookmarkStart w:id="47" w:name="_Toc513029215"/>
      <w:r/>
      <w:bookmarkStart w:id="48" w:name="_Toc462564074"/>
      <w:r/>
      <w:bookmarkStart w:id="49" w:name="_Toc20823287"/>
      <w:r>
        <w:rPr>
          <w:rFonts w:ascii="宋体" w:hAnsi="宋体" w:eastAsia="宋体"/>
          <w:color w:val="000000"/>
          <w:sz w:val="28"/>
          <w:szCs w:val="28"/>
          <w:highlight w:val="none"/>
        </w:rPr>
        <w:t xml:space="preserve">2.投标文件构成</w:t>
      </w:r>
      <w:bookmarkEnd w:id="46"/>
      <w:r/>
      <w:bookmarkEnd w:id="47"/>
      <w:r/>
      <w:bookmarkEnd w:id="48"/>
      <w:r/>
      <w:bookmarkEnd w:id="49"/>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投标人编写的投标文件应包括资格审查证明材料文件、商务技术标文件、价格标文件。供应商按“第五部分 投标文件组成”要求编写投标文件</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2.2如标书制作工具中格式和内容与“江苏政府采购网”发布的招标文件不一致，请以“江苏政府采购网”发布的招标文件为准。</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50" w:name="_Hlt26954838"/>
      <w:r/>
      <w:bookmarkEnd w:id="50"/>
      <w:r/>
      <w:bookmarkStart w:id="51" w:name="_Hlt26668975"/>
      <w:r/>
      <w:bookmarkEnd w:id="51"/>
      <w:r/>
      <w:bookmarkStart w:id="52" w:name="_Hlt26670360"/>
      <w:r/>
      <w:bookmarkEnd w:id="52"/>
      <w:r/>
      <w:bookmarkStart w:id="53" w:name="_Toc14577360"/>
      <w:r/>
      <w:bookmarkStart w:id="54" w:name="_Toc49090511"/>
      <w:r>
        <w:rPr>
          <w:rFonts w:ascii="宋体" w:hAnsi="宋体" w:eastAsia="宋体"/>
          <w:color w:val="000000"/>
          <w:sz w:val="28"/>
          <w:szCs w:val="28"/>
          <w:highlight w:val="none"/>
        </w:rPr>
        <w:t xml:space="preserve">3.投标有效期</w:t>
      </w:r>
      <w:bookmarkEnd w:id="53"/>
      <w:r/>
      <w:bookmarkEnd w:id="54"/>
      <w:r>
        <w:rPr>
          <w:rFonts w:ascii="宋体" w:hAnsi="宋体" w:eastAsia="宋体"/>
          <w:b/>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3.1投标有效期为</w:t>
      </w:r>
      <w:r>
        <w:rPr>
          <w:rFonts w:hint="eastAsia" w:ascii="宋体" w:hAnsi="宋体"/>
          <w:bCs/>
          <w:color w:val="000000"/>
          <w:sz w:val="28"/>
          <w:szCs w:val="28"/>
          <w:highlight w:val="none"/>
        </w:rPr>
        <w:t xml:space="preserve">交易中心</w:t>
      </w:r>
      <w:r>
        <w:rPr>
          <w:rFonts w:ascii="宋体" w:hAnsi="宋体"/>
          <w:bCs/>
          <w:color w:val="000000"/>
          <w:sz w:val="28"/>
          <w:szCs w:val="28"/>
          <w:highlight w:val="none"/>
        </w:rPr>
        <w:t xml:space="preserve">规定的开标之日后</w:t>
      </w:r>
      <w:r>
        <w:rPr>
          <w:rFonts w:ascii="宋体" w:hAnsi="宋体"/>
          <w:b/>
          <w:color w:val="000000"/>
          <w:sz w:val="28"/>
          <w:szCs w:val="28"/>
          <w:highlight w:val="none"/>
          <w:u w:val="single"/>
        </w:rPr>
        <w:t xml:space="preserve">六十（60）天</w:t>
      </w:r>
      <w:r>
        <w:rPr>
          <w:rFonts w:ascii="宋体" w:hAnsi="宋体"/>
          <w:bCs/>
          <w:color w:val="000000"/>
          <w:sz w:val="28"/>
          <w:szCs w:val="28"/>
          <w:highlight w:val="none"/>
        </w:rPr>
        <w:t xml:space="preserve">。投标有效期比规定短的将被视为非响应性投标而予以拒绝。</w:t>
      </w:r>
      <w:r>
        <w:rPr>
          <w:rFonts w:ascii="宋体" w:hAnsi="宋体"/>
          <w:bCs/>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rPr>
          <w:rFonts w:ascii="宋体" w:hAnsi="宋体" w:eastAsia="宋体"/>
          <w:color w:val="000000"/>
          <w:sz w:val="28"/>
          <w:szCs w:val="28"/>
          <w:highlight w:val="none"/>
        </w:rPr>
        <w:t xml:space="preserve">4.投标有效期的延长</w:t>
      </w:r>
      <w:r>
        <w:rPr>
          <w:rFonts w:ascii="宋体" w:hAnsi="宋体" w:eastAsia="宋体"/>
          <w:b/>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4.1在特殊情况下，</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的这一要求而放弃投标，同意延长投标有效期的投标人既不能要求也不允许修改其投标文件。</w:t>
      </w:r>
      <w:r>
        <w:rPr>
          <w:rFonts w:ascii="宋体" w:hAnsi="宋体"/>
          <w:color w:val="000000"/>
          <w:sz w:val="28"/>
          <w:szCs w:val="28"/>
          <w:highlight w:val="none"/>
        </w:rPr>
        <w:t xml:space="preserve">受投标有效期约束的所有权利与义务均延长至新的有效期</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97"/>
        <w:spacing w:before="0" w:after="0" w:line="360" w:lineRule="auto"/>
        <w:rPr>
          <w:rFonts w:ascii="宋体" w:hAnsi="宋体"/>
          <w:color w:val="000000"/>
          <w:sz w:val="28"/>
          <w:szCs w:val="28"/>
          <w:highlight w:val="none"/>
        </w:rPr>
      </w:pPr>
      <w:r/>
      <w:bookmarkStart w:id="55" w:name="_Hlt26954852"/>
      <w:r/>
      <w:bookmarkEnd w:id="55"/>
      <w:r/>
      <w:bookmarkStart w:id="56" w:name="_Hlt26954739"/>
      <w:r/>
      <w:bookmarkEnd w:id="56"/>
      <w:r/>
      <w:bookmarkStart w:id="57" w:name="_Toc20823296"/>
      <w:r/>
      <w:bookmarkStart w:id="58" w:name="_Toc16938540"/>
      <w:r/>
      <w:bookmarkStart w:id="59" w:name="_Toc120614217"/>
      <w:r/>
      <w:bookmarkStart w:id="60" w:name="_Toc513029224"/>
      <w:r>
        <w:rPr>
          <w:rFonts w:ascii="宋体" w:hAnsi="宋体"/>
          <w:color w:val="000000"/>
          <w:sz w:val="28"/>
          <w:szCs w:val="28"/>
          <w:highlight w:val="none"/>
        </w:rPr>
        <w:t xml:space="preserve">（四）投标文件的递交</w:t>
      </w:r>
      <w:bookmarkEnd w:id="57"/>
      <w:r/>
      <w:bookmarkEnd w:id="58"/>
      <w:r/>
      <w:bookmarkEnd w:id="59"/>
      <w:r/>
      <w:bookmarkEnd w:id="60"/>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61" w:name="_Toc16938541"/>
      <w:r/>
      <w:bookmarkStart w:id="62" w:name="_Toc513029225"/>
      <w:r/>
      <w:bookmarkStart w:id="63" w:name="_Toc20823297"/>
      <w:r/>
      <w:bookmarkStart w:id="64" w:name="_Toc462564084"/>
      <w:r>
        <w:rPr>
          <w:rFonts w:ascii="宋体" w:hAnsi="宋体" w:eastAsia="宋体"/>
          <w:color w:val="000000"/>
          <w:sz w:val="28"/>
          <w:szCs w:val="28"/>
          <w:highlight w:val="none"/>
        </w:rPr>
        <w:t xml:space="preserve">1.投标文件</w:t>
      </w:r>
      <w:bookmarkEnd w:id="61"/>
      <w:r/>
      <w:bookmarkEnd w:id="62"/>
      <w:r/>
      <w:bookmarkEnd w:id="63"/>
      <w:r/>
      <w:bookmarkEnd w:id="64"/>
      <w:r>
        <w:rPr>
          <w:rFonts w:ascii="宋体" w:hAnsi="宋体" w:eastAsia="宋体"/>
          <w:color w:val="000000"/>
          <w:sz w:val="28"/>
          <w:szCs w:val="28"/>
          <w:highlight w:val="none"/>
        </w:rPr>
        <w:t xml:space="preserve">的递交</w:t>
      </w:r>
      <w:r>
        <w:rPr>
          <w:rFonts w:ascii="宋体" w:hAnsi="宋体" w:eastAsia="宋体"/>
          <w:b/>
          <w:bCs/>
          <w:color w:val="000000"/>
          <w:sz w:val="28"/>
          <w:szCs w:val="28"/>
          <w:highlight w:val="none"/>
        </w:rPr>
      </w:r>
      <w:r/>
    </w:p>
    <w:p>
      <w:pPr>
        <w:pStyle w:val="794"/>
        <w:ind w:firstLine="556"/>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1.1投标人应当按照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，在投标截止时间前制作并上传电子投标文件。</w:t>
      </w:r>
      <w:bookmarkStart w:id="65" w:name="_Toc16938542"/>
      <w:r/>
      <w:bookmarkStart w:id="66" w:name="_Toc20823298"/>
      <w:r/>
      <w:bookmarkStart w:id="67" w:name="_Toc513029226"/>
      <w:r>
        <w:rPr>
          <w:rFonts w:ascii="宋体" w:hAnsi="宋体"/>
          <w:bCs/>
          <w:color w:val="000000"/>
          <w:sz w:val="28"/>
          <w:szCs w:val="28"/>
          <w:highlight w:val="none"/>
        </w:rPr>
      </w:r>
      <w:r/>
    </w:p>
    <w:p>
      <w:pPr>
        <w:pStyle w:val="794"/>
        <w:spacing w:line="360" w:lineRule="auto"/>
        <w:rPr>
          <w:rFonts w:ascii="宋体" w:hAnsi="宋体"/>
          <w:b/>
          <w:color w:val="000000"/>
          <w:sz w:val="28"/>
          <w:szCs w:val="28"/>
          <w:highlight w:val="none"/>
        </w:rPr>
      </w:pPr>
      <w:r>
        <w:rPr>
          <w:rFonts w:ascii="宋体" w:hAnsi="宋体"/>
          <w:color w:val="000000"/>
          <w:sz w:val="28"/>
          <w:szCs w:val="28"/>
          <w:highlight w:val="none"/>
        </w:rPr>
        <w:t xml:space="preserve">2.投标截止日期</w:t>
      </w:r>
      <w:bookmarkEnd w:id="65"/>
      <w:r/>
      <w:bookmarkEnd w:id="66"/>
      <w:r/>
      <w:bookmarkEnd w:id="67"/>
      <w:r>
        <w:rPr>
          <w:rFonts w:ascii="宋体" w:hAnsi="宋体"/>
          <w:b/>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2.1 投标人上传电子投标文件的时间不得迟于招标公告中规定的投标截止时间。</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color w:val="000000"/>
          <w:sz w:val="28"/>
          <w:szCs w:val="28"/>
          <w:highlight w:val="none"/>
        </w:rPr>
        <w:t xml:space="preserve">2.2</w:t>
      </w:r>
      <w:r>
        <w:rPr>
          <w:rFonts w:ascii="宋体" w:hAnsi="宋体"/>
          <w:bCs/>
          <w:color w:val="000000"/>
          <w:sz w:val="28"/>
          <w:szCs w:val="28"/>
          <w:highlight w:val="none"/>
        </w:rPr>
        <w:t xml:space="preserve">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ascii="宋体" w:hAnsi="宋体"/>
          <w:bCs/>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68" w:name="_Toc513029227"/>
      <w:r/>
      <w:bookmarkStart w:id="69" w:name="_Toc16938543"/>
      <w:r/>
      <w:bookmarkStart w:id="70" w:name="_Toc20823299"/>
      <w:r>
        <w:rPr>
          <w:rFonts w:ascii="宋体" w:hAnsi="宋体" w:eastAsia="宋体"/>
          <w:color w:val="000000"/>
          <w:sz w:val="28"/>
          <w:szCs w:val="28"/>
          <w:highlight w:val="none"/>
        </w:rPr>
        <w:t xml:space="preserve">3.投标文件</w:t>
      </w:r>
      <w:bookmarkEnd w:id="68"/>
      <w:r/>
      <w:bookmarkEnd w:id="69"/>
      <w:r/>
      <w:bookmarkEnd w:id="70"/>
      <w:r>
        <w:rPr>
          <w:rFonts w:ascii="宋体" w:hAnsi="宋体" w:eastAsia="宋体"/>
          <w:color w:val="000000"/>
          <w:sz w:val="28"/>
          <w:szCs w:val="28"/>
          <w:highlight w:val="none"/>
        </w:rPr>
        <w:t xml:space="preserve">的拒收</w:t>
      </w:r>
      <w:r>
        <w:rPr>
          <w:rFonts w:ascii="宋体" w:hAnsi="宋体" w:eastAsia="宋体"/>
          <w:b/>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3.1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拒绝接收在其规定的投标截止时间后上传的任何投标文件。</w:t>
      </w:r>
      <w:r>
        <w:rPr>
          <w:rFonts w:ascii="宋体" w:hAnsi="宋体"/>
          <w:bCs/>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71" w:name="_Toc20823300"/>
      <w:r/>
      <w:bookmarkStart w:id="72" w:name="_Toc513029228"/>
      <w:r/>
      <w:bookmarkStart w:id="73" w:name="_Toc16938544"/>
      <w:r>
        <w:rPr>
          <w:rFonts w:ascii="宋体" w:hAnsi="宋体" w:eastAsia="宋体"/>
          <w:color w:val="000000"/>
          <w:sz w:val="28"/>
          <w:szCs w:val="28"/>
          <w:highlight w:val="none"/>
        </w:rPr>
        <w:t xml:space="preserve">4.投标文件的撤回和修改</w:t>
      </w:r>
      <w:bookmarkEnd w:id="71"/>
      <w:r/>
      <w:bookmarkEnd w:id="72"/>
      <w:r/>
      <w:bookmarkEnd w:id="73"/>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4.1 投标文件的撤回</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4.1.1 电子投标文件的撤回</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投标人可在投标截止时间前，撤回其电子投标文件，具体操作方法见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4.1.2 投标人撤回电子投标文件，则认为其不再参与本项目投标活动。</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4.2 投标文件的修改</w:t>
      </w:r>
      <w:r>
        <w:rPr>
          <w:rFonts w:ascii="宋体" w:hAnsi="宋体"/>
          <w:color w:val="000000"/>
          <w:sz w:val="28"/>
          <w:szCs w:val="28"/>
          <w:highlight w:val="none"/>
        </w:rPr>
      </w:r>
      <w:r/>
    </w:p>
    <w:p>
      <w:pPr>
        <w:pStyle w:val="794"/>
        <w:ind w:firstLine="555"/>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投标人可在投标截止时间前，对其电子投标文件进行修改，具体操作方法见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94"/>
        <w:ind w:firstLine="555"/>
        <w:spacing w:line="360" w:lineRule="auto"/>
        <w:rPr>
          <w:rFonts w:ascii="宋体" w:hAnsi="宋体"/>
          <w:bCs/>
          <w:color w:val="000000"/>
          <w:sz w:val="28"/>
          <w:szCs w:val="28"/>
          <w:highlight w:val="none"/>
        </w:rPr>
      </w:pPr>
      <w:r>
        <w:rPr>
          <w:rFonts w:ascii="宋体" w:hAnsi="宋体"/>
          <w:color w:val="000000"/>
          <w:sz w:val="28"/>
          <w:szCs w:val="28"/>
          <w:highlight w:val="none"/>
        </w:rPr>
        <w:t xml:space="preserve">4.3</w:t>
      </w:r>
      <w:r>
        <w:rPr>
          <w:rFonts w:ascii="宋体" w:hAnsi="宋体"/>
          <w:bCs/>
          <w:color w:val="000000"/>
          <w:sz w:val="28"/>
          <w:szCs w:val="28"/>
          <w:highlight w:val="none"/>
        </w:rPr>
        <w:t xml:space="preserve"> 在投标截止时间之后，投标人不得对其电子投标文件作任何修改。</w:t>
      </w:r>
      <w:r>
        <w:rPr>
          <w:rFonts w:ascii="宋体" w:hAnsi="宋体"/>
          <w:bCs/>
          <w:color w:val="000000"/>
          <w:sz w:val="28"/>
          <w:szCs w:val="28"/>
          <w:highlight w:val="none"/>
        </w:rPr>
      </w:r>
      <w:r/>
    </w:p>
    <w:p>
      <w:pPr>
        <w:pStyle w:val="794"/>
        <w:ind w:firstLine="555"/>
        <w:spacing w:line="360" w:lineRule="auto"/>
        <w:rPr>
          <w:rFonts w:ascii="宋体" w:hAnsi="宋体"/>
          <w:bCs/>
          <w:color w:val="000000"/>
          <w:sz w:val="28"/>
          <w:szCs w:val="28"/>
          <w:highlight w:val="none"/>
        </w:rPr>
      </w:pPr>
      <w:r>
        <w:rPr>
          <w:rFonts w:ascii="宋体" w:hAnsi="宋体"/>
          <w:color w:val="000000"/>
          <w:sz w:val="28"/>
          <w:szCs w:val="28"/>
          <w:highlight w:val="none"/>
        </w:rPr>
        <w:t xml:space="preserve">4.4</w:t>
      </w:r>
      <w:r>
        <w:rPr>
          <w:rFonts w:ascii="宋体" w:hAnsi="宋体"/>
          <w:bCs/>
          <w:color w:val="000000"/>
          <w:sz w:val="28"/>
          <w:szCs w:val="28"/>
          <w:highlight w:val="none"/>
        </w:rPr>
        <w:t xml:space="preserve"> 在投标截止时间至招标文件中规定的投标有效期满之间的这段时间内，投标人不得撤回其投标。</w:t>
      </w:r>
      <w:r>
        <w:rPr>
          <w:rFonts w:ascii="宋体" w:hAnsi="宋体"/>
          <w:bCs/>
          <w:color w:val="000000"/>
          <w:sz w:val="28"/>
          <w:szCs w:val="28"/>
          <w:highlight w:val="none"/>
        </w:rPr>
      </w:r>
      <w:r/>
    </w:p>
    <w:p>
      <w:pPr>
        <w:pStyle w:val="797"/>
        <w:spacing w:before="0" w:after="0" w:line="360" w:lineRule="auto"/>
        <w:rPr>
          <w:rFonts w:ascii="宋体" w:hAnsi="宋体"/>
          <w:color w:val="000000"/>
          <w:sz w:val="28"/>
          <w:szCs w:val="28"/>
          <w:highlight w:val="none"/>
        </w:rPr>
      </w:pPr>
      <w:r/>
      <w:bookmarkStart w:id="74" w:name="_Toc16938545"/>
      <w:r/>
      <w:bookmarkStart w:id="75" w:name="_Toc20823301"/>
      <w:r/>
      <w:bookmarkStart w:id="76" w:name="_Toc513029229"/>
      <w:r/>
      <w:bookmarkStart w:id="77" w:name="_Toc120614218"/>
      <w:r>
        <w:rPr>
          <w:rFonts w:ascii="宋体" w:hAnsi="宋体"/>
          <w:color w:val="000000"/>
          <w:sz w:val="28"/>
          <w:szCs w:val="28"/>
          <w:highlight w:val="none"/>
        </w:rPr>
        <w:t xml:space="preserve">（五）开标与评标</w:t>
      </w:r>
      <w:bookmarkEnd w:id="74"/>
      <w:r/>
      <w:bookmarkEnd w:id="75"/>
      <w:r/>
      <w:bookmarkEnd w:id="76"/>
      <w:r/>
      <w:bookmarkEnd w:id="77"/>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78" w:name="_Toc513029230"/>
      <w:r/>
      <w:bookmarkStart w:id="79" w:name="_Toc16938546"/>
      <w:r/>
      <w:bookmarkStart w:id="80" w:name="_Toc20823302"/>
      <w:r>
        <w:rPr>
          <w:rFonts w:ascii="宋体" w:hAnsi="宋体" w:eastAsia="宋体"/>
          <w:color w:val="000000"/>
          <w:sz w:val="28"/>
          <w:szCs w:val="28"/>
          <w:highlight w:val="none"/>
        </w:rPr>
        <w:t xml:space="preserve">1</w:t>
      </w:r>
      <w:r>
        <w:rPr>
          <w:rFonts w:hint="eastAsia" w:ascii="宋体" w:hAnsi="宋体" w:eastAsia="宋体"/>
          <w:color w:val="000000"/>
          <w:sz w:val="28"/>
          <w:szCs w:val="28"/>
          <w:highlight w:val="none"/>
        </w:rPr>
        <w:t xml:space="preserve">.</w:t>
      </w:r>
      <w:r>
        <w:rPr>
          <w:rFonts w:ascii="宋体" w:hAnsi="宋体" w:eastAsia="宋体"/>
          <w:color w:val="000000"/>
          <w:sz w:val="28"/>
          <w:szCs w:val="28"/>
          <w:highlight w:val="none"/>
        </w:rPr>
        <w:t xml:space="preserve">开标</w:t>
      </w:r>
      <w:bookmarkEnd w:id="78"/>
      <w:r/>
      <w:bookmarkEnd w:id="79"/>
      <w:r/>
      <w:bookmarkEnd w:id="80"/>
      <w:r>
        <w:rPr>
          <w:rFonts w:ascii="宋体" w:hAnsi="宋体" w:eastAsia="宋体"/>
          <w:b/>
          <w:bCs/>
          <w:color w:val="000000"/>
          <w:sz w:val="28"/>
          <w:szCs w:val="28"/>
          <w:highlight w:val="none"/>
        </w:rPr>
      </w:r>
      <w:r/>
    </w:p>
    <w:p>
      <w:pPr>
        <w:pStyle w:val="794"/>
        <w:ind w:firstLine="556"/>
        <w:spacing w:line="360" w:lineRule="auto"/>
        <w:rPr>
          <w:rFonts w:ascii="宋体" w:hAnsi="宋体"/>
          <w:b/>
          <w:color w:val="000000"/>
          <w:sz w:val="28"/>
          <w:szCs w:val="28"/>
          <w:highlight w:val="none"/>
        </w:rPr>
      </w:pPr>
      <w:r>
        <w:rPr>
          <w:rFonts w:ascii="宋体" w:hAnsi="宋体"/>
          <w:bCs/>
          <w:color w:val="000000"/>
          <w:sz w:val="28"/>
          <w:szCs w:val="28"/>
          <w:highlight w:val="none"/>
        </w:rPr>
        <w:t xml:space="preserve">1.1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将在招标公告中规定的时间和地点组织公开开标。投标人应当</w:t>
      </w:r>
      <w:r>
        <w:rPr>
          <w:rFonts w:hint="eastAsia" w:ascii="宋体" w:hAnsi="宋体"/>
          <w:bCs/>
          <w:color w:val="000000"/>
          <w:sz w:val="28"/>
          <w:szCs w:val="28"/>
          <w:highlight w:val="none"/>
        </w:rPr>
        <w:t xml:space="preserve">按照“江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参加开标活动，</w:t>
      </w:r>
      <w:r>
        <w:rPr>
          <w:rFonts w:ascii="宋体" w:hAnsi="宋体"/>
          <w:b/>
          <w:color w:val="000000"/>
          <w:sz w:val="28"/>
          <w:szCs w:val="28"/>
          <w:highlight w:val="none"/>
        </w:rPr>
        <w:t xml:space="preserve">在</w:t>
      </w:r>
      <w:r>
        <w:rPr>
          <w:rFonts w:hint="eastAsia" w:ascii="宋体" w:hAnsi="宋体"/>
          <w:b/>
          <w:color w:val="000000"/>
          <w:sz w:val="28"/>
          <w:szCs w:val="28"/>
          <w:highlight w:val="none"/>
        </w:rPr>
        <w:t xml:space="preserve">苏采云系统</w:t>
      </w:r>
      <w:r>
        <w:rPr>
          <w:rFonts w:ascii="宋体" w:hAnsi="宋体"/>
          <w:b/>
          <w:color w:val="000000"/>
          <w:sz w:val="28"/>
          <w:szCs w:val="28"/>
          <w:highlight w:val="none"/>
        </w:rPr>
        <w:t xml:space="preserve">规定的时间内对</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进行解密。</w:t>
      </w:r>
      <w:r>
        <w:rPr>
          <w:rFonts w:ascii="宋体" w:hAnsi="宋体"/>
          <w:b/>
          <w:color w:val="000000"/>
          <w:sz w:val="28"/>
          <w:szCs w:val="28"/>
          <w:highlight w:val="none"/>
        </w:rPr>
      </w:r>
      <w:r/>
    </w:p>
    <w:p>
      <w:pPr>
        <w:pStyle w:val="794"/>
        <w:ind w:firstLine="556"/>
        <w:spacing w:line="360" w:lineRule="auto"/>
        <w:rPr>
          <w:rFonts w:ascii="宋体" w:hAnsi="宋体"/>
          <w:color w:val="000000"/>
          <w:sz w:val="28"/>
          <w:szCs w:val="28"/>
          <w:highlight w:val="none"/>
        </w:rPr>
      </w:pPr>
      <w:r>
        <w:rPr>
          <w:rFonts w:ascii="宋体" w:hAnsi="宋体"/>
          <w:bCs/>
          <w:color w:val="000000"/>
          <w:sz w:val="28"/>
          <w:szCs w:val="28"/>
          <w:highlight w:val="none"/>
        </w:rPr>
        <w:t xml:space="preserve">1.2开标仪</w:t>
      </w:r>
      <w:r>
        <w:rPr>
          <w:rFonts w:ascii="宋体" w:hAnsi="宋体"/>
          <w:color w:val="000000"/>
          <w:sz w:val="28"/>
          <w:szCs w:val="28"/>
          <w:highlight w:val="none"/>
        </w:rPr>
        <w:t xml:space="preserve">式由</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组织</w:t>
      </w:r>
      <w:r>
        <w:rPr>
          <w:rFonts w:hint="eastAsia" w:ascii="宋体" w:hAnsi="宋体"/>
          <w:color w:val="000000"/>
          <w:sz w:val="28"/>
          <w:szCs w:val="28"/>
          <w:highlight w:val="none"/>
        </w:rPr>
        <w:t xml:space="preserve">。苏采云系统将自动公布各供应商的报价。</w:t>
      </w:r>
      <w:r>
        <w:rPr>
          <w:rFonts w:ascii="宋体" w:hAnsi="宋体"/>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1.3投标人在开标过程中涉及到的投标文件解密、开标结果确认等工作，按照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执行。</w:t>
      </w:r>
      <w:r>
        <w:rPr>
          <w:rFonts w:ascii="宋体" w:hAnsi="宋体"/>
          <w:bCs/>
          <w:color w:val="000000"/>
          <w:sz w:val="28"/>
          <w:szCs w:val="28"/>
          <w:highlight w:val="none"/>
        </w:rPr>
      </w:r>
      <w:r/>
    </w:p>
    <w:p>
      <w:pPr>
        <w:pStyle w:val="809"/>
        <w:ind w:firstLine="560"/>
        <w:spacing w:line="360" w:lineRule="auto"/>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ascii="宋体" w:hAnsi="宋体" w:eastAsia="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81" w:name="_Toc20823303"/>
      <w:r/>
      <w:bookmarkStart w:id="82" w:name="_Toc16938547"/>
      <w:r/>
      <w:bookmarkStart w:id="83" w:name="_Toc513029231"/>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w:t>
      </w:r>
      <w:r>
        <w:rPr>
          <w:rFonts w:ascii="宋体" w:hAnsi="宋体" w:eastAsia="宋体"/>
          <w:color w:val="000000"/>
          <w:sz w:val="28"/>
          <w:szCs w:val="28"/>
          <w:highlight w:val="none"/>
        </w:rPr>
        <w:t xml:space="preserve">评标委员会</w:t>
      </w:r>
      <w:r>
        <w:rPr>
          <w:rFonts w:ascii="宋体" w:hAnsi="宋体" w:eastAsia="宋体"/>
          <w:b/>
          <w:bCs/>
          <w:color w:val="000000"/>
          <w:sz w:val="28"/>
          <w:szCs w:val="28"/>
          <w:highlight w:val="none"/>
        </w:rPr>
      </w:r>
      <w:r/>
    </w:p>
    <w:p>
      <w:pPr>
        <w:pStyle w:val="794"/>
        <w:spacing w:line="360" w:lineRule="auto"/>
        <w:rPr>
          <w:rFonts w:ascii="宋体" w:hAnsi="宋体"/>
          <w:b/>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2.1</w:t>
      </w:r>
      <w:r>
        <w:rPr>
          <w:rFonts w:ascii="宋体" w:hAnsi="宋体"/>
          <w:b/>
          <w:color w:val="000000"/>
          <w:sz w:val="28"/>
          <w:szCs w:val="28"/>
          <w:highlight w:val="none"/>
        </w:rPr>
        <w:t xml:space="preserve"> </w:t>
      </w:r>
      <w:r>
        <w:rPr>
          <w:rFonts w:ascii="宋体" w:hAnsi="宋体"/>
          <w:color w:val="000000"/>
          <w:sz w:val="28"/>
          <w:szCs w:val="28"/>
          <w:highlight w:val="none"/>
        </w:rPr>
        <w:t xml:space="preserve">开标后，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将立即组织评标委员会（以下简称评委会）进行评标。</w:t>
      </w:r>
      <w:r>
        <w:rPr>
          <w:rFonts w:ascii="宋体" w:hAnsi="宋体"/>
          <w:b/>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2.2 评委会由</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代表和有关技术、经济等方面的专家组成，且人员构成符合政府采购有关规定。</w:t>
      </w: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2.3评委会独立工作，负责评审所有投标文件并确定中标侯选人。</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rPr>
          <w:rFonts w:ascii="宋体" w:hAnsi="宋体" w:eastAsia="宋体"/>
          <w:color w:val="000000"/>
          <w:sz w:val="28"/>
          <w:szCs w:val="28"/>
          <w:highlight w:val="none"/>
        </w:rPr>
        <w:t xml:space="preserve">3.评标过程的保密与公正</w:t>
      </w:r>
      <w:r>
        <w:rPr>
          <w:rFonts w:ascii="宋体" w:hAnsi="宋体" w:eastAsia="宋体"/>
          <w:b/>
          <w:bCs/>
          <w:color w:val="000000"/>
          <w:sz w:val="28"/>
          <w:szCs w:val="28"/>
          <w:highlight w:val="none"/>
        </w:rPr>
      </w:r>
      <w:r/>
    </w:p>
    <w:p>
      <w:pPr>
        <w:pStyle w:val="794"/>
        <w:ind w:firstLine="560"/>
        <w:spacing w:line="360" w:lineRule="auto"/>
        <w:rPr>
          <w:rFonts w:ascii="宋体" w:hAnsi="宋体"/>
          <w:bCs/>
          <w:color w:val="000000"/>
          <w:sz w:val="28"/>
          <w:szCs w:val="28"/>
          <w:highlight w:val="none"/>
        </w:rPr>
      </w:pPr>
      <w:r/>
      <w:bookmarkEnd w:id="81"/>
      <w:r/>
      <w:bookmarkEnd w:id="82"/>
      <w:r/>
      <w:bookmarkEnd w:id="83"/>
      <w:r>
        <w:rPr>
          <w:rFonts w:ascii="宋体" w:hAnsi="宋体"/>
          <w:color w:val="000000"/>
          <w:sz w:val="28"/>
          <w:szCs w:val="28"/>
          <w:highlight w:val="none"/>
        </w:rPr>
        <w:t xml:space="preserve">3.1</w:t>
      </w:r>
      <w:r>
        <w:rPr>
          <w:rFonts w:ascii="宋体" w:hAnsi="宋体"/>
          <w:bCs/>
          <w:color w:val="000000"/>
          <w:sz w:val="28"/>
          <w:szCs w:val="28"/>
          <w:highlight w:val="none"/>
        </w:rPr>
        <w:t xml:space="preserve">公开开标后，直至向中标的投标人授予合同时止，凡是与审查、澄清、评价和比较投标的有关资料以及授标建议等，</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、评委、</w:t>
      </w:r>
      <w:r>
        <w:rPr>
          <w:rFonts w:hint="eastAsia" w:ascii="宋体" w:hAnsi="宋体"/>
          <w:bCs/>
          <w:color w:val="000000"/>
          <w:sz w:val="28"/>
          <w:szCs w:val="28"/>
          <w:highlight w:val="none"/>
        </w:rPr>
        <w:t xml:space="preserve">交易</w:t>
      </w:r>
      <w:r>
        <w:rPr>
          <w:rFonts w:ascii="宋体" w:hAnsi="宋体"/>
          <w:bCs/>
          <w:color w:val="000000"/>
          <w:sz w:val="28"/>
          <w:szCs w:val="28"/>
          <w:highlight w:val="none"/>
        </w:rPr>
        <w:t xml:space="preserve">中心均不得向投标人或与评标无关的其他人员透露。</w:t>
      </w:r>
      <w:r>
        <w:rPr>
          <w:rFonts w:ascii="宋体" w:hAnsi="宋体"/>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3.2在评标过程中，投标人不得以任何行为影响评标过程，否则其投标文件将被作为无效投标文件。</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3.3在评标期间，</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中心将设专门人员与投标人联系。</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3.4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中心和评标委员会不向未中标的投标人解释未中标原因，也不公布评标过程中的相关细节。</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84" w:name="_Toc20823304"/>
      <w:r/>
      <w:bookmarkStart w:id="85" w:name="_Toc16938548"/>
      <w:r/>
      <w:bookmarkStart w:id="86" w:name="_Toc513029232"/>
      <w:r>
        <w:rPr>
          <w:rFonts w:ascii="宋体" w:hAnsi="宋体" w:eastAsia="宋体"/>
          <w:color w:val="000000"/>
          <w:sz w:val="28"/>
          <w:szCs w:val="28"/>
          <w:highlight w:val="none"/>
        </w:rPr>
        <w:t xml:space="preserve">4.投标的澄清</w:t>
      </w:r>
      <w:bookmarkEnd w:id="84"/>
      <w:r/>
      <w:bookmarkEnd w:id="85"/>
      <w:r/>
      <w:bookmarkEnd w:id="86"/>
      <w:r>
        <w:rPr>
          <w:rFonts w:ascii="宋体" w:hAnsi="宋体" w:eastAsia="宋体"/>
          <w:b/>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color w:val="000000"/>
          <w:sz w:val="28"/>
          <w:szCs w:val="28"/>
          <w:highlight w:val="none"/>
        </w:rPr>
        <w:t xml:space="preserve">    4.2接到评委会澄清要求的投标人应派人按评委会规定的时间和格式在</w:t>
      </w:r>
      <w:r>
        <w:rPr>
          <w:rFonts w:hint="eastAsia" w:ascii="宋体" w:hAnsi="宋体"/>
          <w:color w:val="000000"/>
          <w:sz w:val="28"/>
          <w:szCs w:val="28"/>
          <w:highlight w:val="none"/>
        </w:rPr>
        <w:t xml:space="preserve">苏采云系统</w:t>
      </w:r>
      <w:r>
        <w:rPr>
          <w:rFonts w:ascii="宋体" w:hAnsi="宋体"/>
          <w:color w:val="000000"/>
          <w:sz w:val="28"/>
          <w:szCs w:val="28"/>
          <w:highlight w:val="none"/>
        </w:rPr>
        <w:t xml:space="preserve">中做出澄清，澄清的内容作为投标文件的补充部分，但投标的价格和实质性的内容不得做任何更改。具体操作方式见</w:t>
      </w:r>
      <w:r>
        <w:rPr>
          <w:rFonts w:hint="eastAsia" w:ascii="宋体" w:hAnsi="宋体"/>
          <w:color w:val="000000"/>
          <w:sz w:val="28"/>
          <w:szCs w:val="28"/>
          <w:highlight w:val="none"/>
        </w:rPr>
        <w:t xml:space="preserve">“江苏政府采购网-办事指南-资料下载-江苏省政府采购管理交易系统（苏采云）供应商操作指南”</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color w:val="000000"/>
          <w:sz w:val="28"/>
          <w:szCs w:val="28"/>
          <w:highlight w:val="none"/>
        </w:rPr>
        <w:t xml:space="preserve">    4.3 接到评委会澄清要求的投标人如未按规定做出澄清，其风险由投标人自行承担。</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Start w:id="87" w:name="_Toc20823305"/>
      <w:r/>
      <w:bookmarkStart w:id="88" w:name="_Toc16938549"/>
      <w:r/>
      <w:bookmarkStart w:id="89" w:name="_Toc513029233"/>
      <w:r>
        <w:rPr>
          <w:rFonts w:ascii="宋体" w:hAnsi="宋体" w:eastAsia="宋体"/>
          <w:color w:val="000000"/>
          <w:sz w:val="28"/>
          <w:szCs w:val="28"/>
          <w:highlight w:val="none"/>
        </w:rPr>
        <w:t xml:space="preserve">5</w:t>
      </w:r>
      <w:r>
        <w:rPr>
          <w:rFonts w:hint="eastAsia" w:ascii="宋体" w:hAnsi="宋体" w:eastAsia="宋体"/>
          <w:color w:val="000000"/>
          <w:sz w:val="28"/>
          <w:szCs w:val="28"/>
          <w:highlight w:val="none"/>
        </w:rPr>
        <w:t xml:space="preserve">.</w:t>
      </w:r>
      <w:r>
        <w:rPr>
          <w:rFonts w:ascii="宋体" w:hAnsi="宋体" w:eastAsia="宋体"/>
          <w:color w:val="000000"/>
          <w:sz w:val="28"/>
          <w:szCs w:val="28"/>
          <w:highlight w:val="none"/>
        </w:rPr>
        <w:t xml:space="preserve">对投标文件的初审</w:t>
      </w:r>
      <w:bookmarkEnd w:id="87"/>
      <w:r/>
      <w:bookmarkEnd w:id="88"/>
      <w:r/>
      <w:bookmarkEnd w:id="89"/>
      <w:r>
        <w:rPr>
          <w:rFonts w:ascii="宋体" w:hAnsi="宋体" w:eastAsia="宋体"/>
          <w:b/>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color w:val="000000"/>
          <w:sz w:val="28"/>
          <w:szCs w:val="28"/>
          <w:highlight w:val="none"/>
        </w:rPr>
        <w:t xml:space="preserve">5.1</w:t>
      </w:r>
      <w:r>
        <w:rPr>
          <w:rFonts w:ascii="宋体" w:hAnsi="宋体"/>
          <w:bCs/>
          <w:color w:val="000000"/>
          <w:sz w:val="28"/>
          <w:szCs w:val="28"/>
          <w:highlight w:val="none"/>
        </w:rPr>
        <w:t xml:space="preserve">投标文件初审分为资格审查和符合性审查。</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5.1.1 资格审查：依据法律法规和招标文件的规定，由</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对投标文件中的资格证明文件进行审查。资格审查的结论，</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以书面形式向评委会进行反馈。</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在进行资格性审查的同时，将</w:t>
      </w:r>
      <w:r>
        <w:rPr>
          <w:rFonts w:hint="eastAsia" w:ascii="宋体" w:hAnsi="宋体"/>
          <w:bCs/>
          <w:color w:val="000000"/>
          <w:sz w:val="28"/>
          <w:szCs w:val="28"/>
          <w:highlight w:val="none"/>
        </w:rPr>
        <w:t xml:space="preserve">在“信用中国”网站查询供应商的信用记录</w:t>
      </w:r>
      <w:r>
        <w:rPr>
          <w:rFonts w:ascii="宋体" w:hAnsi="宋体"/>
          <w:bCs/>
          <w:color w:val="000000"/>
          <w:sz w:val="28"/>
          <w:szCs w:val="28"/>
          <w:highlight w:val="none"/>
        </w:rPr>
        <w:t xml:space="preserve">，以确定投标人是否具备投标资格。查询结果留存并归档。</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8"/>
          <w:szCs w:val="28"/>
          <w:highlight w:val="none"/>
        </w:rPr>
        <w:t xml:space="preserve">信用</w:t>
      </w:r>
      <w:r>
        <w:rPr>
          <w:rFonts w:ascii="宋体" w:hAnsi="宋体"/>
          <w:bCs/>
          <w:color w:val="000000"/>
          <w:sz w:val="28"/>
          <w:szCs w:val="28"/>
          <w:highlight w:val="none"/>
        </w:rPr>
        <w:t xml:space="preserve">记录。</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5.1.3 未通过资格审查或符合性审查的投标人，</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将在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中告知未通过资格审查或符合性审查的原因，评审结束后，</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将不再告知未通过资格审查或符合性审查的原因。</w:t>
      </w:r>
      <w:r>
        <w:rPr>
          <w:rFonts w:ascii="宋体" w:hAnsi="宋体"/>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000000"/>
          <w:sz w:val="28"/>
          <w:szCs w:val="28"/>
          <w:highlight w:val="none"/>
        </w:rPr>
        <w:t xml:space="preserve">评委决定投标文件的响应性只根据投标文件本身的内容，而不寻求外部的证据。</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color w:val="000000"/>
          <w:sz w:val="28"/>
          <w:szCs w:val="28"/>
          <w:highlight w:val="none"/>
        </w:rPr>
        <w:t xml:space="preserve">5.3</w:t>
      </w:r>
      <w:r>
        <w:rPr>
          <w:rFonts w:ascii="宋体" w:hAnsi="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color w:val="000000"/>
          <w:sz w:val="28"/>
          <w:szCs w:val="28"/>
          <w:highlight w:val="none"/>
        </w:rPr>
        <w:t xml:space="preserve">5.4</w:t>
      </w:r>
      <w:r>
        <w:rPr>
          <w:rFonts w:ascii="宋体" w:hAnsi="宋体"/>
          <w:bCs/>
          <w:color w:val="000000"/>
          <w:sz w:val="28"/>
          <w:szCs w:val="28"/>
          <w:highlight w:val="none"/>
        </w:rPr>
        <w:t xml:space="preserve">评委会将对确定为实质性响应的投标进行进一步审核，看其是否有计算上或累加上的算术错误，修正错误的原则如下：</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（1）投标文件中开标一览表内容与投标文件中相应内容不一致的，以开标一览表为准。</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（2）大写金额和小写金额不一致的，以大写金额为准。</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（3）单价金额小数点或者百分比有明显错位的，以开标一览表的总价为准，并修改单价。</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（4）总价金额与按单价汇总金额不一致的，以单价金额计算结果为准。</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同时出现两种以上错误的，按照前款规定的顺序修正。</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color w:val="000000"/>
          <w:sz w:val="28"/>
          <w:szCs w:val="28"/>
          <w:highlight w:val="none"/>
        </w:rPr>
        <w:t xml:space="preserve">5.5</w:t>
      </w:r>
      <w:r>
        <w:rPr>
          <w:rFonts w:ascii="宋体" w:hAnsi="宋体"/>
          <w:bCs/>
          <w:color w:val="000000"/>
          <w:sz w:val="28"/>
          <w:szCs w:val="28"/>
          <w:highlight w:val="none"/>
        </w:rPr>
        <w:t xml:space="preserve">评委会将按上述修正错误的方法调整投标文件中的投标报价，并通过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告知投标人，调整后的价格应对投标人具有约束力。如果投标人不接受修正后的价格，则其投标将被拒绝。</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color w:val="000000"/>
          <w:sz w:val="28"/>
          <w:szCs w:val="28"/>
          <w:highlight w:val="none"/>
        </w:rPr>
        <w:t xml:space="preserve">5.6</w:t>
      </w:r>
      <w:r>
        <w:rPr>
          <w:rFonts w:ascii="宋体" w:hAnsi="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ascii="宋体" w:hAnsi="宋体"/>
          <w:bCs/>
          <w:color w:val="000000"/>
          <w:sz w:val="28"/>
          <w:szCs w:val="28"/>
          <w:highlight w:val="none"/>
        </w:rPr>
      </w:r>
      <w:r/>
    </w:p>
    <w:p>
      <w:pPr>
        <w:pStyle w:val="794"/>
        <w:ind w:firstLine="560"/>
        <w:spacing w:line="360" w:lineRule="auto"/>
        <w:rPr>
          <w:rFonts w:ascii="宋体" w:hAnsi="宋体"/>
          <w:color w:val="000000"/>
          <w:sz w:val="28"/>
          <w:szCs w:val="28"/>
          <w:highlight w:val="none"/>
        </w:rPr>
      </w:pPr>
      <w:r/>
      <w:bookmarkStart w:id="90" w:name="_Toc20823306"/>
      <w:r/>
      <w:bookmarkStart w:id="91" w:name="_Toc16938550"/>
      <w:r/>
      <w:bookmarkStart w:id="92" w:name="_Toc513029234"/>
      <w:r>
        <w:rPr>
          <w:rFonts w:ascii="宋体" w:hAnsi="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非单一产品采购项目，招标文件中将载明其中的核心产品。多家投标人提供的核心产品品牌相同的，按前两款规定处理。</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5.8 投标人在开、评标全过程中应保持通讯畅通，并安排专人与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中心及评标委员会联系。</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hint="eastAsia" w:ascii="宋体" w:hAnsi="宋体" w:cs="宋体"/>
          <w:color w:val="000000"/>
          <w:sz w:val="28"/>
          <w:szCs w:val="28"/>
          <w:highlight w:val="none"/>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ascii="宋体" w:hAnsi="宋体"/>
          <w:color w:val="000000"/>
          <w:sz w:val="28"/>
          <w:szCs w:val="28"/>
          <w:highlight w:val="none"/>
        </w:rPr>
      </w:r>
      <w:r/>
    </w:p>
    <w:p>
      <w:pPr>
        <w:pStyle w:val="798"/>
        <w:jc w:val="both"/>
        <w:spacing w:line="360" w:lineRule="auto"/>
        <w:rPr>
          <w:rFonts w:ascii="宋体" w:hAnsi="宋体" w:eastAsia="宋体"/>
          <w:b/>
          <w:bCs/>
          <w:color w:val="000000"/>
          <w:sz w:val="28"/>
          <w:szCs w:val="28"/>
          <w:highlight w:val="none"/>
        </w:rPr>
      </w:pPr>
      <w:r/>
      <w:bookmarkEnd w:id="90"/>
      <w:r/>
      <w:bookmarkEnd w:id="91"/>
      <w:r/>
      <w:bookmarkEnd w:id="92"/>
      <w:r>
        <w:rPr>
          <w:rFonts w:ascii="宋体" w:hAnsi="宋体" w:eastAsia="宋体"/>
          <w:color w:val="000000"/>
          <w:sz w:val="28"/>
          <w:szCs w:val="28"/>
          <w:highlight w:val="none"/>
        </w:rPr>
        <w:t xml:space="preserve">6.无效投标条款和废标条款</w:t>
      </w:r>
      <w:r>
        <w:rPr>
          <w:rFonts w:ascii="宋体" w:hAnsi="宋体" w:eastAsia="宋体"/>
          <w:b/>
          <w:bCs/>
          <w:color w:val="000000"/>
          <w:sz w:val="28"/>
          <w:szCs w:val="28"/>
          <w:highlight w:val="none"/>
        </w:rPr>
      </w:r>
      <w:r/>
    </w:p>
    <w:p>
      <w:pPr>
        <w:pStyle w:val="794"/>
        <w:ind w:firstLine="560"/>
        <w:spacing w:line="360" w:lineRule="auto"/>
        <w:rPr>
          <w:rFonts w:ascii="宋体" w:hAnsi="宋体"/>
          <w:bCs/>
          <w:color w:val="000000"/>
          <w:sz w:val="28"/>
          <w:szCs w:val="28"/>
          <w:highlight w:val="none"/>
        </w:rPr>
      </w:pPr>
      <w:r/>
      <w:bookmarkStart w:id="93" w:name="_Toc20823307"/>
      <w:r/>
      <w:bookmarkStart w:id="94" w:name="_Toc16938551"/>
      <w:r/>
      <w:bookmarkStart w:id="95" w:name="_Toc513029235"/>
      <w:r>
        <w:rPr>
          <w:rFonts w:ascii="宋体" w:hAnsi="宋体"/>
          <w:bCs/>
          <w:color w:val="000000"/>
          <w:sz w:val="28"/>
          <w:szCs w:val="28"/>
          <w:highlight w:val="none"/>
        </w:rPr>
        <w:t xml:space="preserve">6.1无效投标条款</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6.1.1 投标人在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规定的时间内未成功解密电子投标文件的。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6.1.2 投标人未按照招标文件要求上传电子投标文件的。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6.1.3同一投标人提交两个（含两个）以上不同的投标报价的。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6.1.4投标人不具备招标文件中规定资格要求的。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6.1.5投标人的报价超过了采购预算或最高限价的。</w:t>
      </w:r>
      <w:r>
        <w:rPr>
          <w:rFonts w:ascii="宋体" w:hAnsi="宋体"/>
          <w:bCs/>
          <w:color w:val="000000"/>
          <w:sz w:val="28"/>
          <w:szCs w:val="28"/>
          <w:highlight w:val="none"/>
        </w:rPr>
      </w:r>
      <w:r/>
    </w:p>
    <w:p>
      <w:pPr>
        <w:pStyle w:val="794"/>
        <w:ind w:firstLine="560"/>
        <w:spacing w:line="360" w:lineRule="auto"/>
        <w:rPr>
          <w:rFonts w:ascii="宋体" w:hAnsi="宋体"/>
          <w:bCs/>
          <w:i/>
          <w:color w:val="000000"/>
          <w:sz w:val="28"/>
          <w:szCs w:val="28"/>
          <w:highlight w:val="none"/>
          <w:u w:val="single"/>
        </w:rPr>
      </w:pPr>
      <w:r>
        <w:rPr>
          <w:rFonts w:ascii="宋体" w:hAnsi="宋体"/>
          <w:bCs/>
          <w:color w:val="000000"/>
          <w:sz w:val="28"/>
          <w:szCs w:val="28"/>
          <w:highlight w:val="none"/>
        </w:rPr>
        <w:t xml:space="preserve">6.1.6未通过符合性检查的。</w:t>
      </w:r>
      <w:r>
        <w:rPr>
          <w:rFonts w:ascii="宋体" w:hAnsi="宋体"/>
          <w:bCs/>
          <w:i/>
          <w:color w:val="000000"/>
          <w:sz w:val="28"/>
          <w:szCs w:val="28"/>
          <w:highlight w:val="none"/>
          <w:u w:val="single"/>
        </w:rPr>
      </w:r>
      <w:r/>
    </w:p>
    <w:p>
      <w:pPr>
        <w:pStyle w:val="794"/>
        <w:ind w:firstLine="420"/>
        <w:spacing w:line="360" w:lineRule="auto"/>
        <w:rPr>
          <w:rFonts w:ascii="宋体" w:hAnsi="宋体"/>
          <w:bCs/>
          <w:i/>
          <w:color w:val="000000"/>
          <w:sz w:val="28"/>
          <w:szCs w:val="28"/>
          <w:highlight w:val="none"/>
          <w:u w:val="single"/>
        </w:rPr>
      </w:pPr>
      <w:r>
        <w:rPr>
          <w:rFonts w:ascii="宋体" w:hAnsi="宋体"/>
          <w:bCs/>
          <w:color w:val="000000"/>
          <w:sz w:val="28"/>
          <w:szCs w:val="28"/>
          <w:highlight w:val="none"/>
        </w:rPr>
        <w:t xml:space="preserve"> 6.1.7不符合招标文件中规定的其他实质性要求和条件的。</w:t>
      </w:r>
      <w:r>
        <w:rPr>
          <w:rFonts w:ascii="宋体" w:hAnsi="宋体"/>
          <w:bCs/>
          <w:i/>
          <w:color w:val="000000"/>
          <w:sz w:val="28"/>
          <w:szCs w:val="28"/>
          <w:highlight w:val="none"/>
          <w:u w:val="singl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6.1.9 投标文件含有</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不能接受的附加条件的。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要求其在合理的时间内提供说明，必要时提交相关证明材料；投标人不能证明其报价合理性的，评标委员会应当将其作为无效投标处理。</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8"/>
          <w:szCs w:val="28"/>
          <w:highlight w:val="none"/>
        </w:rPr>
        <w:t xml:space="preserve">扫描件</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6.1.12投标文件未按照招标文件要求加盖电子签章。</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6.1.13不同的投标人投标文件制作机器码、文件创建标识码一致的。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6.1.14投标人的商务技术部分得分相差异常悬殊，评标委员会一致认为得分畸低者有可能影响产品质量或者不能诚信履约的。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6.1.1</w:t>
      </w:r>
      <w:r>
        <w:rPr>
          <w:rFonts w:hint="eastAsia" w:ascii="宋体" w:hAnsi="宋体"/>
          <w:bCs/>
          <w:color w:val="000000"/>
          <w:sz w:val="28"/>
          <w:szCs w:val="28"/>
          <w:highlight w:val="none"/>
        </w:rPr>
        <w:t xml:space="preserve">5</w:t>
      </w:r>
      <w:r>
        <w:rPr>
          <w:rFonts w:ascii="宋体" w:hAnsi="宋体"/>
          <w:bCs/>
          <w:color w:val="000000"/>
          <w:sz w:val="28"/>
          <w:szCs w:val="28"/>
          <w:highlight w:val="none"/>
        </w:rPr>
        <w:t xml:space="preserve">其他法律、法规及本招标文件规定的属无效投标的情形。</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6.2废标条款：</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6.2.1符合专业条件的供应商或者对招标文件作实质响应的供应商不足三家的。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6.2.2出现影响采购公正的违法、违规行为的。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6.2.3因重大变故，采购任务取消的。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6.2.4评标委员会认定招标文件存在歧义、重大缺陷导致评审工作无法进行。</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6.2.5 因</w:t>
      </w:r>
      <w:r>
        <w:rPr>
          <w:rFonts w:hint="eastAsia" w:ascii="宋体" w:hAnsi="宋体"/>
          <w:bCs/>
          <w:color w:val="000000"/>
          <w:sz w:val="28"/>
          <w:szCs w:val="28"/>
          <w:highlight w:val="none"/>
        </w:rPr>
        <w:t xml:space="preserve">苏采云</w:t>
      </w:r>
      <w:r>
        <w:rPr>
          <w:rFonts w:ascii="宋体" w:hAnsi="宋体"/>
          <w:bCs/>
          <w:color w:val="000000"/>
          <w:sz w:val="28"/>
          <w:szCs w:val="28"/>
          <w:highlight w:val="none"/>
        </w:rPr>
        <w:t xml:space="preserve">系统故障原因造成开标不成功的。</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6.3 投标截止时间结束后参加投标的供应商不足三家的处理：</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ascii="宋体" w:hAnsi="宋体"/>
          <w:bCs/>
          <w:color w:val="000000"/>
          <w:sz w:val="28"/>
          <w:szCs w:val="28"/>
          <w:highlight w:val="none"/>
        </w:rPr>
      </w:r>
      <w:r/>
    </w:p>
    <w:p>
      <w:pPr>
        <w:pStyle w:val="797"/>
        <w:spacing w:before="0" w:after="0" w:line="360" w:lineRule="auto"/>
        <w:rPr>
          <w:rFonts w:ascii="宋体" w:hAnsi="宋体"/>
          <w:color w:val="000000"/>
          <w:sz w:val="28"/>
          <w:szCs w:val="28"/>
          <w:highlight w:val="none"/>
        </w:rPr>
      </w:pPr>
      <w:r/>
      <w:bookmarkEnd w:id="93"/>
      <w:r/>
      <w:bookmarkEnd w:id="94"/>
      <w:r/>
      <w:bookmarkEnd w:id="95"/>
      <w:r/>
      <w:bookmarkStart w:id="96" w:name="_Toc120614219"/>
      <w:r>
        <w:rPr>
          <w:rFonts w:ascii="宋体" w:hAnsi="宋体"/>
          <w:color w:val="000000"/>
          <w:sz w:val="28"/>
          <w:szCs w:val="28"/>
          <w:highlight w:val="none"/>
        </w:rPr>
        <w:t xml:space="preserve">（六）定标</w:t>
      </w:r>
      <w:bookmarkEnd w:id="96"/>
      <w:r>
        <w:rPr>
          <w:rFonts w:ascii="宋体" w:hAnsi="宋体"/>
          <w:color w:val="000000"/>
          <w:sz w:val="28"/>
          <w:szCs w:val="28"/>
          <w:highlight w:val="none"/>
        </w:rPr>
      </w:r>
      <w:r/>
    </w:p>
    <w:p>
      <w:pPr>
        <w:pStyle w:val="798"/>
        <w:jc w:val="both"/>
        <w:spacing w:line="360" w:lineRule="auto"/>
        <w:rPr>
          <w:rFonts w:ascii="宋体" w:hAnsi="宋体" w:eastAsia="宋体"/>
          <w:b/>
          <w:color w:val="000000"/>
          <w:sz w:val="28"/>
          <w:szCs w:val="28"/>
          <w:highlight w:val="none"/>
        </w:rPr>
      </w:pPr>
      <w:r/>
      <w:bookmarkStart w:id="97" w:name="_Toc20823310"/>
      <w:r/>
      <w:bookmarkStart w:id="98" w:name="_Toc16938554"/>
      <w:r>
        <w:rPr>
          <w:rFonts w:ascii="宋体" w:hAnsi="宋体" w:eastAsia="宋体"/>
          <w:color w:val="000000"/>
          <w:sz w:val="28"/>
          <w:szCs w:val="28"/>
          <w:highlight w:val="none"/>
        </w:rPr>
        <w:t xml:space="preserve">1.确定</w:t>
      </w:r>
      <w:bookmarkEnd w:id="97"/>
      <w:r/>
      <w:bookmarkEnd w:id="98"/>
      <w:r>
        <w:rPr>
          <w:rFonts w:ascii="宋体" w:hAnsi="宋体" w:eastAsia="宋体"/>
          <w:color w:val="000000"/>
          <w:sz w:val="28"/>
          <w:szCs w:val="28"/>
          <w:highlight w:val="none"/>
        </w:rPr>
        <w:t xml:space="preserve">中标单位</w:t>
      </w:r>
      <w:r>
        <w:rPr>
          <w:rFonts w:ascii="宋体" w:hAnsi="宋体" w:eastAsia="宋体"/>
          <w:b/>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1.1中标候选人的选取原则和数量见招标文件第四部分规定。 </w:t>
      </w:r>
      <w:r>
        <w:rPr>
          <w:rFonts w:ascii="宋体" w:hAnsi="宋体"/>
          <w:bCs/>
          <w:color w:val="000000"/>
          <w:sz w:val="28"/>
          <w:szCs w:val="28"/>
          <w:highlight w:val="none"/>
        </w:rPr>
      </w:r>
      <w:r/>
    </w:p>
    <w:p>
      <w:pPr>
        <w:pStyle w:val="794"/>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1.2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应根据评委会推荐的中标候选人确定中标人。</w:t>
      </w:r>
      <w:r>
        <w:rPr>
          <w:rFonts w:ascii="宋体" w:hAnsi="宋体"/>
          <w:bCs/>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bCs/>
          <w:color w:val="000000"/>
          <w:sz w:val="28"/>
          <w:szCs w:val="28"/>
          <w:highlight w:val="none"/>
        </w:rPr>
        <w:t xml:space="preserve">1.3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中心将在“</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t xml:space="preserve">”发布中标公告，公告期限为1个工作日。</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1.4  若有充分证据证明，中标人出现下列情况之一的，一经查实，将被取消中标资格：</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1.4.1提供虚假材料谋取中标的。</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1.4.2向</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中心行贿或者提供其他不正当利益的。</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1.4.3恶意竞争，投标总报价明显低于其自身合理成本且又无法提供证明的。</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1.4.4属于本文件规定的无效条件，但在评标过程中又未被评委会发现的。</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1.4.5与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或者其他供应商恶意串通的。</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1.4.6采取不正当手段诋毁、排挤其他供应商的。</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bookmarkStart w:id="99" w:name="_Toc200451960"/>
      <w:r>
        <w:rPr>
          <w:rFonts w:ascii="宋体" w:hAnsi="宋体"/>
          <w:color w:val="000000"/>
          <w:sz w:val="28"/>
          <w:szCs w:val="28"/>
          <w:highlight w:val="none"/>
        </w:rPr>
        <w:t xml:space="preserve">1.5.有下列情形之一的，视为投标人串通投标，投标无效：</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1.5.1不同投标人的投标文件由同一单位或者个人编制；</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1.5.2不同投标人委托同一单位或者个人办理投标事宜；</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1.5.3不同投标人的投标文件载明的项目管理成员或者联系人员为同一人；</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1.5.4不同投标人的投标文件异常一致或者投标报价呈规律性差异；</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1.5.5不同投标人的投标文件相互混装</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98"/>
        <w:jc w:val="both"/>
        <w:spacing w:line="360" w:lineRule="auto"/>
        <w:rPr>
          <w:rFonts w:ascii="宋体" w:hAnsi="宋体" w:eastAsia="宋体"/>
          <w:b/>
          <w:color w:val="000000"/>
          <w:sz w:val="28"/>
          <w:szCs w:val="28"/>
          <w:highlight w:val="none"/>
        </w:rPr>
      </w:pPr>
      <w:r>
        <w:rPr>
          <w:rFonts w:ascii="宋体" w:hAnsi="宋体" w:eastAsia="宋体"/>
          <w:color w:val="000000"/>
          <w:sz w:val="28"/>
          <w:szCs w:val="28"/>
          <w:highlight w:val="none"/>
        </w:rPr>
        <w:t xml:space="preserve">2.质疑处理</w:t>
      </w:r>
      <w:bookmarkEnd w:id="99"/>
      <w:r>
        <w:rPr>
          <w:rFonts w:ascii="宋体" w:hAnsi="宋体" w:eastAsia="宋体"/>
          <w:b/>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2.1 提出质疑的供应商应当是参与所质疑项目采购活动的供应商。潜在供应商依法获取其可质疑的采购文件的，可以对采购文件提出质疑。</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sz w:val="28"/>
          <w:szCs w:val="28"/>
          <w:highlight w:val="none"/>
        </w:rPr>
        <w:t xml:space="preserve">招标人和交易</w:t>
      </w:r>
      <w:r>
        <w:rPr>
          <w:rFonts w:ascii="宋体" w:hAnsi="宋体"/>
          <w:color w:val="000000"/>
          <w:sz w:val="28"/>
          <w:szCs w:val="28"/>
          <w:highlight w:val="none"/>
        </w:rPr>
        <w:t xml:space="preserve">中心提出质疑</w:t>
      </w:r>
      <w:r>
        <w:rPr>
          <w:rFonts w:hint="eastAsia" w:ascii="宋体" w:hAnsi="宋体"/>
          <w:color w:val="000000"/>
          <w:sz w:val="28"/>
          <w:szCs w:val="28"/>
          <w:highlight w:val="none"/>
        </w:rPr>
        <w:t xml:space="preserve">，由招标人负责答复</w:t>
      </w:r>
      <w:r>
        <w:rPr>
          <w:rFonts w:ascii="宋体" w:hAnsi="宋体"/>
          <w:color w:val="000000"/>
          <w:sz w:val="28"/>
          <w:szCs w:val="28"/>
          <w:highlight w:val="none"/>
        </w:rPr>
        <w:t xml:space="preserve">。上述应知其权益受到损害之日，是指：</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2.2.1对可以质疑的采购文件提出质疑的，为收到采购文件之日或者采购文件公告期限届满之日；</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2.2.2对采购过程提出质疑的，为各采购程序环节结束之日；</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2.2.3对中标或者成交结果提出质疑的，为中标或者成交结果公告期限届满之日。</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供应商应当在法定质疑期内一次性提出针对同一采购程序环节的质疑。</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2.4供应商于法定期限内提起质疑，向</w:t>
      </w:r>
      <w:r>
        <w:rPr>
          <w:rFonts w:hint="eastAsia" w:ascii="宋体" w:hAnsi="宋体"/>
          <w:b/>
          <w:bCs/>
          <w:color w:val="000000"/>
          <w:sz w:val="28"/>
          <w:szCs w:val="28"/>
          <w:highlight w:val="none"/>
        </w:rPr>
        <w:t xml:space="preserve">招标人和交易</w:t>
      </w:r>
      <w:r>
        <w:rPr>
          <w:rFonts w:ascii="宋体" w:hAnsi="宋体"/>
          <w:b/>
          <w:bCs/>
          <w:color w:val="000000"/>
          <w:sz w:val="28"/>
          <w:szCs w:val="28"/>
          <w:highlight w:val="none"/>
        </w:rPr>
        <w:t xml:space="preserve">中心</w:t>
      </w:r>
      <w:r>
        <w:rPr>
          <w:rFonts w:ascii="宋体" w:hAnsi="宋体"/>
          <w:color w:val="000000"/>
          <w:sz w:val="28"/>
          <w:szCs w:val="28"/>
          <w:highlight w:val="none"/>
        </w:rPr>
        <w:t xml:space="preserve">以书面形式提交质疑</w:t>
      </w:r>
      <w:r>
        <w:rPr>
          <w:rFonts w:hint="eastAsia" w:ascii="宋体" w:hAnsi="宋体"/>
          <w:color w:val="000000"/>
          <w:sz w:val="28"/>
          <w:szCs w:val="28"/>
          <w:highlight w:val="none"/>
        </w:rPr>
        <w:t xml:space="preserve">有关材料</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书面质疑材料采取当面递交或邮寄、快递的方式送达。</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质疑接收人及联系方式，见招标文件第一章。</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交易中心</w:t>
      </w:r>
      <w:r>
        <w:rPr>
          <w:rFonts w:ascii="宋体" w:hAnsi="宋体"/>
          <w:color w:val="000000"/>
          <w:sz w:val="28"/>
          <w:szCs w:val="28"/>
          <w:highlight w:val="none"/>
        </w:rPr>
        <w:t xml:space="preserve">质疑受理部门为</w:t>
      </w:r>
      <w:r>
        <w:rPr>
          <w:rFonts w:hint="eastAsia" w:ascii="宋体" w:hAnsi="宋体"/>
          <w:color w:val="000000"/>
          <w:sz w:val="28"/>
          <w:szCs w:val="28"/>
          <w:highlight w:val="none"/>
        </w:rPr>
        <w:t xml:space="preserve">政府采购科</w:t>
      </w:r>
      <w:r>
        <w:rPr>
          <w:rFonts w:ascii="宋体" w:hAnsi="宋体"/>
          <w:color w:val="000000"/>
          <w:sz w:val="28"/>
          <w:szCs w:val="28"/>
          <w:highlight w:val="none"/>
        </w:rPr>
        <w:t xml:space="preserve">，联系地址：</w:t>
      </w:r>
      <w:r>
        <w:rPr>
          <w:rFonts w:hint="eastAsia" w:ascii="宋体" w:hAnsi="宋体"/>
          <w:color w:val="000000"/>
          <w:sz w:val="28"/>
          <w:szCs w:val="28"/>
          <w:highlight w:val="none"/>
        </w:rPr>
        <w:t xml:space="preserve">如皋市惠政路1799号 </w:t>
      </w:r>
      <w:r>
        <w:rPr>
          <w:rFonts w:ascii="宋体" w:hAnsi="宋体"/>
          <w:color w:val="000000"/>
          <w:sz w:val="28"/>
          <w:szCs w:val="28"/>
          <w:highlight w:val="none"/>
        </w:rPr>
        <w:t xml:space="preserve">，联系电话：</w:t>
      </w:r>
      <w:r>
        <w:rPr>
          <w:rFonts w:hint="eastAsia" w:ascii="宋体" w:hAnsi="宋体"/>
          <w:color w:val="000000"/>
          <w:sz w:val="28"/>
          <w:szCs w:val="28"/>
          <w:highlight w:val="none"/>
        </w:rPr>
        <w:t xml:space="preserve">0513-87620882</w:t>
      </w:r>
      <w:r>
        <w:rPr>
          <w:rFonts w:ascii="宋体" w:hAnsi="宋体"/>
          <w:color w:val="000000"/>
          <w:sz w:val="28"/>
          <w:szCs w:val="28"/>
          <w:highlight w:val="none"/>
        </w:rPr>
        <w:t xml:space="preserve">。</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2.5 以下情形的质疑不予受理</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2.5.1 内容不符合《政府采购质疑和投诉办法》第十二条规定的质疑。</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2.5.2 超出政府采购法定期限的质疑。</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2.5.3 未参加投标活动的供应商或在投标活动中自身权益未受到损害的供应商所提出的质疑。</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2.5.4供应商组成联合体参加投标，联合体中任何一方或多方未按要求签字、盖章、加盖公章的质疑。</w:t>
      </w:r>
      <w:r>
        <w:rPr>
          <w:rFonts w:ascii="宋体" w:hAnsi="宋体"/>
          <w:color w:val="000000"/>
          <w:sz w:val="28"/>
          <w:szCs w:val="28"/>
          <w:highlight w:val="none"/>
        </w:rPr>
      </w:r>
      <w:r/>
    </w:p>
    <w:p>
      <w:pPr>
        <w:pStyle w:val="794"/>
        <w:ind w:firstLine="546"/>
        <w:spacing w:line="360" w:lineRule="auto"/>
        <w:rPr>
          <w:rFonts w:ascii="宋体" w:hAnsi="宋体"/>
          <w:color w:val="000000"/>
          <w:sz w:val="28"/>
          <w:szCs w:val="28"/>
          <w:highlight w:val="none"/>
        </w:rPr>
      </w:pPr>
      <w:r>
        <w:rPr>
          <w:rFonts w:ascii="宋体" w:hAnsi="宋体"/>
          <w:color w:val="000000"/>
          <w:sz w:val="28"/>
          <w:szCs w:val="28"/>
          <w:highlight w:val="none"/>
        </w:rPr>
        <w:t xml:space="preserve">2.6 供应商提出书面质疑必须有理、有据，不得捏造事实、提供虚假材料进行恶意质疑。否则，一经查实，</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中心有权依据政府采购的有关规定，报请政府采购监管部门对该供应商进行相应的行政处罚和记录该供应商的失信信息。</w:t>
      </w:r>
      <w:r>
        <w:rPr>
          <w:rFonts w:ascii="宋体" w:hAnsi="宋体"/>
          <w:color w:val="000000"/>
          <w:sz w:val="28"/>
          <w:szCs w:val="28"/>
          <w:highlight w:val="none"/>
        </w:rPr>
      </w:r>
      <w:r/>
    </w:p>
    <w:p>
      <w:pPr>
        <w:pStyle w:val="794"/>
        <w:ind w:firstLine="546"/>
        <w:spacing w:line="360" w:lineRule="auto"/>
        <w:rPr>
          <w:rFonts w:ascii="宋体" w:hAnsi="宋体"/>
          <w:color w:val="000000"/>
          <w:sz w:val="28"/>
          <w:szCs w:val="28"/>
          <w:highlight w:val="none"/>
        </w:rPr>
      </w:pPr>
      <w:r>
        <w:rPr>
          <w:rFonts w:ascii="宋体" w:hAnsi="宋体"/>
          <w:color w:val="000000"/>
          <w:sz w:val="28"/>
          <w:szCs w:val="28"/>
          <w:highlight w:val="none"/>
        </w:rPr>
        <w:t xml:space="preserve">2.7</w:t>
      </w:r>
      <w:r>
        <w:rPr>
          <w:rFonts w:hint="eastAsia" w:ascii="宋体" w:hAnsi="宋体"/>
          <w:color w:val="000000"/>
          <w:sz w:val="28"/>
          <w:szCs w:val="28"/>
          <w:highlight w:val="none"/>
        </w:rPr>
        <w:t xml:space="preserve">质疑供应商对招标人的答复不满意，或者招标人未在规定时间内作出答复的，可以在答复期满后15个工作日内向财政部门提起投诉。</w:t>
      </w:r>
      <w:r>
        <w:rPr>
          <w:rFonts w:ascii="宋体" w:hAnsi="宋体"/>
          <w:color w:val="000000"/>
          <w:sz w:val="28"/>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投诉人为自然人的，应当由本人签字；投诉人为法人或者其他组织的，应当由法定代表人、主要负责人，或者其授权代表签字或者盖章，并加盖公章。</w:t>
      </w:r>
      <w:r>
        <w:rPr>
          <w:rFonts w:ascii="宋体" w:hAnsi="宋体" w:eastAsia="宋体"/>
          <w:color w:val="000000"/>
          <w:szCs w:val="28"/>
          <w:highlight w:val="none"/>
        </w:rPr>
      </w:r>
      <w:r/>
    </w:p>
    <w:p>
      <w:pPr>
        <w:pStyle w:val="798"/>
        <w:jc w:val="both"/>
        <w:spacing w:line="360" w:lineRule="auto"/>
        <w:rPr>
          <w:rFonts w:ascii="宋体" w:hAnsi="宋体" w:eastAsia="宋体"/>
          <w:b/>
          <w:color w:val="000000"/>
          <w:sz w:val="28"/>
          <w:szCs w:val="28"/>
          <w:highlight w:val="none"/>
        </w:rPr>
      </w:pPr>
      <w:r>
        <w:rPr>
          <w:rFonts w:ascii="宋体" w:hAnsi="宋体" w:eastAsia="宋体"/>
          <w:color w:val="000000"/>
          <w:sz w:val="28"/>
          <w:szCs w:val="28"/>
          <w:highlight w:val="none"/>
        </w:rPr>
        <w:t xml:space="preserve">3</w:t>
      </w:r>
      <w:r>
        <w:rPr>
          <w:rFonts w:hint="eastAsia" w:ascii="宋体" w:hAnsi="宋体" w:eastAsia="宋体"/>
          <w:color w:val="000000"/>
          <w:sz w:val="28"/>
          <w:szCs w:val="28"/>
          <w:highlight w:val="none"/>
        </w:rPr>
        <w:t xml:space="preserve">.</w:t>
      </w:r>
      <w:r>
        <w:rPr>
          <w:rFonts w:ascii="宋体" w:hAnsi="宋体" w:eastAsia="宋体"/>
          <w:color w:val="000000"/>
          <w:sz w:val="28"/>
          <w:szCs w:val="28"/>
          <w:highlight w:val="none"/>
        </w:rPr>
        <w:t xml:space="preserve">中标通知书</w:t>
      </w:r>
      <w:r>
        <w:rPr>
          <w:rFonts w:ascii="宋体" w:hAnsi="宋体" w:eastAsia="宋体"/>
          <w:b/>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3.l</w:t>
      </w:r>
      <w:r>
        <w:rPr>
          <w:rFonts w:hint="eastAsia" w:ascii="宋体" w:hAnsi="宋体"/>
          <w:color w:val="000000"/>
          <w:sz w:val="28"/>
          <w:szCs w:val="28"/>
          <w:highlight w:val="none"/>
        </w:rPr>
        <w:t xml:space="preserve">公告中标结果的同时</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将向中标供应商发出中标通知书。</w:t>
      </w:r>
      <w:r>
        <w:rPr>
          <w:rFonts w:hint="eastAsia" w:ascii="宋体" w:hAnsi="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t xml:space="preserve">3.2中标通知书将是合同的一个组成部分。对</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和中标供应商均具有法律效力。中标通知书发出后，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改变中标结果的，或者中标供应商放弃中标项目的，应当依法承担法律责任。</w:t>
      </w:r>
      <w:r>
        <w:rPr>
          <w:rFonts w:ascii="宋体" w:hAnsi="宋体"/>
          <w:color w:val="000000"/>
          <w:sz w:val="28"/>
          <w:szCs w:val="28"/>
          <w:highlight w:val="none"/>
        </w:rPr>
      </w:r>
      <w:r/>
    </w:p>
    <w:p>
      <w:pPr>
        <w:pStyle w:val="797"/>
        <w:spacing w:before="0" w:after="0" w:line="360" w:lineRule="auto"/>
        <w:rPr>
          <w:rFonts w:ascii="宋体" w:hAnsi="宋体"/>
          <w:color w:val="000000"/>
          <w:sz w:val="28"/>
          <w:szCs w:val="28"/>
          <w:highlight w:val="none"/>
        </w:rPr>
      </w:pPr>
      <w:r/>
      <w:bookmarkStart w:id="100" w:name="_Toc120614220"/>
      <w:r/>
      <w:bookmarkStart w:id="101" w:name="_Toc16938552"/>
      <w:r/>
      <w:bookmarkStart w:id="102" w:name="_Toc513029236"/>
      <w:r/>
      <w:bookmarkStart w:id="103" w:name="_Toc20823308"/>
      <w:r>
        <w:rPr>
          <w:rFonts w:ascii="宋体" w:hAnsi="宋体"/>
          <w:color w:val="000000"/>
          <w:sz w:val="28"/>
          <w:szCs w:val="28"/>
          <w:highlight w:val="none"/>
        </w:rPr>
        <w:t xml:space="preserve">（七）授予合同</w:t>
      </w:r>
      <w:bookmarkEnd w:id="100"/>
      <w:r>
        <w:rPr>
          <w:rFonts w:ascii="宋体" w:hAnsi="宋体"/>
          <w:color w:val="000000"/>
          <w:sz w:val="28"/>
          <w:szCs w:val="28"/>
          <w:highlight w:val="none"/>
        </w:rPr>
      </w:r>
      <w:r/>
    </w:p>
    <w:p>
      <w:pPr>
        <w:pStyle w:val="798"/>
        <w:jc w:val="both"/>
        <w:spacing w:line="360" w:lineRule="auto"/>
        <w:rPr>
          <w:rFonts w:ascii="宋体" w:hAnsi="宋体" w:eastAsia="宋体"/>
          <w:b/>
          <w:color w:val="000000"/>
          <w:sz w:val="28"/>
          <w:szCs w:val="28"/>
          <w:highlight w:val="none"/>
        </w:rPr>
      </w:pPr>
      <w:r/>
      <w:bookmarkEnd w:id="101"/>
      <w:r/>
      <w:bookmarkEnd w:id="102"/>
      <w:r/>
      <w:bookmarkEnd w:id="103"/>
      <w:r/>
      <w:bookmarkStart w:id="104" w:name="_Toc513029237"/>
      <w:r/>
      <w:bookmarkStart w:id="105" w:name="_Toc20823309"/>
      <w:r/>
      <w:bookmarkStart w:id="106" w:name="_Toc16938553"/>
      <w:r>
        <w:rPr>
          <w:rFonts w:ascii="宋体" w:hAnsi="宋体" w:eastAsia="宋体"/>
          <w:color w:val="000000"/>
          <w:sz w:val="28"/>
          <w:szCs w:val="28"/>
          <w:highlight w:val="none"/>
        </w:rPr>
        <w:t xml:space="preserve">1.签订合同</w:t>
      </w:r>
      <w:r>
        <w:rPr>
          <w:rFonts w:ascii="宋体" w:hAnsi="宋体" w:eastAsia="宋体"/>
          <w:b/>
          <w:color w:val="000000"/>
          <w:sz w:val="28"/>
          <w:szCs w:val="28"/>
          <w:highlight w:val="none"/>
        </w:rPr>
      </w:r>
      <w:r/>
    </w:p>
    <w:p>
      <w:pPr>
        <w:pStyle w:val="794"/>
        <w:ind w:firstLine="700"/>
        <w:spacing w:line="360" w:lineRule="auto"/>
        <w:rPr>
          <w:rFonts w:ascii="宋体" w:hAnsi="宋体"/>
          <w:color w:val="000000"/>
          <w:sz w:val="28"/>
          <w:szCs w:val="28"/>
          <w:highlight w:val="none"/>
        </w:rPr>
      </w:pPr>
      <w:r>
        <w:rPr>
          <w:rFonts w:ascii="宋体" w:hAnsi="宋体"/>
          <w:bCs/>
          <w:color w:val="000000"/>
          <w:sz w:val="28"/>
          <w:szCs w:val="28"/>
          <w:highlight w:val="none"/>
        </w:rPr>
        <w:t xml:space="preserve">1</w:t>
      </w:r>
      <w:r>
        <w:rPr>
          <w:rFonts w:ascii="宋体" w:hAnsi="宋体"/>
          <w:color w:val="000000"/>
          <w:sz w:val="28"/>
          <w:szCs w:val="28"/>
          <w:highlight w:val="none"/>
        </w:rPr>
        <w:t xml:space="preserve">.l中标人应当在中标通知书发出之日起三十日内，按照招标文件确定的事项与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签订政府采购合同。</w:t>
      </w:r>
      <w:r>
        <w:rPr>
          <w:rFonts w:ascii="宋体" w:hAnsi="宋体"/>
          <w:color w:val="000000"/>
          <w:sz w:val="28"/>
          <w:szCs w:val="28"/>
          <w:highlight w:val="none"/>
        </w:rPr>
      </w:r>
      <w:r/>
    </w:p>
    <w:p>
      <w:pPr>
        <w:pStyle w:val="794"/>
        <w:ind w:firstLine="700"/>
        <w:spacing w:line="360" w:lineRule="auto"/>
        <w:rPr>
          <w:rFonts w:ascii="宋体" w:hAnsi="宋体"/>
          <w:color w:val="000000"/>
          <w:sz w:val="28"/>
          <w:szCs w:val="28"/>
          <w:highlight w:val="none"/>
        </w:rPr>
      </w:pPr>
      <w:r>
        <w:rPr>
          <w:rFonts w:ascii="宋体" w:hAnsi="宋体"/>
          <w:color w:val="000000"/>
          <w:sz w:val="28"/>
          <w:szCs w:val="28"/>
          <w:highlight w:val="none"/>
        </w:rPr>
        <w:t xml:space="preserve">1.2招标文件、中标人的投标文件及招标过程中有关澄清、承诺文件均应作为合同附件。</w:t>
      </w:r>
      <w:r>
        <w:rPr>
          <w:rFonts w:ascii="宋体" w:hAnsi="宋体"/>
          <w:color w:val="000000"/>
          <w:sz w:val="28"/>
          <w:szCs w:val="28"/>
          <w:highlight w:val="none"/>
        </w:rPr>
      </w:r>
      <w:r/>
    </w:p>
    <w:p>
      <w:pPr>
        <w:pStyle w:val="794"/>
        <w:ind w:firstLine="700"/>
        <w:spacing w:line="360" w:lineRule="auto"/>
        <w:rPr>
          <w:rFonts w:ascii="宋体" w:hAnsi="宋体"/>
          <w:color w:val="000000"/>
          <w:sz w:val="28"/>
          <w:szCs w:val="28"/>
          <w:highlight w:val="none"/>
        </w:rPr>
      </w:pPr>
      <w:r>
        <w:rPr>
          <w:rFonts w:ascii="宋体" w:hAnsi="宋体"/>
          <w:color w:val="000000"/>
          <w:sz w:val="28"/>
          <w:szCs w:val="28"/>
          <w:highlight w:val="none"/>
        </w:rPr>
        <w:t xml:space="preserve">1.3签订合同后，中标人不得将货物及其他相关服务进行转包。未经</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同意，中标人也不得采用分包的形式履行合同，否则</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有权终止合同。政府采购合同分包履行的，中标、</w:t>
      </w:r>
      <w:r>
        <w:rPr>
          <w:rFonts w:hint="eastAsia" w:ascii="宋体" w:hAnsi="宋体"/>
          <w:color w:val="000000"/>
          <w:sz w:val="28"/>
          <w:szCs w:val="28"/>
          <w:highlight w:val="none"/>
        </w:rPr>
        <w:t xml:space="preserve">中标人</w:t>
      </w:r>
      <w:r>
        <w:rPr>
          <w:rFonts w:ascii="宋体" w:hAnsi="宋体"/>
          <w:color w:val="000000"/>
          <w:sz w:val="28"/>
          <w:szCs w:val="28"/>
          <w:highlight w:val="none"/>
        </w:rPr>
        <w:t xml:space="preserve">就采购项目和分包项目向</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负责，分包供应商就分包项目承担责任。转包或分包造成</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损失的，中标人应承担相应赔偿责任。</w:t>
      </w:r>
      <w:r>
        <w:rPr>
          <w:rFonts w:ascii="宋体" w:hAnsi="宋体"/>
          <w:color w:val="000000"/>
          <w:sz w:val="28"/>
          <w:szCs w:val="28"/>
          <w:highlight w:val="none"/>
        </w:rPr>
      </w:r>
      <w:r/>
    </w:p>
    <w:p>
      <w:pPr>
        <w:pStyle w:val="798"/>
        <w:jc w:val="both"/>
        <w:spacing w:line="360" w:lineRule="auto"/>
        <w:rPr>
          <w:rFonts w:ascii="宋体" w:hAnsi="宋体" w:eastAsia="宋体"/>
          <w:b/>
          <w:color w:val="000000"/>
          <w:sz w:val="28"/>
          <w:szCs w:val="28"/>
          <w:highlight w:val="none"/>
        </w:rPr>
      </w:pPr>
      <w:r>
        <w:rPr>
          <w:rFonts w:ascii="宋体" w:hAnsi="宋体" w:eastAsia="宋体"/>
          <w:color w:val="000000"/>
          <w:sz w:val="28"/>
          <w:szCs w:val="28"/>
          <w:highlight w:val="none"/>
        </w:rPr>
        <w:t xml:space="preserve">2.货物和服务的追加、减少和添购。</w:t>
      </w:r>
      <w:r>
        <w:rPr>
          <w:rFonts w:ascii="宋体" w:hAnsi="宋体" w:eastAsia="宋体"/>
          <w:b/>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2.1政府采购合同履行中，</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需追加与合同标的相同的货物和服务的，在不改变合同其他条款的前提下，可以与中标人协商签订补充合同，但所有补充合同的采购金额不超过原合同金额10%。</w:t>
      </w:r>
      <w:r>
        <w:rPr>
          <w:rFonts w:ascii="宋体" w:hAnsi="宋体"/>
          <w:color w:val="000000"/>
          <w:sz w:val="28"/>
          <w:szCs w:val="28"/>
          <w:highlight w:val="none"/>
        </w:rPr>
      </w:r>
      <w:r/>
    </w:p>
    <w:p>
      <w:pPr>
        <w:pStyle w:val="794"/>
        <w:ind w:firstLine="560"/>
        <w:spacing w:line="360" w:lineRule="auto"/>
        <w:rPr>
          <w:rFonts w:ascii="宋体" w:hAnsi="宋体"/>
          <w:b/>
          <w:color w:val="000000"/>
          <w:sz w:val="28"/>
          <w:szCs w:val="28"/>
          <w:highlight w:val="none"/>
        </w:rPr>
      </w:pPr>
      <w:r>
        <w:rPr>
          <w:rFonts w:ascii="宋体" w:hAnsi="宋体"/>
          <w:color w:val="000000"/>
          <w:sz w:val="28"/>
          <w:szCs w:val="28"/>
          <w:highlight w:val="none"/>
        </w:rPr>
        <w:t xml:space="preserve">2.2采购结束后，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若由于各种客观原因，必须对采购项目所牵涉的货物和服务进行适当的减少时，在双方协商一致的前提下，可以按照招标采购时的价格水平做相应的调减，并据此签订补充合同。</w:t>
      </w:r>
      <w:r>
        <w:rPr>
          <w:rFonts w:ascii="宋体" w:hAnsi="宋体"/>
          <w:b/>
          <w:color w:val="000000"/>
          <w:sz w:val="28"/>
          <w:szCs w:val="28"/>
          <w:highlight w:val="none"/>
        </w:rPr>
      </w:r>
      <w:r/>
    </w:p>
    <w:p>
      <w:pPr>
        <w:pStyle w:val="794"/>
        <w:spacing w:line="360" w:lineRule="auto"/>
        <w:rPr>
          <w:rFonts w:ascii="宋体" w:hAnsi="宋体"/>
          <w:color w:val="000000"/>
          <w:sz w:val="28"/>
          <w:szCs w:val="28"/>
          <w:highlight w:val="none"/>
        </w:rPr>
      </w:pPr>
      <w:r/>
      <w:bookmarkEnd w:id="104"/>
      <w:r/>
      <w:bookmarkEnd w:id="105"/>
      <w:r/>
      <w:bookmarkEnd w:id="106"/>
      <w:r>
        <w:rPr>
          <w:rFonts w:ascii="宋体" w:hAnsi="宋体"/>
          <w:color w:val="000000"/>
          <w:sz w:val="28"/>
          <w:szCs w:val="28"/>
          <w:highlight w:val="none"/>
        </w:rPr>
        <w:t xml:space="preserve">3.</w:t>
      </w:r>
      <w:r>
        <w:rPr>
          <w:rFonts w:hint="eastAsia" w:ascii="宋体" w:hAnsi="宋体"/>
          <w:color w:val="000000"/>
          <w:sz w:val="28"/>
          <w:szCs w:val="28"/>
          <w:highlight w:val="none"/>
        </w:rPr>
        <w:t xml:space="preserve">政府采购合同信用融资扶持政策</w:t>
      </w:r>
      <w:r>
        <w:rPr>
          <w:rFonts w:ascii="宋体" w:hAnsi="宋体"/>
          <w:color w:val="000000"/>
          <w:sz w:val="28"/>
          <w:szCs w:val="28"/>
          <w:highlight w:val="none"/>
        </w:rPr>
      </w:r>
      <w:r/>
    </w:p>
    <w:p>
      <w:pPr>
        <w:pStyle w:val="794"/>
        <w:ind w:firstLine="560"/>
        <w:spacing w:line="360" w:lineRule="auto"/>
        <w:rPr>
          <w:rFonts w:ascii="宋体" w:hAnsi="宋体"/>
          <w:color w:val="000000"/>
          <w:highlight w:val="none"/>
        </w:rPr>
      </w:pPr>
      <w:r>
        <w:rPr>
          <w:rFonts w:hint="eastAsia" w:ascii="宋体" w:hAnsi="宋体"/>
          <w:color w:val="000000"/>
          <w:sz w:val="28"/>
          <w:szCs w:val="28"/>
          <w:highlight w:val="none"/>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rFonts w:ascii="宋体" w:hAnsi="宋体"/>
          <w:color w:val="000000"/>
          <w:highlight w:val="none"/>
        </w:rPr>
      </w:r>
      <w:r/>
    </w:p>
    <w:p>
      <w:pPr>
        <w:pStyle w:val="794"/>
        <w:spacing w:line="360" w:lineRule="auto"/>
        <w:rPr>
          <w:rFonts w:ascii="宋体" w:hAnsi="宋体"/>
          <w:color w:val="000000"/>
          <w:highlight w:val="none"/>
        </w:rPr>
      </w:pPr>
      <w:r>
        <w:rPr>
          <w:rFonts w:ascii="宋体" w:hAnsi="宋体"/>
          <w:color w:val="000000"/>
          <w:highlight w:val="none"/>
        </w:rPr>
      </w:r>
      <w:r/>
    </w:p>
    <w:p>
      <w:pPr>
        <w:pStyle w:val="794"/>
        <w:jc w:val="center"/>
        <w:spacing w:line="360" w:lineRule="auto"/>
        <w:rPr>
          <w:rFonts w:ascii="宋体" w:hAnsi="宋体"/>
          <w:bCs/>
          <w:color w:val="000000"/>
          <w:sz w:val="36"/>
          <w:szCs w:val="36"/>
          <w:highlight w:val="none"/>
        </w:rPr>
        <w:outlineLvl w:val="0"/>
      </w:pP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 xml:space="preserve">第三部分  项目需求</w:t>
      </w:r>
      <w:r>
        <w:rPr>
          <w:rFonts w:ascii="宋体" w:hAnsi="宋体"/>
          <w:bCs/>
          <w:color w:val="000000"/>
          <w:sz w:val="36"/>
          <w:szCs w:val="36"/>
          <w:highlight w:val="none"/>
        </w:rPr>
      </w:r>
      <w:r/>
    </w:p>
    <w:p>
      <w:pPr>
        <w:pStyle w:val="794"/>
        <w:ind w:firstLine="562"/>
        <w:spacing w:line="360" w:lineRule="auto"/>
        <w:rPr>
          <w:rFonts w:ascii="宋体" w:hAnsi="宋体"/>
          <w:b/>
          <w:bCs/>
          <w:color w:val="000000"/>
          <w:sz w:val="28"/>
          <w:szCs w:val="28"/>
          <w:highlight w:val="none"/>
        </w:rPr>
      </w:pPr>
      <w:r>
        <w:rPr>
          <w:rFonts w:ascii="宋体" w:hAnsi="宋体"/>
          <w:b/>
          <w:bCs/>
          <w:color w:val="000000"/>
          <w:sz w:val="28"/>
          <w:szCs w:val="28"/>
          <w:highlight w:val="none"/>
        </w:rPr>
      </w:r>
      <w:r/>
    </w:p>
    <w:p>
      <w:pPr>
        <w:pStyle w:val="794"/>
        <w:ind w:firstLine="562"/>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color w:val="000000"/>
          <w:sz w:val="28"/>
          <w:szCs w:val="28"/>
          <w:highlight w:val="none"/>
        </w:rPr>
      </w:r>
      <w:r/>
    </w:p>
    <w:p>
      <w:pPr>
        <w:pStyle w:val="794"/>
        <w:ind w:firstLine="562"/>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投标人不能简单照搬照抄招标文件项目需求说明中的技术、商务要求，必须作实事求是的响应。如投标人提供的货物和服务同</w:t>
      </w:r>
      <w:r>
        <w:rPr>
          <w:rFonts w:hint="eastAsia" w:ascii="宋体" w:hAnsi="宋体"/>
          <w:b/>
          <w:bCs/>
          <w:color w:val="000000"/>
          <w:sz w:val="28"/>
          <w:szCs w:val="28"/>
          <w:highlight w:val="none"/>
        </w:rPr>
        <w:t xml:space="preserve">招标人</w:t>
      </w:r>
      <w:r>
        <w:rPr>
          <w:rFonts w:ascii="宋体" w:hAnsi="宋体"/>
          <w:b/>
          <w:bCs/>
          <w:color w:val="000000"/>
          <w:sz w:val="28"/>
          <w:szCs w:val="28"/>
          <w:highlight w:val="none"/>
        </w:rPr>
        <w:t xml:space="preserve">提出的项目需求说明中的技术、商务要求不同的，必须在《商务部分正负偏离表》和《技术部分正负偏离表》上明示</w:t>
      </w:r>
      <w:r>
        <w:rPr>
          <w:rFonts w:hint="eastAsia" w:ascii="宋体" w:hAnsi="宋体"/>
          <w:b/>
          <w:bCs/>
          <w:color w:val="000000"/>
          <w:sz w:val="28"/>
          <w:szCs w:val="28"/>
          <w:highlight w:val="none"/>
        </w:rPr>
        <w:t xml:space="preserve">。</w:t>
      </w:r>
      <w:r>
        <w:rPr>
          <w:rFonts w:ascii="宋体" w:hAnsi="宋体"/>
          <w:b/>
          <w:bCs/>
          <w:color w:val="000000"/>
          <w:sz w:val="28"/>
          <w:szCs w:val="28"/>
          <w:highlight w:val="none"/>
        </w:rPr>
      </w:r>
      <w:r/>
    </w:p>
    <w:p>
      <w:pPr>
        <w:pStyle w:val="794"/>
        <w:contextualSpacing/>
        <w:ind w:firstLine="554"/>
        <w:spacing w:line="360" w:lineRule="auto"/>
        <w:tabs>
          <w:tab w:val="left" w:pos="1710" w:leader="none"/>
        </w:tabs>
        <w:rPr>
          <w:rFonts w:ascii="宋体" w:hAnsi="宋体"/>
          <w:b/>
          <w:bCs/>
          <w:color w:val="000000"/>
          <w:sz w:val="28"/>
          <w:szCs w:val="28"/>
          <w:highlight w:val="none"/>
        </w:rPr>
      </w:pPr>
      <w:r>
        <w:rPr>
          <w:rFonts w:hint="eastAsia" w:ascii="宋体" w:hAnsi="宋体"/>
          <w:b/>
          <w:bCs/>
          <w:color w:val="000000"/>
          <w:sz w:val="28"/>
          <w:szCs w:val="28"/>
          <w:highlight w:val="none"/>
        </w:rPr>
        <w:t xml:space="preserve">有关要求说明：</w:t>
      </w:r>
      <w:r>
        <w:rPr>
          <w:rFonts w:ascii="宋体" w:hAnsi="宋体"/>
          <w:b/>
          <w:bCs/>
          <w:color w:val="000000"/>
          <w:sz w:val="28"/>
          <w:szCs w:val="28"/>
          <w:highlight w:val="none"/>
        </w:rPr>
      </w:r>
      <w:r/>
    </w:p>
    <w:p>
      <w:pPr>
        <w:pStyle w:val="794"/>
        <w:ind w:firstLine="562"/>
        <w:spacing w:line="360" w:lineRule="auto"/>
        <w:rPr>
          <w:rFonts w:ascii="宋体" w:hAnsi="宋体" w:cs="仿宋_GB2312"/>
          <w:b/>
          <w:color w:val="000000"/>
          <w:sz w:val="28"/>
          <w:szCs w:val="28"/>
          <w:highlight w:val="none"/>
          <w:lang w:val="zh-CN"/>
        </w:rPr>
      </w:pPr>
      <w:r>
        <w:rPr>
          <w:rFonts w:hint="eastAsia" w:ascii="宋体" w:hAnsi="宋体" w:cs="仿宋_GB2312"/>
          <w:b/>
          <w:color w:val="000000"/>
          <w:sz w:val="28"/>
          <w:szCs w:val="28"/>
          <w:highlight w:val="none"/>
          <w:lang w:val="zh-CN"/>
        </w:rPr>
        <w:t xml:space="preserve">1. 关于节能产品和环境标志产品：</w:t>
      </w:r>
      <w:r>
        <w:rPr>
          <w:rFonts w:ascii="宋体" w:hAnsi="宋体" w:cs="仿宋_GB2312"/>
          <w:b/>
          <w:color w:val="000000"/>
          <w:sz w:val="28"/>
          <w:szCs w:val="28"/>
          <w:highlight w:val="none"/>
          <w:lang w:val="zh-CN"/>
        </w:rPr>
      </w:r>
      <w:r/>
    </w:p>
    <w:p>
      <w:pPr>
        <w:pStyle w:val="794"/>
        <w:contextualSpacing/>
        <w:ind w:firstLine="551"/>
        <w:spacing w:line="360" w:lineRule="auto"/>
        <w:tabs>
          <w:tab w:val="left" w:pos="1710" w:leader="none"/>
        </w:tabs>
        <w:rPr>
          <w:rFonts w:ascii="宋体" w:hAnsi="宋体" w:cs="仿宋_GB2312"/>
          <w:color w:val="000000"/>
          <w:sz w:val="28"/>
          <w:szCs w:val="28"/>
          <w:highlight w:val="none"/>
          <w:lang w:val="zh-CN"/>
        </w:rPr>
      </w:pPr>
      <w:r>
        <w:rPr>
          <w:rFonts w:hint="eastAsia" w:ascii="宋体" w:hAnsi="宋体" w:cs="仿宋_GB2312"/>
          <w:color w:val="000000"/>
          <w:sz w:val="28"/>
          <w:szCs w:val="28"/>
          <w:highlight w:val="none"/>
          <w:lang w:val="zh-CN"/>
        </w:rPr>
        <w:t xml:space="preserve">（</w:t>
      </w:r>
      <w:r>
        <w:rPr>
          <w:rFonts w:hint="eastAsia" w:ascii="宋体" w:hAnsi="宋体" w:cs="仿宋_GB2312"/>
          <w:color w:val="000000"/>
          <w:sz w:val="28"/>
          <w:szCs w:val="28"/>
          <w:highlight w:val="none"/>
        </w:rPr>
        <w:t xml:space="preserve">1</w:t>
      </w:r>
      <w:r>
        <w:rPr>
          <w:rFonts w:hint="eastAsia" w:ascii="宋体" w:hAnsi="宋体" w:cs="仿宋_GB2312"/>
          <w:color w:val="000000"/>
          <w:sz w:val="28"/>
          <w:szCs w:val="28"/>
          <w:highlight w:val="none"/>
          <w:lang w:val="zh-CN"/>
        </w:rPr>
        <w:t xml:space="preserve">）投标（响应）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宋体" w:hAnsi="宋体" w:cs="仿宋_GB2312"/>
          <w:color w:val="000000"/>
          <w:sz w:val="28"/>
          <w:szCs w:val="28"/>
          <w:highlight w:val="none"/>
        </w:rPr>
        <w:t xml:space="preserve">,</w:t>
      </w:r>
      <w:r>
        <w:rPr>
          <w:rFonts w:hint="eastAsia" w:ascii="宋体" w:hAnsi="宋体" w:cs="仿宋_GB2312"/>
          <w:color w:val="000000"/>
          <w:sz w:val="28"/>
          <w:szCs w:val="28"/>
          <w:highlight w:val="none"/>
          <w:lang w:val="zh-CN"/>
        </w:rPr>
        <w:t xml:space="preserve">否则作无效投标（响应）处理。认证机构详见市场监管总局发布的《参与实施政府采购节能产品认证机构名录》。</w:t>
      </w:r>
      <w:r>
        <w:rPr>
          <w:rFonts w:ascii="宋体" w:hAnsi="宋体" w:cs="仿宋_GB2312"/>
          <w:color w:val="000000"/>
          <w:sz w:val="28"/>
          <w:szCs w:val="28"/>
          <w:highlight w:val="none"/>
          <w:lang w:val="zh-CN"/>
        </w:rPr>
      </w:r>
      <w:r/>
    </w:p>
    <w:p>
      <w:pPr>
        <w:pStyle w:val="794"/>
        <w:contextualSpacing/>
        <w:ind w:firstLine="551"/>
        <w:spacing w:line="360" w:lineRule="auto"/>
        <w:tabs>
          <w:tab w:val="left" w:pos="1710" w:leader="none"/>
        </w:tabs>
        <w:rPr>
          <w:rFonts w:ascii="宋体" w:hAnsi="宋体" w:cs="仿宋_GB2312"/>
          <w:color w:val="000000"/>
          <w:sz w:val="28"/>
          <w:szCs w:val="28"/>
          <w:highlight w:val="none"/>
          <w:lang w:val="zh-CN"/>
        </w:rPr>
      </w:pPr>
      <w:r>
        <w:rPr>
          <w:rFonts w:hint="eastAsia" w:ascii="宋体" w:hAnsi="宋体" w:cs="仿宋_GB2312"/>
          <w:color w:val="000000"/>
          <w:sz w:val="28"/>
          <w:szCs w:val="28"/>
          <w:highlight w:val="none"/>
          <w:lang w:val="zh-CN"/>
        </w:rPr>
        <w:t xml:space="preserve">（</w:t>
      </w:r>
      <w:r>
        <w:rPr>
          <w:rFonts w:hint="eastAsia" w:ascii="宋体" w:hAnsi="宋体" w:cs="仿宋_GB2312"/>
          <w:color w:val="000000"/>
          <w:sz w:val="28"/>
          <w:szCs w:val="28"/>
          <w:highlight w:val="none"/>
        </w:rPr>
        <w:t xml:space="preserve">2</w:t>
      </w:r>
      <w:r>
        <w:rPr>
          <w:rFonts w:hint="eastAsia" w:ascii="宋体" w:hAnsi="宋体" w:cs="仿宋_GB2312"/>
          <w:color w:val="000000"/>
          <w:sz w:val="28"/>
          <w:szCs w:val="28"/>
          <w:highlight w:val="none"/>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宋体" w:hAnsi="宋体" w:cs="仿宋_GB2312"/>
          <w:color w:val="000000"/>
          <w:sz w:val="28"/>
          <w:szCs w:val="28"/>
          <w:highlight w:val="none"/>
        </w:rPr>
        <w:t xml:space="preserve">,</w:t>
      </w:r>
      <w:r>
        <w:rPr>
          <w:rFonts w:hint="eastAsia" w:ascii="宋体" w:hAnsi="宋体" w:cs="仿宋_GB2312"/>
          <w:color w:val="000000"/>
          <w:sz w:val="28"/>
          <w:szCs w:val="28"/>
          <w:highlight w:val="none"/>
          <w:lang w:val="zh-CN"/>
        </w:rPr>
        <w:t xml:space="preserve">否则作无效投标（响应）处理。认证机构详见市场监管总局发布的《参与实施政府采购环境标志产品认证机构名录》。</w:t>
      </w:r>
      <w:r>
        <w:rPr>
          <w:rFonts w:ascii="宋体" w:hAnsi="宋体" w:cs="仿宋_GB2312"/>
          <w:color w:val="000000"/>
          <w:sz w:val="28"/>
          <w:szCs w:val="28"/>
          <w:highlight w:val="none"/>
          <w:lang w:val="zh-CN"/>
        </w:rPr>
      </w:r>
      <w:r/>
    </w:p>
    <w:p>
      <w:pPr>
        <w:pStyle w:val="794"/>
        <w:contextualSpacing/>
        <w:ind w:firstLine="554"/>
        <w:spacing w:line="360" w:lineRule="auto"/>
        <w:tabs>
          <w:tab w:val="left" w:pos="1710" w:leader="none"/>
        </w:tabs>
        <w:rPr>
          <w:rFonts w:ascii="宋体" w:hAnsi="宋体" w:cs="仿宋_GB2312"/>
          <w:b/>
          <w:color w:val="000000"/>
          <w:sz w:val="28"/>
          <w:szCs w:val="28"/>
          <w:highlight w:val="none"/>
          <w:lang w:val="zh-CN"/>
        </w:rPr>
      </w:pPr>
      <w:r>
        <w:rPr>
          <w:rFonts w:hint="eastAsia" w:ascii="宋体" w:hAnsi="宋体" w:cs="仿宋_GB2312"/>
          <w:b/>
          <w:color w:val="000000"/>
          <w:sz w:val="28"/>
          <w:szCs w:val="28"/>
          <w:highlight w:val="none"/>
          <w:lang w:val="zh-CN"/>
        </w:rPr>
        <w:t xml:space="preserve">2.关于参照品牌：</w:t>
      </w:r>
      <w:r>
        <w:rPr>
          <w:rFonts w:ascii="宋体" w:hAnsi="宋体" w:cs="仿宋_GB2312"/>
          <w:b/>
          <w:color w:val="000000"/>
          <w:sz w:val="28"/>
          <w:szCs w:val="28"/>
          <w:highlight w:val="none"/>
          <w:lang w:val="zh-CN"/>
        </w:rPr>
      </w:r>
      <w:r/>
    </w:p>
    <w:p>
      <w:pPr>
        <w:pStyle w:val="794"/>
        <w:contextualSpacing/>
        <w:ind w:firstLine="560"/>
        <w:spacing w:line="360" w:lineRule="auto"/>
        <w:rPr>
          <w:rFonts w:ascii="宋体" w:hAnsi="宋体" w:cs="仿宋_GB2312"/>
          <w:color w:val="000000"/>
          <w:sz w:val="28"/>
          <w:szCs w:val="28"/>
          <w:highlight w:val="none"/>
          <w:lang w:val="zh-CN"/>
        </w:rPr>
      </w:pPr>
      <w:r>
        <w:rPr>
          <w:rFonts w:hint="eastAsia" w:ascii="宋体" w:hAnsi="宋体" w:cs="仿宋_GB2312"/>
          <w:color w:val="000000"/>
          <w:sz w:val="28"/>
          <w:szCs w:val="28"/>
          <w:highlight w:val="none"/>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rPr>
          <w:rFonts w:ascii="宋体" w:hAnsi="宋体" w:cs="仿宋_GB2312"/>
          <w:color w:val="000000"/>
          <w:sz w:val="28"/>
          <w:szCs w:val="28"/>
          <w:highlight w:val="none"/>
          <w:lang w:val="zh-CN"/>
        </w:rPr>
      </w:r>
      <w:r/>
    </w:p>
    <w:p>
      <w:pPr>
        <w:pStyle w:val="794"/>
        <w:ind w:firstLine="562"/>
        <w:spacing w:line="360" w:lineRule="auto"/>
        <w:rPr>
          <w:rFonts w:ascii="宋体" w:hAnsi="宋体"/>
          <w:b/>
          <w:color w:val="000000"/>
          <w:sz w:val="28"/>
          <w:szCs w:val="28"/>
          <w:highlight w:val="none"/>
        </w:rPr>
      </w:pPr>
      <w:r>
        <w:rPr>
          <w:rFonts w:ascii="宋体" w:hAnsi="宋体"/>
          <w:b/>
          <w:bCs/>
          <w:color w:val="000000"/>
          <w:sz w:val="28"/>
          <w:szCs w:val="28"/>
          <w:highlight w:val="none"/>
        </w:rPr>
        <w:t xml:space="preserve">其内容包含（不限于下述内容）：</w:t>
      </w:r>
      <w:r>
        <w:rPr>
          <w:rFonts w:ascii="宋体" w:hAnsi="宋体"/>
          <w:b/>
          <w:color w:val="000000"/>
          <w:sz w:val="28"/>
          <w:szCs w:val="28"/>
          <w:highlight w:val="none"/>
        </w:rPr>
      </w:r>
      <w:r/>
    </w:p>
    <w:p>
      <w:pPr>
        <w:pStyle w:val="794"/>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采购标的需实现的功能或者目标，以及为落实政府采购政策需满足的要求</w:t>
      </w:r>
      <w:r>
        <w:rPr>
          <w:rFonts w:ascii="宋体" w:hAnsi="宋体"/>
          <w:color w:val="000000"/>
          <w:sz w:val="28"/>
          <w:szCs w:val="28"/>
          <w:highlight w:val="none"/>
        </w:rPr>
      </w:r>
      <w:r/>
    </w:p>
    <w:p>
      <w:pPr>
        <w:pStyle w:val="794"/>
        <w:contextualSpacing/>
        <w:ind w:firstLine="560"/>
        <w:spacing w:line="360" w:lineRule="auto"/>
        <w:rPr>
          <w:rFonts w:ascii="宋体" w:hAnsi="宋体" w:cs="仿宋_GB2312"/>
          <w:color w:val="000000"/>
          <w:sz w:val="28"/>
          <w:szCs w:val="28"/>
          <w:highlight w:val="none"/>
          <w:lang w:val="zh-CN"/>
        </w:rPr>
      </w:pPr>
      <w:r>
        <w:rPr>
          <w:rFonts w:hint="eastAsia" w:ascii="宋体" w:hAnsi="宋体" w:cs="仿宋_GB2312"/>
          <w:color w:val="000000"/>
          <w:sz w:val="28"/>
          <w:szCs w:val="28"/>
          <w:highlight w:val="none"/>
          <w:lang w:val="zh-CN"/>
        </w:rPr>
        <w:t xml:space="preserve">遵循国内外医疗信息化行业标准，通过打破“信息孤岛”，撕破信息化“蜘蛛网”，以搭建“互联互通、共享共治”的纯国产医院信息平台为依托，让医院来到“可配置、可监控、可扩展”的新平台时代。以数据集成、业务集成和界面集成为手段，减少不必要的重复建设，实现标准能统一、数据能利用、流程能配置、环节能监控、思想能落地，内外能扩展的目标，达到“互联互通标准化成熟度评测”四级甲等、“电子病历系统应用水平分级评价”五级要求。</w:t>
      </w:r>
      <w:r>
        <w:rPr>
          <w:rFonts w:ascii="宋体" w:hAnsi="宋体" w:cs="仿宋_GB2312"/>
          <w:color w:val="000000"/>
          <w:sz w:val="28"/>
          <w:szCs w:val="28"/>
          <w:highlight w:val="none"/>
          <w:lang w:val="zh-CN"/>
        </w:rPr>
      </w:r>
      <w:r/>
    </w:p>
    <w:p>
      <w:pPr>
        <w:pStyle w:val="794"/>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二、</w:t>
      </w:r>
      <w:r>
        <w:rPr>
          <w:rFonts w:ascii="宋体" w:hAnsi="宋体"/>
          <w:color w:val="000000"/>
          <w:sz w:val="28"/>
          <w:szCs w:val="28"/>
          <w:highlight w:val="none"/>
        </w:rPr>
        <w:t xml:space="preserve">采购标的需执行的国家相关标准、行业标准、地方标准或者其他标准、规范</w:t>
      </w:r>
      <w:r>
        <w:rPr>
          <w:rFonts w:ascii="宋体" w:hAnsi="宋体"/>
          <w:color w:val="000000"/>
          <w:sz w:val="28"/>
          <w:szCs w:val="28"/>
          <w:highlight w:val="none"/>
        </w:rPr>
      </w:r>
      <w:r/>
    </w:p>
    <w:p>
      <w:pPr>
        <w:pStyle w:val="808"/>
        <w:ind w:firstLine="560"/>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为了保证系统的开放性，以及集成的实现，系统遵从以下标准和要求：</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rPr>
        <w:t xml:space="preserve">按照</w:t>
      </w:r>
      <w:r>
        <w:rPr>
          <w:rFonts w:hint="eastAsia" w:ascii="宋体" w:hAnsi="宋体" w:eastAsia="宋体" w:cs="仿宋_GB2312"/>
          <w:color w:val="000000"/>
          <w:sz w:val="28"/>
          <w:szCs w:val="28"/>
          <w:highlight w:val="none"/>
          <w:lang w:val="zh-CN"/>
        </w:rPr>
        <w:t xml:space="preserve">信创政策对于系统的要求，</w:t>
      </w:r>
      <w:r>
        <w:rPr>
          <w:rFonts w:hint="eastAsia" w:ascii="宋体" w:hAnsi="宋体" w:eastAsia="宋体" w:cs="仿宋_GB2312"/>
          <w:color w:val="000000"/>
          <w:sz w:val="28"/>
          <w:szCs w:val="28"/>
          <w:highlight w:val="none"/>
        </w:rPr>
        <w:t xml:space="preserve">适应</w:t>
      </w:r>
      <w:r>
        <w:rPr>
          <w:rFonts w:hint="eastAsia" w:ascii="宋体" w:hAnsi="宋体" w:eastAsia="宋体" w:cs="仿宋_GB2312"/>
          <w:color w:val="000000"/>
          <w:sz w:val="28"/>
          <w:szCs w:val="28"/>
          <w:highlight w:val="none"/>
          <w:lang w:val="zh-CN"/>
        </w:rPr>
        <w:t xml:space="preserve">国产化数据库、开发平台及操作系统</w:t>
      </w:r>
      <w:r>
        <w:rPr>
          <w:rFonts w:hint="eastAsia" w:ascii="宋体" w:hAnsi="宋体" w:eastAsia="宋体" w:cs="仿宋_GB2312"/>
          <w:color w:val="000000"/>
          <w:sz w:val="28"/>
          <w:szCs w:val="28"/>
          <w:highlight w:val="none"/>
        </w:rPr>
        <w:t xml:space="preserve">的</w:t>
      </w:r>
      <w:r>
        <w:rPr>
          <w:rFonts w:hint="eastAsia" w:ascii="宋体" w:hAnsi="宋体" w:eastAsia="宋体" w:cs="仿宋_GB2312"/>
          <w:color w:val="000000"/>
          <w:sz w:val="28"/>
          <w:szCs w:val="28"/>
          <w:highlight w:val="none"/>
          <w:lang w:val="zh-CN"/>
        </w:rPr>
        <w:t xml:space="preserve">发展趋势。</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医院信息平台应用功能指引。</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医院信息化建设应用技术指引。</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全国医院信息化建设标准与规范（试行）。</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国家卫健委《基于电子病历的医院信息平台技术规范》。</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国家卫健委《基于电子病历的医院信息平台建设技术解决方案》。</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国家卫健委《电子病历系统功能应用水平分级评价方法及标准（试行）》。</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国家卫健委《三级综合医院评审标准实施细则（</w:t>
      </w:r>
      <w:r>
        <w:rPr>
          <w:rFonts w:hint="eastAsia" w:ascii="宋体" w:hAnsi="宋体" w:eastAsia="宋体" w:cs="仿宋_GB2312"/>
          <w:color w:val="000000"/>
          <w:sz w:val="28"/>
          <w:szCs w:val="28"/>
          <w:highlight w:val="none"/>
          <w:lang w:val="zh-CN"/>
        </w:rPr>
        <w:t xml:space="preserve">20</w:t>
      </w:r>
      <w:r>
        <w:rPr>
          <w:rFonts w:hint="eastAsia" w:ascii="宋体" w:hAnsi="宋体" w:eastAsia="宋体" w:cs="仿宋_GB2312"/>
          <w:color w:val="000000"/>
          <w:sz w:val="28"/>
          <w:szCs w:val="28"/>
          <w:highlight w:val="none"/>
          <w:lang w:val="en-US" w:eastAsia="zh-CN"/>
        </w:rPr>
        <w:t xml:space="preserve">23</w:t>
      </w:r>
      <w:r>
        <w:rPr>
          <w:rFonts w:hint="eastAsia" w:ascii="宋体" w:hAnsi="宋体" w:eastAsia="宋体" w:cs="仿宋_GB2312"/>
          <w:color w:val="000000"/>
          <w:sz w:val="28"/>
          <w:szCs w:val="28"/>
          <w:highlight w:val="none"/>
          <w:lang w:val="zh-CN"/>
        </w:rPr>
        <w:t xml:space="preserve">年</w:t>
      </w:r>
      <w:r>
        <w:rPr>
          <w:rFonts w:hint="eastAsia" w:ascii="宋体" w:hAnsi="宋体" w:eastAsia="宋体" w:cs="仿宋_GB2312"/>
          <w:color w:val="000000"/>
          <w:sz w:val="28"/>
          <w:szCs w:val="28"/>
          <w:highlight w:val="none"/>
          <w:lang w:val="zh-CN"/>
        </w:rPr>
        <w:t xml:space="preserve">版）》。</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国家卫健委《医院信息互联互通标准化成熟度测评》。</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 电子病历基本架构与数据标准（试行）。</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国家卫健委《医院信息系统基本功能规范》。</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国家卫健委《妇幼保健信息系统基本功能规范》。</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国家卫健委《电子病历系统功能规范（试行）》。</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国家卫健委《国家基本公共卫生服务规范（2011年）》。</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支持TCP/IP协议、HTTP、HTTPS。</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对数据库的访问支持ODBC，COM和JDBC。</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rPr>
      </w:pPr>
      <w:r>
        <w:rPr>
          <w:rFonts w:hint="eastAsia" w:ascii="宋体" w:hAnsi="宋体" w:eastAsia="宋体" w:cs="仿宋_GB2312"/>
          <w:color w:val="000000"/>
          <w:sz w:val="28"/>
          <w:szCs w:val="28"/>
          <w:highlight w:val="none"/>
          <w:lang w:val="zh-CN"/>
        </w:rPr>
        <w:t xml:space="preserve">支持</w:t>
      </w:r>
      <w:r>
        <w:rPr>
          <w:rFonts w:hint="eastAsia" w:ascii="宋体" w:hAnsi="宋体" w:eastAsia="宋体" w:cs="仿宋_GB2312"/>
          <w:color w:val="000000"/>
          <w:sz w:val="28"/>
          <w:szCs w:val="28"/>
          <w:highlight w:val="none"/>
        </w:rPr>
        <w:t xml:space="preserve">XML</w:t>
      </w:r>
      <w:r>
        <w:rPr>
          <w:rFonts w:hint="eastAsia" w:ascii="宋体" w:hAnsi="宋体" w:eastAsia="宋体" w:cs="仿宋_GB2312"/>
          <w:color w:val="000000"/>
          <w:sz w:val="28"/>
          <w:szCs w:val="28"/>
          <w:highlight w:val="none"/>
          <w:lang w:val="zh-CN"/>
        </w:rPr>
        <w:t xml:space="preserve">、</w:t>
      </w:r>
      <w:r>
        <w:rPr>
          <w:rFonts w:hint="eastAsia" w:ascii="宋体" w:hAnsi="宋体" w:eastAsia="宋体" w:cs="仿宋_GB2312"/>
          <w:color w:val="000000"/>
          <w:sz w:val="28"/>
          <w:szCs w:val="28"/>
          <w:highlight w:val="none"/>
        </w:rPr>
        <w:t xml:space="preserve">Web Service</w:t>
      </w:r>
      <w:r>
        <w:rPr>
          <w:rFonts w:hint="eastAsia" w:ascii="宋体" w:hAnsi="宋体" w:eastAsia="宋体" w:cs="仿宋_GB2312"/>
          <w:color w:val="000000"/>
          <w:sz w:val="28"/>
          <w:szCs w:val="28"/>
          <w:highlight w:val="none"/>
          <w:lang w:val="zh-CN"/>
        </w:rPr>
        <w:t xml:space="preserve">。</w:t>
      </w:r>
      <w:r>
        <w:rPr>
          <w:rFonts w:ascii="宋体" w:hAnsi="宋体" w:eastAsia="宋体" w:cs="仿宋_GB2312"/>
          <w:color w:val="000000"/>
          <w:sz w:val="28"/>
          <w:szCs w:val="28"/>
          <w:highlight w:val="none"/>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支持HL7。</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支持ICD-10、SNOMED、ASTM协议等国际信息交换标准。</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DICOM标准。</w:t>
      </w:r>
      <w:r>
        <w:rPr>
          <w:rFonts w:ascii="宋体" w:hAnsi="宋体" w:eastAsia="宋体" w:cs="仿宋_GB2312"/>
          <w:color w:val="000000"/>
          <w:sz w:val="28"/>
          <w:szCs w:val="28"/>
          <w:highlight w:val="none"/>
          <w:lang w:val="zh-CN"/>
        </w:rPr>
      </w:r>
      <w:r/>
    </w:p>
    <w:p>
      <w:pPr>
        <w:pStyle w:val="808"/>
        <w:numPr>
          <w:ilvl w:val="0"/>
          <w:numId w:val="4"/>
        </w:numPr>
        <w:rPr>
          <w:rFonts w:ascii="宋体" w:hAnsi="宋体" w:eastAsia="宋体" w:cs="仿宋_GB2312"/>
          <w:color w:val="000000"/>
          <w:sz w:val="28"/>
          <w:szCs w:val="28"/>
          <w:highlight w:val="none"/>
          <w:lang w:val="zh-CN"/>
        </w:rPr>
      </w:pPr>
      <w:r>
        <w:rPr>
          <w:rFonts w:hint="eastAsia" w:ascii="宋体" w:hAnsi="宋体" w:eastAsia="宋体" w:cs="仿宋_GB2312"/>
          <w:color w:val="000000"/>
          <w:sz w:val="28"/>
          <w:szCs w:val="28"/>
          <w:highlight w:val="none"/>
          <w:lang w:val="zh-CN"/>
        </w:rPr>
        <w:t xml:space="preserve">支持UNICODE编码。</w:t>
      </w:r>
      <w:r>
        <w:rPr>
          <w:rFonts w:ascii="宋体" w:hAnsi="宋体" w:eastAsia="宋体" w:cs="仿宋_GB2312"/>
          <w:color w:val="000000"/>
          <w:sz w:val="28"/>
          <w:szCs w:val="28"/>
          <w:highlight w:val="none"/>
          <w:lang w:val="zh-CN"/>
        </w:rPr>
      </w:r>
      <w:r/>
    </w:p>
    <w:p>
      <w:pPr>
        <w:pStyle w:val="808"/>
        <w:ind w:left="480" w:firstLine="0"/>
        <w:rPr>
          <w:rFonts w:ascii="宋体" w:hAnsi="宋体"/>
          <w:color w:val="000000"/>
          <w:sz w:val="28"/>
          <w:szCs w:val="28"/>
          <w:highlight w:val="none"/>
        </w:rPr>
      </w:pPr>
      <w:r>
        <w:rPr>
          <w:rFonts w:ascii="宋体" w:hAnsi="宋体"/>
          <w:color w:val="000000"/>
          <w:sz w:val="28"/>
          <w:szCs w:val="28"/>
          <w:highlight w:val="none"/>
        </w:rPr>
      </w:r>
      <w:r/>
    </w:p>
    <w:p>
      <w:pPr>
        <w:pStyle w:val="808"/>
        <w:ind w:left="480" w:firstLine="0"/>
        <w:rPr>
          <w:rFonts w:ascii="宋体" w:hAnsi="宋体"/>
          <w:color w:val="000000"/>
          <w:sz w:val="28"/>
          <w:szCs w:val="28"/>
          <w:highlight w:val="none"/>
        </w:rPr>
      </w:pPr>
      <w:r>
        <w:rPr>
          <w:rFonts w:ascii="宋体" w:hAnsi="宋体"/>
          <w:color w:val="000000"/>
          <w:sz w:val="28"/>
          <w:szCs w:val="28"/>
          <w:highlight w:val="none"/>
        </w:rPr>
      </w:r>
      <w:r/>
    </w:p>
    <w:p>
      <w:pPr>
        <w:pStyle w:val="808"/>
        <w:ind w:left="480" w:firstLine="0"/>
        <w:rPr>
          <w:rFonts w:ascii="宋体" w:hAnsi="宋体"/>
          <w:color w:val="000000"/>
          <w:sz w:val="28"/>
          <w:szCs w:val="28"/>
          <w:highlight w:val="none"/>
        </w:rPr>
      </w:pPr>
      <w:r>
        <w:rPr>
          <w:rFonts w:ascii="宋体" w:hAnsi="宋体"/>
          <w:color w:val="000000"/>
          <w:sz w:val="28"/>
          <w:szCs w:val="28"/>
          <w:highlight w:val="none"/>
        </w:rPr>
      </w:r>
      <w:r/>
    </w:p>
    <w:p>
      <w:pPr>
        <w:pStyle w:val="794"/>
        <w:spacing w:line="360" w:lineRule="auto"/>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三、</w:t>
      </w:r>
      <w:r>
        <w:rPr>
          <w:rFonts w:ascii="宋体" w:hAnsi="宋体"/>
          <w:color w:val="000000"/>
          <w:sz w:val="28"/>
          <w:szCs w:val="28"/>
          <w:highlight w:val="none"/>
        </w:rPr>
        <w:t xml:space="preserve">采购标的需满足的质量、安全、技术规格、物理特性等要求</w:t>
      </w:r>
      <w:bookmarkStart w:id="107" w:name="_Toc155968537"/>
      <w:r>
        <w:rPr>
          <w:rFonts w:ascii="宋体" w:hAnsi="宋体" w:cs="仿宋_GB2312"/>
          <w:color w:val="000000"/>
          <w:sz w:val="28"/>
          <w:szCs w:val="28"/>
          <w:highlight w:val="none"/>
        </w:rPr>
      </w:r>
      <w:r/>
    </w:p>
    <w:p>
      <w:pPr>
        <w:pStyle w:val="794"/>
        <w:spacing w:line="360" w:lineRule="auto"/>
        <w:rPr>
          <w:rFonts w:ascii="宋体" w:hAnsi="宋体" w:cs="仿宋_GB2312"/>
          <w:color w:val="000000"/>
          <w:sz w:val="28"/>
          <w:szCs w:val="28"/>
          <w:highlight w:val="none"/>
        </w:rPr>
      </w:pPr>
      <w:r>
        <w:rPr>
          <w:rFonts w:hint="eastAsia" w:ascii="宋体" w:hAnsi="宋体"/>
          <w:color w:val="000000"/>
          <w:sz w:val="24"/>
          <w:highlight w:val="none"/>
        </w:rPr>
        <w:t xml:space="preserve">（一）医院信息集成平台</w:t>
      </w:r>
      <w:bookmarkEnd w:id="107"/>
      <w:r>
        <w:rPr>
          <w:rFonts w:hint="eastAsia" w:ascii="宋体" w:hAnsi="宋体"/>
          <w:color w:val="000000"/>
          <w:sz w:val="24"/>
          <w:highlight w:val="none"/>
        </w:rPr>
        <w:tab/>
      </w:r>
      <w:r>
        <w:rPr>
          <w:rFonts w:ascii="宋体" w:hAnsi="宋体" w:cs="仿宋_GB2312"/>
          <w:color w:val="000000"/>
          <w:sz w:val="28"/>
          <w:szCs w:val="28"/>
          <w:highlight w:val="none"/>
        </w:rPr>
      </w:r>
      <w:r/>
    </w:p>
    <w:p>
      <w:pPr>
        <w:pStyle w:val="798"/>
        <w:numPr>
          <w:ilvl w:val="3"/>
          <w:numId w:val="0"/>
        </w:numPr>
        <w:jc w:val="both"/>
        <w:keepLines/>
        <w:spacing w:before="280" w:after="290"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1.医院服务总线</w:t>
      </w:r>
      <w:r>
        <w:rPr>
          <w:rFonts w:ascii="宋体" w:hAnsi="宋体" w:eastAsia="宋体"/>
          <w:color w:val="000000"/>
          <w:sz w:val="24"/>
          <w:szCs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1.1平台管理</w:t>
      </w:r>
      <w:r>
        <w:rPr>
          <w:rFonts w:ascii="宋体" w:hAnsi="宋体"/>
          <w:color w:val="000000"/>
          <w:sz w:val="24"/>
          <w:szCs w:val="24"/>
          <w:highlight w:val="none"/>
        </w:rPr>
      </w:r>
      <w:r/>
    </w:p>
    <w:tbl>
      <w:tblPr>
        <w:tblW w:w="8931" w:type="dxa"/>
        <w:tblInd w:w="-506"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平台管理为医院提供一个统一的、标准的、可靠的、可扩展的管理平台</w:t>
            </w:r>
            <w:r>
              <w:rPr>
                <w:rFonts w:hint="eastAsia" w:ascii="宋体" w:hAnsi="宋体" w:cs="宋体"/>
                <w:color w:val="000000"/>
                <w:sz w:val="24"/>
                <w:highlight w:val="none"/>
              </w:rPr>
              <w:t xml:space="preserve">。平台可以按照不同业务分类的方式进行多平台业务的划分，根据医院业务的实际情况，通过对业务的使用级别和安全级别等因素将多个业务分散到多个平台上，每个平台上服务功能相互独立，其中一个出现问题时，对其它服务没有任何的影响；当早高峰数据量过大，连接数较多情况下,服务器硬件无法满足需要处理的性能消耗，平台也支持通过负载均衡来实现平台的水平扩展从而提高性能和提高系统的稳定性。</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产品功能要求包括：多平台统一管理、</w:t>
            </w:r>
            <w:r>
              <w:rPr>
                <w:rFonts w:hint="eastAsia" w:ascii="宋体" w:hAnsi="宋体" w:cs="宋体"/>
                <w:color w:val="000000"/>
                <w:sz w:val="24"/>
                <w:highlight w:val="none"/>
              </w:rPr>
              <w:t xml:space="preserve">接入平台系统，平台标准服务，平台消息以及行业内各标准的统一管理</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多平台统一管理：集中管理不同业务分类的多个平台，通过负载均衡实现平台的水平扩展。</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接入平台系统</w:t>
            </w:r>
            <w:r>
              <w:rPr>
                <w:rFonts w:hint="eastAsia" w:ascii="宋体" w:hAnsi="宋体" w:cs="宋体"/>
                <w:color w:val="000000"/>
                <w:sz w:val="24"/>
                <w:highlight w:val="none"/>
              </w:rPr>
              <w:t xml:space="preserve">：要求包括在院病例查询、病例列表查看、数据导出功能。</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平台标准服务</w:t>
            </w:r>
            <w:r>
              <w:rPr>
                <w:rFonts w:hint="eastAsia" w:ascii="宋体" w:hAnsi="宋体" w:cs="宋体"/>
                <w:color w:val="000000"/>
                <w:sz w:val="24"/>
                <w:highlight w:val="none"/>
              </w:rPr>
              <w:t xml:space="preserve">：提供历史DRG智能分组结果和指标超标情况查看，要求包括</w:t>
            </w:r>
            <w:r>
              <w:rPr>
                <w:rFonts w:hint="eastAsia" w:ascii="宋体" w:hAnsi="宋体"/>
                <w:color w:val="000000"/>
                <w:sz w:val="24"/>
                <w:highlight w:val="none"/>
              </w:rPr>
              <w:t xml:space="preserve">病例基本信息展示、历史分组结果展示、数据导出</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平台消息管理：要求提供平台消息管理功能，包括消息汇总查看、异常消息查看、消息发布信息查看、消息订阅信息查看等。</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行业标准管理:要求提供对系统中角色、用户进行维护管理功能，包括</w:t>
            </w:r>
            <w:r>
              <w:rPr>
                <w:rFonts w:hint="eastAsia" w:ascii="宋体" w:hAnsi="宋体"/>
                <w:color w:val="000000"/>
                <w:sz w:val="24"/>
                <w:highlight w:val="none"/>
              </w:rPr>
              <w:t xml:space="preserve">角色管理、用户管理功能</w:t>
            </w:r>
            <w:r>
              <w:rPr>
                <w:rFonts w:hint="eastAsia" w:ascii="宋体" w:hAnsi="宋体" w:cs="宋体"/>
                <w:color w:val="000000"/>
                <w:sz w:val="24"/>
                <w:highlight w:val="none"/>
              </w:rPr>
              <w:t xml:space="preserve">。</w:t>
            </w:r>
            <w:r>
              <w:rPr>
                <w:rFonts w:ascii="宋体" w:hAnsi="宋体" w:cs="宋体"/>
                <w:color w:val="000000"/>
                <w:sz w:val="24"/>
                <w:highlight w:val="none"/>
              </w:rPr>
            </w:r>
            <w:r/>
          </w:p>
        </w:tc>
      </w:tr>
    </w:tbl>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1.2服务管理</w:t>
      </w:r>
      <w:r>
        <w:rPr>
          <w:rFonts w:ascii="宋体" w:hAnsi="宋体"/>
          <w:color w:val="000000"/>
          <w:sz w:val="24"/>
          <w:szCs w:val="24"/>
          <w:highlight w:val="none"/>
        </w:rPr>
      </w:r>
      <w:r/>
    </w:p>
    <w:tbl>
      <w:tblPr>
        <w:tblW w:w="8931" w:type="dxa"/>
        <w:tblInd w:w="-506"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服务管理是数字化医院综合平台医疗信息交换层的核心内容，主要解决数字化医院综合平台与医院各业务信息系统间数据交换的问题。通过服务接口的标准化，使得服务可以提供给在任何异构平台和任何用户接口使用。服务请求者很可能根本不知道服务在哪里运行、是由哪种语言编写的，以及消息的传输路径，而是只需要提出服务请求，然后就会得到答案。。</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w:t>
            </w:r>
            <w:r>
              <w:rPr>
                <w:rFonts w:hint="eastAsia" w:ascii="宋体" w:hAnsi="宋体" w:cs="宋体"/>
                <w:color w:val="000000"/>
                <w:sz w:val="24"/>
                <w:highlight w:val="none"/>
              </w:rPr>
              <w:t xml:space="preserve">多种输入和输出适配器</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服务注册中心、服务发布中心</w:t>
            </w:r>
            <w:r>
              <w:rPr>
                <w:rFonts w:hint="eastAsia" w:ascii="宋体" w:hAnsi="宋体"/>
                <w:color w:val="000000"/>
                <w:sz w:val="24"/>
                <w:highlight w:val="none"/>
              </w:rPr>
              <w:t xml:space="preserve">等模块。</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多种输入和输出适配器</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适配器是连接各种应用、技术、协议的暴露其功能和数据的高度标准化和可复用的程序，适配器具有处理异常，能够重试、超时和恢复等功能。目前适配器的类型有：xDBC、 TCP/IP 、 HTTP、 File、 COM、 SOAP、 REST等。。</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服务注册中心</w:t>
            </w:r>
            <w:r>
              <w:rPr>
                <w:rFonts w:hint="eastAsia" w:ascii="宋体" w:hAnsi="宋体" w:cs="宋体"/>
                <w:b/>
                <w:bCs/>
                <w:color w:val="000000"/>
                <w:sz w:val="24"/>
                <w:highlight w:val="none"/>
              </w:rPr>
              <w:t xml:space="preserve">：</w:t>
            </w:r>
            <w:r>
              <w:rPr>
                <w:rFonts w:hint="eastAsia" w:ascii="宋体" w:hAnsi="宋体"/>
                <w:color w:val="000000"/>
                <w:sz w:val="24"/>
                <w:highlight w:val="none"/>
              </w:rPr>
              <w:t xml:space="preserve">服务注册中心是指服务提供者向服务注册管理中心发布服务的功能，服务提供者是服务的所有者，负责定义并实现服务，对服务进行详细、准确、规范地描述，并将该描述发布到服务注册管理中心，供服务请求者查找并绑定使用。服务注册管理中心具有目录服务、监控、负载均衡、安全控制、分布式强健壮、适用于高并发等功能</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服务发布中心</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服务发布是由总线自身生成相应服务并对外进行发布，服务请求者使用服务描述中的绑定细节（调用者的身份、位置、方法、绑定、配置、方案和策略等描述性属性信息）来定位、联系并调用服务。服务发布中心将所有的服务部署到一台或者多台物理服务器上，形成一个整体对外提供服务，服务发布中心对所有发布服务进行统一的管理调配。各个业务系统直接访问服务发布中心查找需要调用的接口位置进而调用，不需关心下游系统使用情况。</w:t>
            </w:r>
            <w:r>
              <w:rPr>
                <w:rFonts w:ascii="宋体" w:hAnsi="宋体" w:cs="宋体"/>
                <w:color w:val="000000"/>
                <w:sz w:val="24"/>
                <w:highlight w:val="none"/>
              </w:rPr>
            </w:r>
            <w:r/>
          </w:p>
        </w:tc>
      </w:tr>
    </w:tbl>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1.3消息管理</w:t>
      </w:r>
      <w:r>
        <w:rPr>
          <w:rFonts w:ascii="宋体" w:hAnsi="宋体"/>
          <w:color w:val="000000"/>
          <w:sz w:val="24"/>
          <w:szCs w:val="24"/>
          <w:highlight w:val="none"/>
        </w:rPr>
      </w:r>
      <w:r/>
    </w:p>
    <w:tbl>
      <w:tblPr>
        <w:tblW w:w="8931" w:type="dxa"/>
        <w:tblInd w:w="-506"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消息引擎要求提供可扩展的规则引擎和友好的可视化操作界面，从而实现消息的快速批量查询和订阅，同时，利用强大的对象模型以及高性能的数据和元数据存储，能够确保由不同的应用程序接口、服务、技术和数据来源产生的活动进行清晰透明的集成，此外，还可以实时访问当前和此前用于审计和业务活动监视（BMA）的已处理的信息，还能访问高可靠性和可恢复性得长时间运行的业务流程。</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产品功能要求包括：支持</w:t>
            </w:r>
            <w:r>
              <w:rPr>
                <w:rFonts w:hint="eastAsia" w:ascii="宋体" w:hAnsi="宋体" w:cs="宋体"/>
                <w:color w:val="000000"/>
                <w:sz w:val="24"/>
                <w:highlight w:val="none"/>
              </w:rPr>
              <w:t xml:space="preserve">基于消息的传递</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支持同步和异步交互方式</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基于消息内容的路由规则</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数据格式转换、值域转换，消息监控等</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基于消息的传递：</w:t>
            </w:r>
            <w:r>
              <w:rPr>
                <w:rFonts w:hint="eastAsia" w:ascii="宋体" w:hAnsi="宋体" w:cs="宋体"/>
                <w:color w:val="000000"/>
                <w:sz w:val="24"/>
                <w:highlight w:val="none"/>
              </w:rPr>
              <w:t xml:space="preserve">要求依靠消息传递信息，消息也会被持久化，同时支持消息的队列管理、消息的同步、任务识别、消息的跟踪、消息的定时发送、事件处理、通知等功能。</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支持同步和异步交互方式</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以同步方式发出的请求消息要等待应答消息到达才继续下面的传递。以异步方式发出的请求消息可以不需要应答，也可以需要应答但不等待，应答消息到达时再处理。。</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基于消息内容的路由规则</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路由和基于规则的流量控制能力可用户定制和扩展，能轻松的支持最简单和最复杂的集成环境</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数据格式转换</w:t>
            </w:r>
            <w:r>
              <w:rPr>
                <w:rFonts w:hint="eastAsia" w:ascii="宋体" w:hAnsi="宋体" w:cs="宋体"/>
                <w:b/>
                <w:bCs/>
                <w:color w:val="000000"/>
                <w:sz w:val="24"/>
                <w:highlight w:val="none"/>
              </w:rPr>
              <w:t xml:space="preserve">:</w:t>
            </w:r>
            <w:r>
              <w:rPr>
                <w:rFonts w:hint="eastAsia" w:ascii="宋体" w:hAnsi="宋体"/>
                <w:color w:val="000000"/>
                <w:sz w:val="24"/>
                <w:highlight w:val="none"/>
              </w:rPr>
              <w:t xml:space="preserve"> 数据格式</w:t>
            </w:r>
            <w:r>
              <w:rPr>
                <w:rFonts w:hint="eastAsia" w:ascii="宋体" w:hAnsi="宋体" w:cs="宋体"/>
                <w:color w:val="000000"/>
                <w:sz w:val="24"/>
                <w:highlight w:val="none"/>
              </w:rPr>
              <w:t xml:space="preserve">转换是整合平台将信息和数据从一种格式转换为另一种的能力。</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值域转换</w:t>
            </w:r>
            <w:r>
              <w:rPr>
                <w:rFonts w:hint="eastAsia" w:ascii="宋体" w:hAnsi="宋体" w:cs="宋体"/>
                <w:b/>
                <w:bCs/>
                <w:color w:val="000000"/>
                <w:sz w:val="24"/>
                <w:highlight w:val="none"/>
              </w:rPr>
              <w:t xml:space="preserve">：</w:t>
            </w:r>
            <w:r>
              <w:rPr>
                <w:rFonts w:hint="eastAsia" w:ascii="宋体" w:hAnsi="宋体"/>
                <w:color w:val="000000"/>
                <w:sz w:val="24"/>
                <w:highlight w:val="none"/>
              </w:rPr>
              <w:t xml:space="preserve">实现值域转换映射</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消息监控：</w:t>
            </w:r>
            <w:r>
              <w:rPr>
                <w:rFonts w:hint="eastAsia" w:ascii="宋体" w:hAnsi="宋体"/>
                <w:color w:val="000000"/>
                <w:sz w:val="24"/>
                <w:highlight w:val="none"/>
              </w:rPr>
              <w:t xml:space="preserve">提供图形化消息监控界面，实时查看消息负载及消息异常状况等内容。</w:t>
            </w:r>
            <w:r>
              <w:rPr>
                <w:rFonts w:ascii="宋体" w:hAnsi="宋体" w:cs="宋体"/>
                <w:b/>
                <w:bCs/>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1.4标准管理</w:t>
      </w:r>
      <w:r>
        <w:rPr>
          <w:rFonts w:ascii="宋体" w:hAnsi="宋体"/>
          <w:color w:val="000000"/>
          <w:sz w:val="24"/>
          <w:szCs w:val="24"/>
          <w:highlight w:val="none"/>
        </w:rPr>
      </w:r>
      <w:r/>
    </w:p>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tbl>
      <w:tblPr>
        <w:tblW w:w="8931" w:type="dxa"/>
        <w:tblInd w:w="-506"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标准管理中心融合多种国家标准和行业标准，通过界面化的工具完成标准录入和维护工作，应提供数据值域转换工具对医疗机构在异构系统之间同一数据项内容不一致情况，进行非标准和标准之间相互转换功能，打破“信息孤岛”、实现数据共享；提供数据格式转换工具用于各业务系统对外接口按统一标准暴露出来，医院对各业务系统接口情况有了全局的掌控。使得各系统向专业化、纵深化方向发展、升级、改造更加轻松，为未来可能采购或开发的新系统提出交互标准要求，从而保证信息系统建设的长期有效性，提高业务系统之间的应用集成、互联互通的能力。</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w:t>
            </w:r>
            <w:r>
              <w:rPr>
                <w:rFonts w:hint="eastAsia" w:ascii="宋体" w:hAnsi="宋体"/>
                <w:color w:val="000000"/>
                <w:sz w:val="24"/>
                <w:highlight w:val="none"/>
              </w:rPr>
              <w:t xml:space="preserve">标准字典、术语字典、共享文档、交互服务等模块。</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标准字典</w:t>
            </w:r>
            <w:r>
              <w:rPr>
                <w:rFonts w:hint="eastAsia" w:ascii="宋体" w:hAnsi="宋体" w:cs="宋体"/>
                <w:color w:val="000000"/>
                <w:sz w:val="24"/>
                <w:highlight w:val="none"/>
              </w:rPr>
              <w:t xml:space="preserve">：包括身份证件类别代码表、地址类别代码表、ABO血型代码表、Rh（D）血型代码表、诊断状态代码表等400多个国家和行业标准代码表。</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术语字典</w:t>
            </w:r>
            <w:r>
              <w:rPr>
                <w:rFonts w:hint="eastAsia" w:ascii="宋体" w:hAnsi="宋体" w:cs="宋体"/>
                <w:color w:val="000000"/>
                <w:sz w:val="24"/>
                <w:highlight w:val="none"/>
              </w:rPr>
              <w:t xml:space="preserve">：包括ICD-9手术编码（北京、全国）、ICD-10手术编码（北京、全国）、ICD-9诊断编码（北京、全国）、ICD-10诊断编码（北京、全国）、形态学编码（北京、全国）。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共享文档</w:t>
            </w:r>
            <w:r>
              <w:rPr>
                <w:rFonts w:hint="eastAsia" w:ascii="宋体" w:hAnsi="宋体" w:cs="宋体"/>
                <w:color w:val="000000"/>
                <w:sz w:val="24"/>
                <w:highlight w:val="none"/>
              </w:rPr>
              <w:t xml:space="preserve">：要求以满足医院内部不同信息系统以及医院外不同机构之间的互联互通、信息共享为目的的科学、规范的医疗信息记录，在结构上遵循《卫生信息共享文档编制规范》，并结合业务实际进行了细化和应用落地。要求遵循HL7 RIM模型，借鉴国际上已有的成熟文档结构标准ISO/HL7 CDA R2三层架构，同时结合我国医疗卫生业务需求，进行本土化约束和适当扩展，以适合我国卫生信息共享文档共享和交换。</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交互服务</w:t>
            </w:r>
            <w:r>
              <w:rPr>
                <w:rFonts w:hint="eastAsia" w:ascii="宋体" w:hAnsi="宋体" w:cs="宋体"/>
                <w:color w:val="000000"/>
                <w:sz w:val="24"/>
                <w:highlight w:val="none"/>
              </w:rPr>
              <w:t xml:space="preserve">:要求基于RIM模型，参考HL7 V3标准，结合医院的实际情况和需求，对上述标准进行本地化扩展，建立医院信息交互规范，并文档化。提供医院信息服务、互联互通的标准化指南，明确场景、信息模型、标准化服务的提供方、服务消费方。目前卫生部制定交互服务规范的数量36个，主要涉及患者身份信息、医护人员信息、医疗卫生机构（科室）信息、电子病历文档信息、医嘱信息、申请单信息、就诊相关信息、字典信息。。</w:t>
            </w:r>
            <w:r>
              <w:rPr>
                <w:rFonts w:ascii="宋体" w:hAnsi="宋体" w:cs="宋体"/>
                <w:color w:val="000000"/>
                <w:sz w:val="24"/>
                <w:highlight w:val="none"/>
              </w:rPr>
            </w:r>
            <w:r/>
          </w:p>
        </w:tc>
      </w:tr>
    </w:tbl>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1.5流程管理</w:t>
      </w:r>
      <w:r>
        <w:rPr>
          <w:rFonts w:ascii="宋体" w:hAnsi="宋体"/>
          <w:color w:val="000000"/>
          <w:sz w:val="24"/>
          <w:szCs w:val="24"/>
          <w:highlight w:val="none"/>
        </w:rPr>
      </w:r>
      <w:r/>
    </w:p>
    <w:tbl>
      <w:tblPr>
        <w:tblW w:w="8931" w:type="dxa"/>
        <w:tblInd w:w="-506"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流程管理作为服务总线的重要组件，为未来医疗信息系统的业务发展和业务创新，提供了灵活高效的技术平台。流程管理要求提供开发灵活、按需配置业务流程、快速定义、 创建和部署灵活的解决方案的能力，满足通过集成业务流程内部的服务、数据、规则、角色来满足不断变化的需求</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w:t>
            </w:r>
            <w:r>
              <w:rPr>
                <w:rFonts w:hint="eastAsia" w:ascii="宋体" w:hAnsi="宋体" w:cs="宋体"/>
                <w:color w:val="000000"/>
                <w:sz w:val="24"/>
                <w:highlight w:val="none"/>
              </w:rPr>
              <w:t xml:space="preserve">工作流引擎组件、可客户化的图形操作界面</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启动、管理和监视流程的功能</w:t>
            </w:r>
            <w:r>
              <w:rPr>
                <w:rFonts w:hint="eastAsia" w:ascii="宋体" w:hAnsi="宋体"/>
                <w:color w:val="000000"/>
                <w:sz w:val="24"/>
                <w:highlight w:val="none"/>
              </w:rPr>
              <w:t xml:space="preserve">等模块。</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工作流引擎组件</w:t>
            </w:r>
            <w:r>
              <w:rPr>
                <w:rFonts w:hint="eastAsia" w:ascii="宋体" w:hAnsi="宋体" w:cs="宋体"/>
                <w:color w:val="000000"/>
                <w:sz w:val="24"/>
                <w:highlight w:val="none"/>
              </w:rPr>
              <w:t xml:space="preserve">：要求包含</w:t>
            </w:r>
            <w:r>
              <w:rPr>
                <w:rFonts w:hint="eastAsia" w:ascii="宋体" w:hAnsi="宋体" w:cs="宋体"/>
                <w:color w:val="000000"/>
                <w:sz w:val="24"/>
                <w:highlight w:val="none"/>
              </w:rPr>
              <w:t xml:space="preserve">调用组件、代码组件、逻辑判断组件、循环组件、延迟组件、警告组件、异常组件等多种引擎组件</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可客户化的图形操作界面</w:t>
            </w:r>
            <w:r>
              <w:rPr>
                <w:rFonts w:hint="eastAsia" w:ascii="宋体" w:hAnsi="宋体" w:cs="宋体"/>
                <w:color w:val="000000"/>
                <w:sz w:val="24"/>
                <w:highlight w:val="none"/>
              </w:rPr>
              <w:t xml:space="preserve">：提供可视化的流程配置界面，实现流程的自主配置。</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启动、管理和监视流程的功能</w:t>
            </w:r>
            <w:r>
              <w:rPr>
                <w:rFonts w:hint="eastAsia" w:ascii="宋体" w:hAnsi="宋体" w:cs="宋体"/>
                <w:color w:val="000000"/>
                <w:sz w:val="24"/>
                <w:highlight w:val="none"/>
              </w:rPr>
              <w:t xml:space="preserve">：要求提供流程的全程可视化管理</w:t>
            </w:r>
            <w:r>
              <w:rPr>
                <w:rFonts w:hint="eastAsia" w:ascii="宋体" w:hAnsi="宋体"/>
                <w:color w:val="000000"/>
                <w:sz w:val="24"/>
                <w:highlight w:val="none"/>
              </w:rPr>
              <w:t xml:space="preserve">。</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1.6监控管理</w:t>
      </w:r>
      <w:r>
        <w:rPr>
          <w:rFonts w:ascii="宋体" w:hAnsi="宋体"/>
          <w:color w:val="000000"/>
          <w:sz w:val="24"/>
          <w:szCs w:val="24"/>
          <w:highlight w:val="none"/>
        </w:rPr>
      </w:r>
      <w:r/>
    </w:p>
    <w:tbl>
      <w:tblPr>
        <w:tblW w:w="8931" w:type="dxa"/>
        <w:tblInd w:w="-506"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监控系统要求对当前信息集成平台上运行的所有内容进行监控和管理，提供图形化用户界面，能够实时查看测数据交换平台上硬件服务器情况、数据库性能情况、各个系统组件的状态、日志、异常等内容，并进行记录、统计与分析。同时支持通过Web浏览器方式，为系统管理员提供远程性能监控与远程日志查看功能，直观而有效的为信息科管理提供助力。。</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w:t>
            </w:r>
            <w:r>
              <w:rPr>
                <w:rFonts w:hint="eastAsia" w:ascii="宋体" w:hAnsi="宋体"/>
                <w:color w:val="000000"/>
                <w:sz w:val="24"/>
                <w:highlight w:val="none"/>
              </w:rPr>
              <w:t xml:space="preserve">平台参数与报警参数配置、监控各个系统组件的状态、记录平台日志和异常信息、监控对象的启停控制、监控告警、</w:t>
            </w:r>
            <w:r>
              <w:rPr>
                <w:rFonts w:hint="eastAsia" w:ascii="宋体" w:hAnsi="宋体" w:cs="宋体"/>
                <w:color w:val="000000"/>
                <w:sz w:val="24"/>
                <w:highlight w:val="none"/>
              </w:rPr>
              <w:t xml:space="preserve">监控可视化</w:t>
            </w:r>
            <w:r>
              <w:rPr>
                <w:rFonts w:hint="eastAsia" w:ascii="宋体" w:hAnsi="宋体"/>
                <w:color w:val="000000"/>
                <w:sz w:val="24"/>
                <w:highlight w:val="none"/>
              </w:rPr>
              <w:t xml:space="preserve">等模块。</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b/>
                <w:bCs/>
                <w:color w:val="000000"/>
                <w:sz w:val="24"/>
                <w:highlight w:val="none"/>
              </w:rPr>
              <w:t xml:space="preserve">平台参数与报警参数配置</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要求</w:t>
            </w:r>
            <w:r>
              <w:rPr>
                <w:rFonts w:hint="eastAsia" w:ascii="宋体" w:hAnsi="宋体"/>
                <w:color w:val="000000"/>
                <w:sz w:val="24"/>
                <w:highlight w:val="none"/>
              </w:rPr>
              <w:t xml:space="preserve">对平台的各项参数进行配置，包括配置各个监控参数的报警阈值等</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b/>
                <w:bCs/>
                <w:color w:val="000000"/>
                <w:sz w:val="24"/>
                <w:highlight w:val="none"/>
              </w:rPr>
              <w:t xml:space="preserve">监控各个系统组件的状态</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要求</w:t>
            </w:r>
            <w:r>
              <w:rPr>
                <w:rFonts w:hint="eastAsia" w:ascii="宋体" w:hAnsi="宋体"/>
                <w:color w:val="000000"/>
                <w:sz w:val="24"/>
                <w:highlight w:val="none"/>
              </w:rPr>
              <w:t xml:space="preserve">对平台各个系统模块的状态进行监测</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b/>
                <w:bCs/>
                <w:color w:val="000000"/>
                <w:sz w:val="24"/>
                <w:highlight w:val="none"/>
              </w:rPr>
              <w:t xml:space="preserve">记录平台日志和异常信息</w:t>
            </w:r>
            <w:r>
              <w:rPr>
                <w:rFonts w:hint="eastAsia" w:ascii="宋体" w:hAnsi="宋体" w:cs="宋体"/>
                <w:b/>
                <w:bCs/>
                <w:color w:val="000000"/>
                <w:sz w:val="24"/>
                <w:highlight w:val="none"/>
              </w:rPr>
              <w:t xml:space="preserve">：</w:t>
            </w:r>
            <w:r>
              <w:rPr>
                <w:rFonts w:hint="eastAsia" w:ascii="宋体" w:hAnsi="宋体"/>
                <w:color w:val="000000"/>
                <w:sz w:val="24"/>
                <w:highlight w:val="none"/>
              </w:rPr>
              <w:t xml:space="preserve">记录平台的日志，显示与查询异常信息。</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b/>
                <w:bCs/>
                <w:color w:val="000000"/>
                <w:sz w:val="24"/>
                <w:highlight w:val="none"/>
              </w:rPr>
              <w:t xml:space="preserve">监控对象的启停控制</w:t>
            </w:r>
            <w:r>
              <w:rPr>
                <w:rFonts w:hint="eastAsia" w:ascii="宋体" w:hAnsi="宋体" w:cs="宋体"/>
                <w:b/>
                <w:bCs/>
                <w:color w:val="000000"/>
                <w:sz w:val="24"/>
                <w:highlight w:val="none"/>
              </w:rPr>
              <w:t xml:space="preserve">:</w:t>
            </w:r>
            <w:r>
              <w:rPr>
                <w:rFonts w:hint="eastAsia" w:ascii="宋体" w:hAnsi="宋体"/>
                <w:color w:val="000000"/>
                <w:sz w:val="24"/>
                <w:highlight w:val="none"/>
              </w:rPr>
              <w:t xml:space="preserve"> 对被监控对象进行启动、停止、重启操作</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b/>
                <w:bCs/>
                <w:color w:val="000000"/>
                <w:sz w:val="24"/>
                <w:highlight w:val="none"/>
              </w:rPr>
              <w:t xml:space="preserve">监控告警</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能够及时了解当前的监控信息，当监控对象的性能参数超过告警阈值时，时产生报警。告警阈值能够分级设置，不同级别产生不同的告警。通过多种告警手段提供现场和远程告警，并且可定制发送方式和告警的优先级。。</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olor w:val="000000"/>
                <w:sz w:val="24"/>
                <w:highlight w:val="none"/>
              </w:rPr>
            </w:pPr>
            <w:r>
              <w:rPr>
                <w:rFonts w:hint="eastAsia" w:ascii="宋体" w:hAnsi="宋体" w:cs="宋体"/>
                <w:b/>
                <w:bCs/>
                <w:color w:val="000000"/>
                <w:sz w:val="24"/>
                <w:highlight w:val="none"/>
              </w:rPr>
              <w:t xml:space="preserve">监控可视化：</w:t>
            </w:r>
            <w:r>
              <w:rPr>
                <w:rFonts w:hint="eastAsia" w:ascii="宋体" w:hAnsi="宋体"/>
                <w:color w:val="000000"/>
                <w:sz w:val="24"/>
                <w:highlight w:val="none"/>
              </w:rPr>
              <w:t xml:space="preserve">实现图形化方式直观地显示监控信息，并能够进行统计分析。</w:t>
            </w:r>
            <w:r>
              <w:rPr>
                <w:rFonts w:ascii="宋体" w:hAnsi="宋体"/>
                <w:color w:val="000000"/>
                <w:sz w:val="24"/>
                <w:highlight w:val="none"/>
              </w:rPr>
            </w:r>
            <w:r/>
          </w:p>
        </w:tc>
      </w:tr>
    </w:tbl>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1.7与第三方系统集成组件</w:t>
      </w:r>
      <w:r>
        <w:rPr>
          <w:rFonts w:ascii="宋体" w:hAnsi="宋体"/>
          <w:color w:val="000000"/>
          <w:sz w:val="24"/>
          <w:szCs w:val="24"/>
          <w:highlight w:val="none"/>
        </w:rPr>
      </w:r>
      <w:r/>
    </w:p>
    <w:tbl>
      <w:tblPr>
        <w:tblW w:w="8931" w:type="dxa"/>
        <w:tblInd w:w="-5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集成组件可以</w:t>
            </w:r>
            <w:r>
              <w:rPr>
                <w:rFonts w:hint="eastAsia" w:ascii="宋体" w:hAnsi="宋体" w:cs="Arial"/>
                <w:bCs/>
                <w:color w:val="000000"/>
                <w:sz w:val="24"/>
                <w:highlight w:val="none"/>
              </w:rPr>
              <w:t xml:space="preserve">用于对第三方与平台之间的基本服务和各种应用程序进行统一的管理与监控。通过开放平台提供的标准化接口，帮助第三方厂商通过运用和组装平台接口及第三方厂商接口产生新的应用，允许第三方厂商实现扩展应用功能，同时提供统一、便捷的接入方式保证新应用基于平台环境的统一管理和运行</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c>
          <w:tcPr>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产品功能要求包括：H</w:t>
            </w:r>
            <w:r>
              <w:rPr>
                <w:rFonts w:ascii="宋体" w:hAnsi="宋体" w:cs="宋体"/>
                <w:color w:val="000000"/>
                <w:sz w:val="24"/>
                <w:highlight w:val="none"/>
              </w:rPr>
              <w:t xml:space="preserve">IS</w:t>
            </w:r>
            <w:r>
              <w:rPr>
                <w:rFonts w:hint="eastAsia" w:ascii="宋体" w:hAnsi="宋体" w:cs="宋体"/>
                <w:color w:val="000000"/>
                <w:sz w:val="24"/>
                <w:highlight w:val="none"/>
              </w:rPr>
              <w:t xml:space="preserve">系统集成组件、L</w:t>
            </w:r>
            <w:r>
              <w:rPr>
                <w:rFonts w:ascii="宋体" w:hAnsi="宋体" w:cs="宋体"/>
                <w:color w:val="000000"/>
                <w:sz w:val="24"/>
                <w:highlight w:val="none"/>
              </w:rPr>
              <w:t xml:space="preserve">IS</w:t>
            </w:r>
            <w:r>
              <w:rPr>
                <w:rFonts w:hint="eastAsia" w:ascii="宋体" w:hAnsi="宋体" w:cs="宋体"/>
                <w:color w:val="000000"/>
                <w:sz w:val="24"/>
                <w:highlight w:val="none"/>
              </w:rPr>
              <w:t xml:space="preserve">系统集成组件、P</w:t>
            </w:r>
            <w:r>
              <w:rPr>
                <w:rFonts w:ascii="宋体" w:hAnsi="宋体" w:cs="宋体"/>
                <w:color w:val="000000"/>
                <w:sz w:val="24"/>
                <w:highlight w:val="none"/>
              </w:rPr>
              <w:t xml:space="preserve">ACS</w:t>
            </w:r>
            <w:r>
              <w:rPr>
                <w:rFonts w:hint="eastAsia" w:ascii="宋体" w:hAnsi="宋体" w:cs="宋体"/>
                <w:color w:val="000000"/>
                <w:sz w:val="24"/>
                <w:highlight w:val="none"/>
              </w:rPr>
              <w:t xml:space="preserve">系统集成组件、电子病历集成组件等</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W w:w="1277" w:type="dxa"/>
            <w:vAlign w:val="center"/>
            <w:vMerge w:val="restart"/>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H</w:t>
            </w:r>
            <w:r>
              <w:rPr>
                <w:rFonts w:ascii="宋体" w:hAnsi="宋体" w:cs="宋体"/>
                <w:b/>
                <w:bCs/>
                <w:color w:val="000000"/>
                <w:sz w:val="24"/>
                <w:highlight w:val="none"/>
              </w:rPr>
              <w:t xml:space="preserve">IS</w:t>
            </w:r>
            <w:r>
              <w:rPr>
                <w:rFonts w:hint="eastAsia" w:ascii="宋体" w:hAnsi="宋体" w:cs="宋体"/>
                <w:b/>
                <w:bCs/>
                <w:color w:val="000000"/>
                <w:sz w:val="24"/>
                <w:highlight w:val="none"/>
              </w:rPr>
              <w:t xml:space="preserve">系统集成组件：</w:t>
            </w:r>
            <w:r>
              <w:rPr>
                <w:rFonts w:ascii="宋体" w:hAnsi="宋体" w:cs="宋体"/>
                <w:b/>
                <w:bCs/>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rPr>
              <w:tab/>
            </w:r>
            <w:r>
              <w:rPr>
                <w:rFonts w:hint="eastAsia" w:ascii="宋体" w:hAnsi="宋体" w:cs="宋体"/>
                <w:color w:val="000000"/>
                <w:sz w:val="24"/>
                <w:highlight w:val="none"/>
              </w:rPr>
              <w:t xml:space="preserve">HIS与检验系统信息交互，通过业务服务平台获取检验单据信息、患者住院信息、病历信息，记录完整的检验单据处理过程，标本送检过程处理与单据费用自动处理，检验报告结构化存储，实现多系统统一的报告调阅接口；</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ab/>
            </w:r>
            <w:r>
              <w:rPr>
                <w:rFonts w:hint="eastAsia" w:ascii="宋体" w:hAnsi="宋体" w:cs="宋体"/>
                <w:color w:val="000000"/>
                <w:sz w:val="24"/>
                <w:highlight w:val="none"/>
              </w:rPr>
              <w:t xml:space="preserve">HIS与医技检查系统信息交互，放射检查、病理检查、心电、B超、内镜检查业务通过业务服务平台获取检查单据信息、患者住院信息、病历信息，记录完整的检验单据处理过程，检查图文报告结构化存储，实现多系统统一的报告调阅接口；并支持统一影像浏览及处理。</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ab/>
            </w:r>
            <w:r>
              <w:rPr>
                <w:rFonts w:hint="eastAsia" w:ascii="宋体" w:hAnsi="宋体" w:cs="宋体"/>
                <w:color w:val="000000"/>
                <w:sz w:val="24"/>
                <w:highlight w:val="none"/>
              </w:rPr>
              <w:t xml:space="preserve">HIS与电子病历系统信息一体化，完善以电子病历为中心的临床信息系统，提供电子病历分级评价标准实现。</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ab/>
            </w:r>
            <w:r>
              <w:rPr>
                <w:rFonts w:hint="eastAsia" w:ascii="宋体" w:hAnsi="宋体" w:cs="宋体"/>
                <w:color w:val="000000"/>
                <w:sz w:val="24"/>
                <w:highlight w:val="none"/>
              </w:rPr>
              <w:t xml:space="preserve">临床路径信息查询,可通过医院服务总线，实现路径表单、知情通知书、路径评估单等信息查询。</w:t>
            </w:r>
            <w:r>
              <w:rPr>
                <w:rFonts w:ascii="宋体" w:hAnsi="宋体" w:cs="宋体"/>
                <w:color w:val="000000"/>
                <w:sz w:val="24"/>
                <w:highlight w:val="none"/>
              </w:rPr>
            </w:r>
            <w:r/>
          </w:p>
        </w:tc>
      </w:tr>
      <w:tr>
        <w:trPr/>
        <w:tc>
          <w:tcPr>
            <w:tcW w:w="1277" w:type="dxa"/>
            <w:vAlign w:val="center"/>
            <w:vMerge w:val="continue"/>
            <w:textDirection w:val="lrTb"/>
            <w:noWrap w:val="false"/>
          </w:tcPr>
          <w:p>
            <w:pPr>
              <w:pStyle w:val="7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L</w:t>
            </w:r>
            <w:r>
              <w:rPr>
                <w:rFonts w:ascii="宋体" w:hAnsi="宋体" w:cs="宋体"/>
                <w:b/>
                <w:bCs/>
                <w:color w:val="000000"/>
                <w:sz w:val="24"/>
                <w:highlight w:val="none"/>
              </w:rPr>
              <w:t xml:space="preserve">IS</w:t>
            </w:r>
            <w:r>
              <w:rPr>
                <w:rFonts w:hint="eastAsia" w:ascii="宋体" w:hAnsi="宋体" w:cs="宋体"/>
                <w:b/>
                <w:bCs/>
                <w:color w:val="000000"/>
                <w:sz w:val="24"/>
                <w:highlight w:val="none"/>
              </w:rPr>
              <w:t xml:space="preserve">系统集成组件：</w:t>
            </w:r>
            <w:r>
              <w:rPr>
                <w:rFonts w:hint="eastAsia" w:ascii="宋体" w:hAnsi="宋体" w:cs="宋体"/>
                <w:color w:val="000000"/>
                <w:sz w:val="24"/>
                <w:highlight w:val="none"/>
              </w:rPr>
              <w:t xml:space="preserve">医院服务总线与检验系统信息(LIS)交互：通过业务服务平台获取检验单据信息、患者住院信息、病历信息，记录完整的检验单据处理过程，标本送检过程处理与单据费用自动处理，检验报告结构化存储，实现多系统统一的报告调阅接口；。</w:t>
            </w:r>
            <w:r>
              <w:rPr>
                <w:rFonts w:ascii="宋体" w:hAnsi="宋体" w:cs="宋体"/>
                <w:color w:val="000000"/>
                <w:sz w:val="24"/>
                <w:highlight w:val="none"/>
              </w:rPr>
            </w:r>
            <w:r/>
          </w:p>
        </w:tc>
      </w:tr>
      <w:tr>
        <w:trPr/>
        <w:tc>
          <w:tcPr>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P</w:t>
            </w:r>
            <w:r>
              <w:rPr>
                <w:rFonts w:ascii="宋体" w:hAnsi="宋体" w:cs="宋体"/>
                <w:b/>
                <w:bCs/>
                <w:color w:val="000000"/>
                <w:sz w:val="24"/>
                <w:highlight w:val="none"/>
              </w:rPr>
              <w:t xml:space="preserve">ACS</w:t>
            </w:r>
            <w:r>
              <w:rPr>
                <w:rFonts w:hint="eastAsia" w:ascii="宋体" w:hAnsi="宋体" w:cs="宋体"/>
                <w:b/>
                <w:bCs/>
                <w:color w:val="000000"/>
                <w:sz w:val="24"/>
                <w:highlight w:val="none"/>
              </w:rPr>
              <w:t xml:space="preserve">系统集成组件：</w:t>
            </w:r>
            <w:r>
              <w:rPr>
                <w:rFonts w:hint="eastAsia" w:ascii="宋体" w:hAnsi="宋体" w:cs="宋体"/>
                <w:color w:val="000000"/>
                <w:sz w:val="24"/>
                <w:highlight w:val="none"/>
              </w:rPr>
              <w:t xml:space="preserve">医院服务总线与医技检查系统（PACS/RIS）信息交互：放射等业务通过业务服务平台获取检查单据信息、患者住院信息、病历信息，记录完整的检验单据处理过程，检查图文报告结构化存储，实现多系统统一的报告调阅接口；并支持统一影像浏览及处理。</w:t>
            </w:r>
            <w:r>
              <w:rPr>
                <w:rFonts w:ascii="宋体" w:hAnsi="宋体" w:cs="宋体"/>
                <w:color w:val="000000"/>
                <w:sz w:val="24"/>
                <w:highlight w:val="none"/>
              </w:rPr>
            </w:r>
            <w:r/>
          </w:p>
        </w:tc>
      </w:tr>
      <w:tr>
        <w:trPr/>
        <w:tc>
          <w:tcPr>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b/>
                <w:bCs/>
                <w:color w:val="000000"/>
                <w:sz w:val="24"/>
                <w:highlight w:val="none"/>
              </w:rPr>
              <w:t xml:space="preserve">电子病历集成组件：</w:t>
            </w:r>
            <w:r>
              <w:rPr>
                <w:rFonts w:hint="eastAsia" w:ascii="宋体" w:hAnsi="宋体" w:cs="宋体"/>
                <w:color w:val="000000"/>
                <w:sz w:val="24"/>
                <w:highlight w:val="none"/>
              </w:rPr>
              <w:t xml:space="preserve">电子病历系统信息交换组件用于对电子病历系统与平台之间的基本服务和各种应用程序进行统一的管理与监控。通过开放平台提供的Web Service标准化接口，帮助电子病历厂商通过运用和组装平台接口及电子病历接口产生新的应用，允许电子病历厂商实现扩展应用功能，同时提供统一、便捷的接入方式保证新应用基于平台环境的统一管理和运行。</w:t>
            </w:r>
            <w:r>
              <w:rPr>
                <w:rFonts w:ascii="宋体" w:hAnsi="宋体" w:cs="宋体"/>
                <w:color w:val="000000"/>
                <w:sz w:val="24"/>
                <w:highlight w:val="none"/>
              </w:rPr>
            </w:r>
            <w:r/>
          </w:p>
        </w:tc>
      </w:tr>
    </w:tbl>
    <w:p>
      <w:pPr>
        <w:pStyle w:val="798"/>
        <w:numPr>
          <w:ilvl w:val="3"/>
          <w:numId w:val="0"/>
        </w:numPr>
        <w:jc w:val="both"/>
        <w:keepLines/>
        <w:spacing w:before="280" w:after="290" w:line="360" w:lineRule="auto"/>
        <w:rPr>
          <w:rFonts w:ascii="宋体" w:hAnsi="宋体" w:eastAsia="宋体"/>
          <w:color w:val="000000"/>
          <w:sz w:val="24"/>
          <w:szCs w:val="24"/>
          <w:highlight w:val="none"/>
        </w:rPr>
      </w:pPr>
      <w:r/>
      <w:bookmarkStart w:id="108" w:name="_Toc449054717"/>
      <w:r/>
      <w:bookmarkStart w:id="109" w:name="_Toc452576641"/>
      <w:r/>
      <w:bookmarkStart w:id="110" w:name="_Toc449054718"/>
      <w:r/>
      <w:bookmarkStart w:id="111" w:name="_Toc452576642"/>
      <w:r>
        <w:rPr>
          <w:rFonts w:hint="eastAsia" w:ascii="宋体" w:hAnsi="宋体" w:eastAsia="宋体"/>
          <w:color w:val="000000"/>
          <w:sz w:val="24"/>
          <w:szCs w:val="24"/>
          <w:highlight w:val="none"/>
        </w:rPr>
        <w:t xml:space="preserve">2.主数据管理</w:t>
      </w:r>
      <w:bookmarkEnd w:id="110"/>
      <w:r/>
      <w:bookmarkEnd w:id="111"/>
      <w:r>
        <w:rPr>
          <w:rFonts w:ascii="宋体" w:hAnsi="宋体" w:eastAsia="宋体"/>
          <w:color w:val="000000"/>
          <w:sz w:val="24"/>
          <w:szCs w:val="24"/>
          <w:highlight w:val="none"/>
        </w:rPr>
      </w:r>
      <w:r/>
    </w:p>
    <w:tbl>
      <w:tblPr>
        <w:tblW w:w="8931" w:type="dxa"/>
        <w:tblInd w:w="-5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W w:w="7654" w:type="dxa"/>
            <w:vAlign w:val="center"/>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主数据由于跨系统，所以对数据的一致性、实时性和版本控制要求很高，主数据管理需要实现主数据的集成、共享、提高数据质量，为此在主数据管理系统中集成服务总线功能，来集中化管理数据，在分散的系统间保证主数据的一致性。要求集中进行数据的清洗和丰富，并且以服务的方式把统一的、完整的、准确的、具有权威性的主数据分发给全医院范围内需要使用这些数据的系统，还可实现主数据服务的权限管理，消息查询、统计，减少应用程序之间点对点集成和接口成本，统一数据源头及流向。</w:t>
            </w:r>
            <w:r>
              <w:rPr>
                <w:rFonts w:ascii="宋体" w:hAnsi="宋体"/>
                <w:color w:val="000000"/>
                <w:sz w:val="24"/>
                <w:highlight w:val="none"/>
              </w:rPr>
            </w:r>
            <w:r/>
          </w:p>
        </w:tc>
      </w:tr>
      <w:tr>
        <w:trPr/>
        <w:tc>
          <w:tcPr>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产品功能要求包括：组织和科室管理、</w:t>
            </w:r>
            <w:r>
              <w:rPr>
                <w:rFonts w:hint="eastAsia" w:ascii="宋体" w:hAnsi="宋体"/>
                <w:color w:val="000000"/>
                <w:sz w:val="24"/>
                <w:highlight w:val="none"/>
              </w:rPr>
              <w:t xml:space="preserve">人员管理、医学术语管理。</w:t>
            </w:r>
            <w:r>
              <w:rPr>
                <w:rFonts w:ascii="宋体" w:hAnsi="宋体" w:cs="宋体"/>
                <w:color w:val="000000"/>
                <w:sz w:val="24"/>
                <w:highlight w:val="none"/>
              </w:rPr>
            </w:r>
            <w:r/>
          </w:p>
        </w:tc>
      </w:tr>
      <w:tr>
        <w:trPr/>
        <w:tc>
          <w:tcPr>
            <w:tcW w:w="1277" w:type="dxa"/>
            <w:vAlign w:val="center"/>
            <w:vMerge w:val="restart"/>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组织和科室管理：</w:t>
            </w:r>
            <w:r>
              <w:rPr>
                <w:rFonts w:ascii="宋体" w:hAnsi="宋体" w:cs="宋体"/>
                <w:b/>
                <w:bCs/>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人事部门能够创建全院级行政组织架构，包括医院、分院和各类职能科室、临床科室医技科室、后勤科室等。主数据可在人事组织的基础上增加业务系统所用的科室信息，为医院信息平台上的各应用系统、患者提供完整、统一的组织和科室信息。</w:t>
            </w:r>
            <w:r>
              <w:rPr>
                <w:rFonts w:ascii="宋体" w:hAnsi="宋体" w:cs="宋体"/>
                <w:color w:val="000000"/>
                <w:sz w:val="24"/>
                <w:highlight w:val="none"/>
              </w:rPr>
            </w:r>
            <w:r/>
          </w:p>
        </w:tc>
      </w:tr>
      <w:tr>
        <w:trPr/>
        <w:tc>
          <w:tcPr>
            <w:tcW w:w="1277" w:type="dxa"/>
            <w:vAlign w:val="center"/>
            <w:vMerge w:val="continue"/>
            <w:textDirection w:val="lrTb"/>
            <w:noWrap w:val="false"/>
          </w:tcPr>
          <w:p>
            <w:pPr>
              <w:pStyle w:val="79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人员管理：</w:t>
            </w:r>
            <w:r>
              <w:rPr>
                <w:rFonts w:ascii="宋体" w:hAnsi="宋体" w:cs="宋体"/>
                <w:b/>
                <w:bCs/>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人事部门可以将人员分配到各个行政科室下面，明确人员人事归属。</w:t>
            </w:r>
            <w:r>
              <w:rPr>
                <w:rFonts w:ascii="宋体" w:hAnsi="宋体" w:cs="宋体"/>
                <w:color w:val="000000"/>
                <w:sz w:val="24"/>
                <w:highlight w:val="none"/>
              </w:rPr>
            </w:r>
            <w:r/>
          </w:p>
          <w:p>
            <w:pPr>
              <w:pStyle w:val="794"/>
              <w:jc w:val="left"/>
              <w:spacing w:line="360" w:lineRule="auto"/>
              <w:widowControl/>
              <w:rPr>
                <w:rFonts w:ascii="宋体" w:hAnsi="宋体" w:cs="宋体"/>
                <w:b/>
                <w:bCs/>
                <w:color w:val="000000"/>
                <w:sz w:val="24"/>
                <w:highlight w:val="none"/>
              </w:rPr>
            </w:pPr>
            <w:r>
              <w:rPr>
                <w:rFonts w:hint="eastAsia" w:ascii="宋体" w:hAnsi="宋体" w:cs="宋体"/>
                <w:color w:val="000000"/>
                <w:sz w:val="24"/>
                <w:highlight w:val="none"/>
              </w:rPr>
              <w:t xml:space="preserve">建立全院统一的人员数据管理平台，整合HIS、HRP、OA等所有系统的人员信息，平台能够持有和管理所有人员数据，并使各个系统的人员和组织数据保持一致。能够随时跟踪人员所在。</w:t>
            </w:r>
            <w:r>
              <w:rPr>
                <w:rFonts w:ascii="宋体" w:hAnsi="宋体" w:cs="宋体"/>
                <w:b/>
                <w:bCs/>
                <w:color w:val="000000"/>
                <w:sz w:val="24"/>
                <w:highlight w:val="none"/>
              </w:rPr>
            </w:r>
            <w:r/>
          </w:p>
        </w:tc>
      </w:tr>
      <w:tr>
        <w:trPr/>
        <w:tc>
          <w:tcPr>
            <w:tcW w:w="1277" w:type="dxa"/>
            <w:vAlign w:val="center"/>
            <w:vMerge w:val="continue"/>
            <w:textDirection w:val="lrTb"/>
            <w:noWrap w:val="false"/>
          </w:tcPr>
          <w:p>
            <w:pPr>
              <w:pStyle w:val="794"/>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医学术语管理：</w:t>
            </w:r>
            <w:r>
              <w:rPr>
                <w:rFonts w:ascii="宋体" w:hAnsi="宋体"/>
                <w:b/>
                <w:bCs/>
                <w:color w:val="000000"/>
                <w:sz w:val="24"/>
                <w:highlight w:val="none"/>
              </w:rPr>
            </w:r>
            <w:r/>
          </w:p>
          <w:p>
            <w:pPr>
              <w:pStyle w:val="890"/>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能够统一管理和维护临床诊断</w:t>
            </w:r>
            <w:r>
              <w:rPr>
                <w:rFonts w:ascii="宋体" w:hAnsi="宋体" w:cs="宋体"/>
                <w:color w:val="000000"/>
                <w:sz w:val="24"/>
                <w:szCs w:val="24"/>
                <w:highlight w:val="none"/>
              </w:rPr>
            </w:r>
            <w:r/>
          </w:p>
          <w:p>
            <w:pPr>
              <w:pStyle w:val="890"/>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能够统一管理和维护ICD10</w:t>
            </w:r>
            <w:r>
              <w:rPr>
                <w:rFonts w:ascii="宋体" w:hAnsi="宋体" w:cs="宋体"/>
                <w:color w:val="000000"/>
                <w:sz w:val="24"/>
                <w:szCs w:val="24"/>
                <w:highlight w:val="none"/>
              </w:rPr>
            </w:r>
            <w:r/>
          </w:p>
          <w:p>
            <w:pPr>
              <w:pStyle w:val="890"/>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能够管理和维护临床诊断与ICD10之间的关系</w:t>
            </w:r>
            <w:r>
              <w:rPr>
                <w:rFonts w:ascii="宋体" w:hAnsi="宋体" w:cs="宋体"/>
                <w:color w:val="000000"/>
                <w:sz w:val="24"/>
                <w:szCs w:val="24"/>
                <w:highlight w:val="none"/>
              </w:rPr>
            </w:r>
            <w:r/>
          </w:p>
          <w:p>
            <w:pPr>
              <w:pStyle w:val="890"/>
              <w:numPr>
                <w:ilvl w:val="0"/>
                <w:numId w:val="5"/>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能够统一管理各个系统和平台术语的对照关系</w:t>
            </w:r>
            <w:r>
              <w:rPr>
                <w:rFonts w:ascii="宋体" w:hAnsi="宋体" w:cs="宋体"/>
                <w:color w:val="000000"/>
                <w:sz w:val="24"/>
                <w:szCs w:val="24"/>
                <w:highlight w:val="none"/>
              </w:rPr>
            </w:r>
            <w:r/>
          </w:p>
          <w:p>
            <w:pPr>
              <w:pStyle w:val="890"/>
              <w:numPr>
                <w:ilvl w:val="0"/>
                <w:numId w:val="5"/>
              </w:numPr>
              <w:jc w:val="left"/>
              <w:spacing w:line="360" w:lineRule="auto"/>
              <w:widowControl/>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能够保证各个系统的术语与平台术语的一致性</w:t>
            </w:r>
            <w:r>
              <w:rPr>
                <w:rFonts w:ascii="宋体" w:hAnsi="宋体" w:cs="宋体"/>
                <w:b/>
                <w:bCs/>
                <w:color w:val="000000"/>
                <w:sz w:val="24"/>
                <w:szCs w:val="24"/>
                <w:highlight w:val="none"/>
              </w:rPr>
            </w:r>
            <w:r/>
          </w:p>
        </w:tc>
      </w:tr>
    </w:tbl>
    <w:p>
      <w:pPr>
        <w:pStyle w:val="798"/>
        <w:numPr>
          <w:ilvl w:val="3"/>
          <w:numId w:val="0"/>
        </w:numPr>
        <w:jc w:val="both"/>
        <w:keepLines/>
        <w:spacing w:before="280" w:after="290"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3.患者主索引</w:t>
      </w:r>
      <w:bookmarkEnd w:id="108"/>
      <w:r/>
      <w:bookmarkEnd w:id="109"/>
      <w:r>
        <w:rPr>
          <w:rFonts w:hint="eastAsia" w:ascii="宋体" w:hAnsi="宋体" w:eastAsia="宋体"/>
          <w:color w:val="000000"/>
          <w:sz w:val="24"/>
          <w:szCs w:val="24"/>
          <w:highlight w:val="none"/>
        </w:rPr>
        <w:t xml:space="preserve">管理</w:t>
      </w:r>
      <w:r>
        <w:rPr>
          <w:rFonts w:ascii="宋体" w:hAnsi="宋体" w:eastAsia="宋体"/>
          <w:color w:val="000000"/>
          <w:sz w:val="24"/>
          <w:szCs w:val="24"/>
          <w:highlight w:val="none"/>
        </w:rPr>
      </w:r>
      <w:r/>
    </w:p>
    <w:tbl>
      <w:tblPr>
        <w:tblW w:w="8931" w:type="dxa"/>
        <w:tblInd w:w="-5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W w:w="7654" w:type="dxa"/>
            <w:vAlign w:val="center"/>
            <w:textDirection w:val="lrTb"/>
            <w:noWrap w:val="false"/>
          </w:tcPr>
          <w:p>
            <w:pPr>
              <w:pStyle w:val="808"/>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患者主索引，建立全院级别的患者唯一身份标识即患者主索引。解决目前医院各个应用系统数据标准不统一，维护方式不统一，患者信息管理不统一等问题。</w:t>
            </w:r>
            <w:r>
              <w:rPr>
                <w:rFonts w:ascii="宋体" w:hAnsi="宋体" w:eastAsia="宋体"/>
                <w:color w:val="000000"/>
                <w:szCs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实现医院数据全面整合，快速处理患者信息主数据来源更新和精确同步，有效控制录入的患者数据质量，保障患者数据一致性和历史诊疗数据的连贯性。为建设数据中心，实现以主索引为主线的患者全息视图打下基础。</w:t>
            </w:r>
            <w:r>
              <w:rPr>
                <w:rFonts w:ascii="宋体" w:hAnsi="宋体" w:cs="宋体"/>
                <w:color w:val="000000"/>
                <w:sz w:val="24"/>
                <w:highlight w:val="none"/>
              </w:rPr>
            </w:r>
            <w:r/>
          </w:p>
        </w:tc>
      </w:tr>
      <w:tr>
        <w:trPr/>
        <w:tc>
          <w:tcPr>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产品功能要求包括：建立全院级统一的患者基本信息库、</w:t>
            </w:r>
            <w:r>
              <w:rPr>
                <w:rFonts w:hint="eastAsia" w:ascii="宋体" w:hAnsi="宋体"/>
                <w:color w:val="000000"/>
                <w:sz w:val="24"/>
                <w:highlight w:val="none"/>
              </w:rPr>
              <w:t xml:space="preserve">实现患者基本信息的“一数一源”的E</w:t>
            </w:r>
            <w:r>
              <w:rPr>
                <w:rFonts w:ascii="宋体" w:hAnsi="宋体"/>
                <w:color w:val="000000"/>
                <w:sz w:val="24"/>
                <w:highlight w:val="none"/>
              </w:rPr>
              <w:t xml:space="preserve">MPI</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W w:w="1277" w:type="dxa"/>
            <w:vAlign w:val="center"/>
            <w:vMerge w:val="restart"/>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全院级统一的患者基本信息库：</w:t>
            </w:r>
            <w:r>
              <w:rPr>
                <w:rFonts w:ascii="宋体" w:hAnsi="宋体" w:cs="宋体"/>
                <w:b/>
                <w:bCs/>
                <w:color w:val="000000"/>
                <w:sz w:val="24"/>
                <w:highlight w:val="none"/>
              </w:rPr>
            </w:r>
            <w:r/>
          </w:p>
          <w:p>
            <w:pPr>
              <w:pStyle w:val="890"/>
              <w:numPr>
                <w:ilvl w:val="0"/>
                <w:numId w:val="6"/>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能够统一管理患者基本信息</w:t>
            </w:r>
            <w:r>
              <w:rPr>
                <w:rFonts w:ascii="宋体" w:hAnsi="宋体" w:cs="宋体"/>
                <w:color w:val="000000"/>
                <w:sz w:val="24"/>
                <w:szCs w:val="24"/>
                <w:highlight w:val="none"/>
              </w:rPr>
            </w:r>
            <w:r/>
          </w:p>
          <w:p>
            <w:pPr>
              <w:pStyle w:val="890"/>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能够保证各个系统的患者信息的一致性</w:t>
            </w:r>
            <w:r>
              <w:rPr>
                <w:rFonts w:ascii="宋体" w:hAnsi="宋体" w:cs="宋体"/>
                <w:color w:val="000000"/>
                <w:sz w:val="24"/>
                <w:szCs w:val="24"/>
                <w:highlight w:val="none"/>
              </w:rPr>
            </w:r>
            <w:r/>
          </w:p>
          <w:p>
            <w:pPr>
              <w:pStyle w:val="890"/>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能够保证患者信息的完整性</w:t>
            </w:r>
            <w:r>
              <w:rPr>
                <w:rFonts w:ascii="宋体" w:hAnsi="宋体" w:cs="宋体"/>
                <w:color w:val="000000"/>
                <w:sz w:val="24"/>
                <w:szCs w:val="24"/>
                <w:highlight w:val="none"/>
              </w:rPr>
            </w:r>
            <w:r/>
          </w:p>
          <w:p>
            <w:pPr>
              <w:pStyle w:val="890"/>
              <w:numPr>
                <w:ilvl w:val="0"/>
                <w:numId w:val="7"/>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能够保证同一患者信息的逻辑唯一性。</w:t>
            </w:r>
            <w:r>
              <w:rPr>
                <w:rFonts w:ascii="宋体" w:hAnsi="宋体" w:cs="宋体"/>
                <w:color w:val="000000"/>
                <w:sz w:val="24"/>
                <w:szCs w:val="24"/>
                <w:highlight w:val="none"/>
              </w:rPr>
            </w:r>
            <w:r/>
          </w:p>
        </w:tc>
      </w:tr>
      <w:tr>
        <w:trPr/>
        <w:tc>
          <w:tcPr>
            <w:tcW w:w="1277" w:type="dxa"/>
            <w:vAlign w:val="center"/>
            <w:vMerge w:val="continue"/>
            <w:textDirection w:val="lrTb"/>
            <w:noWrap w:val="false"/>
          </w:tcPr>
          <w:p>
            <w:pPr>
              <w:pStyle w:val="794"/>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654"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b/>
                <w:bCs/>
                <w:color w:val="000000"/>
                <w:sz w:val="24"/>
                <w:highlight w:val="none"/>
              </w:rPr>
              <w:t xml:space="preserve">E</w:t>
            </w:r>
            <w:r>
              <w:rPr>
                <w:rFonts w:ascii="宋体" w:hAnsi="宋体"/>
                <w:b/>
                <w:bCs/>
                <w:color w:val="000000"/>
                <w:sz w:val="24"/>
                <w:highlight w:val="none"/>
              </w:rPr>
              <w:t xml:space="preserve">MPI</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ab/>
            </w:r>
            <w:r>
              <w:rPr>
                <w:rFonts w:ascii="宋体" w:hAnsi="宋体" w:cs="宋体"/>
                <w:b/>
                <w:bCs/>
                <w:color w:val="000000"/>
                <w:sz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能够根据患者的本地索引获得患者主索引或患者的其他本地索引</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能够逻辑合并同一患者的多条记录信息</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能够接受来自不同系统的患者登记信息注册</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系统对外提供的服务应该有基本的安全控制机制</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能够处理各个系统中的患者登记信息历史数据</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能够根据匹配规则自动合并（逻辑合并）、拆分或标识疑似多条患者记录</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能够设置匹配算法模型</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能够根据本地索引域标识和本地索引获取主索引</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能够配置主索引域和管理本地索引域</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能够在接受患者登记信息注册的过程中标准化患者数据</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能够维护数据标准编码和各系统编码与统一编码的对照</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能够发布患者注册、患者更新和患者删除消息</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w:t>
            </w:r>
            <w:r>
              <w:rPr>
                <w:rFonts w:ascii="宋体" w:hAnsi="宋体" w:cs="宋体"/>
                <w:color w:val="000000"/>
                <w:sz w:val="24"/>
                <w:szCs w:val="24"/>
                <w:highlight w:val="none"/>
              </w:rPr>
              <w:t xml:space="preserve">Web Service</w:t>
            </w:r>
            <w:r>
              <w:rPr>
                <w:rFonts w:hint="eastAsia" w:ascii="宋体" w:hAnsi="宋体" w:cs="宋体"/>
                <w:color w:val="000000"/>
                <w:sz w:val="24"/>
                <w:szCs w:val="24"/>
                <w:highlight w:val="none"/>
              </w:rPr>
              <w:t xml:space="preserve">、数据库中间表、</w:t>
            </w:r>
            <w:r>
              <w:rPr>
                <w:rFonts w:ascii="宋体" w:hAnsi="宋体" w:cs="宋体"/>
                <w:color w:val="000000"/>
                <w:sz w:val="24"/>
                <w:szCs w:val="24"/>
                <w:highlight w:val="none"/>
              </w:rPr>
              <w:t xml:space="preserve">JMS</w:t>
            </w:r>
            <w:r>
              <w:rPr>
                <w:rFonts w:hint="eastAsia" w:ascii="宋体" w:hAnsi="宋体" w:cs="宋体"/>
                <w:color w:val="000000"/>
                <w:sz w:val="24"/>
                <w:szCs w:val="24"/>
                <w:highlight w:val="none"/>
              </w:rPr>
              <w:t xml:space="preserve">等方式发布消息</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能够通过配置的方式添加至少</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消息监听者</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能够记录和查看消息监听者是否成功接收消息</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能够针对特定消息监听者手工重发消息</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能够人工合并或拆分同一患者的相似的多条记录</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能够针对疑似匹配记录进行人工合并</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能够从已逻辑合并的记录中，拆出某条记录</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能够根据本地索引获取患者信息</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能够根据主索引获取患者的相对准确完整的信息</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能够进行患者信息的模糊查询</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能够设置两条记录的相似度计算算法参数</w:t>
            </w:r>
            <w:r>
              <w:rPr>
                <w:rFonts w:ascii="宋体" w:hAnsi="宋体" w:cs="宋体"/>
                <w:color w:val="000000"/>
                <w:sz w:val="24"/>
                <w:szCs w:val="24"/>
                <w:highlight w:val="none"/>
              </w:rPr>
            </w:r>
            <w:r/>
          </w:p>
          <w:p>
            <w:pPr>
              <w:pStyle w:val="890"/>
              <w:numPr>
                <w:ilvl w:val="0"/>
                <w:numId w:val="8"/>
              </w:num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能够进行人员、角色等安全管理</w:t>
            </w:r>
            <w:r>
              <w:rPr>
                <w:rFonts w:ascii="宋体" w:hAnsi="宋体" w:cs="宋体"/>
                <w:color w:val="000000"/>
                <w:sz w:val="24"/>
                <w:szCs w:val="24"/>
                <w:highlight w:val="none"/>
              </w:rPr>
            </w:r>
            <w:r/>
          </w:p>
        </w:tc>
      </w:tr>
    </w:tbl>
    <w:p>
      <w:pPr>
        <w:pStyle w:val="798"/>
        <w:numPr>
          <w:ilvl w:val="3"/>
          <w:numId w:val="0"/>
        </w:numPr>
        <w:jc w:val="both"/>
        <w:keepLines/>
        <w:spacing w:before="280" w:after="290"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4.数据质量和单点登录</w:t>
      </w:r>
      <w:r>
        <w:rPr>
          <w:rFonts w:ascii="宋体" w:hAnsi="宋体" w:eastAsia="宋体"/>
          <w:color w:val="000000"/>
          <w:sz w:val="24"/>
          <w:szCs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4.1数据驱动基础套件</w:t>
      </w:r>
      <w:r>
        <w:rPr>
          <w:rFonts w:ascii="宋体" w:hAnsi="宋体"/>
          <w:color w:val="000000"/>
          <w:sz w:val="24"/>
          <w:szCs w:val="24"/>
          <w:highlight w:val="none"/>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after="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以标准化和可定制的数据集成、业务集成和页面集成，将原本分散的各个业务和管理应用系统有机整合成为一个整体，让信息系统的各类使用者：一次登录可访问所有系统、所有与自身相关信息由过去被动查看变为主动提醒，最大限度的提高工作效率和协作能力。</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功能要求：产品功能包括：我的日程、我的工作、通知公告、即时通讯、物资申领、我的工资、我的信息。</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我的日程：我的日程显示的内容包含手术安排、门诊预约、门诊排班、其它日程信息。</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我的工作：我的工作包含待办工作、待阅工作、在途申请、新邮件等功能。</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通知公告：通知公告显示的是从【医院协同】系统推送的医院发布的通知、公告、规章制度，可以查看通知、公告、规章制度的详细内容。</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即时通讯：即时通讯可以查看本院的用户、好友信息、经常联系的用户、群组，可以用户聊天、可以群聊、查看聊天记录等功能。</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通讯录：通讯录显示的是从【医院协同】系统中本院用户的信息，包含用户所在的科室、用户的手机号码、用户的邮箱地址等内容。</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物资申领：物资申领是以电商的模式展示的，基础数据来源【新药房管理系统】，包含物品的分类、物品的展示、物品的详细介绍、把物品加入临时申领单（即购物车）、申请物品信息、查看已经申领的订单、可以查看订单的审批进度、对物品进行评价等功能。</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其它申请：其它申请是嵌入【医院协同】系统中的各种申请表单，在系统中录入表单，提交给上级领导审批，包含请假申请、临时购药申请、科研立项等申请。</w:t>
            </w:r>
            <w:r>
              <w:rPr>
                <w:rFonts w:ascii="宋体" w:hAnsi="宋体" w:cs="宋体"/>
                <w:color w:val="000000"/>
                <w:sz w:val="24"/>
                <w:highlight w:val="none"/>
              </w:rPr>
            </w:r>
            <w:r/>
          </w:p>
        </w:tc>
      </w:tr>
      <w:tr>
        <w:trPr/>
        <w:tc>
          <w:tcPr>
            <w:tcBorders>
              <w:top w:val="none" w:color="000000" w:sz="4" w:space="0"/>
              <w:left w:val="single" w:color="000000" w:sz="4" w:space="0"/>
              <w:bottom w:val="non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我的工资：我的工资显示的是从【人力资源管理系统】中查看按月查看每个月的工资情况。</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我的信息：我的信息是从【人力资源管理系统】中查看个人的档案资料。</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4.2数据驱动角色套件</w:t>
      </w:r>
      <w:r>
        <w:rPr>
          <w:rFonts w:hint="eastAsia" w:ascii="宋体" w:hAnsi="宋体"/>
          <w:color w:val="000000"/>
          <w:sz w:val="24"/>
          <w:szCs w:val="24"/>
          <w:highlight w:val="none"/>
        </w:rPr>
        <w:tab/>
      </w:r>
      <w:r>
        <w:rPr>
          <w:rFonts w:ascii="宋体" w:hAnsi="宋体"/>
          <w:color w:val="000000"/>
          <w:sz w:val="24"/>
          <w:szCs w:val="24"/>
          <w:highlight w:val="none"/>
        </w:rPr>
      </w:r>
      <w:r/>
    </w:p>
    <w:p>
      <w:pPr>
        <w:pStyle w:val="800"/>
        <w:numPr>
          <w:ilvl w:val="5"/>
          <w:numId w:val="0"/>
        </w:numPr>
        <w:ind w:left="1152" w:hanging="1152"/>
        <w:jc w:val="both"/>
        <w:keepLines/>
        <w:spacing w:before="240" w:after="64" w:line="360" w:lineRule="auto"/>
        <w:rPr>
          <w:rFonts w:ascii="宋体" w:hAnsi="宋体"/>
          <w:color w:val="000000"/>
          <w:sz w:val="24"/>
          <w:szCs w:val="24"/>
          <w:highlight w:val="none"/>
        </w:rPr>
      </w:pPr>
      <w:r>
        <w:rPr>
          <w:rFonts w:hint="eastAsia" w:ascii="宋体" w:hAnsi="宋体"/>
          <w:color w:val="000000"/>
          <w:sz w:val="24"/>
          <w:szCs w:val="24"/>
          <w:highlight w:val="none"/>
        </w:rPr>
        <w:t xml:space="preserve">（1）医生站</w:t>
      </w:r>
      <w:r>
        <w:rPr>
          <w:rFonts w:ascii="宋体" w:hAnsi="宋体"/>
          <w:color w:val="000000"/>
          <w:sz w:val="24"/>
          <w:szCs w:val="24"/>
          <w:highlight w:val="none"/>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after="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生角色门户是为医院所有医生定制个人门户，将医生所关注的信息进行集中展示，同时将医生常用的业务操作集成在一起，方便医生的日常工作。将个人绩效指标通过门户进行推送，从而让医生及时了解当前绩效指标完成情况，随时调整个人工作的重点及方式。</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hint="eastAsia" w:ascii="宋体" w:hAnsi="宋体" w:cs="宋体"/>
                <w:color w:val="000000"/>
                <w:sz w:val="24"/>
                <w:highlight w:val="none"/>
              </w:rPr>
              <w:tab/>
            </w:r>
            <w:r>
              <w:rPr>
                <w:rFonts w:hint="eastAsia" w:ascii="宋体" w:hAnsi="宋体" w:cs="宋体"/>
                <w:color w:val="000000"/>
                <w:sz w:val="24"/>
                <w:highlight w:val="none"/>
              </w:rPr>
              <w:t xml:space="preserve">临床提示、患者列表、手术列表、门诊指标、住院指标。</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临床提示</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从临床业务系统中，抓取相关提醒类数据集中展现，提醒医生及时处理相关的业务操作</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ab/>
            </w:r>
            <w:r>
              <w:rPr>
                <w:rFonts w:hint="eastAsia" w:ascii="宋体" w:hAnsi="宋体" w:cs="宋体"/>
                <w:color w:val="000000"/>
                <w:sz w:val="24"/>
                <w:highlight w:val="none"/>
              </w:rPr>
              <w:t xml:space="preserve">患者列表</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列出本人或医疗组所管的患者的信息，在患者列表中，医生可以直接调取患者的电子病历、集成视图、下发医嘱等页面，从而实现不用登录业务系统也完成相关操作。为方便管理，将患者按以下类型分别展现：</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ab/>
            </w:r>
            <w:r>
              <w:rPr>
                <w:rFonts w:hint="eastAsia" w:ascii="宋体" w:hAnsi="宋体" w:cs="宋体"/>
                <w:color w:val="000000"/>
                <w:sz w:val="24"/>
                <w:highlight w:val="none"/>
              </w:rPr>
              <w:t xml:space="preserve">手术列表</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从临床业务系统中，读取出本人或医疗组最近时间内的手术信息，及手术三日的手术及患者信息。包括患者信息、诊断信息、手术时间、手术室、主刀等数据。</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ab/>
            </w:r>
            <w:r>
              <w:rPr>
                <w:rFonts w:hint="eastAsia" w:ascii="宋体" w:hAnsi="宋体" w:cs="宋体"/>
                <w:color w:val="000000"/>
                <w:sz w:val="24"/>
                <w:highlight w:val="none"/>
              </w:rPr>
              <w:t xml:space="preserve">门诊指标</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统计并显示本人或医疗组当前月的各项门诊相关指标数据，并可查看各项指标的趋势图，从而改进工作内容或方式。具体门诊指标项如下：</w:t>
            </w:r>
            <w:r>
              <w:rPr>
                <w:rFonts w:ascii="宋体" w:hAnsi="宋体" w:cs="宋体"/>
                <w:color w:val="000000"/>
                <w:sz w:val="24"/>
                <w:highlight w:val="none"/>
              </w:rPr>
            </w:r>
            <w:r/>
          </w:p>
        </w:tc>
      </w:tr>
      <w:tr>
        <w:trPr>
          <w:trHeight w:val="931"/>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tab/>
            </w:r>
            <w:r>
              <w:rPr>
                <w:rFonts w:hint="eastAsia" w:ascii="宋体" w:hAnsi="宋体" w:cs="宋体"/>
                <w:color w:val="000000"/>
                <w:sz w:val="24"/>
                <w:highlight w:val="none"/>
              </w:rPr>
              <w:t xml:space="preserve">住院指标</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统计并显示本人或医疗组当前月的各项住院相关的指标数据，并可查看各项指标的趋势图，从而改进工作内容或方式。</w:t>
            </w:r>
            <w:r>
              <w:rPr>
                <w:rFonts w:ascii="宋体" w:hAnsi="宋体" w:cs="宋体"/>
                <w:color w:val="000000"/>
                <w:sz w:val="24"/>
                <w:highlight w:val="none"/>
              </w:rPr>
            </w:r>
            <w:r/>
          </w:p>
        </w:tc>
      </w:tr>
    </w:tbl>
    <w:p>
      <w:pPr>
        <w:pStyle w:val="808"/>
        <w:ind w:firstLine="0"/>
        <w:rPr>
          <w:rFonts w:ascii="宋体" w:hAnsi="宋体" w:eastAsia="宋体"/>
          <w:color w:val="000000"/>
          <w:szCs w:val="24"/>
          <w:highlight w:val="none"/>
        </w:rPr>
      </w:pPr>
      <w:r>
        <w:rPr>
          <w:rFonts w:ascii="宋体" w:hAnsi="宋体" w:eastAsia="宋体"/>
          <w:color w:val="000000"/>
          <w:szCs w:val="24"/>
          <w:highlight w:val="none"/>
        </w:rPr>
      </w:r>
      <w:r/>
    </w:p>
    <w:p>
      <w:pPr>
        <w:pStyle w:val="800"/>
        <w:numPr>
          <w:ilvl w:val="5"/>
          <w:numId w:val="0"/>
        </w:numPr>
        <w:ind w:left="1152" w:hanging="1152"/>
        <w:jc w:val="both"/>
        <w:keepLines/>
        <w:spacing w:before="240" w:after="64" w:line="360" w:lineRule="auto"/>
        <w:rPr>
          <w:rFonts w:ascii="宋体" w:hAnsi="宋体"/>
          <w:color w:val="000000"/>
          <w:sz w:val="24"/>
          <w:szCs w:val="24"/>
          <w:highlight w:val="none"/>
        </w:rPr>
      </w:pPr>
      <w:r>
        <w:rPr>
          <w:rFonts w:hint="eastAsia" w:ascii="宋体" w:hAnsi="宋体"/>
          <w:color w:val="000000"/>
          <w:sz w:val="24"/>
          <w:szCs w:val="24"/>
          <w:highlight w:val="none"/>
        </w:rPr>
        <w:t xml:space="preserve">（2）护士长</w:t>
      </w:r>
      <w:r>
        <w:rPr>
          <w:rFonts w:ascii="宋体" w:hAnsi="宋体"/>
          <w:color w:val="000000"/>
          <w:sz w:val="24"/>
          <w:szCs w:val="24"/>
          <w:highlight w:val="none"/>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after="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护士长角色门户为医院所有护士长定制的个人门户，将护士长所管理的病区的信息集中展现，包括当前病区实时发生的数据，还有对病区历史数据的统计，通过图表的方式展现出来，方便护士长开展工作，管理病区内的各项事务。</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hint="eastAsia" w:ascii="宋体" w:hAnsi="宋体" w:cs="宋体"/>
                <w:color w:val="000000"/>
                <w:sz w:val="24"/>
                <w:highlight w:val="none"/>
              </w:rPr>
              <w:tab/>
            </w:r>
            <w:r>
              <w:rPr>
                <w:rFonts w:hint="eastAsia" w:ascii="宋体" w:hAnsi="宋体" w:cs="宋体"/>
                <w:color w:val="000000"/>
                <w:sz w:val="24"/>
                <w:highlight w:val="none"/>
              </w:rPr>
              <w:t xml:space="preserve">病区概要、病区提示、患者列表、手术列表、排班考勤、当日医嘱、人力资源、出入院统计、费用统计、手术统计、医嘱统计、压疮发生率统计、跌倒发生率统计。</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病区概要</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显示当前护士长所管理的病区的信息总览，包括病区当前病危病重人数、总床位数、空床数、床位使用率、等出院人数等等。</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ab/>
            </w:r>
            <w:r>
              <w:rPr>
                <w:rFonts w:hint="eastAsia" w:ascii="宋体" w:hAnsi="宋体" w:cs="宋体"/>
                <w:color w:val="000000"/>
                <w:sz w:val="24"/>
                <w:highlight w:val="none"/>
              </w:rPr>
              <w:t xml:space="preserve">病区提示</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显示当前病区中需要护士或护士长关注或处理的事务，提醒护士及时进行处理。</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ab/>
            </w:r>
            <w:r>
              <w:rPr>
                <w:rFonts w:hint="eastAsia" w:ascii="宋体" w:hAnsi="宋体" w:cs="宋体"/>
                <w:color w:val="000000"/>
                <w:sz w:val="24"/>
                <w:highlight w:val="none"/>
              </w:rPr>
              <w:t xml:space="preserve">患者列表</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列出病区内的患者的信息，在患者列表中，护士长可以直接调取患者的护理病历、集成视图、等页面，从而实现不用登录业务系统也完成相关操作。</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ab/>
            </w:r>
            <w:r>
              <w:rPr>
                <w:rFonts w:hint="eastAsia" w:ascii="宋体" w:hAnsi="宋体" w:cs="宋体"/>
                <w:color w:val="000000"/>
                <w:sz w:val="24"/>
                <w:highlight w:val="none"/>
              </w:rPr>
              <w:t xml:space="preserve">手术列表</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从临床业务系统中，读取出本病区最近时间内的手术信息，及手术三日的手术及患者信息。包括患者信息、诊断信息、手术时间、手术室、主刀等数据。</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tab/>
            </w:r>
            <w:r>
              <w:rPr>
                <w:rFonts w:hint="eastAsia" w:ascii="宋体" w:hAnsi="宋体" w:cs="宋体"/>
                <w:color w:val="000000"/>
                <w:sz w:val="24"/>
                <w:highlight w:val="none"/>
              </w:rPr>
              <w:t xml:space="preserve">排班考勤</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从护理管理系统中，读取本病区内所有护士最近一周的排班数据并显示，方便护士长对人员工作进行管理，同时还可以查看当月护士实际出勤情况。</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tab/>
            </w:r>
            <w:r>
              <w:rPr>
                <w:rFonts w:hint="eastAsia" w:ascii="宋体" w:hAnsi="宋体" w:cs="宋体"/>
                <w:color w:val="000000"/>
                <w:sz w:val="24"/>
                <w:highlight w:val="none"/>
              </w:rPr>
              <w:t xml:space="preserve">当日医嘱</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统计病区当日所有执行的医嘱数量，可按医嘱名称、医嘱频次、医嘱用法分别统计数据。支持自定义配置重点关注的医嘱进行统计。</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tab/>
            </w:r>
            <w:r>
              <w:rPr>
                <w:rFonts w:hint="eastAsia" w:ascii="宋体" w:hAnsi="宋体" w:cs="宋体"/>
                <w:color w:val="000000"/>
                <w:sz w:val="24"/>
                <w:highlight w:val="none"/>
              </w:rPr>
              <w:t xml:space="preserve">人力资源</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显示当前病区中所有的护士信息，将以图表的形式显示护士各个维度的统计信息：</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tab/>
            </w:r>
            <w:r>
              <w:rPr>
                <w:rFonts w:hint="eastAsia" w:ascii="宋体" w:hAnsi="宋体" w:cs="宋体"/>
                <w:color w:val="000000"/>
                <w:sz w:val="24"/>
                <w:highlight w:val="none"/>
              </w:rPr>
              <w:t xml:space="preserve">出入院统计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按月统计一段时间内本病区的入院患者数量、出院患者数量、床位使用率等数据，并以柱状图、趋势图的形式展现给护士长。</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tab/>
            </w:r>
            <w:r>
              <w:rPr>
                <w:rFonts w:hint="eastAsia" w:ascii="宋体" w:hAnsi="宋体" w:cs="宋体"/>
                <w:color w:val="000000"/>
                <w:sz w:val="24"/>
                <w:highlight w:val="none"/>
              </w:rPr>
              <w:t xml:space="preserve">费用统计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按月统计病区每月各种费用的总额，并以饼状图的形式显示费用的构成比例，同时支持按月查询。</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tab/>
            </w:r>
            <w:r>
              <w:rPr>
                <w:rFonts w:hint="eastAsia" w:ascii="宋体" w:hAnsi="宋体" w:cs="宋体"/>
                <w:color w:val="000000"/>
                <w:sz w:val="24"/>
                <w:highlight w:val="none"/>
              </w:rPr>
              <w:t xml:space="preserve">手术统计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按月统计病区每月手术台数的总数，并以折线图的形式显示病区手术台数的变化趋势，同时支持按月和年进行查询。</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tab/>
            </w:r>
            <w:r>
              <w:rPr>
                <w:rFonts w:hint="eastAsia" w:ascii="宋体" w:hAnsi="宋体" w:cs="宋体"/>
                <w:color w:val="000000"/>
                <w:sz w:val="24"/>
                <w:highlight w:val="none"/>
              </w:rPr>
              <w:t xml:space="preserve">医嘱统计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支持对自定义重点关注的医嘱按天、按月进行统计，将以图形的方式显示一组相关医嘱的趋势对比。</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tab/>
            </w:r>
            <w:r>
              <w:rPr>
                <w:rFonts w:hint="eastAsia" w:ascii="宋体" w:hAnsi="宋体" w:cs="宋体"/>
                <w:color w:val="000000"/>
                <w:sz w:val="24"/>
                <w:highlight w:val="none"/>
              </w:rPr>
              <w:t xml:space="preserve">压疮发生率统计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按月统计病区内压疮发生的比率，将以折线图显示压疮发生率的变化趋势。</w:t>
            </w:r>
            <w:r>
              <w:rPr>
                <w:rFonts w:ascii="宋体" w:hAnsi="宋体" w:cs="宋体"/>
                <w:color w:val="000000"/>
                <w:sz w:val="24"/>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tab/>
            </w:r>
            <w:r>
              <w:rPr>
                <w:rFonts w:hint="eastAsia" w:ascii="宋体" w:hAnsi="宋体" w:cs="宋体"/>
                <w:color w:val="000000"/>
                <w:sz w:val="24"/>
                <w:highlight w:val="none"/>
              </w:rPr>
              <w:t xml:space="preserve">跌倒发生率统计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按月统计病区内跌倒发生的比率，将以折线图显示跌倒发生率的变化趋势。</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800"/>
        <w:numPr>
          <w:ilvl w:val="5"/>
          <w:numId w:val="0"/>
        </w:numPr>
        <w:ind w:left="1152" w:hanging="1152"/>
        <w:jc w:val="both"/>
        <w:keepLines/>
        <w:spacing w:before="240" w:after="64" w:line="360" w:lineRule="auto"/>
        <w:rPr>
          <w:rFonts w:ascii="宋体" w:hAnsi="宋体"/>
          <w:color w:val="000000"/>
          <w:sz w:val="24"/>
          <w:szCs w:val="24"/>
          <w:highlight w:val="none"/>
        </w:rPr>
      </w:pPr>
      <w:r>
        <w:rPr>
          <w:rFonts w:hint="eastAsia" w:ascii="宋体" w:hAnsi="宋体"/>
          <w:color w:val="000000"/>
          <w:sz w:val="24"/>
          <w:szCs w:val="24"/>
          <w:highlight w:val="none"/>
        </w:rPr>
        <w:t xml:space="preserve">（3）临床科室主任</w:t>
      </w:r>
      <w:r>
        <w:rPr>
          <w:rFonts w:ascii="宋体" w:hAnsi="宋体"/>
          <w:color w:val="000000"/>
          <w:sz w:val="24"/>
          <w:szCs w:val="24"/>
          <w:highlight w:val="none"/>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after="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科室主任角色门户是为医院所有临床科室主任定制个人门户，临床科室主任除关注个人业务的数据指标外，同时更重要的是对整个科室的管理。临床科室主任门户为科主任提供了数据抓手，展示科室各个方面的运营数据，为科主任进行科室管理提供帮助。</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功能要求：重点指标、重点关注、门诊指标、出院指标、不良事件统计、处方点评统计、手术统计、医保统计、会诊统计、抗菌药物排名</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、危急值响应超时、传染病统计、死亡患者统计、医院感染统计、二次手术统计、临床路径统计、31天重返统计。</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重点指标</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以多种展现方式显示科室重点需要关注的指标数据，以便科室主任及时掌握科室运营的数据。</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ab/>
            </w:r>
            <w:r>
              <w:rPr>
                <w:rFonts w:hint="eastAsia" w:ascii="宋体" w:hAnsi="宋体" w:cs="宋体"/>
                <w:color w:val="000000"/>
                <w:sz w:val="24"/>
                <w:highlight w:val="none"/>
              </w:rPr>
              <w:t xml:space="preserve">重点关注</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从临床各业务系统中，抓取出来的相关数据，提醒科室主任关注或及时进行处理。除数值提醒外，还可以查看各提醒数据的详细信息。</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ab/>
            </w:r>
            <w:r>
              <w:rPr>
                <w:rFonts w:hint="eastAsia" w:ascii="宋体" w:hAnsi="宋体" w:cs="宋体"/>
                <w:color w:val="000000"/>
                <w:sz w:val="24"/>
                <w:highlight w:val="none"/>
              </w:rPr>
              <w:t xml:space="preserve">门诊指标</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显示本科室本月截止当前的各项门诊指标的数值，科室主任可以结合本科室的目标，对科室工作进行调整。同时还可以查看各项指标的日、月趋势图，并支持下钻查看科室内各医生这项指标的具体数值和排名。</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ab/>
            </w:r>
            <w:r>
              <w:rPr>
                <w:rFonts w:hint="eastAsia" w:ascii="宋体" w:hAnsi="宋体" w:cs="宋体"/>
                <w:color w:val="000000"/>
                <w:sz w:val="24"/>
                <w:highlight w:val="none"/>
              </w:rPr>
              <w:t xml:space="preserve">出院指标</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显示本科室本月截止当前的各项出院指标的数值。同时还可以查看各项指标的日、月趋势图，并支持下钻查看科室内各医生这项指标的具体数值和排名。</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tab/>
            </w:r>
            <w:r>
              <w:rPr>
                <w:rFonts w:hint="eastAsia" w:ascii="宋体" w:hAnsi="宋体" w:cs="宋体"/>
                <w:color w:val="000000"/>
                <w:sz w:val="24"/>
                <w:highlight w:val="none"/>
              </w:rPr>
              <w:t xml:space="preserve">不良事件统计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本科室内发生的医疗不良事件的数量，按日、月显示趋势图，可按不良事件的类型分别统计并显示。以饼状图的形式显示每个月内发生的不良事件的不同类型的构成图，给科主任直观的指出当前重点的问题所在。</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tab/>
            </w:r>
            <w:r>
              <w:rPr>
                <w:rFonts w:hint="eastAsia" w:ascii="宋体" w:hAnsi="宋体" w:cs="宋体"/>
                <w:color w:val="000000"/>
                <w:sz w:val="24"/>
                <w:highlight w:val="none"/>
              </w:rPr>
              <w:t xml:space="preserve">处方点评统计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读取处方点评系统中的数据，按月统计本科室内各种类型处方的点评不合格率，并以折线图的形式显现不合格率的发展趋势。</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tab/>
            </w:r>
            <w:r>
              <w:rPr>
                <w:rFonts w:hint="eastAsia" w:ascii="宋体" w:hAnsi="宋体" w:cs="宋体"/>
                <w:color w:val="000000"/>
                <w:sz w:val="24"/>
                <w:highlight w:val="none"/>
              </w:rPr>
              <w:t xml:space="preserve">手术统计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读取业务系统中的手术数据，按月统计本科室内患者手术的台数、例数。</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tab/>
            </w:r>
            <w:r>
              <w:rPr>
                <w:rFonts w:hint="eastAsia" w:ascii="宋体" w:hAnsi="宋体" w:cs="宋体"/>
                <w:color w:val="000000"/>
                <w:sz w:val="24"/>
                <w:highlight w:val="none"/>
              </w:rPr>
              <w:t xml:space="preserve">医保统计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读取业务系统中医保的数据，统计各医保类型的总额，并以图形的方式展现给科室管理者。</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tab/>
            </w:r>
            <w:r>
              <w:rPr>
                <w:rFonts w:hint="eastAsia" w:ascii="宋体" w:hAnsi="宋体" w:cs="宋体"/>
                <w:color w:val="000000"/>
                <w:sz w:val="24"/>
                <w:highlight w:val="none"/>
              </w:rPr>
              <w:t xml:space="preserve">会诊统计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按月统计本科室内发生的会诊数据，以柱状图的形式展示。</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抗菌药物排名</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统计本科室抗菌药物的使用情况，包括每名医生使用抗菌药物的排名，以及抗菌药物使用强度等数据统计。科室主任可以通过这个功能，进一步规范本科室抗菌药物使用的流程。</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tab/>
            </w:r>
            <w:r>
              <w:rPr>
                <w:rFonts w:hint="eastAsia" w:ascii="宋体" w:hAnsi="宋体" w:cs="宋体"/>
                <w:color w:val="000000"/>
                <w:sz w:val="24"/>
                <w:highlight w:val="none"/>
              </w:rPr>
              <w:t xml:space="preserve">危急值响应超时</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按设定的响应时长，自动统计出本科室超出时间而且进行危急值处理的记录数量，并支持查看具体每例响应超时危急值的具体信息，包括患者信息、主管医生信息等，以便科室主任及时进行干预。</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tab/>
            </w:r>
            <w:r>
              <w:rPr>
                <w:rFonts w:hint="eastAsia" w:ascii="宋体" w:hAnsi="宋体" w:cs="宋体"/>
                <w:color w:val="000000"/>
                <w:sz w:val="24"/>
                <w:highlight w:val="none"/>
              </w:rPr>
              <w:t xml:space="preserve">传染病统计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统计业务系统中本科室上报的传染病数量，按月统计并以折线图的形式显示在本科室内传染病发生的趋势。</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tab/>
            </w:r>
            <w:r>
              <w:rPr>
                <w:rFonts w:hint="eastAsia" w:ascii="宋体" w:hAnsi="宋体" w:cs="宋体"/>
                <w:color w:val="000000"/>
                <w:sz w:val="24"/>
                <w:highlight w:val="none"/>
              </w:rPr>
              <w:t xml:space="preserve">死亡患者统计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按月统计本科室发生的死亡病例，并可以查看到具体的每例死亡病例的信息，包括患者信息、诊断信息、死亡原因等。</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tab/>
            </w:r>
            <w:r>
              <w:rPr>
                <w:rFonts w:hint="eastAsia" w:ascii="宋体" w:hAnsi="宋体" w:cs="宋体"/>
                <w:color w:val="000000"/>
                <w:sz w:val="24"/>
                <w:highlight w:val="none"/>
              </w:rPr>
              <w:t xml:space="preserve">医院感染统计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通过读取院感系统的数据，分析本科室内当前院内感染的风险，并进行预警。</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tab/>
            </w:r>
            <w:r>
              <w:rPr>
                <w:rFonts w:hint="eastAsia" w:ascii="宋体" w:hAnsi="宋体" w:cs="宋体"/>
                <w:color w:val="000000"/>
                <w:sz w:val="24"/>
                <w:highlight w:val="none"/>
              </w:rPr>
              <w:t xml:space="preserve">二次手术统计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按月统计本科室病区中，同一次住院期间发生过二次相同手术的数量，可查看每例手术的详细情况，并可以调取患者电子病历，了解手术的详情，并判断二次手术是否是非计划二级手术。</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tab/>
            </w:r>
            <w:r>
              <w:rPr>
                <w:rFonts w:hint="eastAsia" w:ascii="宋体" w:hAnsi="宋体" w:cs="宋体"/>
                <w:color w:val="000000"/>
                <w:sz w:val="24"/>
                <w:highlight w:val="none"/>
              </w:rPr>
              <w:t xml:space="preserve">临床路径统计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读取临床业务系统中的临床路径数据，统计汇总后展示给科室主任，让科主任了解本科室临床路径的实际开展情况。</w:t>
            </w:r>
            <w:r>
              <w:rPr>
                <w:rFonts w:ascii="宋体" w:hAnsi="宋体" w:cs="宋体"/>
                <w:color w:val="000000"/>
                <w:sz w:val="24"/>
                <w:highlight w:val="none"/>
              </w:rPr>
            </w:r>
            <w:r/>
          </w:p>
        </w:tc>
      </w:tr>
      <w:tr>
        <w:trPr>
          <w:trHeight w:val="968"/>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tab/>
            </w:r>
            <w:r>
              <w:rPr>
                <w:rFonts w:hint="eastAsia" w:ascii="宋体" w:hAnsi="宋体" w:cs="宋体"/>
                <w:color w:val="000000"/>
                <w:sz w:val="24"/>
                <w:highlight w:val="none"/>
              </w:rPr>
              <w:t xml:space="preserve">31天重返统计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按月统计当前入院患者属于上次出院在31天以内的总数量，可以查看到每例31天重返患者的住院记录、电子病历，判断是否是非计划31天重返记录。</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800"/>
        <w:numPr>
          <w:ilvl w:val="5"/>
          <w:numId w:val="0"/>
        </w:numPr>
        <w:ind w:left="1152" w:hanging="1152"/>
        <w:jc w:val="both"/>
        <w:keepLines/>
        <w:spacing w:before="240" w:after="64" w:line="360" w:lineRule="auto"/>
        <w:rPr>
          <w:rFonts w:ascii="宋体" w:hAnsi="宋体"/>
          <w:color w:val="000000"/>
          <w:sz w:val="24"/>
          <w:szCs w:val="24"/>
          <w:highlight w:val="none"/>
        </w:rPr>
      </w:pPr>
      <w:r>
        <w:rPr>
          <w:rFonts w:hint="eastAsia" w:ascii="宋体" w:hAnsi="宋体"/>
          <w:color w:val="000000"/>
          <w:sz w:val="24"/>
          <w:szCs w:val="24"/>
          <w:highlight w:val="none"/>
        </w:rPr>
        <w:t xml:space="preserve">（4）门诊运营与监管</w:t>
      </w:r>
      <w:r>
        <w:rPr>
          <w:rFonts w:ascii="宋体" w:hAnsi="宋体"/>
          <w:color w:val="000000"/>
          <w:sz w:val="24"/>
          <w:szCs w:val="24"/>
          <w:highlight w:val="none"/>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after="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门诊运营与监管门户是面向门诊办管理人员定制的门户，通过从各临床业务系统中获取门诊相关的数据，向门诊办的管理人员实时展示全院门诊运营的数据。通过对历史数据的分析，为管理人员进行管理提供依据。</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功能要求：门诊监控、检查科室监控、收费监控、药房排队监控、准时开诊统计、传染病统计、门诊就诊统计、门诊退号统计、门诊退费统计、挂号统计、就医人群统计、门诊处方点评统计。</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门诊监控</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全院总号源及各类号源的使用和剩余情况，支持按科室显示各科室的号源使用和剩余数量；同时可以实时展现各诊室的情况，包括门诊医生、所剩号源数量、当前已完成看诊数量、当前排队患者数量、患者平均就诊时间等信息。</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ab/>
            </w:r>
            <w:r>
              <w:rPr>
                <w:rFonts w:hint="eastAsia" w:ascii="宋体" w:hAnsi="宋体" w:cs="宋体"/>
                <w:color w:val="000000"/>
                <w:sz w:val="24"/>
                <w:highlight w:val="none"/>
              </w:rPr>
              <w:t xml:space="preserve">检查科室监控</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实时显示各检查科室当前的工作情况，包括今日各检查科室预计检查的人数、当前已完成检查人数、已报到待检查人数，为门诊管理人员调配检查资源提供依据。</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ab/>
            </w:r>
            <w:r>
              <w:rPr>
                <w:rFonts w:hint="eastAsia" w:ascii="宋体" w:hAnsi="宋体" w:cs="宋体"/>
                <w:color w:val="000000"/>
                <w:sz w:val="24"/>
                <w:highlight w:val="none"/>
              </w:rPr>
              <w:t xml:space="preserve">收费监控</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实现显示各收费室的排队情况，统计已完成交费的数量及待交费数量。</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ab/>
            </w:r>
            <w:r>
              <w:rPr>
                <w:rFonts w:hint="eastAsia" w:ascii="宋体" w:hAnsi="宋体" w:cs="宋体"/>
                <w:color w:val="000000"/>
                <w:sz w:val="24"/>
                <w:highlight w:val="none"/>
              </w:rPr>
              <w:t xml:space="preserve">药房排队监控</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实时显示各药房排队取药的情况，如果业务系统支持，可显示各药房窗口的排队情况。</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tab/>
            </w:r>
            <w:r>
              <w:rPr>
                <w:rFonts w:hint="eastAsia" w:ascii="宋体" w:hAnsi="宋体" w:cs="宋体"/>
                <w:color w:val="000000"/>
                <w:sz w:val="24"/>
                <w:highlight w:val="none"/>
              </w:rPr>
              <w:t xml:space="preserve">准时开诊统计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按规则对全院各诊室准时开诊的情况进行统计，显示各诊室医生一段时间内的准备开诊率排名。</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tab/>
            </w:r>
            <w:r>
              <w:rPr>
                <w:rFonts w:hint="eastAsia" w:ascii="宋体" w:hAnsi="宋体" w:cs="宋体"/>
                <w:color w:val="000000"/>
                <w:sz w:val="24"/>
                <w:highlight w:val="none"/>
              </w:rPr>
              <w:t xml:space="preserve">传染病统计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统计全院门诊发生的传染病的数量，以柱状图的形式显示全院每日发生的数量，并支持显示各科室发生的数量。</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tab/>
            </w:r>
            <w:r>
              <w:rPr>
                <w:rFonts w:hint="eastAsia" w:ascii="宋体" w:hAnsi="宋体" w:cs="宋体"/>
                <w:color w:val="000000"/>
                <w:sz w:val="24"/>
                <w:highlight w:val="none"/>
              </w:rPr>
              <w:t xml:space="preserve">门诊就诊统计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就诊量统计：统计门诊全院门诊量趋势图。</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就诊时段统计：统计各个就诊时段（小时）门诊就诊人数分布。</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tab/>
            </w:r>
            <w:r>
              <w:rPr>
                <w:rFonts w:hint="eastAsia" w:ascii="宋体" w:hAnsi="宋体" w:cs="宋体"/>
                <w:color w:val="000000"/>
                <w:sz w:val="24"/>
                <w:highlight w:val="none"/>
              </w:rPr>
              <w:t xml:space="preserve">门诊退号统计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统计全院门诊挂号发生退号的数量，并以折线图的形式显示退号发生的月趋势图，以便管理人员及时发现问题。</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tab/>
            </w:r>
            <w:r>
              <w:rPr>
                <w:rFonts w:hint="eastAsia" w:ascii="宋体" w:hAnsi="宋体" w:cs="宋体"/>
                <w:color w:val="000000"/>
                <w:sz w:val="24"/>
                <w:highlight w:val="none"/>
              </w:rPr>
              <w:t xml:space="preserve">门诊退费统计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统计全院门诊发生的退费的数量及金额，以折线图形式显示发生退费的月趋势图，以及以饼图显示不同退费原因所占退费的比例。</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 </w:t>
            </w:r>
            <w:r>
              <w:rPr>
                <w:rFonts w:hint="eastAsia" w:ascii="宋体" w:hAnsi="宋体" w:cs="宋体"/>
                <w:color w:val="000000"/>
                <w:sz w:val="24"/>
                <w:highlight w:val="none"/>
              </w:rPr>
              <w:t xml:space="preserve">挂号统计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显示全院挂号总数量及增长趋势，支持下钻显示各科室挂号的详细情况。可以按挂号的方式、挂号类型、建卡量分别进行统计展示。</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t xml:space="preserve"> </w:t>
            </w:r>
            <w:r>
              <w:rPr>
                <w:rFonts w:hint="eastAsia" w:ascii="宋体" w:hAnsi="宋体" w:cs="宋体"/>
                <w:color w:val="000000"/>
                <w:sz w:val="24"/>
                <w:highlight w:val="none"/>
              </w:rPr>
              <w:t xml:space="preserve">就医人群统计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支持在全图地图上显示各省份来院就诊的患者的数量，也支持在本省地图上显示省内各市县来院就诊的患者数量分布。</w:t>
            </w:r>
            <w:r>
              <w:rPr>
                <w:rFonts w:ascii="宋体" w:hAnsi="宋体" w:cs="宋体"/>
                <w:color w:val="000000"/>
                <w:sz w:val="24"/>
                <w:highlight w:val="none"/>
              </w:rPr>
            </w:r>
            <w:r/>
          </w:p>
        </w:tc>
      </w:tr>
      <w:tr>
        <w:trPr>
          <w:trHeight w:val="693"/>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t xml:space="preserve"> </w:t>
            </w:r>
            <w:r>
              <w:rPr>
                <w:rFonts w:hint="eastAsia" w:ascii="宋体" w:hAnsi="宋体" w:cs="宋体"/>
                <w:color w:val="000000"/>
                <w:sz w:val="24"/>
                <w:highlight w:val="none"/>
              </w:rPr>
              <w:t xml:space="preserve">门诊处方点评统计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汇总所有的门诊处方点评数据，按月统计出各科室处方点评的数量及不合格率，以柱状图和折线图展示出来。</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800"/>
        <w:numPr>
          <w:ilvl w:val="5"/>
          <w:numId w:val="0"/>
        </w:numPr>
        <w:ind w:left="1152" w:hanging="1152"/>
        <w:jc w:val="both"/>
        <w:keepLines/>
        <w:spacing w:before="240" w:after="64" w:line="360" w:lineRule="auto"/>
        <w:rPr>
          <w:rFonts w:ascii="宋体" w:hAnsi="宋体"/>
          <w:color w:val="000000"/>
          <w:sz w:val="24"/>
          <w:szCs w:val="24"/>
          <w:highlight w:val="none"/>
        </w:rPr>
      </w:pPr>
      <w:r>
        <w:rPr>
          <w:rFonts w:hint="eastAsia" w:ascii="宋体" w:hAnsi="宋体"/>
          <w:color w:val="000000"/>
          <w:sz w:val="24"/>
          <w:szCs w:val="24"/>
          <w:highlight w:val="none"/>
        </w:rPr>
        <w:t xml:space="preserve">（5）护理运营与监管</w:t>
      </w:r>
      <w:r>
        <w:rPr>
          <w:rFonts w:ascii="宋体" w:hAnsi="宋体"/>
          <w:color w:val="000000"/>
          <w:sz w:val="24"/>
          <w:szCs w:val="24"/>
          <w:highlight w:val="none"/>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after="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护理运营与监管门户是为医院护理部的管理人员定制的个人门户，通过对全院护理相关数据聚集汇总的展示，向管理人员实时监管护理情况、调整护理工作重点提供管理数据支持。</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功能要求：重点关注、周汇总、不良事件统计、重点医嘱统计、人力资源统计、手术统计。</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重点关注</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显示全院护士工作中重点需要关注的数据，并支持对各种数量下钻查看明细数据，包括以下内容：</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当前在院人数：显示全院当前在院的住院患者数量。</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病危人数：显示当前在院的已下病危医嘱的患者数量。</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病重人数：显示当前在院的已下病重医嘱的患者数量。</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特级护理人数：显示全院进行特级护理的患者数量。</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待审核不良事件数量：显示当前各病区上报的不良事件，需求护理部审核的数量。</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ab/>
            </w:r>
            <w:r>
              <w:rPr>
                <w:rFonts w:hint="eastAsia" w:ascii="宋体" w:hAnsi="宋体" w:cs="宋体"/>
                <w:color w:val="000000"/>
                <w:sz w:val="24"/>
                <w:highlight w:val="none"/>
              </w:rPr>
              <w:t xml:space="preserve">周汇总</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显示全院一周内重点护理工作数据的汇总统计，包括：一周内转科患者数量、一周内出院患者数量、一周内入院患者数量、一周内死亡患者数量等。</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ab/>
            </w:r>
            <w:r>
              <w:rPr>
                <w:rFonts w:hint="eastAsia" w:ascii="宋体" w:hAnsi="宋体" w:cs="宋体"/>
                <w:color w:val="000000"/>
                <w:sz w:val="24"/>
                <w:highlight w:val="none"/>
              </w:rPr>
              <w:t xml:space="preserve">不良事件统计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统计全院所有护理不良事件上报的数据，按不良事件的不同类型分别显示发生率的趋势。</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ab/>
            </w:r>
            <w:r>
              <w:rPr>
                <w:rFonts w:hint="eastAsia" w:ascii="宋体" w:hAnsi="宋体" w:cs="宋体"/>
                <w:color w:val="000000"/>
                <w:sz w:val="24"/>
                <w:highlight w:val="none"/>
              </w:rPr>
              <w:t xml:space="preserve">重点医嘱统计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支持对自定义重点关注的医嘱按天、按月进行统计，将以图形的方式显示一组相关医嘱的趋势对比。</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tab/>
            </w:r>
            <w:r>
              <w:rPr>
                <w:rFonts w:hint="eastAsia" w:ascii="宋体" w:hAnsi="宋体" w:cs="宋体"/>
                <w:color w:val="000000"/>
                <w:sz w:val="24"/>
                <w:highlight w:val="none"/>
              </w:rPr>
              <w:t xml:space="preserve">人力资源统计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显示全院所有的护士信息，将以图表的形式显示全院护士各个维度的统计信息：</w:t>
            </w:r>
            <w:r>
              <w:rPr>
                <w:rFonts w:ascii="宋体" w:hAnsi="宋体" w:cs="宋体"/>
                <w:color w:val="000000"/>
                <w:sz w:val="24"/>
                <w:highlight w:val="none"/>
              </w:rPr>
            </w:r>
            <w:r/>
          </w:p>
        </w:tc>
      </w:tr>
      <w:tr>
        <w:trPr>
          <w:trHeight w:val="1467"/>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tab/>
            </w:r>
            <w:r>
              <w:rPr>
                <w:rFonts w:hint="eastAsia" w:ascii="宋体" w:hAnsi="宋体" w:cs="宋体"/>
                <w:color w:val="000000"/>
                <w:sz w:val="24"/>
                <w:highlight w:val="none"/>
              </w:rPr>
              <w:t xml:space="preserve">手术统计</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读取业务系统中的手术数据，按月统计全院住院患者手术的台数、例数。</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级别：以饼状图形式显示一段时间内各级别的手术数量的构成。</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类型：以饼状图形式显示一段时间内各类型的手术数量的构成。</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排名：以列表的显示手术的例数的排名。</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800"/>
        <w:numPr>
          <w:ilvl w:val="5"/>
          <w:numId w:val="0"/>
        </w:numPr>
        <w:ind w:left="1152" w:hanging="1152"/>
        <w:jc w:val="both"/>
        <w:keepLines/>
        <w:spacing w:before="240" w:after="64" w:line="360" w:lineRule="auto"/>
        <w:rPr>
          <w:rFonts w:ascii="宋体" w:hAnsi="宋体"/>
          <w:color w:val="000000"/>
          <w:sz w:val="24"/>
          <w:szCs w:val="24"/>
          <w:highlight w:val="none"/>
        </w:rPr>
      </w:pPr>
      <w:r>
        <w:rPr>
          <w:rFonts w:hint="eastAsia" w:ascii="宋体" w:hAnsi="宋体"/>
          <w:color w:val="000000"/>
          <w:sz w:val="24"/>
          <w:szCs w:val="24"/>
          <w:highlight w:val="none"/>
        </w:rPr>
        <w:t xml:space="preserve">（6）医务运营与监管</w:t>
      </w:r>
      <w:r>
        <w:rPr>
          <w:rFonts w:ascii="宋体" w:hAnsi="宋体"/>
          <w:color w:val="000000"/>
          <w:sz w:val="24"/>
          <w:szCs w:val="24"/>
          <w:highlight w:val="none"/>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1219"/>
        <w:gridCol w:w="7303"/>
      </w:tblGrid>
      <w:tr>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after="120"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医务运营与监管门户是面向医务部管理人员定制的门户，通过对各临床业务系统中数据的读取，将医院医疗运营的实时及历史统计数据展示给管理人员，为指导医院医疗运营活动、调配医疗资源提供数据支撑。</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19"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功能要求：重点指标、医疗质量、医疗安全、住院监控、手术监控、住院大楼监控。</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重点指标</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重点关注：实时展示全院重点关注的指标数据，如：全院危重人数、全院未响应危急值数量、院感暴发病区数量、全院欠费患者数量、全院住院超</w:t>
            </w:r>
            <w:r>
              <w:rPr>
                <w:rFonts w:ascii="宋体" w:hAnsi="宋体" w:cs="宋体"/>
                <w:color w:val="000000"/>
                <w:sz w:val="24"/>
                <w:highlight w:val="none"/>
              </w:rPr>
              <w:t xml:space="preserve">30</w:t>
            </w:r>
            <w:r>
              <w:rPr>
                <w:rFonts w:hint="eastAsia" w:ascii="宋体" w:hAnsi="宋体" w:cs="宋体"/>
                <w:color w:val="000000"/>
                <w:sz w:val="24"/>
                <w:highlight w:val="none"/>
              </w:rPr>
              <w:t xml:space="preserve">天患者数量、全院二次手术数量、全院</w:t>
            </w:r>
            <w:r>
              <w:rPr>
                <w:rFonts w:ascii="宋体" w:hAnsi="宋体" w:cs="宋体"/>
                <w:color w:val="000000"/>
                <w:sz w:val="24"/>
                <w:highlight w:val="none"/>
              </w:rPr>
              <w:t xml:space="preserve">31</w:t>
            </w:r>
            <w:r>
              <w:rPr>
                <w:rFonts w:hint="eastAsia" w:ascii="宋体" w:hAnsi="宋体" w:cs="宋体"/>
                <w:color w:val="000000"/>
                <w:sz w:val="24"/>
                <w:highlight w:val="none"/>
              </w:rPr>
              <w:t xml:space="preserve">天重返患者数量、全院</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小时重返数量等。</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周汇总：显示全院上一周重点数据的汇总统计，包括：全院总出院人数、全院平均住院日、全院病区死亡人数、全院急诊死亡人数、全院病床使用率等。</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ab/>
            </w:r>
            <w:r>
              <w:rPr>
                <w:rFonts w:hint="eastAsia" w:ascii="宋体" w:hAnsi="宋体" w:cs="宋体"/>
                <w:color w:val="000000"/>
                <w:sz w:val="24"/>
                <w:highlight w:val="none"/>
              </w:rPr>
              <w:t xml:space="preserve">医疗质量</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ascii="宋体" w:hAnsi="宋体" w:cs="宋体"/>
                <w:color w:val="000000"/>
                <w:sz w:val="24"/>
                <w:highlight w:val="none"/>
              </w:rPr>
              <w:t xml:space="preserve">31</w:t>
            </w:r>
            <w:r>
              <w:rPr>
                <w:rFonts w:hint="eastAsia" w:ascii="宋体" w:hAnsi="宋体" w:cs="宋体"/>
                <w:color w:val="000000"/>
                <w:sz w:val="24"/>
                <w:highlight w:val="none"/>
              </w:rPr>
              <w:t xml:space="preserve">天重返统计：统计全院各科室</w:t>
            </w:r>
            <w:r>
              <w:rPr>
                <w:rFonts w:ascii="宋体" w:hAnsi="宋体" w:cs="宋体"/>
                <w:color w:val="000000"/>
                <w:sz w:val="24"/>
                <w:highlight w:val="none"/>
              </w:rPr>
              <w:t xml:space="preserve">31</w:t>
            </w:r>
            <w:r>
              <w:rPr>
                <w:rFonts w:hint="eastAsia" w:ascii="宋体" w:hAnsi="宋体" w:cs="宋体"/>
                <w:color w:val="000000"/>
                <w:sz w:val="24"/>
                <w:highlight w:val="none"/>
              </w:rPr>
              <w:t xml:space="preserve">天重返的病例数量。支持查看到具体病例详细数据。</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临床路径统计：统计全院开展临床路径的实际情况，可查看到各科室的具体的临床路径执行情况。</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二次手术统计：统计全院各科室发生二级手术的数量，并可查看到具体手术的详细情况。</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处方点评统计：汇总所有的处方点评数据，按月统计出各科室处方点评的数量及不合格率，以柱状图和折线图展示出来。</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死亡病例统计：统计全院每日死亡患者的数量，按住院、急诊分别统计，并支持按科室进行查询。</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ab/>
            </w:r>
            <w:r>
              <w:rPr>
                <w:rFonts w:hint="eastAsia" w:ascii="宋体" w:hAnsi="宋体" w:cs="宋体"/>
                <w:color w:val="000000"/>
                <w:sz w:val="24"/>
                <w:highlight w:val="none"/>
              </w:rPr>
              <w:t xml:space="preserve">医疗安全</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不良事件统计：统计全院所有不良事件上报的数据，按不良事件的不同类型分别显示发生率的趋势。</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传染病统计：统计全院发生的传染病的数量，以柱状图的形式显示全院每日发生的数量，并支持显示各科室发生的数量。</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抗菌药物统计：按科室统计，显示科室门诊及住院抗菌药物使用率排名；按医生统计，显示医生使用抗菌药物使用率的排名；</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tab/>
            </w:r>
            <w:r>
              <w:rPr>
                <w:rFonts w:hint="eastAsia" w:ascii="宋体" w:hAnsi="宋体" w:cs="宋体"/>
                <w:color w:val="000000"/>
                <w:sz w:val="24"/>
                <w:highlight w:val="none"/>
              </w:rPr>
              <w:t xml:space="preserve">危急值统计：统计各科室危急值未响应的数量，支持查询具体危急值信息及相关患者、主管医生的信息。</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tab/>
            </w:r>
            <w:r>
              <w:rPr>
                <w:rFonts w:hint="eastAsia" w:ascii="宋体" w:hAnsi="宋体" w:cs="宋体"/>
                <w:color w:val="000000"/>
                <w:sz w:val="24"/>
                <w:highlight w:val="none"/>
              </w:rPr>
              <w:t xml:space="preserve">住院监控</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显示全院住院的实时情况，包括住院患者数量、危重患者数量、空床数量等，可下钻至各个病区，以床位图形式展示该病区各床位上患者的详细信息，还支持查看患者的电子病历、集成视图等信息。</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tab/>
            </w:r>
            <w:r>
              <w:rPr>
                <w:rFonts w:hint="eastAsia" w:ascii="宋体" w:hAnsi="宋体" w:cs="宋体"/>
                <w:color w:val="000000"/>
                <w:sz w:val="24"/>
                <w:highlight w:val="none"/>
              </w:rPr>
              <w:t xml:space="preserve">手术监控</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显示全院所有手术室的实时手术进展情况，可具体显示每个手术间当前正在进行的手术信息，包括患者信息、主刀医生、二助及护士等信息。还可以查看到已完成手术情况，后继排队手术的情况等。</w:t>
            </w:r>
            <w:r>
              <w:rPr>
                <w:rFonts w:ascii="宋体" w:hAnsi="宋体" w:cs="宋体"/>
                <w:color w:val="000000"/>
                <w:sz w:val="24"/>
                <w:highlight w:val="none"/>
              </w:rPr>
            </w:r>
            <w:r/>
          </w:p>
        </w:tc>
      </w:tr>
      <w:tr>
        <w:trPr>
          <w:trHeight w:val="1046"/>
        </w:trPr>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30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tab/>
            </w:r>
            <w:r>
              <w:rPr>
                <w:rFonts w:hint="eastAsia" w:ascii="宋体" w:hAnsi="宋体" w:cs="宋体"/>
                <w:color w:val="000000"/>
                <w:sz w:val="24"/>
                <w:highlight w:val="none"/>
              </w:rPr>
              <w:t xml:space="preserve">住院大楼监控</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以住院大数为单位，用图形化的展现方式，将住院大楼的病区及床位信息显示出来，可以一个屏幕上显示全院所有病区、所有床位的数据，一目了然的掌握全院住院的实时情况。</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798"/>
        <w:numPr>
          <w:ilvl w:val="3"/>
          <w:numId w:val="0"/>
        </w:numPr>
        <w:jc w:val="both"/>
        <w:keepLines/>
        <w:spacing w:before="280" w:after="290"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5.数据中心</w:t>
      </w:r>
      <w:r>
        <w:rPr>
          <w:rFonts w:ascii="宋体" w:hAnsi="宋体" w:eastAsia="宋体"/>
          <w:color w:val="000000"/>
          <w:sz w:val="24"/>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5.1数据中心管理平台</w:t>
      </w:r>
      <w:r>
        <w:rPr>
          <w:rFonts w:ascii="宋体" w:hAnsi="宋体"/>
          <w:color w:val="000000"/>
          <w:sz w:val="24"/>
          <w:szCs w:val="24"/>
          <w:highlight w:val="none"/>
        </w:rPr>
      </w:r>
      <w:r/>
    </w:p>
    <w:tbl>
      <w:tblPr>
        <w:tblW w:w="9062"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791"/>
      </w:tblGrid>
      <w:tr>
        <w:trPr/>
        <w:tc>
          <w:tcPr>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系统概述</w:t>
            </w: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数据中心管理平台是建立在医院大数据平台上的管理工具，可以对所有的数据中心进行统一管理，包括资源管理、数据管理、统计工具等。</w:t>
            </w:r>
            <w:r>
              <w:rPr>
                <w:rFonts w:ascii="宋体" w:hAnsi="宋体" w:cs="宋体"/>
                <w:color w:val="000000"/>
                <w:sz w:val="24"/>
                <w:highlight w:val="none"/>
              </w:rPr>
            </w:r>
            <w:r/>
          </w:p>
        </w:tc>
      </w:tr>
      <w:tr>
        <w:trPr/>
        <w:tc>
          <w:tcPr>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功能要求</w:t>
            </w: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具体功能包括：数据采集、元数据管理。数据质量管理、及时分析工具、数据开发工具、数据清洗工具、目录导航、目录管理功能。</w:t>
            </w:r>
            <w:r>
              <w:rPr>
                <w:rFonts w:ascii="宋体" w:hAnsi="宋体" w:cs="宋体"/>
                <w:color w:val="000000"/>
                <w:sz w:val="24"/>
                <w:highlight w:val="none"/>
              </w:rPr>
            </w:r>
            <w:r/>
          </w:p>
        </w:tc>
      </w:tr>
      <w:tr>
        <w:trPr/>
        <w:tc>
          <w:tcPr>
            <w:tcW w:w="1271" w:type="dxa"/>
            <w:vAlign w:val="center"/>
            <w:vMerge w:val="restart"/>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数据采集：要求包括接入系统、输入配置、输出配置、采集配置管理。</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任务调度：该模块为任务调度提供统一入口，有效实现了平台数据和计算资源共享</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元数据管理：要求遵循国家</w:t>
            </w:r>
            <w:r>
              <w:rPr>
                <w:rFonts w:hint="eastAsia" w:ascii="宋体" w:hAnsi="宋体" w:cs="宋体"/>
                <w:color w:val="000000"/>
                <w:sz w:val="24"/>
                <w:highlight w:val="none"/>
              </w:rPr>
              <w:t xml:space="preserve">卫生数据字典、最小数据集、数据元和术语库标准，并结合医疗机构实际情况对各医疗机构所有的信息进行梳理，建立起满足医疗机构数据交换和数据共享的最小数据集（如医疗机构信息、人员信息、诊疗目录、疾病目录、药品目录、病人基本信息、科室设置、ICD10等）。内部维护一个统一的、共享的标准数据字典，包括临床诊疗项目字典、医疗机构字典、科室字典、人员字典等，允许用户通过可视化的图形界面来定义医疗机构各子系统私有数据与标准数据的格式转换和内容转换，并提供代码映射服务，实现系统间的数据共享和互操作，并提供数据的管理和维护功能。</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质量管理：要求提供一套数据质量监管系统，通过掌握医院医疗数据信息化发展状态、深入分析医疗数据流转过程，确定数据质量评判标准，建立问题反馈机制，使医院管理员及时把握自家医院数据的稳定性、数据的量和数据的质，并可及时的发现问题，有的放矢的解决数据问题，提升共享数据的质量。数据质量监管系统主旨就是源头控制、环节监控、实时反馈，保障平台数据的完整性、正确性，真正确保医疗数据中心共享平台的长期、有效地发挥作用，落实建设目标。</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及时分析工具：要求可以基于主题或者模型数据自助分析功能，可生成表格、曲线、图形等展示界面</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数据开发工具：要求可基于标化层数据资产，可视化拖拽相关字段生成新的主题模型。</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数据清洗工具：通过数据清洗工具，实现了通过可视化、可配置的方式方便地将各个版本的电子病历中各类模板的数据转换为基于HL7 FHIR规范的文档型数据。从而实现病历数据的结构化，为BI、CDSS、科研等系统提供数据支持。</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目录导航：通过分类目录检索或者条件查询的方式检索自己需要的信息资源。检索到信息资源及该信息资源的目录详细内容，即该信息资源的一组元数据的描述，了解该信息资源的使用情况，并根据业务需要提出资源使用申请，申请查询或者交换该信息资源。</w:t>
            </w:r>
            <w:r>
              <w:rPr>
                <w:rFonts w:ascii="宋体" w:hAnsi="宋体" w:cs="宋体"/>
                <w:color w:val="000000"/>
                <w:sz w:val="24"/>
                <w:highlight w:val="none"/>
              </w:rPr>
            </w:r>
            <w:r/>
          </w:p>
        </w:tc>
      </w:tr>
      <w:tr>
        <w:trPr/>
        <w:tc>
          <w:tcPr>
            <w:tcW w:w="1271"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目录管理：要求提供目录总览，编目管理，共享管理，开放管理，申请管理，基础信息管理，数据生成管理等功能。</w:t>
            </w:r>
            <w:r>
              <w:rPr>
                <w:rFonts w:ascii="宋体" w:hAnsi="宋体" w:cs="宋体"/>
                <w:color w:val="000000"/>
                <w:sz w:val="24"/>
                <w:highlight w:val="none"/>
              </w:rPr>
            </w:r>
            <w:r/>
          </w:p>
        </w:tc>
      </w:tr>
    </w:tbl>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5.2临床数据中心</w:t>
      </w:r>
      <w:r>
        <w:rPr>
          <w:rFonts w:ascii="宋体" w:hAnsi="宋体"/>
          <w:color w:val="000000"/>
          <w:sz w:val="24"/>
          <w:szCs w:val="24"/>
          <w:highlight w:val="none"/>
        </w:rPr>
      </w:r>
      <w:r/>
    </w:p>
    <w:tbl>
      <w:tblPr>
        <w:tblW w:w="9062"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791"/>
      </w:tblGrid>
      <w:tr>
        <w:trPr/>
        <w:tc>
          <w:tcPr>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bookmarkStart w:id="112" w:name="_Hlk37345970"/>
            <w:r>
              <w:rPr>
                <w:rFonts w:hint="eastAsia" w:ascii="宋体" w:hAnsi="宋体" w:cs="宋体"/>
                <w:b/>
                <w:bCs/>
                <w:color w:val="000000"/>
                <w:sz w:val="24"/>
                <w:highlight w:val="none"/>
              </w:rPr>
              <w:t xml:space="preserve">系统概述</w:t>
            </w: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中心对病人诊疗数据(数值、文字、波形、图像)进行统一有效管理和标准化存储,实现患者临床信息的整合，在此基础上通过整合其他相关信息数据，建立面向医院管理层的决策分析系统，同时满足对医疗数据进行科研和临床决策支持等的需要，以及支持区域医疗信息的共享。</w:t>
            </w:r>
            <w:r>
              <w:rPr>
                <w:rFonts w:ascii="宋体" w:hAnsi="宋体" w:cs="宋体"/>
                <w:color w:val="000000"/>
                <w:sz w:val="24"/>
                <w:highlight w:val="none"/>
              </w:rPr>
            </w:r>
            <w:r/>
          </w:p>
        </w:tc>
      </w:tr>
      <w:tr>
        <w:trPr/>
        <w:tc>
          <w:tcPr>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功能要求</w:t>
            </w: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具体功能要求包括：基础信息库注册、基础信息库存储、基础信息库、集团化医联体服务、临床信息库、病历</w:t>
            </w:r>
            <w:r>
              <w:rPr>
                <w:rFonts w:hint="eastAsia" w:ascii="宋体" w:hAnsi="宋体" w:cs="宋体"/>
                <w:color w:val="000000"/>
                <w:sz w:val="24"/>
                <w:highlight w:val="none"/>
                <w:lang w:val="zh-CN"/>
              </w:rPr>
              <w:t xml:space="preserve">概要数据存储、病历记录数据存储、</w:t>
            </w:r>
            <w:r>
              <w:rPr>
                <w:rFonts w:hint="eastAsia" w:ascii="宋体" w:hAnsi="宋体" w:cs="宋体"/>
                <w:color w:val="000000"/>
                <w:sz w:val="24"/>
                <w:highlight w:val="none"/>
              </w:rPr>
              <w:t xml:space="preserve">转诊记录存储、其他文件存储、医疗机构信息存储、</w:t>
            </w:r>
            <w:r>
              <w:rPr>
                <w:rFonts w:hint="eastAsia" w:ascii="宋体" w:hAnsi="宋体"/>
                <w:color w:val="000000"/>
                <w:sz w:val="24"/>
                <w:highlight w:val="none"/>
              </w:rPr>
              <w:t xml:space="preserve">应用程序标准接口服务、临床信息注册、消息引擎及主索引服务、CDA文档相关服务、数据整合及查询相关服务、临床数据中心应用情况分析、</w:t>
            </w:r>
            <w:r>
              <w:rPr>
                <w:rFonts w:hint="eastAsia" w:ascii="宋体" w:hAnsi="宋体" w:cs="宋体"/>
                <w:color w:val="000000"/>
                <w:sz w:val="24"/>
                <w:highlight w:val="none"/>
              </w:rPr>
              <w:t xml:space="preserve">临床文档库、临床文档库存储等。</w:t>
            </w:r>
            <w:r>
              <w:rPr>
                <w:rFonts w:ascii="宋体" w:hAnsi="宋体" w:cs="宋体"/>
                <w:color w:val="000000"/>
                <w:sz w:val="24"/>
                <w:highlight w:val="none"/>
              </w:rPr>
            </w:r>
            <w:r/>
          </w:p>
        </w:tc>
      </w:tr>
      <w:tr>
        <w:trPr/>
        <w:tc>
          <w:tcPr>
            <w:tcW w:w="1271" w:type="dxa"/>
            <w:vAlign w:val="center"/>
            <w:vMerge w:val="restart"/>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基础信息库注册：对</w:t>
            </w:r>
            <w:r>
              <w:rPr>
                <w:rFonts w:hint="eastAsia" w:ascii="宋体" w:hAnsi="宋体" w:cs="宋体"/>
                <w:color w:val="000000"/>
                <w:sz w:val="24"/>
                <w:highlight w:val="none"/>
                <w:lang w:val="zh-CN"/>
              </w:rPr>
              <w:t xml:space="preserve">患者、医疗服务人员、机构、字典和术语进行注册。</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基础信息库存储：对</w:t>
            </w:r>
            <w:r>
              <w:rPr>
                <w:rFonts w:hint="eastAsia" w:ascii="宋体" w:hAnsi="宋体" w:cs="宋体"/>
                <w:color w:val="000000"/>
                <w:sz w:val="24"/>
                <w:highlight w:val="none"/>
                <w:lang w:val="zh-CN"/>
              </w:rPr>
              <w:t xml:space="preserve">患者、医疗服务人员、机构、字典和术语进行存储。</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基础信息库：</w:t>
            </w:r>
            <w:r>
              <w:rPr>
                <w:rFonts w:hint="eastAsia" w:ascii="宋体" w:hAnsi="宋体" w:cs="宋体"/>
                <w:color w:val="000000"/>
                <w:sz w:val="24"/>
                <w:highlight w:val="none"/>
                <w:lang w:val="zh-CN"/>
              </w:rPr>
              <w:t xml:space="preserve">基础信息库包括了患者的人口学信息、医疗卫生人员的注册信息、以及各种医疗卫生、公共卫生术语字典数据等</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集团化医联体服务：要求支持</w:t>
            </w:r>
            <w:r>
              <w:rPr>
                <w:rFonts w:hint="eastAsia" w:ascii="宋体" w:hAnsi="宋体" w:cs="宋体"/>
                <w:color w:val="000000"/>
                <w:sz w:val="24"/>
                <w:highlight w:val="none"/>
                <w:lang w:val="zh-CN"/>
              </w:rPr>
              <w:t xml:space="preserve">集团化多院区和医联体应用。</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临床信息库：要求</w:t>
            </w:r>
            <w:r>
              <w:rPr>
                <w:rFonts w:hint="eastAsia" w:ascii="宋体" w:hAnsi="宋体" w:cs="宋体"/>
                <w:color w:val="000000"/>
                <w:sz w:val="24"/>
                <w:highlight w:val="none"/>
                <w:lang w:val="zh-CN"/>
              </w:rPr>
              <w:t xml:space="preserve">基于RIM模型通过患者主索引与电子病历基本数据及标准搭建临床信息库的存储，以结构化数据形式存储于数据库中。</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病历概要数据存储：主要记录内容包括：患者基本信息、基本健康信息、卫生事件摘要、医疗费用记录。</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病历记录数据存储：按照医疗机构中医疗服务活动的职能域划分，病历记录可分为：门（急）诊病历记录、住院病历记录和健康体检记录等三个业务域。</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转诊记录存储：</w:t>
            </w:r>
            <w:r>
              <w:rPr>
                <w:rFonts w:hint="eastAsia" w:ascii="宋体" w:hAnsi="宋体" w:cs="宋体"/>
                <w:color w:val="000000"/>
                <w:sz w:val="24"/>
                <w:highlight w:val="none"/>
                <w:lang w:val="zh-CN"/>
              </w:rPr>
              <w:t xml:space="preserve">转诊记录指医疗机构之间进行患者转诊（转入或转出）的主要工作记录</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其他文件存储：</w:t>
            </w:r>
            <w:r>
              <w:rPr>
                <w:rFonts w:hint="eastAsia" w:ascii="宋体" w:hAnsi="宋体" w:cs="宋体"/>
                <w:color w:val="000000"/>
                <w:sz w:val="24"/>
                <w:highlight w:val="none"/>
                <w:lang w:val="zh-CN"/>
              </w:rPr>
              <w:t xml:space="preserve">主要包括：出生医学证明、死亡医学证明、传染病报告、出生缺陷儿登记等。</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医疗机构信息存储：</w:t>
            </w:r>
            <w:r>
              <w:rPr>
                <w:rFonts w:hint="eastAsia" w:ascii="宋体" w:hAnsi="宋体" w:cs="宋体"/>
                <w:color w:val="000000"/>
                <w:sz w:val="24"/>
                <w:highlight w:val="none"/>
                <w:lang w:val="zh-CN"/>
              </w:rPr>
              <w:t xml:space="preserve">负责创建、使用和保存电子病历的医疗机构法人信息。</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应用程序标准接口服务：通过API，用户可以在整合后的临床数据基础上定义新的应用，进行决策分析，医学科研，商业智能(BI)</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临床信息注册：支持各个系统将检查、检验结果、诊断、医嘱、生命体征、诊疗过程等各种临床信息注册到临床数据存储库中。</w:t>
            </w:r>
            <w:r>
              <w:rPr>
                <w:rFonts w:ascii="宋体" w:hAnsi="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消息引擎及主索引服务：可基于服务总线、患者主索引对数据中心数据获取构建服务，基于患者主索引可以侦测到重复的病人，快速、准确、全面定位病人诊疗信息。</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CDA文档相关服务：提供CDA文档注册、存储、访问管理。</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数据整合及查询相关服务：提供数据采集服务、数据整合服务、数据审核、导出、权限设置、隐私设置等功能。</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临床数据中心应用情况分析：提供临床数据中心概览、外部引用概览等可视化分析。</w:t>
            </w:r>
            <w:r>
              <w:rPr>
                <w:rFonts w:ascii="宋体" w:hAnsi="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临床文档库：</w:t>
            </w:r>
            <w:r>
              <w:rPr>
                <w:rFonts w:hint="eastAsia" w:ascii="宋体" w:hAnsi="宋体" w:cs="宋体"/>
                <w:color w:val="000000"/>
                <w:sz w:val="24"/>
                <w:highlight w:val="none"/>
                <w:lang w:val="zh-CN"/>
              </w:rPr>
              <w:t xml:space="preserve">符合卫计委电子病历共享文档规范和电子病历基本数据集标准的XML文档，主要应用于医联体临床数据交换及区域医疗信息共享与协同</w:t>
            </w:r>
            <w:r>
              <w:rPr>
                <w:rFonts w:ascii="宋体" w:hAnsi="宋体" w:cs="宋体"/>
                <w:color w:val="000000"/>
                <w:sz w:val="24"/>
                <w:highlight w:val="none"/>
              </w:rPr>
            </w:r>
            <w:r/>
          </w:p>
        </w:tc>
      </w:tr>
      <w:tr>
        <w:trPr/>
        <w:tc>
          <w:tcPr>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临床文档库存储：</w:t>
            </w:r>
            <w:r>
              <w:rPr>
                <w:rFonts w:hint="eastAsia" w:ascii="宋体" w:hAnsi="宋体"/>
                <w:color w:val="000000"/>
                <w:sz w:val="24"/>
                <w:highlight w:val="none"/>
              </w:rPr>
              <w:t xml:space="preserve">基于</w:t>
            </w:r>
            <w:r>
              <w:rPr>
                <w:rFonts w:ascii="宋体" w:hAnsi="宋体"/>
                <w:color w:val="000000"/>
                <w:sz w:val="24"/>
                <w:highlight w:val="none"/>
              </w:rPr>
              <w:t xml:space="preserve">CDA</w:t>
            </w:r>
            <w:r>
              <w:rPr>
                <w:rFonts w:hint="eastAsia" w:ascii="宋体" w:hAnsi="宋体"/>
                <w:color w:val="000000"/>
                <w:sz w:val="24"/>
                <w:highlight w:val="none"/>
              </w:rPr>
              <w:t xml:space="preserve">定义文档结构，如入院记录，定义一套</w:t>
            </w:r>
            <w:r>
              <w:rPr>
                <w:rFonts w:ascii="宋体" w:hAnsi="宋体"/>
                <w:color w:val="000000"/>
                <w:sz w:val="24"/>
                <w:highlight w:val="none"/>
              </w:rPr>
              <w:t xml:space="preserve">XML</w:t>
            </w:r>
            <w:r>
              <w:rPr>
                <w:rFonts w:hint="eastAsia" w:ascii="宋体" w:hAnsi="宋体"/>
                <w:color w:val="000000"/>
                <w:sz w:val="24"/>
                <w:highlight w:val="none"/>
              </w:rPr>
              <w:t xml:space="preserve">结构，以文档形式存储。</w:t>
            </w:r>
            <w:r>
              <w:rPr>
                <w:rFonts w:ascii="宋体" w:hAnsi="宋体" w:cs="宋体"/>
                <w:color w:val="000000"/>
                <w:sz w:val="24"/>
                <w:highlight w:val="none"/>
              </w:rPr>
            </w:r>
            <w:r/>
          </w:p>
        </w:tc>
      </w:tr>
    </w:tbl>
    <w:p>
      <w:pPr>
        <w:pStyle w:val="799"/>
        <w:numPr>
          <w:ilvl w:val="4"/>
          <w:numId w:val="0"/>
        </w:numPr>
        <w:spacing w:line="360" w:lineRule="auto"/>
        <w:rPr>
          <w:rFonts w:ascii="宋体" w:hAnsi="宋体"/>
          <w:color w:val="000000"/>
          <w:sz w:val="24"/>
          <w:szCs w:val="24"/>
          <w:highlight w:val="none"/>
        </w:rPr>
      </w:pPr>
      <w:r/>
      <w:bookmarkEnd w:id="112"/>
      <w:r/>
      <w:bookmarkStart w:id="113" w:name="_Toc446097759"/>
      <w:r/>
      <w:bookmarkStart w:id="114" w:name="_Toc483563988"/>
      <w:r/>
      <w:bookmarkStart w:id="115" w:name="_Toc527641329"/>
      <w:r/>
      <w:bookmarkStart w:id="116" w:name="_Toc32293"/>
      <w:r>
        <w:rPr>
          <w:rFonts w:hint="eastAsia" w:ascii="宋体" w:hAnsi="宋体"/>
          <w:color w:val="000000"/>
          <w:sz w:val="24"/>
          <w:szCs w:val="24"/>
          <w:highlight w:val="none"/>
        </w:rPr>
        <w:t xml:space="preserve">5.3标准体系建设</w:t>
      </w:r>
      <w:bookmarkEnd w:id="113"/>
      <w:r/>
      <w:bookmarkEnd w:id="114"/>
      <w:r/>
      <w:bookmarkEnd w:id="115"/>
      <w:r/>
      <w:bookmarkEnd w:id="116"/>
      <w:r>
        <w:rPr>
          <w:rFonts w:ascii="宋体" w:hAnsi="宋体"/>
          <w:color w:val="000000"/>
          <w:sz w:val="24"/>
          <w:szCs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参考国家</w:t>
      </w:r>
      <w:r>
        <w:rPr>
          <w:rFonts w:ascii="宋体" w:hAnsi="宋体"/>
          <w:color w:val="000000"/>
          <w:sz w:val="24"/>
          <w:highlight w:val="none"/>
        </w:rPr>
        <w:t xml:space="preserve">卫生信息标准体系</w:t>
      </w:r>
      <w:r>
        <w:rPr>
          <w:rFonts w:hint="eastAsia" w:ascii="宋体" w:hAnsi="宋体"/>
          <w:color w:val="000000"/>
          <w:sz w:val="24"/>
          <w:highlight w:val="none"/>
        </w:rPr>
        <w:t xml:space="preserve">、医院</w:t>
      </w:r>
      <w:r>
        <w:rPr>
          <w:rFonts w:ascii="宋体" w:hAnsi="宋体"/>
          <w:color w:val="000000"/>
          <w:sz w:val="24"/>
          <w:highlight w:val="none"/>
        </w:rPr>
        <w:t xml:space="preserve">信息信息系统集成平台标准化成熟度测评体系、</w:t>
      </w:r>
      <w:r>
        <w:rPr>
          <w:rFonts w:hint="eastAsia" w:ascii="宋体" w:hAnsi="宋体"/>
          <w:color w:val="000000"/>
          <w:sz w:val="24"/>
          <w:highlight w:val="none"/>
        </w:rPr>
        <w:t xml:space="preserve">WTO卫生信息标准分类、</w:t>
      </w:r>
      <w:r>
        <w:rPr>
          <w:rFonts w:ascii="宋体" w:hAnsi="宋体"/>
          <w:color w:val="000000"/>
          <w:sz w:val="24"/>
          <w:highlight w:val="none"/>
        </w:rPr>
        <w:t xml:space="preserve">HL7标准体系等</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进行</w:t>
      </w:r>
      <w:r>
        <w:rPr>
          <w:rFonts w:ascii="宋体" w:hAnsi="宋体"/>
          <w:color w:val="000000"/>
          <w:sz w:val="24"/>
          <w:highlight w:val="none"/>
        </w:rPr>
        <w:t xml:space="preserve">医院信息标准体系</w:t>
      </w:r>
      <w:r>
        <w:rPr>
          <w:rFonts w:hint="eastAsia" w:ascii="宋体" w:hAnsi="宋体"/>
          <w:color w:val="000000"/>
          <w:sz w:val="24"/>
          <w:highlight w:val="none"/>
        </w:rPr>
        <w:t xml:space="preserve">建设。内容包括</w:t>
      </w:r>
      <w:r>
        <w:rPr>
          <w:rFonts w:ascii="宋体" w:hAnsi="宋体"/>
          <w:color w:val="000000"/>
          <w:sz w:val="24"/>
          <w:highlight w:val="none"/>
        </w:rPr>
        <w:t xml:space="preserve">：</w:t>
      </w:r>
      <w:r>
        <w:rPr>
          <w:rFonts w:ascii="宋体" w:hAnsi="宋体"/>
          <w:color w:val="000000"/>
          <w:sz w:val="24"/>
          <w:highlight w:val="none"/>
        </w:rPr>
      </w:r>
      <w:r/>
    </w:p>
    <w:p>
      <w:pPr>
        <w:pStyle w:val="794"/>
        <w:numPr>
          <w:ilvl w:val="0"/>
          <w:numId w:val="9"/>
        </w:numPr>
        <w:spacing w:line="360" w:lineRule="auto"/>
        <w:rPr>
          <w:rFonts w:ascii="宋体" w:hAnsi="宋体"/>
          <w:color w:val="000000"/>
          <w:sz w:val="24"/>
          <w:highlight w:val="none"/>
        </w:rPr>
      </w:pPr>
      <w:r>
        <w:rPr>
          <w:rFonts w:hint="eastAsia" w:ascii="宋体" w:hAnsi="宋体"/>
          <w:color w:val="000000"/>
          <w:sz w:val="24"/>
          <w:highlight w:val="none"/>
        </w:rPr>
        <w:t xml:space="preserve">数据标准：词汇、术语，如ICD、SNOMED、LOINC。</w:t>
      </w:r>
      <w:r>
        <w:rPr>
          <w:rFonts w:ascii="宋体" w:hAnsi="宋体"/>
          <w:color w:val="000000"/>
          <w:sz w:val="24"/>
          <w:highlight w:val="none"/>
        </w:rPr>
      </w:r>
      <w:r/>
    </w:p>
    <w:p>
      <w:pPr>
        <w:pStyle w:val="794"/>
        <w:numPr>
          <w:ilvl w:val="0"/>
          <w:numId w:val="9"/>
        </w:numPr>
        <w:spacing w:line="360" w:lineRule="auto"/>
        <w:rPr>
          <w:rFonts w:ascii="宋体" w:hAnsi="宋体"/>
          <w:color w:val="000000"/>
          <w:sz w:val="24"/>
          <w:highlight w:val="none"/>
        </w:rPr>
      </w:pPr>
      <w:r>
        <w:rPr>
          <w:rFonts w:hint="eastAsia" w:ascii="宋体" w:hAnsi="宋体"/>
          <w:color w:val="000000"/>
          <w:sz w:val="24"/>
          <w:highlight w:val="none"/>
        </w:rPr>
        <w:t xml:space="preserve">信息内容标准：参考信息模型RIM。</w:t>
      </w:r>
      <w:r>
        <w:rPr>
          <w:rFonts w:ascii="宋体" w:hAnsi="宋体"/>
          <w:color w:val="000000"/>
          <w:sz w:val="24"/>
          <w:highlight w:val="none"/>
        </w:rPr>
      </w:r>
      <w:r/>
    </w:p>
    <w:p>
      <w:pPr>
        <w:pStyle w:val="794"/>
        <w:numPr>
          <w:ilvl w:val="0"/>
          <w:numId w:val="9"/>
        </w:numPr>
        <w:spacing w:line="360" w:lineRule="auto"/>
        <w:rPr>
          <w:rFonts w:ascii="宋体" w:hAnsi="宋体"/>
          <w:color w:val="000000"/>
          <w:sz w:val="24"/>
          <w:highlight w:val="none"/>
        </w:rPr>
      </w:pPr>
      <w:r>
        <w:rPr>
          <w:rFonts w:hint="eastAsia" w:ascii="宋体" w:hAnsi="宋体"/>
          <w:color w:val="000000"/>
          <w:sz w:val="24"/>
          <w:highlight w:val="none"/>
        </w:rPr>
        <w:t xml:space="preserve">信息交换标准：消息标准，结构文档标准，如HL7 </w:t>
      </w:r>
      <w:r>
        <w:rPr>
          <w:rFonts w:ascii="宋体" w:hAnsi="宋体"/>
          <w:color w:val="000000"/>
          <w:sz w:val="24"/>
          <w:highlight w:val="none"/>
        </w:rPr>
        <w:t xml:space="preserve">V3</w:t>
      </w:r>
      <w:r>
        <w:rPr>
          <w:rFonts w:hint="eastAsia" w:ascii="宋体" w:hAnsi="宋体"/>
          <w:color w:val="000000"/>
          <w:sz w:val="24"/>
          <w:highlight w:val="none"/>
        </w:rPr>
        <w:t xml:space="preserve">、HL7 2.X、FHIR、CDA、DICOM。</w:t>
      </w:r>
      <w:r>
        <w:rPr>
          <w:rFonts w:ascii="宋体" w:hAnsi="宋体"/>
          <w:color w:val="000000"/>
          <w:sz w:val="24"/>
          <w:highlight w:val="none"/>
        </w:rPr>
      </w:r>
      <w:r/>
    </w:p>
    <w:p>
      <w:pPr>
        <w:pStyle w:val="794"/>
        <w:numPr>
          <w:ilvl w:val="0"/>
          <w:numId w:val="9"/>
        </w:numPr>
        <w:spacing w:line="360" w:lineRule="auto"/>
        <w:rPr>
          <w:rFonts w:ascii="宋体" w:hAnsi="宋体"/>
          <w:color w:val="000000"/>
          <w:sz w:val="24"/>
          <w:highlight w:val="none"/>
        </w:rPr>
      </w:pPr>
      <w:r>
        <w:rPr>
          <w:rFonts w:hint="eastAsia" w:ascii="宋体" w:hAnsi="宋体"/>
          <w:color w:val="000000"/>
          <w:sz w:val="24"/>
          <w:highlight w:val="none"/>
        </w:rPr>
        <w:t xml:space="preserve">标识标准：实体/人员标识标准，如身份证号、病人主索引。</w:t>
      </w:r>
      <w:r>
        <w:rPr>
          <w:rFonts w:ascii="宋体" w:hAnsi="宋体"/>
          <w:color w:val="000000"/>
          <w:sz w:val="24"/>
          <w:highlight w:val="none"/>
        </w:rPr>
      </w:r>
      <w:r/>
    </w:p>
    <w:p>
      <w:pPr>
        <w:pStyle w:val="794"/>
        <w:numPr>
          <w:ilvl w:val="0"/>
          <w:numId w:val="9"/>
        </w:numPr>
        <w:spacing w:line="360" w:lineRule="auto"/>
        <w:rPr>
          <w:rFonts w:ascii="宋体" w:hAnsi="宋体"/>
          <w:color w:val="000000"/>
          <w:sz w:val="24"/>
          <w:highlight w:val="none"/>
        </w:rPr>
      </w:pPr>
      <w:r>
        <w:rPr>
          <w:rFonts w:hint="eastAsia" w:ascii="宋体" w:hAnsi="宋体"/>
          <w:color w:val="000000"/>
          <w:sz w:val="24"/>
          <w:highlight w:val="none"/>
        </w:rPr>
        <w:t xml:space="preserve">隐私和安全标准。</w:t>
      </w:r>
      <w:r>
        <w:rPr>
          <w:rFonts w:ascii="宋体" w:hAnsi="宋体"/>
          <w:color w:val="000000"/>
          <w:sz w:val="24"/>
          <w:highlight w:val="none"/>
        </w:rPr>
      </w:r>
      <w:r/>
    </w:p>
    <w:p>
      <w:pPr>
        <w:pStyle w:val="794"/>
        <w:numPr>
          <w:ilvl w:val="0"/>
          <w:numId w:val="9"/>
        </w:numPr>
        <w:spacing w:line="360" w:lineRule="auto"/>
        <w:rPr>
          <w:rFonts w:ascii="宋体" w:hAnsi="宋体"/>
          <w:color w:val="000000"/>
          <w:sz w:val="24"/>
          <w:highlight w:val="none"/>
        </w:rPr>
      </w:pPr>
      <w:r>
        <w:rPr>
          <w:rFonts w:hint="eastAsia" w:ascii="宋体" w:hAnsi="宋体"/>
          <w:color w:val="000000"/>
          <w:sz w:val="24"/>
          <w:highlight w:val="none"/>
        </w:rPr>
        <w:t xml:space="preserve">功能与流程标准。</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t xml:space="preserve">医院信息标准体系</w:t>
      </w:r>
      <w:r>
        <w:rPr>
          <w:rFonts w:hint="eastAsia" w:ascii="宋体" w:hAnsi="宋体"/>
          <w:color w:val="000000"/>
          <w:sz w:val="24"/>
          <w:highlight w:val="none"/>
        </w:rPr>
        <w:t xml:space="preserve">建设达到效果</w:t>
      </w:r>
      <w:r>
        <w:rPr>
          <w:rFonts w:ascii="宋体" w:hAnsi="宋体"/>
          <w:color w:val="000000"/>
          <w:sz w:val="24"/>
          <w:highlight w:val="none"/>
        </w:rPr>
        <w:t xml:space="preserve">：</w:t>
      </w:r>
      <w:r>
        <w:rPr>
          <w:rFonts w:ascii="宋体" w:hAnsi="宋体"/>
          <w:color w:val="000000"/>
          <w:sz w:val="24"/>
          <w:highlight w:val="none"/>
        </w:rPr>
      </w:r>
      <w:r/>
    </w:p>
    <w:p>
      <w:pPr>
        <w:pStyle w:val="1044"/>
        <w:numPr>
          <w:ilvl w:val="0"/>
          <w:numId w:val="1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通过医院</w:t>
      </w:r>
      <w:r>
        <w:rPr>
          <w:rFonts w:ascii="宋体" w:hAnsi="宋体"/>
          <w:color w:val="000000"/>
          <w:sz w:val="24"/>
          <w:szCs w:val="24"/>
          <w:highlight w:val="none"/>
        </w:rPr>
        <w:t xml:space="preserve">信息信息系统集成平台标准化成熟度测评</w:t>
      </w:r>
      <w:r>
        <w:rPr>
          <w:rFonts w:hint="eastAsia" w:ascii="宋体" w:hAnsi="宋体"/>
          <w:color w:val="000000"/>
          <w:sz w:val="24"/>
          <w:szCs w:val="24"/>
          <w:highlight w:val="none"/>
        </w:rPr>
        <w:t xml:space="preserve">，至少达到</w:t>
      </w:r>
      <w:r>
        <w:rPr>
          <w:rFonts w:ascii="宋体" w:hAnsi="宋体"/>
          <w:color w:val="000000"/>
          <w:sz w:val="24"/>
          <w:szCs w:val="24"/>
          <w:highlight w:val="none"/>
        </w:rPr>
        <w:t xml:space="preserve">四级甲等。</w:t>
      </w:r>
      <w:r>
        <w:rPr>
          <w:rFonts w:ascii="宋体" w:hAnsi="宋体"/>
          <w:color w:val="000000"/>
          <w:sz w:val="24"/>
          <w:szCs w:val="24"/>
          <w:highlight w:val="none"/>
        </w:rPr>
      </w:r>
      <w:r/>
    </w:p>
    <w:p>
      <w:pPr>
        <w:pStyle w:val="1044"/>
        <w:numPr>
          <w:ilvl w:val="0"/>
          <w:numId w:val="1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满足医院</w:t>
      </w:r>
      <w:r>
        <w:rPr>
          <w:rFonts w:ascii="宋体" w:hAnsi="宋体"/>
          <w:color w:val="000000"/>
          <w:sz w:val="24"/>
          <w:szCs w:val="24"/>
          <w:highlight w:val="none"/>
        </w:rPr>
        <w:t xml:space="preserve">与区域</w:t>
      </w:r>
      <w:r>
        <w:rPr>
          <w:rFonts w:hint="eastAsia" w:ascii="宋体" w:hAnsi="宋体"/>
          <w:color w:val="000000"/>
          <w:sz w:val="24"/>
          <w:szCs w:val="24"/>
          <w:highlight w:val="none"/>
        </w:rPr>
        <w:t xml:space="preserve">、医院与其他</w:t>
      </w:r>
      <w:r>
        <w:rPr>
          <w:rFonts w:ascii="宋体" w:hAnsi="宋体"/>
          <w:color w:val="000000"/>
          <w:sz w:val="24"/>
          <w:szCs w:val="24"/>
          <w:highlight w:val="none"/>
        </w:rPr>
        <w:t xml:space="preserve">医</w:t>
      </w:r>
      <w:r>
        <w:rPr>
          <w:rFonts w:hint="eastAsia" w:ascii="宋体" w:hAnsi="宋体"/>
          <w:color w:val="000000"/>
          <w:sz w:val="24"/>
          <w:szCs w:val="24"/>
          <w:highlight w:val="none"/>
        </w:rPr>
        <w:t xml:space="preserve">疗机构等进行</w:t>
      </w:r>
      <w:r>
        <w:rPr>
          <w:rFonts w:ascii="宋体" w:hAnsi="宋体"/>
          <w:color w:val="000000"/>
          <w:sz w:val="24"/>
          <w:szCs w:val="24"/>
          <w:highlight w:val="none"/>
        </w:rPr>
        <w:t xml:space="preserve">信息系统集成平台</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信息共享的需求。</w:t>
      </w:r>
      <w:r>
        <w:rPr>
          <w:rFonts w:ascii="宋体" w:hAnsi="宋体"/>
          <w:color w:val="000000"/>
          <w:sz w:val="24"/>
          <w:szCs w:val="24"/>
          <w:highlight w:val="none"/>
        </w:rPr>
      </w:r>
      <w:r/>
    </w:p>
    <w:p>
      <w:pPr>
        <w:pStyle w:val="1044"/>
        <w:numPr>
          <w:ilvl w:val="0"/>
          <w:numId w:val="1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满足医院各</w:t>
      </w:r>
      <w:r>
        <w:rPr>
          <w:rFonts w:ascii="宋体" w:hAnsi="宋体"/>
          <w:color w:val="000000"/>
          <w:sz w:val="24"/>
          <w:szCs w:val="24"/>
          <w:highlight w:val="none"/>
        </w:rPr>
        <w:t xml:space="preserve">厂商系统、异构系统间的信息系统集成平台</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信息共享</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业务</w:t>
      </w:r>
      <w:r>
        <w:rPr>
          <w:rFonts w:hint="eastAsia" w:ascii="宋体" w:hAnsi="宋体"/>
          <w:color w:val="000000"/>
          <w:sz w:val="24"/>
          <w:szCs w:val="24"/>
          <w:highlight w:val="none"/>
        </w:rPr>
        <w:t xml:space="preserve">协作的标准化需求。</w:t>
      </w:r>
      <w:r>
        <w:rPr>
          <w:rFonts w:ascii="宋体" w:hAnsi="宋体"/>
          <w:color w:val="000000"/>
          <w:sz w:val="24"/>
          <w:szCs w:val="24"/>
          <w:highlight w:val="none"/>
        </w:rPr>
      </w:r>
      <w:r/>
    </w:p>
    <w:p>
      <w:pPr>
        <w:pStyle w:val="1044"/>
        <w:numPr>
          <w:ilvl w:val="0"/>
          <w:numId w:val="1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满足医院</w:t>
      </w:r>
      <w:r>
        <w:rPr>
          <w:rFonts w:ascii="宋体" w:hAnsi="宋体"/>
          <w:color w:val="000000"/>
          <w:sz w:val="24"/>
          <w:szCs w:val="24"/>
          <w:highlight w:val="none"/>
        </w:rPr>
        <w:t xml:space="preserve">新</w:t>
      </w:r>
      <w:r>
        <w:rPr>
          <w:rFonts w:hint="eastAsia" w:ascii="宋体" w:hAnsi="宋体"/>
          <w:color w:val="000000"/>
          <w:sz w:val="24"/>
          <w:szCs w:val="24"/>
          <w:highlight w:val="none"/>
        </w:rPr>
        <w:t xml:space="preserve">系统接入</w:t>
      </w:r>
      <w:r>
        <w:rPr>
          <w:rFonts w:ascii="宋体" w:hAnsi="宋体"/>
          <w:color w:val="000000"/>
          <w:sz w:val="24"/>
          <w:szCs w:val="24"/>
          <w:highlight w:val="none"/>
        </w:rPr>
        <w:t xml:space="preserve">、切换、历史数据</w:t>
      </w:r>
      <w:r>
        <w:rPr>
          <w:rFonts w:hint="eastAsia" w:ascii="宋体" w:hAnsi="宋体"/>
          <w:color w:val="000000"/>
          <w:sz w:val="24"/>
          <w:szCs w:val="24"/>
          <w:highlight w:val="none"/>
        </w:rPr>
        <w:t xml:space="preserve">继承</w:t>
      </w:r>
      <w:r>
        <w:rPr>
          <w:rFonts w:ascii="宋体" w:hAnsi="宋体"/>
          <w:color w:val="000000"/>
          <w:sz w:val="24"/>
          <w:szCs w:val="24"/>
          <w:highlight w:val="none"/>
        </w:rPr>
        <w:t xml:space="preserve">等情况下的</w:t>
      </w:r>
      <w:r>
        <w:rPr>
          <w:rFonts w:hint="eastAsia" w:ascii="宋体" w:hAnsi="宋体"/>
          <w:color w:val="000000"/>
          <w:sz w:val="24"/>
          <w:szCs w:val="24"/>
          <w:highlight w:val="none"/>
        </w:rPr>
        <w:t xml:space="preserve">信息标准化需求。</w:t>
      </w:r>
      <w:r>
        <w:rPr>
          <w:rFonts w:ascii="宋体" w:hAnsi="宋体"/>
          <w:color w:val="000000"/>
          <w:sz w:val="24"/>
          <w:szCs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bookmarkStart w:id="117" w:name="_Toc11274"/>
      <w:r/>
      <w:bookmarkStart w:id="118" w:name="_Toc446097760"/>
      <w:r/>
      <w:bookmarkStart w:id="119" w:name="_Toc527641330"/>
      <w:r/>
      <w:bookmarkStart w:id="120" w:name="_Toc483563989"/>
      <w:r>
        <w:rPr>
          <w:rFonts w:hint="eastAsia" w:ascii="宋体" w:hAnsi="宋体"/>
          <w:color w:val="000000"/>
          <w:sz w:val="24"/>
          <w:szCs w:val="24"/>
          <w:highlight w:val="none"/>
        </w:rPr>
        <w:t xml:space="preserve">5.4基础数据治理</w:t>
      </w:r>
      <w:bookmarkEnd w:id="117"/>
      <w:r/>
      <w:bookmarkEnd w:id="118"/>
      <w:r/>
      <w:bookmarkEnd w:id="119"/>
      <w:r/>
      <w:bookmarkEnd w:id="120"/>
      <w:r>
        <w:rPr>
          <w:rFonts w:ascii="宋体" w:hAnsi="宋体"/>
          <w:color w:val="000000"/>
          <w:sz w:val="24"/>
          <w:szCs w:val="24"/>
          <w:highlight w:val="none"/>
        </w:rPr>
      </w:r>
      <w:r/>
    </w:p>
    <w:p>
      <w:pPr>
        <w:pStyle w:val="794"/>
        <w:ind w:firstLine="540"/>
        <w:spacing w:line="360" w:lineRule="auto"/>
        <w:rPr>
          <w:rFonts w:ascii="宋体" w:hAnsi="宋体"/>
          <w:color w:val="000000"/>
          <w:sz w:val="24"/>
          <w:highlight w:val="none"/>
        </w:rPr>
      </w:pPr>
      <w:r>
        <w:rPr>
          <w:rFonts w:hint="eastAsia" w:ascii="宋体" w:hAnsi="宋体"/>
          <w:color w:val="000000"/>
          <w:sz w:val="24"/>
          <w:highlight w:val="none"/>
        </w:rPr>
        <w:t xml:space="preserve">通过</w:t>
      </w:r>
      <w:r>
        <w:rPr>
          <w:rFonts w:ascii="宋体" w:hAnsi="宋体"/>
          <w:color w:val="000000"/>
          <w:sz w:val="24"/>
          <w:highlight w:val="none"/>
        </w:rPr>
        <w:t xml:space="preserve">基础数据治理完成人员</w:t>
      </w:r>
      <w:r>
        <w:rPr>
          <w:rFonts w:hint="eastAsia" w:ascii="宋体" w:hAnsi="宋体"/>
          <w:color w:val="000000"/>
          <w:sz w:val="24"/>
          <w:highlight w:val="none"/>
        </w:rPr>
        <w:t xml:space="preserve">、科室</w:t>
      </w:r>
      <w:r>
        <w:rPr>
          <w:rFonts w:ascii="宋体" w:hAnsi="宋体"/>
          <w:color w:val="000000"/>
          <w:sz w:val="24"/>
          <w:highlight w:val="none"/>
        </w:rPr>
        <w:t xml:space="preserve">、</w:t>
      </w:r>
      <w:r>
        <w:rPr>
          <w:rFonts w:hint="eastAsia" w:ascii="宋体" w:hAnsi="宋体"/>
          <w:color w:val="000000"/>
          <w:sz w:val="24"/>
          <w:highlight w:val="none"/>
        </w:rPr>
        <w:t xml:space="preserve">患者</w:t>
      </w:r>
      <w:r>
        <w:rPr>
          <w:rFonts w:ascii="宋体" w:hAnsi="宋体"/>
          <w:color w:val="000000"/>
          <w:sz w:val="24"/>
          <w:highlight w:val="none"/>
        </w:rPr>
        <w:t xml:space="preserve">、</w:t>
      </w:r>
      <w:r>
        <w:rPr>
          <w:rFonts w:hint="eastAsia" w:ascii="宋体" w:hAnsi="宋体"/>
          <w:color w:val="000000"/>
          <w:sz w:val="24"/>
          <w:highlight w:val="none"/>
        </w:rPr>
        <w:t xml:space="preserve">药品</w:t>
      </w:r>
      <w:r>
        <w:rPr>
          <w:rFonts w:ascii="宋体" w:hAnsi="宋体"/>
          <w:color w:val="000000"/>
          <w:sz w:val="24"/>
          <w:highlight w:val="none"/>
        </w:rPr>
        <w:t xml:space="preserve">、</w:t>
      </w:r>
      <w:r>
        <w:rPr>
          <w:rFonts w:hint="eastAsia" w:ascii="宋体" w:hAnsi="宋体"/>
          <w:color w:val="000000"/>
          <w:sz w:val="24"/>
          <w:highlight w:val="none"/>
        </w:rPr>
        <w:t xml:space="preserve">物资</w:t>
      </w:r>
      <w:r>
        <w:rPr>
          <w:rFonts w:ascii="宋体" w:hAnsi="宋体"/>
          <w:color w:val="000000"/>
          <w:sz w:val="24"/>
          <w:highlight w:val="none"/>
        </w:rPr>
        <w:t xml:space="preserve">、</w:t>
      </w:r>
      <w:r>
        <w:rPr>
          <w:rFonts w:hint="eastAsia" w:ascii="宋体" w:hAnsi="宋体"/>
          <w:color w:val="000000"/>
          <w:sz w:val="24"/>
          <w:highlight w:val="none"/>
        </w:rPr>
        <w:t xml:space="preserve">服务项目</w:t>
      </w:r>
      <w:r>
        <w:rPr>
          <w:rFonts w:ascii="宋体" w:hAnsi="宋体"/>
          <w:color w:val="000000"/>
          <w:sz w:val="24"/>
          <w:highlight w:val="none"/>
        </w:rPr>
        <w:t xml:space="preserve">、医学术语及标准编码的集中统一管理，</w:t>
      </w:r>
      <w:r>
        <w:rPr>
          <w:rFonts w:hint="eastAsia" w:ascii="宋体" w:hAnsi="宋体"/>
          <w:color w:val="000000"/>
          <w:sz w:val="24"/>
          <w:highlight w:val="none"/>
        </w:rPr>
        <w:t xml:space="preserve">使得各</w:t>
      </w:r>
      <w:r>
        <w:rPr>
          <w:rFonts w:ascii="宋体" w:hAnsi="宋体"/>
          <w:color w:val="000000"/>
          <w:sz w:val="24"/>
          <w:highlight w:val="none"/>
        </w:rPr>
        <w:t xml:space="preserve">系统使用的基础数据内容能够实时一致，业务</w:t>
      </w:r>
      <w:r>
        <w:rPr>
          <w:rFonts w:hint="eastAsia" w:ascii="宋体" w:hAnsi="宋体"/>
          <w:color w:val="000000"/>
          <w:sz w:val="24"/>
          <w:highlight w:val="none"/>
        </w:rPr>
        <w:t xml:space="preserve">系统</w:t>
      </w:r>
      <w:r>
        <w:rPr>
          <w:rFonts w:ascii="宋体" w:hAnsi="宋体"/>
          <w:color w:val="000000"/>
          <w:sz w:val="24"/>
          <w:highlight w:val="none"/>
        </w:rPr>
        <w:t xml:space="preserve">所产生</w:t>
      </w:r>
      <w:r>
        <w:rPr>
          <w:rFonts w:hint="eastAsia" w:ascii="宋体" w:hAnsi="宋体"/>
          <w:color w:val="000000"/>
          <w:sz w:val="24"/>
          <w:highlight w:val="none"/>
        </w:rPr>
        <w:t xml:space="preserve">的</w:t>
      </w:r>
      <w:r>
        <w:rPr>
          <w:rFonts w:ascii="宋体" w:hAnsi="宋体"/>
          <w:color w:val="000000"/>
          <w:sz w:val="24"/>
          <w:highlight w:val="none"/>
        </w:rPr>
        <w:t xml:space="preserve">生产数据内容均</w:t>
      </w:r>
      <w:r>
        <w:rPr>
          <w:rFonts w:hint="eastAsia" w:ascii="宋体" w:hAnsi="宋体"/>
          <w:color w:val="000000"/>
          <w:sz w:val="24"/>
          <w:highlight w:val="none"/>
        </w:rPr>
        <w:t xml:space="preserve">采用同一</w:t>
      </w:r>
      <w:r>
        <w:rPr>
          <w:rFonts w:ascii="宋体" w:hAnsi="宋体"/>
          <w:color w:val="000000"/>
          <w:sz w:val="24"/>
          <w:highlight w:val="none"/>
        </w:rPr>
        <w:t xml:space="preserve">标准，</w:t>
      </w:r>
      <w:r>
        <w:rPr>
          <w:rFonts w:hint="eastAsia" w:ascii="宋体" w:hAnsi="宋体"/>
          <w:color w:val="000000"/>
          <w:sz w:val="24"/>
          <w:highlight w:val="none"/>
        </w:rPr>
        <w:t xml:space="preserve">使得</w:t>
      </w:r>
      <w:r>
        <w:rPr>
          <w:rFonts w:ascii="宋体" w:hAnsi="宋体"/>
          <w:color w:val="000000"/>
          <w:sz w:val="24"/>
          <w:highlight w:val="none"/>
        </w:rPr>
        <w:t xml:space="preserve">医院系统间数据交换不需要互相进行标准映射。</w:t>
      </w:r>
      <w:r>
        <w:rPr>
          <w:rFonts w:ascii="宋体" w:hAnsi="宋体"/>
          <w:color w:val="000000"/>
          <w:sz w:val="24"/>
          <w:highlight w:val="none"/>
        </w:rPr>
      </w:r>
      <w:r/>
    </w:p>
    <w:p>
      <w:pPr>
        <w:pStyle w:val="1044"/>
        <w:numPr>
          <w:ilvl w:val="0"/>
          <w:numId w:val="11"/>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患者</w:t>
      </w:r>
      <w:r>
        <w:rPr>
          <w:rFonts w:ascii="宋体" w:hAnsi="宋体"/>
          <w:color w:val="000000"/>
          <w:sz w:val="24"/>
          <w:szCs w:val="24"/>
          <w:highlight w:val="none"/>
        </w:rPr>
        <w:t xml:space="preserve">数据治理后达到</w:t>
      </w:r>
      <w:r>
        <w:rPr>
          <w:rFonts w:hint="eastAsia" w:ascii="宋体" w:hAnsi="宋体"/>
          <w:color w:val="000000"/>
          <w:sz w:val="24"/>
          <w:szCs w:val="24"/>
          <w:highlight w:val="none"/>
        </w:rPr>
        <w:t xml:space="preserve">门诊</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住院</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体检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随访过程</w:t>
      </w:r>
      <w:r>
        <w:rPr>
          <w:rFonts w:ascii="宋体" w:hAnsi="宋体"/>
          <w:color w:val="000000"/>
          <w:sz w:val="24"/>
          <w:szCs w:val="24"/>
          <w:highlight w:val="none"/>
        </w:rPr>
        <w:t xml:space="preserve">中各环节患者信息保持一致。</w:t>
      </w:r>
      <w:r>
        <w:rPr>
          <w:rFonts w:ascii="宋体" w:hAnsi="宋体"/>
          <w:color w:val="000000"/>
          <w:sz w:val="24"/>
          <w:szCs w:val="24"/>
          <w:highlight w:val="none"/>
        </w:rPr>
      </w:r>
      <w:r/>
    </w:p>
    <w:p>
      <w:pPr>
        <w:pStyle w:val="1044"/>
        <w:numPr>
          <w:ilvl w:val="0"/>
          <w:numId w:val="11"/>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人员数据</w:t>
      </w:r>
      <w:r>
        <w:rPr>
          <w:rFonts w:ascii="宋体" w:hAnsi="宋体"/>
          <w:color w:val="000000"/>
          <w:sz w:val="24"/>
          <w:szCs w:val="24"/>
          <w:highlight w:val="none"/>
        </w:rPr>
        <w:t xml:space="preserve">治理后能够有效的统一人员归口，当医务人员的人事状态发生变化时，</w:t>
      </w:r>
      <w:r>
        <w:rPr>
          <w:rFonts w:hint="eastAsia" w:ascii="宋体" w:hAnsi="宋体"/>
          <w:color w:val="000000"/>
          <w:sz w:val="24"/>
          <w:szCs w:val="24"/>
          <w:highlight w:val="none"/>
        </w:rPr>
        <w:t xml:space="preserve">临床</w:t>
      </w:r>
      <w:r>
        <w:rPr>
          <w:rFonts w:ascii="宋体" w:hAnsi="宋体"/>
          <w:color w:val="000000"/>
          <w:sz w:val="24"/>
          <w:szCs w:val="24"/>
          <w:highlight w:val="none"/>
        </w:rPr>
        <w:t xml:space="preserve">业务系统能够</w:t>
      </w:r>
      <w:r>
        <w:rPr>
          <w:rFonts w:hint="eastAsia" w:ascii="宋体" w:hAnsi="宋体"/>
          <w:color w:val="000000"/>
          <w:sz w:val="24"/>
          <w:szCs w:val="24"/>
          <w:highlight w:val="none"/>
        </w:rPr>
        <w:t xml:space="preserve">实时</w:t>
      </w:r>
      <w:r>
        <w:rPr>
          <w:rFonts w:ascii="宋体" w:hAnsi="宋体"/>
          <w:color w:val="000000"/>
          <w:sz w:val="24"/>
          <w:szCs w:val="24"/>
          <w:highlight w:val="none"/>
        </w:rPr>
        <w:t xml:space="preserve">同步处理。</w:t>
      </w:r>
      <w:r>
        <w:rPr>
          <w:rFonts w:ascii="宋体" w:hAnsi="宋体"/>
          <w:color w:val="000000"/>
          <w:sz w:val="24"/>
          <w:szCs w:val="24"/>
          <w:highlight w:val="none"/>
        </w:rPr>
      </w:r>
      <w:r/>
    </w:p>
    <w:p>
      <w:pPr>
        <w:pStyle w:val="1044"/>
        <w:numPr>
          <w:ilvl w:val="0"/>
          <w:numId w:val="11"/>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科室</w:t>
      </w:r>
      <w:r>
        <w:rPr>
          <w:rFonts w:ascii="宋体" w:hAnsi="宋体"/>
          <w:color w:val="000000"/>
          <w:sz w:val="24"/>
          <w:szCs w:val="24"/>
          <w:highlight w:val="none"/>
        </w:rPr>
        <w:t xml:space="preserve">数据治理后能够使临床系统和运营系统间</w:t>
      </w:r>
      <w:r>
        <w:rPr>
          <w:rFonts w:hint="eastAsia" w:ascii="宋体" w:hAnsi="宋体"/>
          <w:color w:val="000000"/>
          <w:sz w:val="24"/>
          <w:szCs w:val="24"/>
          <w:highlight w:val="none"/>
        </w:rPr>
        <w:t xml:space="preserve">科室</w:t>
      </w:r>
      <w:r>
        <w:rPr>
          <w:rFonts w:ascii="宋体" w:hAnsi="宋体"/>
          <w:color w:val="000000"/>
          <w:sz w:val="24"/>
          <w:szCs w:val="24"/>
          <w:highlight w:val="none"/>
        </w:rPr>
        <w:t xml:space="preserve">的内容和数量保持一致。</w:t>
      </w:r>
      <w:r>
        <w:rPr>
          <w:rFonts w:hint="eastAsia" w:ascii="宋体" w:hAnsi="宋体"/>
          <w:color w:val="000000"/>
          <w:sz w:val="24"/>
          <w:szCs w:val="24"/>
          <w:highlight w:val="none"/>
        </w:rPr>
        <w:t xml:space="preserve">各系统</w:t>
      </w:r>
      <w:r>
        <w:rPr>
          <w:rFonts w:ascii="宋体" w:hAnsi="宋体"/>
          <w:color w:val="000000"/>
          <w:sz w:val="24"/>
          <w:szCs w:val="24"/>
          <w:highlight w:val="none"/>
        </w:rPr>
        <w:t xml:space="preserve">统计口径保持一致。</w:t>
      </w:r>
      <w:r>
        <w:rPr>
          <w:rFonts w:ascii="宋体" w:hAnsi="宋体"/>
          <w:color w:val="000000"/>
          <w:sz w:val="24"/>
          <w:szCs w:val="24"/>
          <w:highlight w:val="none"/>
        </w:rPr>
      </w:r>
      <w:r/>
    </w:p>
    <w:p>
      <w:pPr>
        <w:pStyle w:val="1044"/>
        <w:numPr>
          <w:ilvl w:val="0"/>
          <w:numId w:val="11"/>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药品</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卫材</w:t>
      </w:r>
      <w:r>
        <w:rPr>
          <w:rFonts w:ascii="宋体" w:hAnsi="宋体"/>
          <w:color w:val="000000"/>
          <w:sz w:val="24"/>
          <w:szCs w:val="24"/>
          <w:highlight w:val="none"/>
        </w:rPr>
        <w:t xml:space="preserve">数据治理</w:t>
      </w:r>
      <w:r>
        <w:rPr>
          <w:rFonts w:hint="eastAsia" w:ascii="宋体" w:hAnsi="宋体"/>
          <w:color w:val="000000"/>
          <w:sz w:val="24"/>
          <w:szCs w:val="24"/>
          <w:highlight w:val="none"/>
        </w:rPr>
        <w:t xml:space="preserve">后</w:t>
      </w:r>
      <w:r>
        <w:rPr>
          <w:rFonts w:ascii="宋体" w:hAnsi="宋体"/>
          <w:color w:val="000000"/>
          <w:sz w:val="24"/>
          <w:szCs w:val="24"/>
          <w:highlight w:val="none"/>
        </w:rPr>
        <w:t xml:space="preserve">保证药品采购流程与临床</w:t>
      </w:r>
      <w:r>
        <w:rPr>
          <w:rFonts w:hint="eastAsia" w:ascii="宋体" w:hAnsi="宋体"/>
          <w:color w:val="000000"/>
          <w:sz w:val="24"/>
          <w:szCs w:val="24"/>
          <w:highlight w:val="none"/>
        </w:rPr>
        <w:t xml:space="preserve">诊疗</w:t>
      </w:r>
      <w:r>
        <w:rPr>
          <w:rFonts w:ascii="宋体" w:hAnsi="宋体"/>
          <w:color w:val="000000"/>
          <w:sz w:val="24"/>
          <w:szCs w:val="24"/>
          <w:highlight w:val="none"/>
        </w:rPr>
        <w:t xml:space="preserve">流程中各环节</w:t>
      </w:r>
      <w:r>
        <w:rPr>
          <w:rFonts w:hint="eastAsia" w:ascii="宋体" w:hAnsi="宋体"/>
          <w:color w:val="000000"/>
          <w:sz w:val="24"/>
          <w:szCs w:val="24"/>
          <w:highlight w:val="none"/>
        </w:rPr>
        <w:t xml:space="preserve">药品</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卫材</w:t>
      </w:r>
      <w:r>
        <w:rPr>
          <w:rFonts w:ascii="宋体" w:hAnsi="宋体"/>
          <w:color w:val="000000"/>
          <w:sz w:val="24"/>
          <w:szCs w:val="24"/>
          <w:highlight w:val="none"/>
        </w:rPr>
        <w:t xml:space="preserve">信息</w:t>
      </w:r>
      <w:r>
        <w:rPr>
          <w:rFonts w:hint="eastAsia" w:ascii="宋体" w:hAnsi="宋体"/>
          <w:color w:val="000000"/>
          <w:sz w:val="24"/>
          <w:szCs w:val="24"/>
          <w:highlight w:val="none"/>
        </w:rPr>
        <w:t xml:space="preserve">实时</w:t>
      </w:r>
      <w:r>
        <w:rPr>
          <w:rFonts w:ascii="宋体" w:hAnsi="宋体"/>
          <w:color w:val="000000"/>
          <w:sz w:val="24"/>
          <w:szCs w:val="24"/>
          <w:highlight w:val="none"/>
        </w:rPr>
        <w:t xml:space="preserve">一致，</w:t>
      </w:r>
      <w:r>
        <w:rPr>
          <w:rFonts w:hint="eastAsia" w:ascii="宋体" w:hAnsi="宋体"/>
          <w:color w:val="000000"/>
          <w:sz w:val="24"/>
          <w:szCs w:val="24"/>
          <w:highlight w:val="none"/>
        </w:rPr>
        <w:t xml:space="preserve">当</w:t>
      </w:r>
      <w:r>
        <w:rPr>
          <w:rFonts w:ascii="宋体" w:hAnsi="宋体"/>
          <w:color w:val="000000"/>
          <w:sz w:val="24"/>
          <w:szCs w:val="24"/>
          <w:highlight w:val="none"/>
        </w:rPr>
        <w:t xml:space="preserve">药品、</w:t>
      </w:r>
      <w:r>
        <w:rPr>
          <w:rFonts w:hint="eastAsia" w:ascii="宋体" w:hAnsi="宋体"/>
          <w:color w:val="000000"/>
          <w:sz w:val="24"/>
          <w:szCs w:val="24"/>
          <w:highlight w:val="none"/>
        </w:rPr>
        <w:t xml:space="preserve">卫材价格</w:t>
      </w:r>
      <w:r>
        <w:rPr>
          <w:rFonts w:ascii="宋体" w:hAnsi="宋体"/>
          <w:color w:val="000000"/>
          <w:sz w:val="24"/>
          <w:szCs w:val="24"/>
          <w:highlight w:val="none"/>
        </w:rPr>
        <w:t xml:space="preserve">变化能够实时反应到</w:t>
      </w:r>
      <w:r>
        <w:rPr>
          <w:rFonts w:hint="eastAsia" w:ascii="宋体" w:hAnsi="宋体"/>
          <w:color w:val="000000"/>
          <w:sz w:val="24"/>
          <w:szCs w:val="24"/>
          <w:highlight w:val="none"/>
        </w:rPr>
        <w:t xml:space="preserve">医嘱</w:t>
      </w:r>
      <w:r>
        <w:rPr>
          <w:rFonts w:ascii="宋体" w:hAnsi="宋体"/>
          <w:color w:val="000000"/>
          <w:sz w:val="24"/>
          <w:szCs w:val="24"/>
          <w:highlight w:val="none"/>
        </w:rPr>
        <w:t xml:space="preserve">开立环节中。</w:t>
      </w:r>
      <w:r>
        <w:rPr>
          <w:rFonts w:ascii="宋体" w:hAnsi="宋体"/>
          <w:color w:val="000000"/>
          <w:sz w:val="24"/>
          <w:szCs w:val="24"/>
          <w:highlight w:val="none"/>
        </w:rPr>
      </w:r>
      <w:r/>
    </w:p>
    <w:p>
      <w:pPr>
        <w:pStyle w:val="1044"/>
        <w:numPr>
          <w:ilvl w:val="0"/>
          <w:numId w:val="11"/>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服务</w:t>
      </w:r>
      <w:r>
        <w:rPr>
          <w:rFonts w:ascii="宋体" w:hAnsi="宋体"/>
          <w:color w:val="000000"/>
          <w:sz w:val="24"/>
          <w:szCs w:val="24"/>
          <w:highlight w:val="none"/>
        </w:rPr>
        <w:t xml:space="preserve">项目数据治理后</w:t>
      </w:r>
      <w:r>
        <w:rPr>
          <w:rFonts w:hint="eastAsia" w:ascii="宋体" w:hAnsi="宋体"/>
          <w:color w:val="000000"/>
          <w:sz w:val="24"/>
          <w:szCs w:val="24"/>
          <w:highlight w:val="none"/>
        </w:rPr>
        <w:t xml:space="preserve">保证申请单</w:t>
      </w:r>
      <w:r>
        <w:rPr>
          <w:rFonts w:ascii="宋体" w:hAnsi="宋体"/>
          <w:color w:val="000000"/>
          <w:sz w:val="24"/>
          <w:szCs w:val="24"/>
          <w:highlight w:val="none"/>
        </w:rPr>
        <w:t xml:space="preserve">开立</w:t>
      </w:r>
      <w:r>
        <w:rPr>
          <w:rFonts w:hint="eastAsia" w:ascii="宋体" w:hAnsi="宋体"/>
          <w:color w:val="000000"/>
          <w:sz w:val="24"/>
          <w:szCs w:val="24"/>
          <w:highlight w:val="none"/>
        </w:rPr>
        <w:t xml:space="preserve">过</w:t>
      </w:r>
      <w:r>
        <w:rPr>
          <w:rFonts w:ascii="宋体" w:hAnsi="宋体"/>
          <w:color w:val="000000"/>
          <w:sz w:val="24"/>
          <w:szCs w:val="24"/>
          <w:highlight w:val="none"/>
        </w:rPr>
        <w:t xml:space="preserve">程中数据的实时</w:t>
      </w:r>
      <w:r>
        <w:rPr>
          <w:rFonts w:hint="eastAsia" w:ascii="宋体" w:hAnsi="宋体"/>
          <w:color w:val="000000"/>
          <w:sz w:val="24"/>
          <w:szCs w:val="24"/>
          <w:highlight w:val="none"/>
        </w:rPr>
        <w:t xml:space="preserve">一致</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44"/>
        <w:numPr>
          <w:ilvl w:val="0"/>
          <w:numId w:val="11"/>
        </w:numPr>
        <w:spacing w:line="360" w:lineRule="auto"/>
        <w:rPr>
          <w:rFonts w:ascii="宋体" w:hAnsi="宋体"/>
          <w:color w:val="000000"/>
          <w:sz w:val="24"/>
          <w:szCs w:val="24"/>
          <w:highlight w:val="none"/>
        </w:rPr>
      </w:pPr>
      <w:r>
        <w:rPr>
          <w:rFonts w:ascii="宋体" w:hAnsi="宋体"/>
          <w:color w:val="000000"/>
          <w:sz w:val="24"/>
          <w:szCs w:val="24"/>
          <w:highlight w:val="none"/>
        </w:rPr>
        <w:t xml:space="preserve">医学术语及标准编码内容进行治理，</w:t>
      </w:r>
      <w:r>
        <w:rPr>
          <w:rFonts w:hint="eastAsia" w:ascii="宋体" w:hAnsi="宋体"/>
          <w:color w:val="000000"/>
          <w:sz w:val="24"/>
          <w:szCs w:val="24"/>
          <w:highlight w:val="none"/>
        </w:rPr>
        <w:t xml:space="preserve">强化</w:t>
      </w:r>
      <w:r>
        <w:rPr>
          <w:rFonts w:ascii="宋体" w:hAnsi="宋体"/>
          <w:color w:val="000000"/>
          <w:sz w:val="24"/>
          <w:szCs w:val="24"/>
          <w:highlight w:val="none"/>
        </w:rPr>
        <w:t xml:space="preserve">了临床信息数据的质量，</w:t>
      </w:r>
      <w:r>
        <w:rPr>
          <w:rFonts w:hint="eastAsia" w:ascii="宋体" w:hAnsi="宋体"/>
          <w:color w:val="000000"/>
          <w:sz w:val="24"/>
          <w:szCs w:val="24"/>
          <w:highlight w:val="none"/>
        </w:rPr>
        <w:t xml:space="preserve">确保</w:t>
      </w:r>
      <w:r>
        <w:rPr>
          <w:rFonts w:ascii="宋体" w:hAnsi="宋体"/>
          <w:color w:val="000000"/>
          <w:sz w:val="24"/>
          <w:szCs w:val="24"/>
          <w:highlight w:val="none"/>
        </w:rPr>
        <w:t xml:space="preserve">各临床业务系统信息交换</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业务内容保持一致。</w:t>
      </w:r>
      <w:r>
        <w:rPr>
          <w:rFonts w:ascii="宋体" w:hAnsi="宋体"/>
          <w:color w:val="000000"/>
          <w:sz w:val="24"/>
          <w:szCs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bookmarkStart w:id="121" w:name="_Toc527641331"/>
      <w:r/>
      <w:bookmarkStart w:id="122" w:name="_Toc23918"/>
      <w:r/>
      <w:bookmarkStart w:id="123" w:name="_Toc446097761"/>
      <w:r/>
      <w:bookmarkStart w:id="124" w:name="_Toc483563990"/>
      <w:r>
        <w:rPr>
          <w:rFonts w:hint="eastAsia" w:ascii="宋体" w:hAnsi="宋体"/>
          <w:color w:val="000000"/>
          <w:sz w:val="24"/>
          <w:szCs w:val="24"/>
          <w:highlight w:val="none"/>
        </w:rPr>
        <w:t xml:space="preserve">5.5平台公共服务</w:t>
      </w:r>
      <w:bookmarkEnd w:id="121"/>
      <w:r/>
      <w:bookmarkEnd w:id="122"/>
      <w:r/>
      <w:bookmarkEnd w:id="123"/>
      <w:r/>
      <w:bookmarkEnd w:id="124"/>
      <w:r>
        <w:rPr>
          <w:rFonts w:ascii="宋体" w:hAnsi="宋体"/>
          <w:color w:val="000000"/>
          <w:sz w:val="24"/>
          <w:szCs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平台需要</w:t>
      </w:r>
      <w:r>
        <w:rPr>
          <w:rFonts w:ascii="宋体" w:hAnsi="宋体"/>
          <w:color w:val="000000"/>
          <w:sz w:val="24"/>
          <w:highlight w:val="none"/>
        </w:rPr>
        <w:t xml:space="preserve">向临床及医技系统统一提供公共服务，内容</w:t>
      </w:r>
      <w:r>
        <w:rPr>
          <w:rFonts w:hint="eastAsia" w:ascii="宋体" w:hAnsi="宋体"/>
          <w:color w:val="000000"/>
          <w:sz w:val="24"/>
          <w:highlight w:val="none"/>
        </w:rPr>
        <w:t xml:space="preserve">包括</w:t>
      </w:r>
      <w:r>
        <w:rPr>
          <w:rFonts w:ascii="宋体" w:hAnsi="宋体"/>
          <w:color w:val="000000"/>
          <w:sz w:val="24"/>
          <w:highlight w:val="none"/>
        </w:rPr>
        <w:t xml:space="preserve">临床与医保知识库、</w:t>
      </w:r>
      <w:r>
        <w:rPr>
          <w:rFonts w:hint="eastAsia" w:ascii="宋体" w:hAnsi="宋体"/>
          <w:color w:val="000000"/>
          <w:sz w:val="24"/>
          <w:highlight w:val="none"/>
        </w:rPr>
        <w:t xml:space="preserve">临床</w:t>
      </w:r>
      <w:r>
        <w:rPr>
          <w:rFonts w:ascii="宋体" w:hAnsi="宋体"/>
          <w:color w:val="000000"/>
          <w:sz w:val="24"/>
          <w:highlight w:val="none"/>
        </w:rPr>
        <w:t xml:space="preserve">决策支持</w:t>
      </w:r>
      <w:r>
        <w:rPr>
          <w:rFonts w:hint="eastAsia" w:ascii="宋体" w:hAnsi="宋体"/>
          <w:color w:val="000000"/>
          <w:sz w:val="24"/>
          <w:highlight w:val="none"/>
        </w:rPr>
        <w:t xml:space="preserve">服务</w:t>
      </w:r>
      <w:r>
        <w:rPr>
          <w:rFonts w:ascii="宋体" w:hAnsi="宋体"/>
          <w:color w:val="000000"/>
          <w:sz w:val="24"/>
          <w:highlight w:val="none"/>
        </w:rPr>
        <w:t xml:space="preserve">、</w:t>
      </w:r>
      <w:r>
        <w:rPr>
          <w:rFonts w:hint="eastAsia" w:ascii="宋体" w:hAnsi="宋体"/>
          <w:color w:val="000000"/>
          <w:sz w:val="24"/>
          <w:highlight w:val="none"/>
        </w:rPr>
        <w:t xml:space="preserve">临床</w:t>
      </w:r>
      <w:r>
        <w:rPr>
          <w:rFonts w:ascii="宋体" w:hAnsi="宋体"/>
          <w:color w:val="000000"/>
          <w:sz w:val="24"/>
          <w:highlight w:val="none"/>
        </w:rPr>
        <w:t xml:space="preserve">决策支持服务、医嘱与申请单计价服务、</w:t>
      </w:r>
      <w:r>
        <w:rPr>
          <w:rFonts w:hint="eastAsia" w:ascii="宋体" w:hAnsi="宋体"/>
          <w:color w:val="000000"/>
          <w:sz w:val="24"/>
          <w:highlight w:val="none"/>
        </w:rPr>
        <w:t xml:space="preserve">患者</w:t>
      </w:r>
      <w:r>
        <w:rPr>
          <w:rFonts w:ascii="宋体" w:hAnsi="宋体"/>
          <w:color w:val="000000"/>
          <w:sz w:val="24"/>
          <w:highlight w:val="none"/>
        </w:rPr>
        <w:t xml:space="preserve">主索引服务。临床系统（HIS、</w:t>
      </w:r>
      <w:r>
        <w:rPr>
          <w:rFonts w:hint="eastAsia" w:ascii="宋体" w:hAnsi="宋体"/>
          <w:color w:val="000000"/>
          <w:sz w:val="24"/>
          <w:highlight w:val="none"/>
        </w:rPr>
        <w:t xml:space="preserve">EMR</w:t>
      </w:r>
      <w:r>
        <w:rPr>
          <w:rFonts w:ascii="宋体" w:hAnsi="宋体"/>
          <w:color w:val="000000"/>
          <w:sz w:val="24"/>
          <w:highlight w:val="none"/>
        </w:rPr>
        <w:t xml:space="preserve">）与医技系统（PACS、</w:t>
      </w:r>
      <w:r>
        <w:rPr>
          <w:rFonts w:hint="eastAsia" w:ascii="宋体" w:hAnsi="宋体"/>
          <w:color w:val="000000"/>
          <w:sz w:val="24"/>
          <w:highlight w:val="none"/>
        </w:rPr>
        <w:t xml:space="preserve">LIS</w:t>
      </w:r>
      <w:r>
        <w:rPr>
          <w:rFonts w:ascii="宋体" w:hAnsi="宋体"/>
          <w:color w:val="000000"/>
          <w:sz w:val="24"/>
          <w:highlight w:val="none"/>
        </w:rPr>
        <w:t xml:space="preserve">）</w:t>
      </w:r>
      <w:r>
        <w:rPr>
          <w:rFonts w:hint="eastAsia" w:ascii="宋体" w:hAnsi="宋体"/>
          <w:color w:val="000000"/>
          <w:sz w:val="24"/>
          <w:highlight w:val="none"/>
        </w:rPr>
        <w:t xml:space="preserve">通过公共</w:t>
      </w:r>
      <w:r>
        <w:rPr>
          <w:rFonts w:ascii="宋体" w:hAnsi="宋体"/>
          <w:color w:val="000000"/>
          <w:sz w:val="24"/>
          <w:highlight w:val="none"/>
        </w:rPr>
        <w:t xml:space="preserve">服务来</w:t>
      </w:r>
      <w:r>
        <w:rPr>
          <w:rFonts w:hint="eastAsia" w:ascii="宋体" w:hAnsi="宋体"/>
          <w:color w:val="000000"/>
          <w:sz w:val="24"/>
          <w:highlight w:val="none"/>
        </w:rPr>
        <w:t xml:space="preserve">解决</w:t>
      </w:r>
      <w:r>
        <w:rPr>
          <w:rFonts w:ascii="宋体" w:hAnsi="宋体"/>
          <w:color w:val="000000"/>
          <w:sz w:val="24"/>
          <w:highlight w:val="none"/>
        </w:rPr>
        <w:t xml:space="preserve">系统间</w:t>
      </w:r>
      <w:r>
        <w:rPr>
          <w:rFonts w:hint="eastAsia" w:ascii="宋体" w:hAnsi="宋体"/>
          <w:color w:val="000000"/>
          <w:sz w:val="24"/>
          <w:highlight w:val="none"/>
        </w:rPr>
        <w:t xml:space="preserve">强</w:t>
      </w:r>
      <w:r>
        <w:rPr>
          <w:rFonts w:ascii="宋体" w:hAnsi="宋体"/>
          <w:color w:val="000000"/>
          <w:sz w:val="24"/>
          <w:highlight w:val="none"/>
        </w:rPr>
        <w:t xml:space="preserve">耦合的</w:t>
      </w:r>
      <w:r>
        <w:rPr>
          <w:rFonts w:hint="eastAsia" w:ascii="宋体" w:hAnsi="宋体"/>
          <w:color w:val="000000"/>
          <w:sz w:val="24"/>
          <w:highlight w:val="none"/>
        </w:rPr>
        <w:t xml:space="preserve">依赖</w:t>
      </w:r>
      <w:r>
        <w:rPr>
          <w:rFonts w:ascii="宋体" w:hAnsi="宋体"/>
          <w:color w:val="000000"/>
          <w:sz w:val="24"/>
          <w:highlight w:val="none"/>
        </w:rPr>
        <w:t xml:space="preserve">。</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ascii="宋体" w:hAnsi="宋体"/>
          <w:color w:val="000000"/>
          <w:sz w:val="24"/>
          <w:highlight w:val="none"/>
        </w:rPr>
        <w:t xml:space="preserve">通过公共服务</w:t>
      </w:r>
      <w:r>
        <w:rPr>
          <w:rFonts w:hint="eastAsia" w:ascii="宋体" w:hAnsi="宋体"/>
          <w:color w:val="000000"/>
          <w:sz w:val="24"/>
          <w:highlight w:val="none"/>
        </w:rPr>
        <w:t xml:space="preserve">可以</w:t>
      </w:r>
      <w:r>
        <w:rPr>
          <w:rFonts w:ascii="宋体" w:hAnsi="宋体"/>
          <w:color w:val="000000"/>
          <w:sz w:val="24"/>
          <w:highlight w:val="none"/>
        </w:rPr>
        <w:t xml:space="preserve">医院可实现</w:t>
      </w:r>
      <w:r>
        <w:rPr>
          <w:rFonts w:hint="eastAsia" w:ascii="宋体" w:hAnsi="宋体"/>
          <w:color w:val="000000"/>
          <w:sz w:val="24"/>
          <w:highlight w:val="none"/>
        </w:rPr>
        <w:t xml:space="preserve">不同厂家</w:t>
      </w:r>
      <w:r>
        <w:rPr>
          <w:rFonts w:ascii="宋体" w:hAnsi="宋体"/>
          <w:color w:val="000000"/>
          <w:sz w:val="24"/>
          <w:highlight w:val="none"/>
        </w:rPr>
        <w:t xml:space="preserve">多种专科医生工作站并行工作，各类</w:t>
      </w:r>
      <w:r>
        <w:rPr>
          <w:rFonts w:hint="eastAsia" w:ascii="宋体" w:hAnsi="宋体"/>
          <w:color w:val="000000"/>
          <w:sz w:val="24"/>
          <w:highlight w:val="none"/>
        </w:rPr>
        <w:t xml:space="preserve">医生</w:t>
      </w:r>
      <w:r>
        <w:rPr>
          <w:rFonts w:ascii="宋体" w:hAnsi="宋体"/>
          <w:color w:val="000000"/>
          <w:sz w:val="24"/>
          <w:highlight w:val="none"/>
        </w:rPr>
        <w:t xml:space="preserve">工作站无需自身开发医嘱开立划价功能，</w:t>
      </w:r>
      <w:r>
        <w:rPr>
          <w:rFonts w:hint="eastAsia" w:ascii="宋体" w:hAnsi="宋体"/>
          <w:color w:val="000000"/>
          <w:sz w:val="24"/>
          <w:highlight w:val="none"/>
        </w:rPr>
        <w:t xml:space="preserve">通过</w:t>
      </w:r>
      <w:r>
        <w:rPr>
          <w:rFonts w:ascii="宋体" w:hAnsi="宋体"/>
          <w:color w:val="000000"/>
          <w:sz w:val="24"/>
          <w:highlight w:val="none"/>
        </w:rPr>
        <w:t xml:space="preserve">平台提供的公共服务完成。各类医生工作站无需处理患者信息通过平台</w:t>
      </w:r>
      <w:r>
        <w:rPr>
          <w:rFonts w:hint="eastAsia" w:ascii="宋体" w:hAnsi="宋体"/>
          <w:color w:val="000000"/>
          <w:sz w:val="24"/>
          <w:highlight w:val="none"/>
        </w:rPr>
        <w:t xml:space="preserve">的</w:t>
      </w:r>
      <w:r>
        <w:rPr>
          <w:rFonts w:ascii="宋体" w:hAnsi="宋体"/>
          <w:color w:val="000000"/>
          <w:sz w:val="24"/>
          <w:highlight w:val="none"/>
        </w:rPr>
        <w:t xml:space="preserve">公共服务即可</w:t>
      </w:r>
      <w:r>
        <w:rPr>
          <w:rFonts w:hint="eastAsia" w:ascii="宋体" w:hAnsi="宋体"/>
          <w:color w:val="000000"/>
          <w:sz w:val="24"/>
          <w:highlight w:val="none"/>
        </w:rPr>
        <w:t xml:space="preserve">实时</w:t>
      </w:r>
      <w:r>
        <w:rPr>
          <w:rFonts w:ascii="宋体" w:hAnsi="宋体"/>
          <w:color w:val="000000"/>
          <w:sz w:val="24"/>
          <w:highlight w:val="none"/>
        </w:rPr>
        <w:t xml:space="preserve">了解到患者的状态变化。</w:t>
      </w:r>
      <w:r>
        <w:rPr>
          <w:rFonts w:hint="eastAsia" w:ascii="宋体" w:hAnsi="宋体"/>
          <w:color w:val="000000"/>
          <w:sz w:val="24"/>
          <w:highlight w:val="none"/>
        </w:rPr>
        <w:t xml:space="preserve">各类</w:t>
      </w:r>
      <w:r>
        <w:rPr>
          <w:rFonts w:ascii="宋体" w:hAnsi="宋体"/>
          <w:color w:val="000000"/>
          <w:sz w:val="24"/>
          <w:highlight w:val="none"/>
        </w:rPr>
        <w:t xml:space="preserve">医生工作站通过</w:t>
      </w:r>
      <w:r>
        <w:rPr>
          <w:rFonts w:hint="eastAsia" w:ascii="宋体" w:hAnsi="宋体"/>
          <w:color w:val="000000"/>
          <w:sz w:val="24"/>
          <w:highlight w:val="none"/>
        </w:rPr>
        <w:t xml:space="preserve">平台统一</w:t>
      </w:r>
      <w:r>
        <w:rPr>
          <w:rFonts w:ascii="宋体" w:hAnsi="宋体"/>
          <w:color w:val="000000"/>
          <w:sz w:val="24"/>
          <w:highlight w:val="none"/>
        </w:rPr>
        <w:t xml:space="preserve">提供的公共服务完成医生不同处置活动的提醒和帮助。各类医生工作站通过平台服务自动完成</w:t>
      </w:r>
      <w:r>
        <w:rPr>
          <w:rFonts w:hint="eastAsia" w:ascii="宋体" w:hAnsi="宋体"/>
          <w:color w:val="000000"/>
          <w:sz w:val="24"/>
          <w:highlight w:val="none"/>
        </w:rPr>
        <w:t xml:space="preserve">业务</w:t>
      </w:r>
      <w:r>
        <w:rPr>
          <w:rFonts w:ascii="宋体" w:hAnsi="宋体"/>
          <w:color w:val="000000"/>
          <w:sz w:val="24"/>
          <w:highlight w:val="none"/>
        </w:rPr>
        <w:t xml:space="preserve">流转的自动判断。</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医院</w:t>
      </w:r>
      <w:r>
        <w:rPr>
          <w:rFonts w:ascii="宋体" w:hAnsi="宋体"/>
          <w:color w:val="000000"/>
          <w:sz w:val="24"/>
          <w:highlight w:val="none"/>
        </w:rPr>
        <w:t xml:space="preserve">各类医技系统无需自身提供申请单预约、</w:t>
      </w:r>
      <w:r>
        <w:rPr>
          <w:rFonts w:hint="eastAsia" w:ascii="宋体" w:hAnsi="宋体"/>
          <w:color w:val="000000"/>
          <w:sz w:val="24"/>
          <w:highlight w:val="none"/>
        </w:rPr>
        <w:t xml:space="preserve">申请单</w:t>
      </w:r>
      <w:r>
        <w:rPr>
          <w:rFonts w:ascii="宋体" w:hAnsi="宋体"/>
          <w:color w:val="000000"/>
          <w:sz w:val="24"/>
          <w:highlight w:val="none"/>
        </w:rPr>
        <w:t xml:space="preserve">登记、</w:t>
      </w:r>
      <w:r>
        <w:rPr>
          <w:rFonts w:hint="eastAsia" w:ascii="宋体" w:hAnsi="宋体"/>
          <w:color w:val="000000"/>
          <w:sz w:val="24"/>
          <w:highlight w:val="none"/>
        </w:rPr>
        <w:t xml:space="preserve">医生</w:t>
      </w:r>
      <w:r>
        <w:rPr>
          <w:rFonts w:ascii="宋体" w:hAnsi="宋体"/>
          <w:color w:val="000000"/>
          <w:sz w:val="24"/>
          <w:highlight w:val="none"/>
        </w:rPr>
        <w:t xml:space="preserve">排班及设备的管理功能，通过平台提供的公共服务进行统一管理，</w:t>
      </w:r>
      <w:r>
        <w:rPr>
          <w:rFonts w:hint="eastAsia" w:ascii="宋体" w:hAnsi="宋体"/>
          <w:color w:val="000000"/>
          <w:sz w:val="24"/>
          <w:highlight w:val="none"/>
        </w:rPr>
        <w:t xml:space="preserve">平台</w:t>
      </w:r>
      <w:r>
        <w:rPr>
          <w:rFonts w:ascii="宋体" w:hAnsi="宋体"/>
          <w:color w:val="000000"/>
          <w:sz w:val="24"/>
          <w:highlight w:val="none"/>
        </w:rPr>
        <w:t xml:space="preserve">提供预约规则判断，</w:t>
      </w:r>
      <w:r>
        <w:rPr>
          <w:rFonts w:hint="eastAsia" w:ascii="宋体" w:hAnsi="宋体"/>
          <w:color w:val="000000"/>
          <w:sz w:val="24"/>
          <w:highlight w:val="none"/>
        </w:rPr>
        <w:t xml:space="preserve">使得</w:t>
      </w:r>
      <w:r>
        <w:rPr>
          <w:rFonts w:ascii="宋体" w:hAnsi="宋体"/>
          <w:color w:val="000000"/>
          <w:sz w:val="24"/>
          <w:highlight w:val="none"/>
        </w:rPr>
        <w:t xml:space="preserve">医院能够</w:t>
      </w:r>
      <w:r>
        <w:rPr>
          <w:rFonts w:hint="eastAsia" w:ascii="宋体" w:hAnsi="宋体"/>
          <w:color w:val="000000"/>
          <w:sz w:val="24"/>
          <w:highlight w:val="none"/>
        </w:rPr>
        <w:t xml:space="preserve">合理</w:t>
      </w:r>
      <w:r>
        <w:rPr>
          <w:rFonts w:ascii="宋体" w:hAnsi="宋体"/>
          <w:color w:val="000000"/>
          <w:sz w:val="24"/>
          <w:highlight w:val="none"/>
        </w:rPr>
        <w:t xml:space="preserve">的分配和利用医技设备资源。</w:t>
      </w:r>
      <w:r>
        <w:rPr>
          <w:rFonts w:ascii="宋体" w:hAnsi="宋体"/>
          <w:color w:val="000000"/>
          <w:sz w:val="24"/>
          <w:highlight w:val="none"/>
        </w:rPr>
      </w:r>
      <w:r/>
    </w:p>
    <w:p>
      <w:pPr>
        <w:pStyle w:val="799"/>
        <w:numPr>
          <w:ilvl w:val="4"/>
          <w:numId w:val="0"/>
        </w:numPr>
        <w:ind w:left="1008" w:hanging="1008"/>
        <w:spacing w:line="360" w:lineRule="auto"/>
        <w:rPr>
          <w:rFonts w:ascii="宋体" w:hAnsi="宋体"/>
          <w:color w:val="000000"/>
          <w:sz w:val="24"/>
          <w:szCs w:val="24"/>
          <w:highlight w:val="none"/>
        </w:rPr>
      </w:pPr>
      <w:r/>
      <w:bookmarkStart w:id="125" w:name="_Toc9656"/>
      <w:r/>
      <w:bookmarkStart w:id="126" w:name="_Toc527641333"/>
      <w:r/>
      <w:bookmarkStart w:id="127" w:name="_Toc446097764"/>
      <w:r/>
      <w:bookmarkStart w:id="128" w:name="_Toc483563993"/>
      <w:r>
        <w:rPr>
          <w:rFonts w:hint="eastAsia" w:ascii="宋体" w:hAnsi="宋体"/>
          <w:color w:val="000000"/>
          <w:sz w:val="24"/>
          <w:szCs w:val="24"/>
          <w:highlight w:val="none"/>
        </w:rPr>
        <w:t xml:space="preserve">5.6应用平台化支撑</w:t>
      </w:r>
      <w:bookmarkEnd w:id="125"/>
      <w:r/>
      <w:bookmarkEnd w:id="126"/>
      <w:r/>
      <w:bookmarkEnd w:id="127"/>
      <w:r/>
      <w:bookmarkEnd w:id="128"/>
      <w:r>
        <w:rPr>
          <w:rFonts w:ascii="宋体" w:hAnsi="宋体"/>
          <w:color w:val="000000"/>
          <w:sz w:val="24"/>
          <w:szCs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医院信息</w:t>
      </w:r>
      <w:r>
        <w:rPr>
          <w:rFonts w:ascii="宋体" w:hAnsi="宋体"/>
          <w:color w:val="000000"/>
          <w:sz w:val="24"/>
          <w:highlight w:val="none"/>
        </w:rPr>
        <w:t xml:space="preserve">平台为基于此建立的临床应用系统提供一整套的支撑环境，</w:t>
      </w:r>
      <w:r>
        <w:rPr>
          <w:rFonts w:hint="eastAsia" w:ascii="宋体" w:hAnsi="宋体"/>
          <w:color w:val="000000"/>
          <w:sz w:val="24"/>
          <w:highlight w:val="none"/>
        </w:rPr>
        <w:t xml:space="preserve">包括</w:t>
      </w:r>
      <w:r>
        <w:rPr>
          <w:rFonts w:ascii="宋体" w:hAnsi="宋体"/>
          <w:color w:val="000000"/>
          <w:sz w:val="24"/>
          <w:highlight w:val="none"/>
        </w:rPr>
        <w:t xml:space="preserve">为各类角色提供的专业门户，</w:t>
      </w:r>
      <w:r>
        <w:rPr>
          <w:rFonts w:hint="eastAsia" w:ascii="宋体" w:hAnsi="宋体"/>
          <w:color w:val="000000"/>
          <w:sz w:val="24"/>
          <w:highlight w:val="none"/>
        </w:rPr>
        <w:t xml:space="preserve">基于</w:t>
      </w:r>
      <w:r>
        <w:rPr>
          <w:rFonts w:ascii="宋体" w:hAnsi="宋体"/>
          <w:color w:val="000000"/>
          <w:sz w:val="24"/>
          <w:highlight w:val="none"/>
        </w:rPr>
        <w:t xml:space="preserve">规则的业务流程管理，</w:t>
      </w:r>
      <w:r>
        <w:rPr>
          <w:rFonts w:hint="eastAsia" w:ascii="宋体" w:hAnsi="宋体"/>
          <w:color w:val="000000"/>
          <w:sz w:val="24"/>
          <w:highlight w:val="none"/>
        </w:rPr>
        <w:t xml:space="preserve">以及</w:t>
      </w:r>
      <w:r>
        <w:rPr>
          <w:rFonts w:ascii="宋体" w:hAnsi="宋体"/>
          <w:color w:val="000000"/>
          <w:sz w:val="24"/>
          <w:highlight w:val="none"/>
        </w:rPr>
        <w:t xml:space="preserve">由服务总线提供的一系列公共的基础服务，用以存储各类信息的统一</w:t>
      </w:r>
      <w:r>
        <w:rPr>
          <w:rFonts w:hint="eastAsia" w:ascii="宋体" w:hAnsi="宋体"/>
          <w:color w:val="000000"/>
          <w:sz w:val="24"/>
          <w:highlight w:val="none"/>
        </w:rPr>
        <w:t xml:space="preserve">运营</w:t>
      </w:r>
      <w:r>
        <w:rPr>
          <w:rFonts w:ascii="宋体" w:hAnsi="宋体"/>
          <w:color w:val="000000"/>
          <w:sz w:val="24"/>
          <w:highlight w:val="none"/>
        </w:rPr>
        <w:t xml:space="preserve">数据中心。</w:t>
      </w:r>
      <w:r>
        <w:rPr>
          <w:rFonts w:hint="eastAsia" w:ascii="宋体" w:hAnsi="宋体"/>
          <w:color w:val="000000"/>
          <w:sz w:val="24"/>
          <w:highlight w:val="none"/>
        </w:rPr>
        <w:t xml:space="preserve">平台</w:t>
      </w:r>
      <w:r>
        <w:rPr>
          <w:rFonts w:ascii="宋体" w:hAnsi="宋体"/>
          <w:color w:val="000000"/>
          <w:sz w:val="24"/>
          <w:highlight w:val="none"/>
        </w:rPr>
        <w:t xml:space="preserve">为院内的各类专科化、</w:t>
      </w:r>
      <w:r>
        <w:rPr>
          <w:rFonts w:hint="eastAsia" w:ascii="宋体" w:hAnsi="宋体"/>
          <w:color w:val="000000"/>
          <w:sz w:val="24"/>
          <w:highlight w:val="none"/>
        </w:rPr>
        <w:t xml:space="preserve">专业</w:t>
      </w:r>
      <w:r>
        <w:rPr>
          <w:rFonts w:ascii="宋体" w:hAnsi="宋体"/>
          <w:color w:val="000000"/>
          <w:sz w:val="24"/>
          <w:highlight w:val="none"/>
        </w:rPr>
        <w:t xml:space="preserve">化系统构建了一个</w:t>
      </w:r>
      <w:r>
        <w:rPr>
          <w:rFonts w:hint="eastAsia" w:ascii="宋体" w:hAnsi="宋体"/>
          <w:color w:val="000000"/>
          <w:sz w:val="24"/>
          <w:highlight w:val="none"/>
        </w:rPr>
        <w:t xml:space="preserve">完善</w:t>
      </w:r>
      <w:r>
        <w:rPr>
          <w:rFonts w:ascii="宋体" w:hAnsi="宋体"/>
          <w:color w:val="000000"/>
          <w:sz w:val="24"/>
          <w:highlight w:val="none"/>
        </w:rPr>
        <w:t xml:space="preserve">的生态环境。</w:t>
      </w:r>
      <w:r>
        <w:rPr>
          <w:rFonts w:hint="eastAsia" w:ascii="宋体" w:hAnsi="宋体"/>
          <w:color w:val="000000"/>
          <w:sz w:val="24"/>
          <w:highlight w:val="none"/>
        </w:rPr>
        <w:t xml:space="preserve">解决</w:t>
      </w:r>
      <w:r>
        <w:rPr>
          <w:rFonts w:ascii="宋体" w:hAnsi="宋体"/>
          <w:color w:val="000000"/>
          <w:sz w:val="24"/>
          <w:highlight w:val="none"/>
        </w:rPr>
        <w:t xml:space="preserve">架构上</w:t>
      </w:r>
      <w:r>
        <w:rPr>
          <w:rFonts w:hint="eastAsia" w:ascii="宋体" w:hAnsi="宋体"/>
          <w:color w:val="000000"/>
          <w:sz w:val="24"/>
          <w:highlight w:val="none"/>
        </w:rPr>
        <w:t xml:space="preserve">的</w:t>
      </w:r>
      <w:r>
        <w:rPr>
          <w:rFonts w:ascii="宋体" w:hAnsi="宋体"/>
          <w:color w:val="000000"/>
          <w:sz w:val="24"/>
          <w:highlight w:val="none"/>
        </w:rPr>
        <w:t xml:space="preserve">“竖井、</w:t>
      </w:r>
      <w:r>
        <w:rPr>
          <w:rFonts w:hint="eastAsia" w:ascii="宋体" w:hAnsi="宋体"/>
          <w:color w:val="000000"/>
          <w:sz w:val="24"/>
          <w:highlight w:val="none"/>
        </w:rPr>
        <w:t xml:space="preserve">孤岛</w:t>
      </w:r>
      <w:r>
        <w:rPr>
          <w:rFonts w:ascii="宋体" w:hAnsi="宋体"/>
          <w:color w:val="000000"/>
          <w:sz w:val="24"/>
          <w:highlight w:val="none"/>
        </w:rPr>
        <w:t xml:space="preserve">”的问题。</w:t>
      </w:r>
      <w:r>
        <w:rPr>
          <w:rFonts w:ascii="宋体" w:hAnsi="宋体"/>
          <w:color w:val="000000"/>
          <w:sz w:val="24"/>
          <w:highlight w:val="none"/>
        </w:rPr>
      </w:r>
      <w:r/>
    </w:p>
    <w:p>
      <w:pPr>
        <w:pStyle w:val="1085"/>
        <w:ind w:firstLine="480"/>
        <w:spacing w:before="46" w:after="93"/>
        <w:rPr>
          <w:rFonts w:hAnsi="宋体"/>
          <w:color w:val="000000"/>
          <w:sz w:val="24"/>
          <w:szCs w:val="24"/>
          <w:highlight w:val="none"/>
        </w:rPr>
      </w:pPr>
      <w:r>
        <w:rPr>
          <w:rFonts w:hAnsi="宋体"/>
          <w:color w:val="000000"/>
          <w:sz w:val="24"/>
          <w:szCs w:val="24"/>
          <w:highlight w:val="none"/>
        </w:rPr>
      </w:r>
      <w:r/>
    </w:p>
    <w:p>
      <w:pPr>
        <w:pStyle w:val="798"/>
        <w:numPr>
          <w:ilvl w:val="3"/>
          <w:numId w:val="0"/>
        </w:numPr>
        <w:jc w:val="both"/>
        <w:keepLines/>
        <w:spacing w:before="280" w:after="290"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6.基于平台的应用</w:t>
      </w:r>
      <w:r>
        <w:rPr>
          <w:rFonts w:ascii="宋体" w:hAnsi="宋体" w:eastAsia="宋体"/>
          <w:color w:val="000000"/>
          <w:sz w:val="24"/>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6.1患者3</w:t>
      </w:r>
      <w:r>
        <w:rPr>
          <w:rFonts w:ascii="宋体" w:hAnsi="宋体"/>
          <w:color w:val="000000"/>
          <w:sz w:val="24"/>
          <w:szCs w:val="24"/>
          <w:highlight w:val="none"/>
        </w:rPr>
        <w:t xml:space="preserve">60</w:t>
      </w:r>
      <w:r>
        <w:rPr>
          <w:rFonts w:hint="eastAsia" w:ascii="宋体" w:hAnsi="宋体"/>
          <w:color w:val="000000"/>
          <w:sz w:val="24"/>
          <w:szCs w:val="24"/>
          <w:highlight w:val="none"/>
        </w:rPr>
        <w:t xml:space="preserve">集成视图</w:t>
      </w:r>
      <w:r>
        <w:rPr>
          <w:rFonts w:ascii="宋体" w:hAnsi="宋体"/>
          <w:color w:val="000000"/>
          <w:sz w:val="24"/>
          <w:szCs w:val="24"/>
          <w:highlight w:val="none"/>
        </w:rPr>
      </w:r>
      <w:r/>
    </w:p>
    <w:tbl>
      <w:tblPr>
        <w:tblW w:w="9062" w:type="dxa"/>
        <w:tblInd w:w="-217" w:type="dxa"/>
        <w:tblLayout w:type="autofit"/>
        <w:tblCellMar>
          <w:left w:w="108" w:type="dxa"/>
          <w:top w:w="0" w:type="dxa"/>
          <w:right w:w="108" w:type="dxa"/>
          <w:bottom w:w="0" w:type="dxa"/>
        </w:tblCellMar>
        <w:tblLook w:val="04A0" w:firstRow="1" w:lastRow="0" w:firstColumn="1" w:lastColumn="0" w:noHBand="0" w:noVBand="1"/>
      </w:tblPr>
      <w:tblGrid>
        <w:gridCol w:w="1271"/>
        <w:gridCol w:w="7791"/>
      </w:tblGrid>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系统概述</w:t>
            </w:r>
            <w:r>
              <w:rPr>
                <w:rFonts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系统具备数据中心数据展示的窗口，通过集成视图方式进行数据展现。集成视图需要支持嵌入一体化医护工作站中，以方便用户操作。集成视图将为医、护操作者在一个界面上，提供了可查询、浏览、书写各医护文书、特护记录、辅诊检查资料的快捷方式，且界面以直观方式显示患者当前各生命体症（体温、脉搏、血压、呼吸）、检查检验、医嘱等患者重要的观察指标，并能以时间方式查询此前任意上述指标的情况、相互关系和趋势。</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功能要求</w:t>
            </w: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具体功能包括：医护人员查询患者，收藏关注的患者，临床信息菜单配置，临床信息分类展示和就诊类型展示，检查检验报告对比显示，权限隐私域管理，图标类信息下载，专科化视图集成显示等等</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医护人员查询患者：医护人员通过患者主索引，患者基本信息等查询患者，确定患者查看全息视图，可以通过就诊信息查询患者的基本信息及此就诊的量等等</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收藏关注的患者：用户可以通过查询或者在诊列表关注自己的患者或者感兴趣的患者病例</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临床信息菜单配置：</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1、临床信息菜单主要包含患者的就诊史，诊断，医嘱信息，用药信息，检查信息，检验信息，手术信息，输血记录，会诊记录，过敏信息，护理信息，病历报告等等；</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2、根据不同的角色查看不同的临床信息；</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3、能够为外部的菜单提供配置的环境和展示方式</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临床信息展示：</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1、分类信息展示，全选就诊记录，按照临床分类展示全部信息数量和临床信息内容，用户可以根据时间段，类型等等展示不同的内容；</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2、就诊集成显示，某次就诊中有哪些临床表现，是否有手术，做过哪些检查检验等等。</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检查检验报告对比显示：</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1、医护人员可以选择关注的指标对比展示报告内容；</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2、检查中的影像报告集成显示和对比</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权限隐私域管理：</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1、根据不同的角色设置不同的权限，查看不同的临床信息分类；</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2、隐私域配置，以防止患者就诊的隐私信息被泄漏，管理员维护隐私的元素，控制展示隐私的内容；</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3、医护人员可以通过申请权限，查看的隐私内容。</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图标类信息下载：医护人员可以下载生成的图标信息，反映治疗过程的情况</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专科化视图集成显示：</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1、根据不同的科室或者诊断，将患者统一科室或者诊断的治理过程集中显示；</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2、用户可以配置指标范围，从而更好的了解患者就诊信息，同时可以下载治疗过程的重要指标曲线图，为科研论文提供依据。</w:t>
            </w:r>
            <w:r>
              <w:rPr>
                <w:rFonts w:ascii="宋体" w:hAnsi="宋体" w:cs="宋体"/>
                <w:color w:val="000000"/>
                <w:sz w:val="24"/>
                <w:highlight w:val="none"/>
              </w:rPr>
            </w:r>
            <w:r/>
          </w:p>
        </w:tc>
      </w:tr>
    </w:tbl>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6.2医疗质量安全综合监控与管理平台</w:t>
      </w:r>
      <w:r>
        <w:rPr>
          <w:rFonts w:ascii="宋体" w:hAnsi="宋体"/>
          <w:color w:val="000000"/>
          <w:sz w:val="24"/>
          <w:szCs w:val="24"/>
          <w:highlight w:val="none"/>
        </w:rPr>
      </w:r>
      <w:r/>
    </w:p>
    <w:tbl>
      <w:tblPr>
        <w:tblW w:w="8931" w:type="dxa"/>
        <w:tblInd w:w="-506"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以数字化医疗质量管理以医疗环节和全流程质量管理为核心，以患者、医生、护士、管理者为服务对象，利用数字化手段，将医疗制度和流程中的管理要素融入医院信息系统。</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产品功能包括：指标监测、合理用药类指标监测、医院运行类指标监测、医疗文书质量监测、核心制度落实监测、指标预警、质量改进、组织活动、专家评审、专项检查、质量报告、质量资讯。</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指标检测：要求利用信息化手段建立涵盖医疗服务全过程的质量管理体系，实现事中控制、及早干预和全程追踪，包括死亡类指标监测与重返类指标监测管理功能。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合理用药类指标检测：要求包括处方指标、抗菌药物用药指标、外科清洁手术预防用药指标功能。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医院运行类指标监测：要求提供医院资源配置、工作负荷、治疗质量、工作效率、患者负担、资产运营等指标进行监测。</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医疗文书质量监测：要求提供在院病例全样本自动审查、、病历质量全院排名、重点病历重点审查、深入病历内涵监测、监测问题在线反馈、问题病历深度追踪、问题病历限时整改等功能。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核心制度落实监测：要求落实监测根据《医疗质量安全核心制度要点》对首诊负责制度、三级查房制度、会诊制度、值班和交接班制度、疑难病例讨论制度、死亡病例讨论制度等18项核心制度的基本要求。</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指标预警：要求实现对即将不达标指标给出及时预警。</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质量改进：要求实现针对不达标指标，管理科室通过系统给指标落实差的科室下达专项改进计划，改进科室在线下进行整改功能。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组织活动：要求提供管理科室组织活动管理功能。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专家评审：要求提供对死亡病例、非计划重返病例等重点监测病例的专家评审管理功能。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专项检查：要求实现等级医院评审、公立医院绩效考核等重大专题活动任务分解及分配功能。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质量报告：要求实现一键生成对应板块的周报、月报、季报、年报等质量分析报告，如死亡质量报告、重返质量报告、环节病历质量报告、核心制度监测报告、会诊质量报告等</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bottom"/>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质量资讯：要求实现国家、地方、医院标准制度、管理办法等相关文件的统一管理。</w:t>
            </w:r>
            <w:r>
              <w:rPr>
                <w:rFonts w:ascii="宋体" w:hAnsi="宋体" w:cs="宋体"/>
                <w:color w:val="000000"/>
                <w:sz w:val="24"/>
                <w:highlight w:val="none"/>
              </w:rPr>
            </w:r>
            <w:r/>
          </w:p>
        </w:tc>
      </w:tr>
    </w:tbl>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6.3预住院日间手术管理</w:t>
      </w:r>
      <w:r>
        <w:rPr>
          <w:rFonts w:ascii="宋体" w:hAnsi="宋体"/>
          <w:color w:val="000000"/>
          <w:sz w:val="24"/>
          <w:szCs w:val="24"/>
          <w:highlight w:val="none"/>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系统概述</w:t>
            </w:r>
            <w:r>
              <w:rPr>
                <w:rFonts w:ascii="宋体" w:hAnsi="宋体" w:cs="宋体"/>
                <w:b/>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预住院日间手术是管理入院前，进行术前的检查检验、麻醉评估、手术预约、床位预约等。这样大大的减少了患者的平均住院日、提高了床位周转率。</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功能要求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提供开立住院证及院前检查检验医嘱、交预住院押金、执行检验检查医嘱、日间手术麻醉术前评估、日间手术评估、日间手术正式确认、床位预约、麻醉及手术安排、转入住院、日间手术麻醉术后评估、日间手术出院评估、日间手术随访、门诊费用转住院、日间手术的相关统计等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立住院证及院前检查检验医嘱：门诊医生开立住院证，选择“预住院”或“日间手术”后保存时系统会生成预住院记录，医生可以在此预住院记录上开立院前检查检验。要求支持对于日间手术的病人医生可以填写日间手术的相关信息。系统支持日间手术的权限管理。</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交预住院押金：要求支持预住院/日间手术的患者进行住院处交押金。</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执行检验检查医嘱：</w:t>
            </w:r>
            <w:r>
              <w:rPr>
                <w:rFonts w:ascii="宋体" w:hAnsi="宋体" w:cs="宋体"/>
                <w:color w:val="000000"/>
                <w:sz w:val="24"/>
                <w:highlight w:val="none"/>
              </w:rPr>
              <w:t xml:space="preserve">要求支持</w:t>
            </w:r>
            <w:r>
              <w:rPr>
                <w:rFonts w:hint="eastAsia" w:ascii="宋体" w:hAnsi="宋体" w:cs="宋体"/>
                <w:color w:val="000000"/>
                <w:sz w:val="24"/>
                <w:highlight w:val="none"/>
              </w:rPr>
              <w:t xml:space="preserve">交完押金后病人到预住院中心（或日间手术病房、病区护士站）采血，打印条码时会有“预”、“日间”的标示。并到检查科室做相关检查。要求支持执行时系统支持欠费的控制，如患者欠费则不能执行检查检验。</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间手术麻醉术前评估：要求支持是否在系统中麻醉评估可以进行配置，如配置为系统内，要求支持麻醉医生可以在手术列表中查询拟日间手术申请，并进行麻醉评估，麻醉评估通过的才能进行后续日间手术的流程，如评估不通过则只能转入门诊或转常规手术治疗。</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日间手术评估：要求支持医生可以查看检查检验报告，根据检查检验结果评估是否可以住院，要求系统支持由门诊医师进行评估也支持住院医生进行评估。</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床位预约：对于开启了床管中心流程的，要求支持在系统中进行床位预约。要求系统支持床位的登记及预约，要求支持跨病区预约床位，实现全院床位资源共享。</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麻醉及手术安排：要求支持手麻科室可以进行日间手术的安排，要求手术列表中日间手术的病人标注为“日间”。</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转入住院：要求支持病人预约到床位及手术后，预约当天病人来院办理住院手续转入住院。转入时院前的医嘱及费用会同步转入住院中。</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日间手术麻醉术后评估：要求支持转入住院后日间手术的患者进行手术，日间手术术后麻醉医生会进行麻醉术后评估。</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日间手术出院评估：要求支持日间手术的患者出院前进行出院评估，出院评估通过后，要求支持日间手术病人可以进行相应的出院操作，如评估不通过，则一般会转入普通病区继续治疗直至出院。</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日间手术随访：日间手术出院后，如需要进行随访，系统要求支持日间手术患者的随访。</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门诊费用转住院：有些医院因为医保政策及医院管理的原因，会将院前检查检验开立到门诊的记录上，要求支持患者在门诊缴费、做相应的检验检查。住院后可以将门诊的费用转入住院报销。</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日间手术的相关统计：要求系统提供日间手术的相关统计报表，包括：日间手术工作量统计、日间手术分类统计、日间手术麻醉方式统计。</w:t>
            </w:r>
            <w:r>
              <w:rPr>
                <w:rFonts w:ascii="宋体" w:hAnsi="宋体" w:cs="宋体"/>
                <w:color w:val="000000"/>
                <w:sz w:val="24"/>
                <w:highlight w:val="none"/>
              </w:rPr>
            </w:r>
            <w:r/>
          </w:p>
        </w:tc>
      </w:tr>
    </w:tbl>
    <w:p>
      <w:pPr>
        <w:pStyle w:val="808"/>
        <w:ind w:firstLine="480"/>
        <w:rPr>
          <w:rFonts w:ascii="宋体" w:hAnsi="宋体" w:eastAsia="宋体"/>
          <w:color w:val="000000"/>
          <w:szCs w:val="24"/>
          <w:highlight w:val="none"/>
        </w:rPr>
      </w:pPr>
      <w:r>
        <w:rPr>
          <w:rFonts w:ascii="宋体" w:hAnsi="宋体" w:eastAsia="宋体"/>
          <w:color w:val="000000"/>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6.4临床决策支持（中医）</w:t>
      </w:r>
      <w:r>
        <w:rPr>
          <w:rFonts w:ascii="宋体" w:hAnsi="宋体"/>
          <w:color w:val="000000"/>
          <w:sz w:val="24"/>
          <w:szCs w:val="24"/>
          <w:highlight w:val="none"/>
        </w:rPr>
      </w:r>
      <w:r/>
    </w:p>
    <w:tbl>
      <w:tblPr>
        <w:tblW w:w="5103" w:type="pct"/>
        <w:tblInd w:w="-392" w:type="dxa"/>
        <w:tblLayout w:type="autofit"/>
        <w:tblCellMar>
          <w:left w:w="108" w:type="dxa"/>
          <w:top w:w="0" w:type="dxa"/>
          <w:right w:w="108" w:type="dxa"/>
          <w:bottom w:w="0" w:type="dxa"/>
        </w:tblCellMar>
        <w:tblLook w:val="04A0" w:firstRow="1" w:lastRow="0" w:firstColumn="1" w:lastColumn="0" w:noHBand="0" w:noVBand="1"/>
      </w:tblPr>
      <w:tblGrid>
        <w:gridCol w:w="2334"/>
        <w:gridCol w:w="6370"/>
      </w:tblGrid>
      <w:tr>
        <w:trPr>
          <w:trHeight w:val="1200"/>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cs="宋体"/>
                <w:color w:val="000000"/>
                <w:sz w:val="24"/>
                <w:highlight w:val="none"/>
              </w:rPr>
              <w:t xml:space="preserve">系统概述</w:t>
            </w:r>
            <w:r>
              <w:rPr>
                <w:rFonts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临床决策支持系统基于临床医学知识库体系、病案数据库和临床诊疗规则库设计开发。系统应带有中医诊断知识库。</w:t>
            </w:r>
            <w:r>
              <w:rPr>
                <w:rFonts w:ascii="宋体" w:hAnsi="宋体" w:cs="宋体"/>
                <w:color w:val="000000"/>
                <w:sz w:val="24"/>
                <w:highlight w:val="none"/>
              </w:rPr>
            </w:r>
            <w:r/>
          </w:p>
        </w:tc>
      </w:tr>
      <w:tr>
        <w:trPr>
          <w:trHeight w:val="400"/>
        </w:trPr>
        <w:tc>
          <w:tcPr>
            <w:tcBorders>
              <w:top w:val="none" w:color="000000" w:sz="4" w:space="0"/>
              <w:left w:val="single" w:color="000000" w:sz="4" w:space="0"/>
              <w:bottom w:val="none" w:color="000000" w:sz="4" w:space="0"/>
              <w:right w:val="single" w:color="000000" w:sz="4" w:space="0"/>
            </w:tcBorders>
            <w:tcW w:w="1341" w:type="dxa"/>
            <w:vAlign w:val="center"/>
            <w:vMerge w:val="restart"/>
            <w:textDirection w:val="lrTb"/>
            <w:noWrap w:val="false"/>
          </w:tcPr>
          <w:p>
            <w:pPr>
              <w:pStyle w:val="794"/>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主要功能</w:t>
            </w: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诊断决策支持</w:t>
            </w:r>
            <w:r>
              <w:rPr>
                <w:rFonts w:ascii="宋体" w:hAnsi="宋体" w:cs="宋体"/>
                <w:b/>
                <w:bCs/>
                <w:color w:val="000000"/>
                <w:sz w:val="24"/>
                <w:highlight w:val="none"/>
              </w:rPr>
            </w:r>
            <w:r/>
          </w:p>
        </w:tc>
      </w:tr>
      <w:tr>
        <w:trPr>
          <w:trHeight w:val="300"/>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推荐疑似诊断</w:t>
            </w:r>
            <w:r>
              <w:rPr>
                <w:rFonts w:ascii="宋体" w:hAnsi="宋体" w:cs="宋体"/>
                <w:color w:val="000000"/>
                <w:sz w:val="24"/>
                <w:highlight w:val="none"/>
              </w:rPr>
            </w:r>
            <w:r/>
          </w:p>
        </w:tc>
      </w:tr>
      <w:tr>
        <w:trPr>
          <w:trHeight w:val="576"/>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支持根据多个维度推荐疑似中西医诊断。</w:t>
            </w:r>
            <w:r>
              <w:rPr>
                <w:rFonts w:ascii="宋体" w:hAnsi="宋体" w:cs="宋体"/>
                <w:color w:val="000000"/>
                <w:sz w:val="24"/>
                <w:highlight w:val="none"/>
              </w:rPr>
            </w:r>
            <w:r/>
          </w:p>
        </w:tc>
      </w:tr>
      <w:tr>
        <w:trPr>
          <w:trHeight w:val="350"/>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支持在推荐诊断时可看到对应的中西医知识库。</w:t>
            </w:r>
            <w:r>
              <w:rPr>
                <w:rFonts w:ascii="宋体" w:hAnsi="宋体" w:cs="宋体"/>
                <w:color w:val="000000"/>
                <w:sz w:val="24"/>
                <w:highlight w:val="none"/>
              </w:rPr>
            </w:r>
            <w:r/>
          </w:p>
        </w:tc>
      </w:tr>
      <w:tr>
        <w:trPr>
          <w:trHeight w:val="350"/>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疾病知识库包含中医部分。 </w:t>
            </w:r>
            <w:r>
              <w:rPr>
                <w:rFonts w:ascii="宋体" w:hAnsi="宋体" w:cs="宋体"/>
                <w:color w:val="000000"/>
                <w:sz w:val="24"/>
                <w:highlight w:val="none"/>
              </w:rPr>
            </w:r>
            <w:r/>
          </w:p>
        </w:tc>
      </w:tr>
      <w:tr>
        <w:trPr>
          <w:trHeight w:val="26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支持在推荐诊断时可看到对应的知识库。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治疗方案管理</w:t>
            </w:r>
            <w:r>
              <w:rPr>
                <w:rFonts w:ascii="宋体" w:hAnsi="宋体" w:cs="宋体"/>
                <w:color w:val="000000"/>
                <w:sz w:val="24"/>
                <w:highlight w:val="none"/>
              </w:rPr>
            </w:r>
            <w:r/>
          </w:p>
        </w:tc>
      </w:tr>
      <w:tr>
        <w:trPr>
          <w:trHeight w:val="403"/>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预警决策支持</w:t>
            </w:r>
            <w:r>
              <w:rPr>
                <w:rFonts w:ascii="宋体" w:hAnsi="宋体" w:cs="宋体"/>
                <w:b/>
                <w:bCs/>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诊疗规则配置</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临床诊疗预警</w:t>
            </w:r>
            <w:r>
              <w:rPr>
                <w:rFonts w:ascii="宋体" w:hAnsi="宋体" w:cs="宋体"/>
                <w:color w:val="000000"/>
                <w:sz w:val="24"/>
                <w:highlight w:val="none"/>
              </w:rPr>
            </w:r>
            <w:r/>
          </w:p>
        </w:tc>
      </w:tr>
      <w:tr>
        <w:trPr>
          <w:trHeight w:val="403"/>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患者画像</w:t>
            </w:r>
            <w:r>
              <w:rPr>
                <w:rFonts w:ascii="宋体" w:hAnsi="宋体" w:cs="宋体"/>
                <w:b/>
                <w:bCs/>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患者全量信息展示</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系统自动采集患者全量信息</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非结构化数据采用自然语言处理技术进行分词对照，写入患者模型</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患者病史总览</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系统依据患者信息，智能生成患者病史模型，以二维图表形式展示患者既往史、家族史、个人史、婚育史等信息</w:t>
            </w:r>
            <w:r>
              <w:rPr>
                <w:rFonts w:ascii="宋体" w:hAnsi="宋体" w:cs="宋体"/>
                <w:color w:val="000000"/>
                <w:sz w:val="24"/>
                <w:highlight w:val="none"/>
              </w:rPr>
            </w:r>
            <w:r/>
          </w:p>
        </w:tc>
      </w:tr>
      <w:tr>
        <w:trPr>
          <w:trHeight w:val="403"/>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医为百科</w:t>
            </w:r>
            <w:r>
              <w:rPr>
                <w:rFonts w:ascii="宋体" w:hAnsi="宋体" w:cs="宋体"/>
                <w:b/>
                <w:bCs/>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疾病知识库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包含国内书籍、专业指南、临床路径、患教版信息，书籍中须包含：疾病病因学、临床表现、实验室检查、诊断、鉴别诊断、治疗等重要信息</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支持根据关键词、简拼等方式搜索疾病知识库。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支持下载疾病知识库中的国内外指南文件。</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检查知识库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检查知识库需包含临床意义、正常值、检查适应症、禁忌症等重要信息。</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支持根据关键词、简拼等方式搜索检查知识库。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检验知识库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检验知识库需包含临床意义、正常值、检验适应症、禁忌症等重要信息。</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支持根据关键词、简拼等方式搜索检验知识库。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手术知识库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手术知识库需包含手术适应症、禁忌症、术前准备、术中注意事项、术后预防并发症等重要信息。</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支持根据关键词、简拼等方式搜索手术知识库。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药品知识库</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包含药品对应的知识库，且支持查看不同厂家的说明书。</w:t>
            </w:r>
            <w:r>
              <w:rPr>
                <w:rFonts w:ascii="宋体" w:hAnsi="宋体" w:cs="宋体"/>
                <w:color w:val="000000"/>
                <w:sz w:val="24"/>
                <w:highlight w:val="none"/>
              </w:rPr>
            </w:r>
            <w:r/>
          </w:p>
        </w:tc>
      </w:tr>
      <w:tr>
        <w:trPr>
          <w:trHeight w:val="234"/>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支持根据关键词、简拼等方式搜索药品知识库。</w:t>
            </w:r>
            <w:r>
              <w:rPr>
                <w:rFonts w:ascii="宋体" w:hAnsi="宋体" w:cs="宋体"/>
                <w:color w:val="000000"/>
                <w:sz w:val="24"/>
                <w:highlight w:val="none"/>
              </w:rPr>
            </w:r>
            <w:r/>
          </w:p>
        </w:tc>
      </w:tr>
      <w:tr>
        <w:trPr>
          <w:trHeight w:val="150"/>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护理知识库</w:t>
            </w:r>
            <w:r>
              <w:rPr>
                <w:rFonts w:ascii="宋体" w:hAnsi="宋体" w:cs="宋体"/>
                <w:color w:val="000000"/>
                <w:sz w:val="24"/>
                <w:highlight w:val="none"/>
              </w:rPr>
            </w:r>
            <w:r/>
          </w:p>
        </w:tc>
      </w:tr>
      <w:tr>
        <w:trPr>
          <w:trHeight w:val="220"/>
        </w:trPr>
        <w:tc>
          <w:tcPr>
            <w:tcBorders>
              <w:top w:val="none" w:color="000000" w:sz="4" w:space="0"/>
              <w:left w:val="single" w:color="000000" w:sz="4" w:space="0"/>
              <w:bottom w:val="non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包含护理措施项目介绍、护理所需评估量表信息</w:t>
            </w:r>
            <w:r>
              <w:rPr>
                <w:rFonts w:ascii="宋体" w:hAnsi="宋体" w:cs="宋体"/>
                <w:color w:val="000000"/>
                <w:sz w:val="24"/>
                <w:highlight w:val="none"/>
              </w:rPr>
            </w:r>
            <w:r/>
          </w:p>
        </w:tc>
      </w:tr>
      <w:tr>
        <w:trPr>
          <w:trHeight w:val="232"/>
        </w:trPr>
        <w:tc>
          <w:tcPr>
            <w:tcBorders>
              <w:top w:val="non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59"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支持根据关键词、简拼等方式搜索护理知识库。</w:t>
            </w:r>
            <w:r>
              <w:rPr>
                <w:rFonts w:ascii="宋体" w:hAnsi="宋体" w:cs="宋体"/>
                <w:color w:val="000000"/>
                <w:sz w:val="24"/>
                <w:highlight w:val="none"/>
              </w:rPr>
            </w:r>
            <w:r/>
          </w:p>
        </w:tc>
      </w:tr>
    </w:tbl>
    <w:p>
      <w:pPr>
        <w:pStyle w:val="808"/>
        <w:ind w:firstLine="0"/>
        <w:rPr>
          <w:rFonts w:ascii="宋体" w:hAnsi="宋体" w:eastAsia="宋体"/>
          <w:color w:val="000000"/>
          <w:szCs w:val="24"/>
          <w:highlight w:val="none"/>
        </w:rPr>
      </w:pPr>
      <w:r>
        <w:rPr>
          <w:rFonts w:ascii="宋体" w:hAnsi="宋体" w:eastAsia="宋体"/>
          <w:color w:val="000000"/>
          <w:szCs w:val="24"/>
          <w:highlight w:val="none"/>
        </w:rPr>
      </w:r>
      <w:r/>
    </w:p>
    <w:p>
      <w:pPr>
        <w:pStyle w:val="799"/>
        <w:numPr>
          <w:ilvl w:val="4"/>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6.5院长决策支持系统</w:t>
      </w:r>
      <w:r>
        <w:rPr>
          <w:rFonts w:hint="eastAsia" w:ascii="宋体" w:hAnsi="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7332"/>
      </w:tblGrid>
      <w:tr>
        <w:trPr/>
        <w:tc>
          <w:tcPr>
            <w:tcW w:w="701" w:type="dxa"/>
            <w:vAlign w:val="center"/>
            <w:textDirection w:val="lrTb"/>
            <w:noWrap w:val="false"/>
          </w:tcPr>
          <w:p>
            <w:pPr>
              <w:pStyle w:val="794"/>
              <w:jc w:val="center"/>
              <w:spacing w:after="120" w:line="276" w:lineRule="auto"/>
              <w:widowControl/>
              <w:rPr>
                <w:rFonts w:ascii="宋体" w:hAnsi="宋体" w:cs="宋体"/>
                <w:b/>
                <w:bCs/>
                <w:color w:val="000000"/>
                <w:highlight w:val="none"/>
              </w:rPr>
            </w:pPr>
            <w:r>
              <w:rPr>
                <w:rFonts w:hint="eastAsia" w:ascii="宋体" w:hAnsi="宋体" w:cs="宋体"/>
                <w:b/>
                <w:bCs/>
                <w:color w:val="000000"/>
                <w:highlight w:val="none"/>
              </w:rPr>
              <w:t xml:space="preserve">系统概述</w:t>
            </w: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系统具备将现有HIS、LIS、PACS、OA、病案系统、资产管理系统等多种业务和管理系统的数据</w:t>
            </w:r>
            <w:r>
              <w:rPr>
                <w:rFonts w:hint="eastAsia" w:ascii="宋体" w:hAnsi="宋体" w:cs="宋体"/>
                <w:color w:val="000000"/>
                <w:highlight w:val="none"/>
              </w:rPr>
              <w:t xml:space="preserve">应用联机业务、数据的清洗，转换，数据仓库、多维数据、数理统计和数据挖掘等技术，以生动友好的界面形式展现数据，发现数据中的显性或隐性的规律和知识，实现医院对业务和管理状态的监督、追踪等，为数字化医院的科学管理和科学决策提供有价值的信息资源，并且通过可视化的功能界面，完成医院对数据管理指标的定义、指标条件定义、指标目标值维护、指标显示格式、单位等相关指标定义内容维护，同时，实现全院数据统一定义、统一口径，最终实现指标管理标准化，最后通过专题维护、指标分析，菜单配置，权限分配，形成该部门或该业务域的数据分析系统。</w:t>
            </w:r>
            <w:r>
              <w:rPr>
                <w:rFonts w:ascii="宋体" w:hAnsi="宋体" w:cs="宋体"/>
                <w:color w:val="000000"/>
                <w:highlight w:val="none"/>
              </w:rPr>
            </w:r>
            <w:r/>
          </w:p>
        </w:tc>
      </w:tr>
      <w:tr>
        <w:trPr/>
        <w:tc>
          <w:tcPr>
            <w:tcW w:w="701" w:type="dxa"/>
            <w:vAlign w:val="center"/>
            <w:textDirection w:val="lrTb"/>
            <w:noWrap w:val="false"/>
          </w:tcPr>
          <w:p>
            <w:pPr>
              <w:pStyle w:val="794"/>
              <w:jc w:val="center"/>
              <w:spacing w:after="120" w:line="276" w:lineRule="auto"/>
              <w:widowControl/>
              <w:rPr>
                <w:rFonts w:ascii="宋体" w:hAnsi="宋体" w:cs="宋体"/>
                <w:b/>
                <w:bCs/>
                <w:color w:val="000000"/>
                <w:highlight w:val="none"/>
              </w:rPr>
            </w:pPr>
            <w:r>
              <w:rPr>
                <w:rFonts w:hint="eastAsia" w:ascii="宋体" w:hAnsi="宋体" w:cs="宋体"/>
                <w:b/>
                <w:bCs/>
                <w:color w:val="000000"/>
                <w:highlight w:val="none"/>
              </w:rPr>
              <w:t xml:space="preserve">功能要求</w:t>
            </w: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具体功能包括：院长驾驶舱、管理专题分析、单指标分析、当日分析、门诊驾驶舱、住院驾驶舱、院长日报、工作周报、院长移动APP等功能。</w:t>
            </w:r>
            <w:r>
              <w:rPr>
                <w:rFonts w:ascii="宋体" w:hAnsi="宋体" w:cs="宋体"/>
                <w:color w:val="000000"/>
                <w:highlight w:val="none"/>
              </w:rPr>
            </w:r>
            <w:r/>
          </w:p>
        </w:tc>
      </w:tr>
      <w:tr>
        <w:trPr/>
        <w:tc>
          <w:tcPr>
            <w:tcW w:w="701" w:type="dxa"/>
            <w:vAlign w:val="center"/>
            <w:vMerge w:val="restart"/>
            <w:textDirection w:val="lrTb"/>
            <w:noWrap w:val="false"/>
          </w:tcPr>
          <w:p>
            <w:pPr>
              <w:pStyle w:val="794"/>
              <w:jc w:val="center"/>
              <w:spacing w:after="120" w:line="276" w:lineRule="auto"/>
              <w:widowControl/>
              <w:rPr>
                <w:rFonts w:ascii="宋体" w:hAnsi="宋体" w:cs="宋体"/>
                <w:b/>
                <w:bCs/>
                <w:color w:val="000000"/>
                <w:highlight w:val="none"/>
              </w:rPr>
            </w:pPr>
            <w:r>
              <w:rPr>
                <w:rFonts w:hint="eastAsia" w:ascii="宋体" w:hAnsi="宋体" w:cs="宋体"/>
                <w:b/>
                <w:bCs/>
                <w:color w:val="000000"/>
                <w:highlight w:val="none"/>
              </w:rPr>
              <w:t xml:space="preserve">详细要求</w:t>
            </w: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院长驾驶舱：要求院长驾驶舱给院长一个完整的医院管理指标概述，概述中含有各类指标横向、纵向、基值对比，可根据管理专题或者单指标进行钻取，实现院级、科室组、科室、医疗组、医生、患者的多层级数据查看等方面的数据的对比。</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要求提供管理专题：</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1、医疗收入专题：要求具有反应医院为病人提供医疗服务而获得的收入的指标专题。</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2、患者负担专题：要求提供能够反应病人看病除了治疗效果外，监控患者负担确保人流量，减少病人流失的专题。</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3、医院服务专题：要求根据患者人数能查看医院运营效果和可持续发展的重要指标得专题。</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4、工作效率专题：要求从平均每张床位工作日、出院患者平均住院日(住院)、床位使用率、床位周转次数等指标，实现多维度分析对比。</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5、要求具有医疗质量专题。</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6、要求具有合理用药专题。</w:t>
            </w:r>
            <w:r>
              <w:rPr>
                <w:rFonts w:hint="eastAsia" w:ascii="宋体" w:hAnsi="宋体" w:eastAsia="宋体" w:cs="宋体"/>
                <w:color w:val="000000"/>
                <w:highlight w:val="none"/>
                <w:lang w:eastAsia="zh-CN"/>
              </w:rPr>
            </w:r>
            <w:r/>
          </w:p>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7、要求具有手术专题。</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单指标分析：单指标分析把重点指标从过多维度、相关指标关联起来反应某个指标变化、正态分布、是否效等，具体指标有:门诊量、退号量、预约情况、术间利用等。</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院长日报：要求院长日报反应昨日领导关心的医疗情况指标具体有门诊、住院医疗收入情况。</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工作周报：要求工作周报以门诊周报、住院周报与指标列表方式呈现本期与上期对比，解决从各业务部门通过各种报表汇总成周报。</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院领导移动APP：院领导移动APP在依托于移动互联网，要求为用户提供终端化、个性化、方便快捷的数据访问服务，提供医院实时数据和管理信息分析。</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1、院长驾驶舱：要求按照分析的时间维度，分为昨日、本月至今及本年至今、自定义五个时间维度。</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2、医疗收入专题：要求反应医院为病人提供医疗服务而获得的收入。</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3、患者负担专题：要求反应除病人看病除了治疗效果外，监控患者负担确保人流量，减少病人流失。</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4、医院服务专题：要求从患者人数查看医院运营效果和可持续发展指标。</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5、工作效率专题：要求统计平均每张床位工作日、出院患者平均住院日(住院)、床位使用率、床位周转次数等指标，并通过多维度分析对比。</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6、要求具有医疗质量专题。</w:t>
            </w:r>
            <w:r>
              <w:rPr>
                <w:rFonts w:hint="eastAsia" w:ascii="宋体" w:hAnsi="宋体" w:eastAsia="宋体" w:cs="宋体"/>
                <w:color w:val="000000"/>
                <w:highlight w:val="none"/>
                <w:lang w:eastAsia="zh-CN"/>
              </w:rPr>
            </w:r>
            <w:r/>
          </w:p>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7、要求具有合理用药专题。</w:t>
            </w:r>
            <w:r>
              <w:rPr>
                <w:rFonts w:hint="eastAsia" w:ascii="宋体" w:hAnsi="宋体" w:eastAsia="宋体" w:cs="宋体"/>
                <w:color w:val="000000"/>
                <w:highlight w:val="none"/>
                <w:lang w:eastAsia="zh-CN"/>
              </w:rPr>
            </w:r>
            <w:r/>
          </w:p>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8、要求具有手术专题。</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单指标分析：单指标分析把重点指标从过多维度、相关指标关联起来反应某个指标变化、正态分布、是否效等具体指标有:门诊量、退号量、预约情况、术间利用等；</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当日分析：要求提供高效及时快捷的数据分析展示当日医院情况。</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center"/>
            <w:textDirection w:val="lrTb"/>
            <w:noWrap w:val="false"/>
          </w:tcPr>
          <w:p>
            <w:pPr>
              <w:pStyle w:val="794"/>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报表专题:要求提供通过移动端方式展示报表等。</w:t>
            </w:r>
            <w:r>
              <w:rPr>
                <w:rFonts w:ascii="宋体" w:hAnsi="宋体" w:cs="宋体"/>
                <w:color w:val="000000"/>
                <w:highlight w:val="none"/>
              </w:rPr>
            </w:r>
            <w:r/>
          </w:p>
        </w:tc>
      </w:tr>
      <w:tr>
        <w:trPr/>
        <w:tc>
          <w:tcPr>
            <w:tcW w:w="701" w:type="dxa"/>
            <w:vAlign w:val="center"/>
            <w:vMerge w:val="continue"/>
            <w:textDirection w:val="lrTb"/>
            <w:noWrap w:val="false"/>
          </w:tcPr>
          <w:p>
            <w:pPr>
              <w:pStyle w:val="794"/>
              <w:jc w:val="left"/>
              <w:spacing w:after="120" w:line="276" w:lineRule="auto"/>
              <w:widowControl/>
              <w:rPr>
                <w:rFonts w:ascii="宋体" w:hAnsi="宋体" w:cs="宋体"/>
                <w:b/>
                <w:bCs/>
                <w:color w:val="000000"/>
                <w:highlight w:val="none"/>
              </w:rPr>
            </w:pPr>
            <w:r>
              <w:rPr>
                <w:rFonts w:ascii="宋体" w:hAnsi="宋体" w:cs="宋体"/>
                <w:b/>
                <w:bCs/>
                <w:color w:val="000000"/>
                <w:highlight w:val="none"/>
              </w:rPr>
            </w:r>
            <w:r/>
          </w:p>
        </w:tc>
        <w:tc>
          <w:tcPr>
            <w:tcW w:w="4299" w:type="dxa"/>
            <w:vAlign w:val="bottom"/>
            <w:textDirection w:val="lrTb"/>
            <w:noWrap w:val="false"/>
          </w:tcPr>
          <w:p>
            <w:pPr>
              <w:pStyle w:val="794"/>
              <w:jc w:val="left"/>
              <w:spacing w:after="120" w:line="276" w:lineRule="auto"/>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院领导大屏：要求为用户提供大屏终端化、个性化、方便快捷的数据访问服务，提供医院实时数据和管理信息分析。</w:t>
            </w:r>
            <w:r>
              <w:rPr>
                <w:rFonts w:hint="eastAsia" w:ascii="宋体" w:hAnsi="宋体" w:eastAsia="宋体" w:cs="宋体"/>
                <w:color w:val="000000"/>
                <w:highlight w:val="none"/>
                <w:lang w:eastAsia="zh-CN"/>
              </w:rPr>
            </w:r>
            <w:r/>
          </w:p>
          <w:p>
            <w:pPr>
              <w:pStyle w:val="794"/>
              <w:jc w:val="left"/>
              <w:spacing w:after="120" w:line="276" w:lineRule="auto"/>
              <w:widowControl/>
              <w:rPr>
                <w:rFonts w:ascii="宋体" w:hAnsi="宋体" w:cs="宋体"/>
                <w:color w:val="000000"/>
                <w:highlight w:val="none"/>
              </w:rPr>
            </w:pPr>
            <w:r>
              <w:rPr>
                <w:rFonts w:hint="eastAsia" w:ascii="宋体" w:hAnsi="宋体" w:cs="宋体"/>
                <w:color w:val="000000"/>
                <w:highlight w:val="none"/>
              </w:rPr>
              <w:t xml:space="preserve">具体功能：要求提供轮播配置、数据钻取联动、炫酷的可视化特效等功能。</w:t>
            </w:r>
            <w:r>
              <w:rPr>
                <w:rFonts w:ascii="宋体" w:hAnsi="宋体" w:cs="宋体"/>
                <w:color w:val="000000"/>
                <w:highlight w:val="none"/>
              </w:rPr>
            </w:r>
            <w:r/>
          </w:p>
        </w:tc>
      </w:tr>
    </w:tbl>
    <w:p>
      <w:pPr>
        <w:pStyle w:val="794"/>
        <w:rPr>
          <w:rFonts w:hint="eastAsia"/>
          <w:color w:val="000000"/>
          <w:highlight w:val="none"/>
        </w:rPr>
      </w:pPr>
      <w:r>
        <w:rPr>
          <w:rFonts w:hint="eastAsia"/>
          <w:color w:val="000000"/>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6.6三级医院绩效考核系统</w:t>
      </w:r>
      <w:r>
        <w:rPr>
          <w:rFonts w:ascii="宋体" w:hAnsi="宋体"/>
          <w:color w:val="000000"/>
          <w:sz w:val="24"/>
          <w:szCs w:val="24"/>
          <w:highlight w:val="none"/>
        </w:rPr>
      </w:r>
      <w:r/>
    </w:p>
    <w:tbl>
      <w:tblPr>
        <w:tblW w:w="9052"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7781"/>
      </w:tblGrid>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系统概述</w:t>
            </w:r>
            <w:r>
              <w:rPr>
                <w:rFonts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8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系统具备三级公立医院绩效考核系统（西医）通过绩效考核，推动三级公立医院在发展方式上由规模扩张型转向质量效益型，在管理模式上由粗放的行政化管理转向全方位的绩效管理，促进收入分配更科学、更公平，实现效率提高和质量提升，促进公立医院综合改革政策落地见效</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功能要求</w:t>
            </w: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具体功能包括：由医疗质量、运营效率、持续发展、满意度评价等4个方面的指标构成(共计:55项指标)</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医疗质量：通过医疗质量控制、合理用药、检查检验同质化等指标，考核医院医疗质量和医疗安全。</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运营效率：运营效率体现医院的精细化管理水平，是实现医院科学管理的关键。通过人力资源配比和人员负荷指标考核医疗资源利用效率</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持续发展：人才队伍建设与教学科研能力体现医院的持续发展能力，是反映三级公立医院创新发展和持续健康运行的重要指标。</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81"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满意度评价：医院满意度由患者满意度和医务人员满意度两部分组成。患者满意度是三级公立医院社会效益的重要体现，提高医务人员满意度是医院提供高质量医疗服务的重要保障。</w:t>
            </w:r>
            <w:r>
              <w:rPr>
                <w:rFonts w:ascii="宋体" w:hAnsi="宋体" w:cs="宋体"/>
                <w:color w:val="000000"/>
                <w:sz w:val="24"/>
                <w:highlight w:val="none"/>
              </w:rPr>
            </w:r>
            <w:r/>
          </w:p>
        </w:tc>
      </w:tr>
    </w:tbl>
    <w:p>
      <w:pPr>
        <w:pStyle w:val="799"/>
        <w:numPr>
          <w:ilvl w:val="4"/>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6.7三甲医院评审系统</w:t>
      </w:r>
      <w:r>
        <w:rPr>
          <w:rFonts w:hint="eastAsia" w:ascii="宋体" w:hAnsi="宋体"/>
          <w:color w:val="000000"/>
          <w:sz w:val="24"/>
          <w:szCs w:val="24"/>
          <w:highlight w:val="none"/>
        </w:rPr>
      </w:r>
      <w:r/>
    </w:p>
    <w:p>
      <w:pPr>
        <w:pStyle w:val="794"/>
        <w:rPr>
          <w:color w:val="000000"/>
          <w:highlight w:val="none"/>
          <w:lang w:val="zh-CN"/>
        </w:rPr>
      </w:pPr>
      <w:r>
        <w:rPr>
          <w:color w:val="000000"/>
          <w:highlight w:val="none"/>
          <w:lang w:val="zh-CN"/>
        </w:rPr>
      </w:r>
      <w:r/>
    </w:p>
    <w:tbl>
      <w:tblPr>
        <w:tblW w:w="9025"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7754"/>
      </w:tblGrid>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系统概述</w:t>
            </w:r>
            <w:r>
              <w:rPr>
                <w:rFonts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要求系统具备三甲综合医院指标统计与分析系统是根据国家《三级综合医院评审标准（2011 年版）》第七章节主要为增强评审标准的操作性，指导医院加强日常管理与持续质量改进，为各级卫生行政部门加强行业监管与评审工作提供依据；</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功能要求</w:t>
            </w: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具体功能包括：由医院运行基本监测指标、住院患者医疗质量与安全监控指标、单病种、重症医学（ICU）质量监测指标、合理用药监控指标、医院感染控制质量监测指标等6个方面的指标构成</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794"/>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医院运行基本监测指标：通过医院运行基本监测指标，监测与了解医院日常运行的基本情况，医技科室服务能满足临床科室需要，项目设置、人员梯队与技术能力符合省级卫生行政部门规定的标准。</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住院患者医疗质量与安全监控指标：为了解住院患者医疗质量与安全的总体情况，是以重返率（再住院与再手术）、死亡率（住院死亡与术后死亡）、安全指标（并发症与患者安全）三类结果质量为重点</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病种：以病种为管理单元，是全过程的质量管理，可以进行纵向（医院内部）和横向（医院之间）比较，采用在诊断、治疗、转归方面具有共性，某些医疗质量指征是具有统计学特性的指标，可用来进行质量管理评价</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重症医学（ICU）质量监测指标：以诊疗过程与结果质量为重点，按每季、每年，统计每类重症医学（ICU）单元的重点质量与安全监测指标，了解医院重症医学（ICU）质量与患者安全的总体情况</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合理用药监控指标：以医院抗菌药物使用的结果指标，按每季、每年，统计合理用药的基本监测指标，了解医院合理用药的基本情况主要指标</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77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医院感染控制质量监测指标：以特定对象的结果指标为重点，即使用呼吸机、导管、导尿管三项器械所致感染的结果指标为重点，同时以手术风险评估类别来评价术后切口感染的结果</w:t>
            </w:r>
            <w:r>
              <w:rPr>
                <w:rFonts w:ascii="宋体" w:hAnsi="宋体" w:cs="宋体"/>
                <w:color w:val="000000"/>
                <w:sz w:val="24"/>
                <w:highlight w:val="none"/>
              </w:rPr>
            </w:r>
            <w:r/>
          </w:p>
        </w:tc>
      </w:tr>
    </w:tbl>
    <w:p>
      <w:pPr>
        <w:pStyle w:val="798"/>
        <w:numPr>
          <w:ilvl w:val="3"/>
          <w:numId w:val="0"/>
        </w:numPr>
        <w:jc w:val="both"/>
        <w:keepLines/>
        <w:spacing w:before="280" w:after="29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（二）医技系统</w:t>
      </w:r>
      <w:r>
        <w:rPr>
          <w:rFonts w:hint="eastAsia" w:ascii="宋体" w:hAnsi="宋体" w:eastAsia="宋体"/>
          <w:color w:val="000000"/>
          <w:sz w:val="24"/>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1.影像中心系统</w:t>
      </w:r>
      <w:r>
        <w:rPr>
          <w:rFonts w:ascii="宋体" w:hAnsi="宋体"/>
          <w:color w:val="000000"/>
          <w:sz w:val="24"/>
          <w:szCs w:val="24"/>
          <w:highlight w:val="none"/>
        </w:rPr>
      </w:r>
      <w:r/>
    </w:p>
    <w:tbl>
      <w:tblPr>
        <w:tblW w:w="9067"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7796"/>
      </w:tblGrid>
      <w:tr>
        <w:trPr>
          <w:trHeight w:val="1560"/>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构建院内影像数据交互平台，涵盖放射、核医学、超声、内镜、病理科、心电的全院级医学影像中心系统平台，加强医技科室信息化建设，加强各类业务数据的采集、传递、存储和使用等管理，促进医院内信息共享。同时，影像系统平台与医院原有临床系统的融合，实现与医院内部及外部系统的信息交互与共享，从而更好地为临床服务，提高诊治质量和效率。</w:t>
            </w:r>
            <w:r>
              <w:rPr>
                <w:rFonts w:ascii="宋体" w:hAnsi="宋体" w:cs="宋体"/>
                <w:color w:val="000000"/>
                <w:sz w:val="24"/>
                <w:highlight w:val="none"/>
              </w:rPr>
            </w:r>
            <w:r/>
          </w:p>
        </w:tc>
      </w:tr>
      <w:tr>
        <w:trPr>
          <w:trHeight w:val="936"/>
        </w:trPr>
        <w:tc>
          <w:tcPr>
            <w:tcBorders>
              <w:top w:val="non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产品功能要求包括：DICOM影像采集、非DICOM影像采集、在线影像归档存储、近线影像压缩存储、影像同步服务、在线影像清理服务、自动重启监控服务、影像后处理、影像文件信息检索、影像文件信息查询、胶片打印等。</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DICOM影像采集：要求实现影像采集实现与全院级所有的DICOM设备的对接，接收符合DICOM3.0标准的DICOM影像。</w:t>
            </w:r>
            <w:r>
              <w:rPr>
                <w:rFonts w:ascii="宋体" w:hAnsi="宋体" w:cs="宋体"/>
                <w:color w:val="000000"/>
                <w:sz w:val="24"/>
                <w:highlight w:val="none"/>
              </w:rPr>
            </w:r>
            <w:r/>
          </w:p>
        </w:tc>
      </w:tr>
      <w:tr>
        <w:trPr>
          <w:trHeight w:val="61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非</w:t>
            </w:r>
            <w:r>
              <w:rPr>
                <w:rFonts w:ascii="宋体" w:hAnsi="宋体" w:cs="Calibri"/>
                <w:color w:val="000000"/>
                <w:sz w:val="24"/>
                <w:highlight w:val="none"/>
              </w:rPr>
              <w:t xml:space="preserve">DICOM</w:t>
            </w:r>
            <w:r>
              <w:rPr>
                <w:rFonts w:hint="eastAsia" w:ascii="宋体" w:hAnsi="宋体" w:cs="宋体"/>
                <w:color w:val="000000"/>
                <w:sz w:val="24"/>
                <w:highlight w:val="none"/>
              </w:rPr>
              <w:t xml:space="preserve">影像采集：要求实现对不支持</w:t>
            </w:r>
            <w:r>
              <w:rPr>
                <w:rFonts w:ascii="宋体" w:hAnsi="宋体" w:cs="Calibri"/>
                <w:color w:val="000000"/>
                <w:sz w:val="24"/>
                <w:highlight w:val="none"/>
              </w:rPr>
              <w:t xml:space="preserve">DICOM</w:t>
            </w:r>
            <w:r>
              <w:rPr>
                <w:rFonts w:hint="eastAsia" w:ascii="宋体" w:hAnsi="宋体" w:cs="宋体"/>
                <w:color w:val="000000"/>
                <w:sz w:val="24"/>
                <w:highlight w:val="none"/>
              </w:rPr>
              <w:t xml:space="preserve">标准设备进行数据采集，可通过采集卡将设备视频源传输到采集工作站进行图像采集。</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在线影像归档存储：要求实现将收图服务接收到的DICOM影像文件按指定的格式归档存储到在线目录里面。</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近线影像压缩存储：要求实现将在线的原始DICOM影像压缩后，归档存储到近线存储目录里面。</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影像同步服务：要求实现将本机PACS服务器接收的影像同步到其他PACS服务器上。</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在线影像清理服务：要求实现在线影像清理服务，主要负责监控PACS服务器在线存储目录。</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自动重启监控服务：要求实现对于影像数据中心服务自动监控，当服务处于停止时，系统将可以完成自动重启服务，并对服务日志进行监控。</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影像后处理：要求具备多平面重建功能，包括冠状、矢状、斜位、曲面等方位的图像重建。</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影像文件信息检索：要求支持患者检查信息快速检索功能，要求包括患者ID、姓名、检查号、检查项目、检查日期和检查类型进行检查信息的查询。</w:t>
            </w:r>
            <w:r>
              <w:rPr>
                <w:rFonts w:ascii="宋体" w:hAnsi="宋体" w:cs="宋体"/>
                <w:color w:val="000000"/>
                <w:sz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影像文件信息查询：要求可以实现对于影像文件信息的快速检索，如检查的唯一标识、序列的唯一标识、Dicom对象的唯一标识。</w:t>
            </w:r>
            <w:r>
              <w:rPr>
                <w:rFonts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96"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胶片打印：要求可以通过影像数据中心实现胶片的打印功能。</w:t>
            </w:r>
            <w:r>
              <w:rPr>
                <w:rFonts w:ascii="宋体" w:hAnsi="宋体" w:cs="宋体"/>
                <w:color w:val="000000"/>
                <w:sz w:val="24"/>
                <w:highlight w:val="none"/>
              </w:rPr>
            </w:r>
            <w:r/>
          </w:p>
        </w:tc>
      </w:tr>
    </w:tbl>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2.PACS升级</w:t>
      </w:r>
      <w:r>
        <w:rPr>
          <w:rFonts w:ascii="宋体" w:hAnsi="宋体"/>
          <w:color w:val="000000"/>
          <w:sz w:val="24"/>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2.1放射科信息系统</w:t>
      </w:r>
      <w:r>
        <w:rPr>
          <w:rFonts w:ascii="宋体" w:hAnsi="宋体"/>
          <w:color w:val="000000"/>
          <w:sz w:val="24"/>
          <w:szCs w:val="24"/>
          <w:highlight w:val="none"/>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系统概述</w:t>
            </w:r>
            <w:r>
              <w:rPr>
                <w:rFonts w:ascii="宋体" w:hAnsi="宋体" w:cs="宋体"/>
                <w:b/>
                <w:color w:val="000000"/>
                <w:sz w:val="22"/>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放射科信息系统以高速多媒体计算机、数据库、局域网络技术应用为基础，专用于解决放</w:t>
            </w:r>
            <w:r>
              <w:rPr>
                <w:rFonts w:hint="eastAsia" w:ascii="宋体" w:hAnsi="宋体" w:cs="宋体"/>
                <w:color w:val="000000"/>
                <w:highlight w:val="none"/>
              </w:rPr>
              <w:t xml:space="preserve">射影像设备数字化登记、检查、存储、管理、诊断、信息处理的专业应用系统。它充分利用计算机技术，并与PACS系统无缝连接，简化放射科诊断的流程，缩短诊断时间，实现设备Worklist功能，在设备上通过连接Worklist直接读取病人基本信息及检查信息，检查技师拍完片后影像发送到PACS服务器实现快速存储与共享影像资料，报告医生调取PACS中的影像进行诊断、书写报告，审核发布，提高了医生工作效率，提升医疗质量，有效减少医患纠纷，同时提供全面的科室管理，健全科室科研和教学工作，实现放射科室日常工作的数字化和无纸化。</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放射科信息系统实现放射科病人登记、检查、诊断报告等流程的数字化管理，实现与HIS和PACS系统的无缝集成,，即实现病人电子检查申请单和检查报告的互通，减少重复登记的工作强度和不必要的人为失误，影像资料都保存在PACS系统中，支持全院共享调阅。同时要求RIS系统遵循IHE技术框架、HL7协议、DICOM标准，能够实现对各厂商HIS和PACS系统的无缝连接</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功能要求</w:t>
            </w:r>
            <w:r>
              <w:rPr>
                <w:rFonts w:ascii="宋体" w:hAnsi="宋体" w:cs="宋体"/>
                <w:b/>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要求提供查询模块、预约登记工作站、技师工作站、报告工作站、统计分析模块、排班模块、质量控制模块等功能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94"/>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详细要求</w:t>
            </w:r>
            <w:r>
              <w:rPr>
                <w:rFonts w:ascii="宋体" w:hAnsi="宋体" w:cs="宋体"/>
                <w:b/>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查询模块：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个性化查询：要求根据医生用户的个性喜好来配置对应的查询条件，查询显示列表和常用操作的功能按钮。对于颜色有要求的情况还可以根据检查状态设置对应的颜色。比如申请-绿色，急诊患者-红色等。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高级查询：要求提供多种与或关系的查询功能。比如查询某检查号或者某个登记号的查询。扩展查询的多样性，对于有复杂的与或关系、检索报告内容模糊查询等，这个功能非常实用。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定制查询：要求支持将医生常用的组合查询功能固定为功能按钮。方便以后登录系统查询可以一键完成。比如定制一个查询当天诊室三已经预约的数据。第一次查询之后将其保存自动生成一个功能按钮，下次点击按钮就可以直接查询该组合数据。方便快捷。</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编辑报告：要求支持数据查询出来后选中患者信息，点击编辑报告功能，则可以编写保存报告及其以后操作。</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szCs w:val="21"/>
                <w:highlight w:val="none"/>
                <w:lang w:bidi="ar"/>
              </w:rPr>
              <w:t xml:space="preserve">支持用户根据患者年龄段、患者性别、检查项目部位、检查设备等维护智能提醒，以及危急值关键字的提醒</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读卡：要求支持读取身份证号/就诊号/医保卡号等。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报告超时提醒：要求支持对于患者检查做完后拖了很长时间没有保存审核报告的情况进行提示，在查询列表上面醒目字样滚动显示。有助于医生及时发现未出报告的检查，提高医生工作效率。</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导出报告/图像：要求支持把患者检查信息的图像报告导出到本地。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打印报告：要求支持全科室统一位置打印报告。整个科室或者同一个检查组设定指定位置打印报告。查询指定患者信息，然后点击打印报告功能即可。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影像评级：要求支持影像质量评级（甲乙丙等）。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请求会诊：要求支持对于比较复杂的检查需要其他医生或者科室帮助的时候，可以用这个功能就能申请达到数据共享的目的。</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报告挂起：要求支持对于某条检查报告写到一半有特殊情况需要临时保存过会再来继续写的情况，可以采用报告挂起功能。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质量控制：要求支持提供进行数据修改的入口。查询数据后选中质量控制操作即可进行质量控制功能。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修改检查优先级：要求支持修改某条检查信息检查优先级，比如加急/军人优先等。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导出数据到Excel：要求支持将查询出来的数据导出到Excel存储到本地。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分配报告/审核医生：要求支持针对有的检查需要特定人来写报告或者审核报告的情况，可以选中患者信息进行分配功能。分配功能一般需要高级权限。</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修改检查技师：要求支持修改某条检查信息的技师信息。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取消终审：要求支持将某条检查信息终审信息因为特殊原因进行取消终审。取消终审后状态变为已审核状态。</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预约登记工作站：</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预约：对申请状态的检查执行预约操作，选择预约日期、预约时间段对病人检查进行预约操作；预约时产生的流水号规则可自定义，可按照诊室、科室或检查组多种方式生成流水号，可统一分配，也可以按照设备分配。支持同一个病人多条医嘱合并预约的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登记：预约状态的检查，患者按照预约时间到达科室后，可执行到达操作。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资源计划：在系统中按照时间段提前排出资源计划，按照周一至周日每天各时间段的资源数，生成资源计划到指定日期。支持选座模式，医生可选择做检查时预约到的具体时间点，使得预约更加高效，减少病人等待时间。</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查看申请信息：支持查看HIS中病人的电子病历（主诉、病史、检验结果等信息），支持查看申请单信息，支持通过扫描仪扫描申请单功能。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打印取片单、预约单：支持自定义取片凭证模板、预约单模板，打印出取片凭证及预约单，</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关联医嘱：支持补录的医嘱与其他检查的关联</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补录费用：支持HIS补录费用后，重新录入费用信息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手工录入患者检查：可自定义录入患者的病人类型，姓名、检查项目等信息，新增患者检查。</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修改患者信息：修改患者类型、病人姓名、年龄等患者信息，也可修改检查项目，检查部位等检查信息</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技师工作站：</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查询：技师可以在叫号界面通过选择查询条件（检查子类、检查组、诊间、时间等）点击查询按钮，来筛选符合要求的患者。</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呼叫：点击“呼叫下一个”按钮，系统按患者登记时间的排序进行呼叫；也可选择某位患者，点击“呼叫”按钮，对指定患者进行呼叫，也可对过号患者进行呼叫。</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过号：如患者呼叫后未能到场，点击“过号”按钮，将该患者置于过号列表中，患者状态从“已呼叫”变为“过号”。</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浏览电子申请单：可以通过点击“电子申请单”按钮来查看病人的申请单。</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修改患者检查状态：可以通过点击“到达”、“开始检查”、“取消检查”、“检查完成”来更改患者当前的检查状态（到达、正在检查、检查完成）。</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设置患者检查信息：可录入曝光次数、胶片数量、检查技师和护师等信息，其中通过检查技师及辅助技师的选择，实现技师工作量的统计，填写检查的备注信息，提醒报告医生在诊断时的注意事项等。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打印取片凭证：可为已经做完检查，是“检查完成”状态的患者打印取片凭证，方便患者后续来领取胶片。</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设置胶片已打印：点击“胶片已打印”按钮，对此次检查进行标记，可避免胶片重复打印。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影像匹配：点击“影像匹配”按钮，可自动调出质量控制的影像模块，方便检索PACS中的影像进行匹配。</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报告工作站：</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维护报告样式：要求可根据医院要求制作不同样式的报告，维护好的报告样式需要关联科室才可在该科室使用，在录入检查诊断信息时，医生可根据当前检查项目以及部位选择合适的报告样式。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浏览影像：要求支持查看该患者通过设备采集到的图像。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录入以及修改报告：要求支持当患者在医技执行科室完成检查之后，医生在报告界面对患者进行报告录入，报告医生可保存完成的报告并且保存的报告也同时会以PDF文件保存在电脑上，此时检查状态变为“已录入报告”，并且原报告医生可随时打开并修改已保存的报告。医生在点击“保存报告”时要求可以设置是否返回首页，若选择返回，在保存报告之后返回首页；若选择不返回，在保存报告之后停留在当前页面。提交审核：报告完成之后，报告医生可提交报告给审核医生进行审核，此时患者状态变为“已提交”，并且报告医生不可再修改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审核以及驳回报告：要求支持保存成功以及提交审核的报告，都可进行审核，审核医生可对报告进行修改，审核完成的报告临床医生站该条检查状态变为“执行”。若报告存在问题，要求支持审核医生可驳回报告，报告医生可再次对报告进行修改。医生在点击“审核报告”时要求可以设置是否返回首页以及审核打印，若选择返回，在保存报告之后返回首页；若选择不返回，在保存报告之后停留在当前页面；若选择审核打印，则在报告审核之后自动打印报告单。</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终审报告：要求支持报告审核完毕后，也可对报告进行终审操作，终审后的报告检查状态变为“已终审”。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报告打印以及补打报告：要求支持报告医生可对已经完成的报告进行打印，也可以补打当前患者的报告。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模板数据：要求支持医生可以将“检查方法”、“检查所见”、“诊断意见”以模板的形式保存，当报告医生需要使用某个模板时要求支持可直接对当前报告进行添加或者替换。要求模板可以保存为公有模板和私有模板，公有模板要求支持对科室的所有医生都可以维护和使用，私有模板要求仅当前医生可以维护和使用。同时模板要求支持建立各级目录来保存不同的模板数据。医生还可使用智能模板，根据医嘱项及相关模板使用频率进行排序，最常用的模板排在首位。</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智能提醒：要求支持医生可根据患者年龄段、患者性别、检查部位、检查设备等维护智能提醒。例如维护患者性别为“男”，提醒关键字为“子宫”，在保存男性患者报告时若报告内容出现“子宫”字样，则提醒医生是否继续保存。</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报告记录：要求可查看该报告的所有执行操作过程；包括：操作医生、操作时间、操作状态（保存、访问、审核等）以及操作之后报告的内容。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标记回访：若患者需要回访，可为患者添加标记回访，设置回访日期、提前提醒天数以及回访医生，则可在回访前提醒回访医生该患者需要进行回访。</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质量控制：要求可设置报告阴阳性是否为必选项，默认阳性或者阴性；影像评级是否为必选项，默认是否为甲级；报告保存（第一次保存）多久后不能修改；报告结果同步调整字体大小，由于部分报告的某些模块需要录入字数较多，为了适应报告纸张大小其字体就会自动缩小，为了适应保持字体大小一致其他内容字体也会同步缩小；报告是否需要审核；报告是否需要终审；可编辑报告的检查状态，设置患者在预约、到达、已有图像、正在检查、检查完成状态医生才可编辑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相关检查：要求可以查看该患者所做其他检查的日期、临床诊断、检查所见、诊断意见以及查看影像。</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统计分析模块：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科室收入统计：要求支持按检查子类，设备，申请科室，病人类型，转诊，和部位大类来统计科室收入。支持按预约日期，登记日期，检查日期，报告日期统计。支持选择某个科室统计。支持按两种不同录入医嘱的方式统计，HIS医嘱登记和手工登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医生工作量统计：要求支持医生工作量涉及数据最多，最复杂，可以统计医生，技师，</w:t>
            </w:r>
            <w:r>
              <w:rPr>
                <w:rFonts w:hint="eastAsia" w:ascii="宋体" w:hAnsi="宋体" w:cs="宋体"/>
                <w:color w:val="000000"/>
                <w:highlight w:val="none"/>
              </w:rPr>
              <w:t xml:space="preserve">护师，曝光数等许多方面。要求支持所有医生工作量统计。也可以支持报告医生，审核医生，登记医生，报告录入者，介入医生，会诊医生，辅助医生，护师，核对护师，检查技师工作量统计。要求支持影像评级，报告评级，审核报告评级统计。支持预约率，报告被驳回率，医生退回报告，已完成的检查率统计。支持检查项目，申请医生检查项目，医生检查项目统计。要求支持报告医生检查部位，审核医师检查部位，检查技师检查部位统计。要求支持扫描方式，同比-环比，检查项目权重*设备权重，检查部位权重统计。要求支持检查技师曝光次数，报告医师曝光次数统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设备工作量统计：要求支持按日期段，精确时间点，检查子类，检查部位，检查设备，用户来统计。支持按报告日期，检查日期，登记日期统计。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病案统计：病案统计分为三块，病案统计，阳性率统计和医嘱检测信息。病案统计要求支持按报告日期，检查日期，登记日期来统计。要求支持按检查子类，检查部位，</w:t>
            </w:r>
            <w:r>
              <w:rPr>
                <w:rFonts w:hint="eastAsia" w:ascii="宋体" w:hAnsi="宋体" w:cs="宋体"/>
                <w:color w:val="000000"/>
                <w:highlight w:val="none"/>
              </w:rPr>
              <w:t xml:space="preserve">检查项目，结构化，归档类型来统计。要求支持按是否活检检查，回访状态，检查结果，报告医生，审核医生，患者年龄来统计。统计结果支持患者信息，医嘱信息，就诊信息，年龄分布图，以及报告内容。支持高级查询，用户自定义查询条件查询。统计结果支持导出到工作站查询组件。阳性率统计，要求支持按日期段，检查子类，病人类型，用户，诊间，设备统计。要求支持按时间统计，报告日期，检查日期。要求支持按申请科室统计。统计结果支持饼状统计图。医嘱检测信息，要求支持当前用户，查看对某个医嘱具体时间进行的某种操作，是否取消计费，是否初始化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流程监控统计：要求支持按日期，检查子类，诊间，设备，报告医生，审核医生，通过选择开始状态与结束状态进行统计。要求支持按检查项目耗时，检查状态耗时统计。检查状态耗时统计，可以精确的统计出此医嘱从登记到审核报告一系列流程的具体时间。支持查看检查项目平均耗时饼图。</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打印：要求支持所有的统计类型下的统计结果都支持打印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绘制统计图：要求支持统计结果都支持柱状统计图显示</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病历明细：要求支持统计出来的结果选中后，都可以看出患者的基本信息，检查信息，医嘱信息等等，每个统计类型病历明细中显示的信息会有所区别。并且结果支持导出到EXCEL表格</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导出到EXCEL：要求所有统计结果都支持导出到EXCEL表格</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排班模块：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检查项目关联：要求支持用于设置检查项目和检查专业组的关联。要求系统支持选择多个检查项目批量关联某个专业组，也支持选择多个检查项目批量取消关联，同时要求可按患者类型区分设置专业组关联的检查项目。支持按检查子类来过滤未关联的检查项目，方便检查项目的选择。</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用户关联：用于设置用户和检查专业组的关联。支持按角色区分设置与专业组关联的用户，可选择多个用户批量设置关联，也可选择多个用户批量取消关联。</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护人员排班：要求根据角色和专业组设置医护人员在一段时间内的排班。选择排班日期、角色和专业组开始排班后，会显示一周内的排班情况，双击要排班的时间单元格，会弹出跟当前角色和专业组关联的用户，即可排班的用户，可选择多个用户来排班。要求支持将一周的排班复制到本科室或其它科室、角色和专业组里，解决医院同班次用户可在不同科室值班，或写不同专业组报告的需求，减少重复排班。要求支持切换当前用户能登录的其它科室进行排班，对完成的排班可进行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资源排班：资源排班用于按日期修改资源的可预约数。选择日期点击生成排班后，会根据资源计划生成一周的资源使用情况，包括可预约数和当前剩余数量。双击每个单元格，要求可修改某个设备在对应日期的可预约数。要求支持按设备过滤资源排班情况。</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质量控制模块：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修改患者基础信息：要求支持患者基础信息的修改的数据包含对患者的登记号、姓名、拼音的修改。对于其他信息，要求支持在预约登记组件来直接修改。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修改检查信息：要求可以将患者检查过程中产生的错误数据直接进行修改。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取消计费：要求可以对HIS发消息，取消该检查的计费。在患者需要进行出院结算，但是还有检查未做的时候进行处理。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修改报告信息：要求支持对检查的报告信息进行修改，例如修改报告的保存时间、审核医生等。要求支持在这里进行修改数据后，报告文件已经生成并且上传的话，临床调阅的文件并不会发生改变。</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取消报告：取消报告信息主要目的是对该检查的报告进行重写，要求支持只有状态为已录入报告的患者可以取消报告，取消报告后检查将回到写报告之前的状态，到达或已有图像。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转交：报告转交主要目的是批量修改报告锁定的用户，要求支持在RIS中当一份报告被用户打开后，或者分配报告给指定医生后，将会给该报告添加用户锁定。当锁定用户不在电脑前或者锁定用户临时有事离岗后，在该处可批量修改锁定的医生，交给其他医生来处理报告</w:t>
            </w:r>
            <w:r>
              <w:rPr>
                <w:rFonts w:ascii="宋体" w:hAnsi="宋体" w:cs="宋体"/>
                <w:color w:val="000000"/>
                <w:highlight w:val="none"/>
              </w:rPr>
            </w:r>
            <w:r/>
          </w:p>
        </w:tc>
      </w:tr>
    </w:tbl>
    <w:p>
      <w:pPr>
        <w:pStyle w:val="1167"/>
        <w:ind w:firstLine="0"/>
        <w:spacing w:line="360" w:lineRule="auto"/>
        <w:rPr>
          <w:rFonts w:ascii="宋体" w:hAnsi="宋体"/>
          <w:b/>
          <w:bCs/>
          <w:color w:val="000000"/>
          <w:highlight w:val="none"/>
        </w:rPr>
      </w:pPr>
      <w:r>
        <w:rPr>
          <w:rFonts w:hint="eastAsia" w:ascii="宋体" w:hAnsi="宋体"/>
          <w:b/>
          <w:bCs/>
          <w:color w:val="000000"/>
          <w:highlight w:val="none"/>
        </w:rPr>
        <w:t xml:space="preserve">2.2医学影像传输与归档系统</w:t>
      </w:r>
      <w:r>
        <w:rPr>
          <w:rFonts w:ascii="宋体" w:hAnsi="宋体"/>
          <w:b/>
          <w:bCs/>
          <w:color w:val="000000"/>
          <w:highlight w:val="none"/>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学影像信息管理系统以高速多媒体计算机、数据库、局域网络技术应用为基础，专用于解决影像设备数字化登记、检查、存储、管理、诊断、信息处理的专业应用系统，是实现医学影像信息资料电子化传输和存储，对放射、核医学、超声等医学影像信息资料进行后处理与调阅的综合应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前台预约登记工作站获取HIS传输过来的申请医嘱信息进行检查预约，分诊登记，设备通过连接Worklist服务直接读取病人基本信息及检查信息，检查技师拍完片后将影像发送到PACS服务器，PACS服务接收到影像后进行存储、归档。报告医生调阅PACS中的影像进行诊断、书写报告，审核发布，并打印交付患者。</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医学影像信息管理系统同时提供质控管理、统计分析和排班功能，提供全面的科室管理，健全科室科研和教学工作，实现检查科室日常工作的数字化和无纸化。</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要求提供影像采集、数据存储归档、影像后处理、图像内容检索、影像调阅模块等功能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详细要求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影像采集要求支持</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DICOM影像采集要求实现与全院级所有的DICOM设备的对接，接收符合DICOM3.0标准的DICOM影像。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影像收图服务：收图服务要求支持接收来自于多种类型的DICOM SCU存储请求，支持标准的DICOM设备，CR、DR、CT、MR、NM(核医学)、PET、PET-CT,XA(血管造影)、XRF(X射线荧光)、DSA、Ultrasound Multiframe(动态超声)、Ultrasound(超声)、Endo-scopic(内窥镜)、Microscopic(病理显微镜)，还支持DICOM网关转换的DICOM 文件(视频二次采集)等。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DICOM核心服务类：要求支持DICOM服务：C-ECHO,C-Find,CMove,CSTORAGE,支持所有标准DICOM图像的接收，并对图像进行归档存储。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非DICOM影像采集</w:t>
            </w:r>
            <w:r>
              <w:rPr>
                <w:rFonts w:ascii="宋体" w:hAnsi="宋体" w:cs="宋体"/>
                <w:color w:val="000000"/>
                <w:highlight w:val="none"/>
              </w:rPr>
              <w:t xml:space="preserve">要求支持</w:t>
            </w:r>
            <w:r>
              <w:rPr>
                <w:rFonts w:hint="eastAsia" w:ascii="宋体" w:hAnsi="宋体" w:cs="宋体"/>
                <w:color w:val="000000"/>
                <w:highlight w:val="none"/>
              </w:rPr>
              <w:t xml:space="preserve">设备若不支持DICOM标准，可通过采集卡将设备视频源传输到采集工作站进行图像采集。图像采集工作站要求支持多种类型采集卡，支持单张图片采集和动态视频采集。对于采集图像方式支持采集卡/网口，采集快捷键支持程序按键操作，键盘快捷键操作，脚踏板/USB手柄操作。采集完的JPG图像可以上传到文件服务器直接存储，也可转换成DICOM上传到PACS服务器统一存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要求通过完成对患者检查图像的快速采集，以及视频的录制上传，实现诊室内部实时显示实时上传</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数据存储归档</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要求数据存储归档模块负责支持将影像患者检查信息插入PACS影像数据库，同时将影像文件进行在线存储和近线压缩存储。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要求支持在线影像归档存储：负责将收图服务接收到的DICOM影像文件按指定的格式归档存储到在线Image目录里面。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要求支持近线影像压缩存储：负责将在线的原始DICOM影像压缩后，归档存储到近线存储EOL目录里面。同时更新数据库EOL 对应的标志位。近线存储可以采用相对廉价的存储系统SATA，SAS，IDE等磁盘阵列。所有的影像都永久存储在近线存储上。近线存储的空间，随着医院影像数据的增加，需要不停的扩充。为了节省存储空间，系统可以采用JPEG 的无损压缩，或者是 JPEG2000 的无损压缩。</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要求支持影像同步服务：影像同步服务负责将本机PACS服务器接收的影像同步到其他PACS服务器上，保证所有PACS服务器在线影像都相同，更好的保障影像文件的安全性。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在线影像清理服务：在线影像清理服务负责监控PACS服务器在线Image存储目录，当Image所在磁盘剩余空间小于指定最小剩余存储空间时，负责将在线存储目录里面已经归档压缩过的历史图像进行删除清理，保证在线存储有足够的存储空间接收新的DICOM影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自动重启监控服务：PACS服务器自动重启监控服务负责监控影像收图服务，影像归档存储服务，影像同步服务，影像清理服务的运行状态是否正常，如果以上服务状态不是运行状态，自动重启服务能及时的检测到并启动以上服务，保证以上服务随时都能正常运行。同时监控以上服务占用内存和CPU的情况，如果某个服务出现占用内存和CPU异常，监控服务能及时重启异常的服务。</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要求支持影像后处理的多平面重建功能，在横断面扫描的基础上，要求支持对某些标线指定的组织进行不同方位的重组，从而得到冠状、矢状、斜位、曲面等方位的二维图像。</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图像内容检索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要求支持影像调阅前的检查信息的查询。要求包括：</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查询患者检查信息、查询条件设置</w:t>
            </w:r>
            <w:r>
              <w:rPr>
                <w:rFonts w:ascii="宋体" w:hAnsi="宋体" w:cs="宋体"/>
                <w:color w:val="000000"/>
                <w:highlight w:val="none"/>
              </w:rPr>
              <w:t xml:space="preserve">、</w:t>
            </w:r>
            <w:r>
              <w:rPr>
                <w:rFonts w:hint="eastAsia" w:ascii="宋体" w:hAnsi="宋体" w:cs="宋体"/>
                <w:color w:val="000000"/>
                <w:highlight w:val="none"/>
              </w:rPr>
              <w:t xml:space="preserve">图像基本信息检索、查询图像信息等查询功能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影像调阅</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要求实现对影像的传输和影像的浏览及操作功能。为了提高影像传输效率及更好与其他系统集成，影像传输要求即既可以支持基于TCP/IP协议的DICOM服务，也可以支持基于Web HTTP协议的WADO服务；影像浏览及操作模块是对二维图像的平面操作集合，涉及彩色和灰度图像的操作</w:t>
            </w:r>
            <w:r>
              <w:rPr>
                <w:rFonts w:ascii="宋体" w:hAnsi="宋体" w:cs="宋体"/>
                <w:color w:val="000000"/>
                <w:highlight w:val="none"/>
              </w:rPr>
            </w:r>
            <w:r/>
          </w:p>
        </w:tc>
      </w:tr>
      <w:tr>
        <w:trPr/>
        <w:tc>
          <w:tcPr>
            <w:tcBorders>
              <w:top w:val="none" w:color="000000" w:sz="4" w:space="0"/>
              <w:left w:val="single" w:color="000000" w:sz="4" w:space="0"/>
              <w:bottom w:val="non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影像浏览器功能要求支持影像格式转换及影像调阅功能，要求包含</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影像解析、调窗、堆栈、缩放、放大镜、翻转、探针、反转等功能</w:t>
            </w:r>
            <w:r>
              <w:rPr>
                <w:rFonts w:ascii="宋体" w:hAnsi="宋体" w:cs="宋体"/>
                <w:color w:val="000000"/>
                <w:highlight w:val="none"/>
              </w:rPr>
              <w:t xml:space="preserve"> </w:t>
            </w:r>
            <w:r>
              <w:rPr>
                <w:rFonts w:ascii="宋体" w:hAnsi="宋体" w:cs="宋体"/>
                <w:color w:val="000000"/>
                <w:highlight w:val="none"/>
              </w:rPr>
            </w:r>
            <w:r/>
          </w:p>
        </w:tc>
      </w:tr>
      <w:tr>
        <w:trPr/>
        <w:tc>
          <w:tcPr>
            <w:tcBorders>
              <w:top w:val="none" w:color="000000" w:sz="4" w:space="0"/>
              <w:left w:val="single" w:color="000000" w:sz="4" w:space="0"/>
              <w:bottom w:val="none" w:color="000000" w:sz="4" w:space="0"/>
              <w:right w:val="single" w:color="000000" w:sz="4" w:space="0"/>
            </w:tcBorders>
            <w:tcW w:w="1305" w:type="dxa"/>
            <w:vAlign w:val="center"/>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影像操作配置管理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要求支持配置影像浏览器运行所需的基本环境参数和用户自定义参数。主要功能要求包含布局配置、窗口配置、调窗配置、操作行为配置： </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光盘刻录</w:t>
            </w:r>
            <w:r>
              <w:rPr>
                <w:rFonts w:ascii="宋体" w:hAnsi="宋体" w:cs="宋体"/>
                <w:color w:val="000000"/>
                <w:highlight w:val="none"/>
              </w:rPr>
              <w:t xml:space="preserve">：</w:t>
            </w:r>
            <w:r>
              <w:rPr>
                <w:rFonts w:hint="eastAsia" w:ascii="宋体" w:hAnsi="宋体" w:cs="宋体"/>
                <w:color w:val="000000"/>
                <w:highlight w:val="none"/>
              </w:rPr>
              <w:t xml:space="preserve">光盘刻录模块要求支持将选择的检查列表中的影像下载到本地，并生成影像索引文件DICOMDIR，然后将影像、索引文件和轻便版的浏览器一起进行刻录。</w:t>
            </w:r>
            <w:r>
              <w:rPr>
                <w:rFonts w:ascii="宋体" w:hAnsi="宋体" w:cs="宋体"/>
                <w:color w:val="000000"/>
                <w:highlight w:val="none"/>
              </w:rPr>
            </w:r>
            <w:r/>
          </w:p>
        </w:tc>
      </w:tr>
    </w:tbl>
    <w:p>
      <w:pPr>
        <w:pStyle w:val="794"/>
        <w:ind w:left="425"/>
        <w:keepLines/>
        <w:keepNext/>
        <w:spacing w:after="120" w:line="360" w:lineRule="auto"/>
        <w:rPr>
          <w:rFonts w:ascii="宋体" w:hAnsi="宋体"/>
          <w:b/>
          <w:bCs/>
          <w:vanish/>
          <w:color w:val="000000"/>
          <w:sz w:val="32"/>
          <w:szCs w:val="32"/>
          <w:highlight w:val="none"/>
        </w:rPr>
        <w:outlineLvl w:val="1"/>
      </w:pPr>
      <w:r>
        <w:rPr>
          <w:rFonts w:ascii="宋体" w:hAnsi="宋体"/>
          <w:b/>
          <w:bCs/>
          <w:vanish/>
          <w:color w:val="000000"/>
          <w:sz w:val="32"/>
          <w:szCs w:val="32"/>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2.3超声影像信息系统</w:t>
      </w:r>
      <w:r>
        <w:rPr>
          <w:rFonts w:ascii="宋体" w:hAnsi="宋体"/>
          <w:color w:val="000000"/>
          <w:sz w:val="24"/>
          <w:szCs w:val="24"/>
          <w:highlight w:val="none"/>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系统概述</w:t>
            </w:r>
            <w:r>
              <w:rPr>
                <w:rFonts w:ascii="宋体" w:hAnsi="宋体" w:cs="宋体"/>
                <w:b/>
                <w:color w:val="000000"/>
                <w:sz w:val="22"/>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超声影像信息系统以高速多媒体计算机、数据库、局域网络技术应用为基础，专用于解决超声影像设备数字化登记、检查、存储、管理、诊断、信息处理的专业应用系统，是实现超声影像信息资料电子化传输与调阅的综合应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前台预约登记工作站获取HIS传输过来的申请医嘱信息进行检查预约，分诊登记，检查医生对病人做检查，并采集超声影像后将图像存储到服务器，同时完成诊断图文报告，审核发布，并打印交付患者。</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超声影像信息系统同时提供质控管理、统计分析和排班功能，提供全面的科室管理，健全科室科研和教学工作，实现检查科室日常工作的数字化和无纸化。</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功能要求</w:t>
            </w:r>
            <w:r>
              <w:rPr>
                <w:rFonts w:ascii="宋体" w:hAnsi="宋体" w:cs="宋体"/>
                <w:b/>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要求提供患者查询、检查预约、登记、排队叫号、图像采集、诊断工作站、诊断报告管理、诊断报告打印、质控管理、统计分析、排班管理等等功能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94"/>
              <w:spacing w:line="360" w:lineRule="auto"/>
              <w:widowControl/>
              <w:rPr>
                <w:rFonts w:ascii="宋体" w:hAnsi="宋体" w:cs="宋体"/>
                <w:b/>
                <w:color w:val="000000"/>
                <w:sz w:val="22"/>
                <w:highlight w:val="none"/>
              </w:rPr>
            </w:pPr>
            <w:r>
              <w:rPr>
                <w:rFonts w:hint="eastAsia" w:ascii="宋体" w:hAnsi="宋体" w:cs="宋体"/>
                <w:b/>
                <w:color w:val="000000"/>
                <w:sz w:val="22"/>
                <w:highlight w:val="none"/>
              </w:rPr>
              <w:t xml:space="preserve">详细要求</w:t>
            </w:r>
            <w:r>
              <w:rPr>
                <w:rFonts w:ascii="宋体" w:hAnsi="宋体" w:cs="宋体"/>
                <w:b/>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患者查询：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个性化查询功用，可根据医生用户的个性喜好来配置对应的查询条件，查询显示列表和常用操作的功能按钮。对于颜色有要求的情况还可以根据检查状态设置对应的颜色。比如申请-绿色，急诊患者-红色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要求支持高级查询功能，能够提供多种与或关系的查询功能。比如查询某检查号或者某个登记号的查询。扩展查询的多样性，对于有复杂的与或关系、检索报告内容模糊查询等，这个功能非常实用。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定制查询功能，将医生常用的组合查询功能固定为功能按钮。方便以后登录系统查询可以一键完成。比如定制一个查询当天诊室三已经预约的数据。第一次查询之后将其保存自动生成一个功能按钮，下次点击按钮就可以直接查询该组合数据。方便快捷。</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要求提供编辑报告功能，在查询列表加入了一个编辑发布报告的入口点。数据查询出来后选中患者信息，点击编辑报告功能，则可以编写保存报告及其以后操作。</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szCs w:val="21"/>
                <w:highlight w:val="none"/>
                <w:lang w:bidi="ar"/>
              </w:rPr>
              <w:t xml:space="preserve">要求支持相关诊断功能，需要显示本病人的所有不同时间、不同设备的相关影像检查以及报告资料。</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要求提供采集图像功能，在查询列表加入了一个采集图像的入口点。数据查询出来后选中患者信息，点击采集图像功能，则可快捷跳转到采集界面进行相应操作。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要求提供读卡功能，要求适配大多数医院/厂商提供的读卡器。读卡快速读取卡内登记号自动查询数据。支持读取身份证号/就诊号/医保卡号等。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要求提供报告超时提醒功能，要求支持对于患者检查做完后拖了很长时间没有保存审核报告的情况进行提示，在查询列表上面醒目字样滚动显示。有助于医生及时发现未出报告的检查，提高医生工作效率。</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要求提供导出报告/图像功能，把患者检查信息的图像报告导出到本地。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要求提供打印报告功能，支持全科室统一位置打印报告。整个科室或者同一个检查组设定指定位置打印报告。查询指定患者信息，然后点击打印报告功能即可。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要求提供请求会诊功能，对于比较复杂的检查需要其他医生或者科室帮助的时候，可以用这个功能就行申请达到数据共享的目的。</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要求提供报告挂起功能，对于某条检查报告写到一半有特殊情况需要临时保存过会再来继续写的情况，可以采用报告挂起功能。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要求提供质量控制功能，提供进行数据修改的入口。查询数据后选中质量控制操作即可进行质量控制功能。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要求提供修改叫号诊室功能，修改呼叫队列某条检查信息的诊室信息。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要求提供修改检查优先级功能，修改某条检查信息检查优先级，比如加急/军人优先等。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要求提供导出数据到Excel功能，将查询出来的数据导出到Excel存储到本地。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要求提供分配报告/审核医生功能，针对有的检查需要特定人来写报告或者审核报告的情况，可以选中患者信息进行分配功能。分配功能一般需要高级权限。</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要求提供修改检查技师功能，可以修改某条检查信息的技师信息。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要求提供取消终审功能，将某条检查信息终审信息因为特殊原因进行取消终审。取消终审后状态变为已审核状态。</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检查预约：</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预约功能，对申请状态的检查执行预约操作，选择预约日期、预约时间段对病人检查进行预约操作；预约时产生的流水号规则可自定义，可按照诊室、科室或检查组多种方式生成流水号，可统一分配，也可以按照设备分配。支持同一个病人多条医嘱合并预约的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资源计划功能，在系统中按照时间段提前排出资源计划，按照周一至周日每天各时间段的资源数，生成资源计划到指定日期。支持选座模式，医生可选择做检查时预约到的具体时间点，使得预约更加高效，减少病人等待时间。</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要求支持查看申请信息功能，要求支持查看HIS中病人的电子病历（主诉、病史、检验结果等信息），支持查看申请单信息，支持通过扫描仪扫描申请单功能。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要求提供打印预约单功能，支持自定义预约单模板，打印预约单，预约单打印可配置为预约后自动打印，也可选择手动打印。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要求提供补录费用功能，支持HIS补录费用后，重新录入费用信息。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要求提供手工录入患者检查功能，可自定义录入患者的病人类型，姓名、检查项目等信息，新增患者检查。</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要求提供修改患者信息功能，支持修改患者类型、病人姓名、年龄等患者信息，也可修改检查项目，检查部位等检查信息。</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登记：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要求支持到达确认功用，支持预约状态的检查，患者按照预约时间到达科室后，可执行到达操作。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要求支持查看申请信息功能，支持查看HIS中病人的电子病历（主诉、病史、检验结果等信息），支持查看申请单信息，支持通过扫描仪扫描申请单功能。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要求支持打印取片单功能，支持自定义取片凭证模板，打印出取片凭证，取片凭证打印可配置为预约后自动打印，也可选择手动打印。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要求支持关联医嘱功用，支持补录的医嘱与其他检查的关联。</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排队叫号：</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要求支持呼叫队列生成功能，支持按诊间或分组生成呼叫队列。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要求支持查询呼叫队列功能，医生可灵活选择按诊间或检查组、检查子类等来检索呼叫队列信息，满足科室多种情况使用。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要求支持呼叫功能，调用其他语音叫号系统进行语音呼叫病人，并用多媒体终端显示叫号信息。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要求支持呼叫下一个患者功能，支持自动呼叫下一个未呼叫或等待状态的病人。</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要求支持过号功能，支持将呼叫后未按时来做检查的病人进行过号操作，并显示到过号列表。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要求支持取消过号功能，支持将过号病人恢复到等候病人队列。</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图像采集：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要求支持图像采集模块支持DICOM方式和采集卡方式采集超声影像。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DICOM方式采集。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对支持DICOM标准的超声设备可使用DICOM方式采集，设备通过WorkList服务获取病人列表，在设备上采集图像后，可将DICOM图像发送给超声影像客户端系统，要求客户端系统可直接将DICOM影像上传至PACS影像服务器统一存储，也可将DICOM影像转换成JPG存储，并将JPG图像加载到报告中。</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采集卡方式采集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要求支持采集卡采集图像，支持多种类型采集卡。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采集方式要求支持采集卡/网口，采集快捷键支持程序按键操作，键盘快捷键操作，脚踏板/USB手柄操作。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静态采集功能要求支持单张图片采集，并将采集到的JPG图像上传到服务器。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动态采集要求支持动态图像的采集及视频回放，支持多种视频压缩算法MPEG2,MPEG4 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要求支持图像的基本处理功能，如亮度调节、图像的旋转、放大、缩小、裁减、标注等，图像的模式识别等，能实现图像色彩亮度对比度调节。</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要求支持图像标注功能，可以把图像及标注打印在报告上面。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要求支持后台采集功能，支持书写诊断报告的同时后台采集，特殊患者可以先进行图像采集，把图像保存在工作站上，可以集中的把急诊患者图像采集下来，之后再加载到相应报告中。</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要求支持图像导入、导出功能，要求支持BMP/JPG/TIF/DICOM格式图像的导入和导出功能。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诊断工作站：</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要求支持维护报告样式功能，可根据医院要求制作不同样式的报告，维护好的报告样式需要关联科室才可在该科室使用，在录入检查诊断信息时，医生可根据当前检查项目以及部位选择合适的报告样式。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要求支持浏览影像功能，支持查看该患者通过设备采集到的图像。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录入以及修改报告功能，要求支持当患者在医技执行科室完成检查之后，医生在报告界面对患者进行报告录入，报告医生可保存完成的报告并且保存的报告也同时会以PDF文件保存在电脑上，此时检查状态变为“已录入报告”，并且原报告医生可随时打开并修改已保存的报告。医生在点击“保存报告”时可以设置是否返回首页，若选择返回，在保存报告之后返回首页；若选择不返回，在保存报告之后停留在当前页面。提交审核：报告完成之后，报告医生可提交报告给审核医生进行审核，此时患者状态变为“已提交”，并且报告医生不可再修改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审核以及驳回报告功能，要求支持保存成功以及提交审核的报告，都可进行审核，审核医生可对报告进行修改，审核完成的报告，临床医生站该条检查状态变为“执行”。若报告存在问题，审核医生可驳回报告，报告医生可再次对报告进行修改。医生在点击“审核报告”时可以设置是否返回首页以及审核打印，若选择返回，在保存报告之后返回首页；若选择不返回，在保存报告之后停留在当前页面；若选择审核打印，则在报告审核之后自动打印报告单。</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要求支持终审报告功能，要求支持报告审核完毕后，也可对报告进行终审操作，终审后的报告检查状态变为“已终审”。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要求支持报告打印以及补打报告功能，要求支持报告医生可对已经完成的报告进行打印，也可以补打当前患者的报告。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模板数据功能，医生可以将“检查方法”、“检查所见”、“诊断意见”以模板的形式保存，当报告医生需要使用某个模板时可直接对当前报告进行添加或者替换。模板可以保存为公有模板和私有模板，公有模板该科室的所有医生都可以维护和使用，私有模板仅当前医生可以维护和使用。同时模板也可建立各级目录来保存不同的模板数据。医生还可使用智能模板，根据医嘱项及相关模板使用频率进行排序，最常用的模板排在首位。</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智能提醒功能，医生可根据患者年龄段、患者性别、检查部位、检查设备等维护智能提醒。例如维护患者性别为“男”，提醒关键字为“子宫”，在保存男性患者报告时若报告内容出现“子宫”字样，则提醒医生是否继续保存。</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要求支持报告记录功能，可查看该报告的所有执行操作过程；包括：操作医生、操作时间、操作状态（保存、访问、审核等）以及操作之后报告的内容。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要求支持标记回访功能，若患者需要回访，可为患者添加标记回访，设置回访日期、提前提醒天数以及回访医生，则可在回访前提醒回访医生该患者需要进行回访。</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报告质量控制功能，要求可设置报告阴阳性是否为必选项，默认阳性或者阴性；影像评级是否为必选项，默认是否为甲级；报告保存（第一次保存）多久后不能修改；报告结果同步调整字体大小，由于部分报告的某些模块需要录入字数较多，为了适应报告纸张大小其字体就会自动缩小，为了适应保持字体大小一致其他内容字体也会同步缩小；报告是否需要审核；报告是否需要终审；可编辑报告的检查状态，设置患者在预约、到达、已有图像、正在检查、检查完成状态医生才可编辑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要求支持相关检查功能，支持可以查看该患者所做其他检查的日期、临床诊断、检查所见、诊断意见以及查看影像。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要求支持检查测值功能，支持DICOM SR报告的检查测值录入功能，可自定义多种测值方案，定义公式来自动计算测值单元的值，并支持动态打印到报告中。</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要求支持报告和采集界面设置功能，要求支持同屏采集和报告，实时采集和写诊断报告分屏显示，医生可以一边观看采集图像一边写诊断报告。</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诊断报告管理：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要求支持双通道上传：支持在存储服务器架设WCF存储服务程序，并同时开启FTP虚拟目录作为备用通道，实现双保险。大大增加了报告上传的稳定行与可靠性。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支持多服务器多存储介质抽象化存储，要求支持将物理存储抽象化为存储服务和存储介质，用户只需知道报告存储的服务器与介质名称即可。将用户与复杂的存储规则相隔离，同时将存储文件与存储介质相关联，达到高可扩容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要求提供web版调阅工具，给临床医生提供统一的web版调阅报告工具，此工具提供多种版式的调阅方式，只看报告，只看图像，报告和图像同时浏览。并且提供基于html5实现的禁止临床打印pdf报告功能。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诊断报告打印：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报告样式维护功能，可在样式设计器中维护报告样式，报告样式可根据检查项目子类关联，固定检查项目默认选择样式。报告样式可维护报告中各项基础信息元素，各个模块之间的排版，报告内容的字体、大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要求提供配置打印参数功能，要求支持打印参数包括选择报告样式、选择打印份数、选择图像行数、选择每个样式调用的打印机、选择等。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要求提供打印预览功能，要求支持配置打印预览后，打印会弹出生成PDF文件的预览页面缩略图，确认无误后可点击打印，减少报告内容填写的错误率。</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质控管理：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要求提供修改患者基础信息功能，要求支持患者基础信息的修改的数据只包含对患者的登记号、姓名、拼音的修改。对于其他信息，在预约登记组件来直接修改则更方便。</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要求提供合并患者功能，要求支持该功能主要目的是将两位患者的信息进行合并。实际效果为将一患者下的检查，全部更新到另一患者的检查下。</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要求提供修改检查信息功能，要求支持可以将患者检查过程中产生的错误数据直接进行修改。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要求提供取消计费功能，要求支持可以对HIS发消息，取消该检查的计费。在患者需要进行出院结算，但是还有检查未做的时候进行处理。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初始化检查功能，要求支持初始化主要目的是将患者的检查信息以及报告信息全部清除，但是会保留患者基础信息。如果为HIS开的医嘱，将会变为申请状态。如果为手动预约的医嘱，将会变为取消检查状态。</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修改报告信息功能，要求支持修改报告信息主要目的是对该检查的报告信息进行修改，例如修改报告的保存时间、审核医生等。但是要注意一点，这里进行修改数据后，报告文件已经生成并且上传的话，临床调阅的文件并不会发生改变。</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要求提供取消报告功能，要求支持取消报告信息主要目的是对该检查的报告进行重写，只有状态为已录入报告的患者可以取消报告，取消报告后检查将回到写报告之前的状态，到达或已有图像。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报告转交功能，要求支持报告转交主要目的是批量修改报告锁定的用户，在RIS中当一份报告被用户打开后，或者分配报告给指定医生后，将会给该报告添加用户锁定。当锁定用户不在电脑前或者锁定用户临时有事离岗后，在该处可批量修改锁定的医生，交给其他医生来处理报告。</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统计分析：</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科室收入统计功能，要求支持按检查子类，设备，申请科室，病人类型，转诊，和部位大类来统计科室收入。支持按预约日期，登记日期，检查日期，报告日期统计。支持选择某个科室统计。支持按两种不同录入医嘱的方式统计，HIS医嘱登记和手工登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要求提供医生工作量统计功能，要求支持医生工作量涉及数据最多，最复杂，</w:t>
            </w:r>
            <w:r>
              <w:rPr>
                <w:rFonts w:hint="eastAsia" w:ascii="宋体" w:hAnsi="宋体" w:cs="宋体"/>
                <w:color w:val="000000"/>
                <w:highlight w:val="none"/>
              </w:rPr>
              <w:t xml:space="preserve">可以统计医生，技师，护师，曝光数等许多方面。支持所有医生工作量统计。也可以支持报告医生，审核医生，登记医生，报告录入者，介入医生，会诊医生，辅助医生，护师，核对护师，检查技师工作量统计。支持影像评级，报告评级，审核报告评级统计。支持预约率，报告被驳回率，医生退回报告，已完成的检查率统计。支持检查项目，申请医生检查项目，医生检查项目统计。支持报告医生检查部位，审核医师检查部位，检查技师检查部位统计。支持扫描方式，同比-环比，检查项目权重-设备权重，检查部位权重统计。支持检查技师曝光次数，报告医师曝光次数统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要求提供设备工作量统计功能，要求支持按日期段，精确时间点，检查子类，检查部位，检查设备，用户来统计。支持按报告日期，检查日期，登记日期统计。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要求提供病案统计功能，要求支持病案统计分为了三块，病案统计，阳性率统计和医嘱检测信息。病案统计支持按报告日期，检查日期，登记日期来统计。支持按</w:t>
            </w:r>
            <w:r>
              <w:rPr>
                <w:rFonts w:hint="eastAsia" w:ascii="宋体" w:hAnsi="宋体" w:cs="宋体"/>
                <w:color w:val="000000"/>
                <w:highlight w:val="none"/>
              </w:rPr>
              <w:t xml:space="preserve">检查子类，检查部位，检查项目，结构化，归档类型来统计。支持按是否活检检查，回访状态，检查结果，报告医生，审核医生，患者年龄来统计。统计结果支持患者信息，医嘱信息，就诊信息，年龄分布图，以及报告内容。支持高级查询，用户自定义查询条件查询。统计结果支持导出到工作站查询组件。阳性率统计，支持按日期段，检查子类，病人类型，用户，诊间，设备统计。支持按时间统计，报告日期，检查日期。支持按申请科室统计。统计结果支持饼状统计图。医嘱检测信息，支持当前用户，查看对某个医嘱具体时间进行的某种操作，是否取消计费，是否初始化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流程监控统计功能，要求支持按日期，检查子类，诊间，设备，报告医生，审核医生，通过选择开始状态与结束状态进行统计。支持按检查项目耗时，检查状态耗时统计。检查状态耗时统计，可以精确的统计出此医嘱从登记到审核报告一系列流程的具体时间。支持查看检查项目平均耗时饼图。</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要求提供打印功能，要求支持所有的统计类型下的统计结果都支持打印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要求提供绘制统计图功能，要求支持统计结果都支持柱状统计图显示</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要求提供病历明细功能，要求支持统计出来的结果选中后，都可以看出患者的基本信息，检查信息，医嘱信息等等，每个统计类型病历明细中显示的信息会有所区别。并且结果支持导出到EXCEL表格</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要求提供导出到EXCEL功能，要求提供所有统计结果都支持导出到EXCEL表格</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排班管理：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检查项目关联功能，要求支持用于设置检查项目和检查专业组的关联。系统支持选择多个检查项目批量关联某个专业组，也支持选择多个检查项目批量取消关联，同时可按患者类型区分设置专业组关联的检查项目。支持按检查子类来过滤未关联的检查项目，方便检查项目的选择。</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要求提供用户关联功能，要求支持用于设置用户和检查专业组的关联。支持按角色区分设置与专业组关联的用户，可选择多个用户批量设置关联，也可选择多个用户批量取消关联。</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医护人员排班功能，要求支持是根据角色和专业组设置医护人员在一段时间内的排班。选择排班日期、角色和专业组开始排班后，会显示一周内的排班情况，双击要排班的时间单元格，会弹出跟当前角色和专业组关联的用户，即可排班的用户，可选择多个用户来排班。支持将一周的排班复制到本科室或其它科室、角色和专业组里，解决医院同班次用户可在不同科室值班，或写不同专业组报告的需求，减少重复排班。支持切换当前用户能登录的其它科室进行排班，对完成的排班可进行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资源排班功能，要求支持资源排班用于按日期修改资源的可预约数。选择日期点击生成排班后，会根据资源计划生成一周的资源使用情况，包括可预约数和当前剩余数量。双击每个单元格，可修改某个设备在对应日期的可预约数。支持按设备过滤资源排班情况。</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其它模块：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要求提供系统管理功能，要求支持为检查科室系统提供基础数据的维护，包括检查项目基础数据维护，科室参数，系统用户，权限设置，系统参数维护及系统组件，以及科室工作流程设置等内容。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申请单浏览功能，要求支持查看病人的电子版申请单，内容包括：病人基本信息、病人就诊信息（主诉与临床诊断等）、检查信息。融合HIS功能查看病人的电子病历。另外，提供了扫描纸质申请单功能，可将纸质申请单扫描并保存归档。</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要求提供检前信息记录功能，要求支持可填写病人病症、体征、手术情况等多项信息，形成完整的诊疗记录，并提供模板功能，方便填写自定义内容。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要求提供检后信息记录功能，要求支持可查询和填写病人的回访记录，并支持导出功能，实现诊疗的闭环。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要求提供图像报告浏览功能，要求支持首页选中病人的同时可快速浏览图像和报告内容，大大简化了操作与筛选流程。</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要求提供相关检查功能，要求支持可查看某病人的全部跨科检查记录，使医生可以便捷的查找历史检查信息，有利于提高本次诊断的目的性与准确性。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要求提供工作流程监控功能，要求支持查询某人或某次检查的全部操作信息，追溯检查流程，监控流程用时，提高工作效率。</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要求提供科室工作状态功能，要求支持显示各诊间的待检，已检和总检人数，各个诊间的实时呼叫列表，以及预约资源使用情况。使管理者对科室现状有大致了解。显示诊间设备与个人的工作量与待工作量。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要求提供病理信息功能，要求支持及时有效的显示某次检查相关的病理部位、病理描述、病理诊断、等病理信息，更好的结合病理结果对病人做出准确诊断。</w:t>
            </w:r>
            <w:r>
              <w:rPr>
                <w:rFonts w:ascii="宋体" w:hAnsi="宋体" w:cs="宋体"/>
                <w:color w:val="000000"/>
                <w:highlight w:val="none"/>
              </w:rPr>
            </w:r>
            <w:r/>
          </w:p>
        </w:tc>
      </w:tr>
    </w:tbl>
    <w:p>
      <w:pPr>
        <w:pStyle w:val="794"/>
        <w:ind w:left="847"/>
        <w:jc w:val="left"/>
        <w:keepLines/>
        <w:keepNext/>
        <w:spacing w:after="120" w:line="360" w:lineRule="auto"/>
        <w:rPr>
          <w:rFonts w:ascii="宋体" w:hAnsi="宋体"/>
          <w:b/>
          <w:bCs/>
          <w:vanish/>
          <w:color w:val="000000"/>
          <w:highlight w:val="none"/>
        </w:rPr>
      </w:pPr>
      <w:r>
        <w:rPr>
          <w:rFonts w:ascii="宋体" w:hAnsi="宋体"/>
          <w:b/>
          <w:bCs/>
          <w:vanish/>
          <w:color w:val="000000"/>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2.4内镜影像信息系统</w:t>
      </w:r>
      <w:r>
        <w:rPr>
          <w:rFonts w:ascii="宋体" w:hAnsi="宋体"/>
          <w:color w:val="000000"/>
          <w:sz w:val="24"/>
          <w:szCs w:val="24"/>
          <w:highlight w:val="none"/>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内镜影像信息系统针对不同的内窥镜设备提供有针对性的解决方案，包括胃镜、肠镜、鼻咽喉镜、支气管镜、腹腔镜、宫腔镜等，是以高速多媒体计算机、数据库、局域网络技术应用为基础，专用于解决内镜影像设备数字化登记、检查、存储、管理、诊断、信息处理的专业应用系统，是实现内镜影像信息资料电子化传输与调阅的综合应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前台预约登记工作站获取HIS传输过来的申请医嘱信息进行检查预约，分诊登记，检查医生对病人做检查，并采集内镜影像后将图像存储到服务器，同时完成诊断图文报告，审核发布，并打印交付患者。</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内镜影像信息系统同时提供质控管理、统计分析和排班功能，提供全面的科室管理，健全科室科研和教学工作，实现检查科室日常工作的数字化和无纸化。</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要求提供患者查询、检查预约、登记、排队叫号、图像采集、诊断工作站、诊断报告管理、诊断报告打印、质控管理、统计分析、排班管理等等功能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before="100" w:beforeAutospacing="1" w:after="100" w:afterAutospacing="1" w:line="360" w:lineRule="auto"/>
              <w:rPr>
                <w:rFonts w:ascii="宋体" w:hAnsi="宋体"/>
                <w:color w:val="000000"/>
                <w:highlight w:val="none"/>
              </w:rPr>
            </w:pPr>
            <w:r>
              <w:rPr>
                <w:rFonts w:hint="eastAsia" w:ascii="宋体" w:hAnsi="宋体"/>
                <w:color w:val="000000"/>
                <w:highlight w:val="none"/>
              </w:rPr>
              <w:t xml:space="preserve">详细要求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患者查询：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个性化查询：这个功能主要是根据医生用户的个性喜好来配置对应的查询条件，查询显示列表和常用操作的功能按钮。对于颜色有要求的情况还可以根据检查状态设置对应的颜色。比如申请</w:t>
            </w:r>
            <w:r>
              <w:rPr>
                <w:rFonts w:ascii="宋体" w:hAnsi="宋体" w:cs="宋体"/>
                <w:color w:val="000000"/>
                <w:highlight w:val="none"/>
              </w:rPr>
              <w:t xml:space="preserve">-</w:t>
            </w:r>
            <w:r>
              <w:rPr>
                <w:rFonts w:hint="eastAsia" w:ascii="宋体" w:hAnsi="宋体" w:cs="宋体"/>
                <w:color w:val="000000"/>
                <w:highlight w:val="none"/>
              </w:rPr>
              <w:t xml:space="preserve">绿色，急诊患者</w:t>
            </w:r>
            <w:r>
              <w:rPr>
                <w:rFonts w:ascii="宋体" w:hAnsi="宋体" w:cs="宋体"/>
                <w:color w:val="000000"/>
                <w:highlight w:val="none"/>
              </w:rPr>
              <w:t xml:space="preserve">-</w:t>
            </w:r>
            <w:r>
              <w:rPr>
                <w:rFonts w:hint="eastAsia" w:ascii="宋体" w:hAnsi="宋体" w:cs="宋体"/>
                <w:color w:val="000000"/>
                <w:highlight w:val="none"/>
              </w:rPr>
              <w:t xml:space="preserve">红色等。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高级查询：这个功能主要是提供多种与或关系的查询功能。比如查询某检查号或者某个登记号的查询。扩展查询的多样性，对于有复杂的与或关系、检索报告内容模糊查询等，这个功能非常实用。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定制查询：将医生常用的组合查询功能固定为功能按钮。方便以后登录系统查询可以一键完成。比如定制一个查询当天诊室三已经预约的数据。第一次查询之后将其保存自动生成一个功能按钮，下次点击按钮就可以直接查询该组合数据。方便快捷。</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编辑报告：在查询列表加入了一个编辑发布报告的入口点。数据查询出来后选中患者信息，点击编辑报告功能，则可以编写保存报告及其以后操作。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采集图像：在查询列表加入了一个采集图像的入口点。数据查询出来后选中患者信息，点击采集图像功能，则可快捷跳转到采集界面进行相应操作。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读卡：读卡功能，适配大多数医院</w:t>
            </w:r>
            <w:r>
              <w:rPr>
                <w:rFonts w:ascii="宋体" w:hAnsi="宋体" w:cs="宋体"/>
                <w:color w:val="000000"/>
                <w:highlight w:val="none"/>
              </w:rPr>
              <w:t xml:space="preserve">/</w:t>
            </w:r>
            <w:r>
              <w:rPr>
                <w:rFonts w:hint="eastAsia" w:ascii="宋体" w:hAnsi="宋体" w:cs="宋体"/>
                <w:color w:val="000000"/>
                <w:highlight w:val="none"/>
              </w:rPr>
              <w:t xml:space="preserve">厂商提供的读卡器。读卡快速读取卡内登记号自动查询数据。支持读取身份证号</w:t>
            </w:r>
            <w:r>
              <w:rPr>
                <w:rFonts w:ascii="宋体" w:hAnsi="宋体" w:cs="宋体"/>
                <w:color w:val="000000"/>
                <w:highlight w:val="none"/>
              </w:rPr>
              <w:t xml:space="preserve">/</w:t>
            </w:r>
            <w:r>
              <w:rPr>
                <w:rFonts w:hint="eastAsia" w:ascii="宋体" w:hAnsi="宋体" w:cs="宋体"/>
                <w:color w:val="000000"/>
                <w:highlight w:val="none"/>
              </w:rPr>
              <w:t xml:space="preserve">就诊号</w:t>
            </w:r>
            <w:r>
              <w:rPr>
                <w:rFonts w:ascii="宋体" w:hAnsi="宋体" w:cs="宋体"/>
                <w:color w:val="000000"/>
                <w:highlight w:val="none"/>
              </w:rPr>
              <w:t xml:space="preserve">/</w:t>
            </w:r>
            <w:r>
              <w:rPr>
                <w:rFonts w:hint="eastAsia" w:ascii="宋体" w:hAnsi="宋体" w:cs="宋体"/>
                <w:color w:val="000000"/>
                <w:highlight w:val="none"/>
              </w:rPr>
              <w:t xml:space="preserve">医保卡号等。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报告超时提醒：对于患者检查做完后拖了很长时间没有保存审核报告的情况进行提示，在查询列表上面醒目字样滚动显示。有助于医生及时发现未出报告的检查，提高医生工作效率。</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导出报告</w:t>
            </w:r>
            <w:r>
              <w:rPr>
                <w:rFonts w:ascii="宋体" w:hAnsi="宋体" w:cs="宋体"/>
                <w:color w:val="000000"/>
                <w:highlight w:val="none"/>
              </w:rPr>
              <w:t xml:space="preserve">/</w:t>
            </w:r>
            <w:r>
              <w:rPr>
                <w:rFonts w:hint="eastAsia" w:ascii="宋体" w:hAnsi="宋体" w:cs="宋体"/>
                <w:color w:val="000000"/>
                <w:highlight w:val="none"/>
              </w:rPr>
              <w:t xml:space="preserve">图像：把患者检查信息的图像报告导出到本地。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打印报告：支持全科室统一位置打印报告。整个科室或者同一个检查组设定指定位置打印报告。查询指定患者信息，然后点击打印报告功能即可。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请求会诊：对于比较复杂的检查需要其他医生或者科室帮助的时候，可以用这个功能就行申请达到数据共享的目的。</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报告挂起：对于某条检查报告写到一半有特殊情况需要临时保存过会再来继续写的情况，可以采用报告挂起功能。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质量控制：提供进行数据修改的入口。查询数据后选中质量控制操作即可进行质量控制功能。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修改叫号诊室：修改呼叫队列某条检查信息的诊室信息。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过号操作：将某条检查信息的叫号记录过号处理。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修改检查优先级：修改某条检查信息检查优先级，比如加急</w:t>
            </w:r>
            <w:r>
              <w:rPr>
                <w:rFonts w:ascii="宋体" w:hAnsi="宋体" w:cs="宋体"/>
                <w:color w:val="000000"/>
                <w:highlight w:val="none"/>
              </w:rPr>
              <w:t xml:space="preserve">/</w:t>
            </w:r>
            <w:r>
              <w:rPr>
                <w:rFonts w:hint="eastAsia" w:ascii="宋体" w:hAnsi="宋体" w:cs="宋体"/>
                <w:color w:val="000000"/>
                <w:highlight w:val="none"/>
              </w:rPr>
              <w:t xml:space="preserve">军人优先等。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导出数据到</w:t>
            </w:r>
            <w:r>
              <w:rPr>
                <w:rFonts w:ascii="宋体" w:hAnsi="宋体" w:cs="宋体"/>
                <w:color w:val="000000"/>
                <w:highlight w:val="none"/>
              </w:rPr>
              <w:t xml:space="preserve">Excel</w:t>
            </w:r>
            <w:r>
              <w:rPr>
                <w:rFonts w:hint="eastAsia" w:ascii="宋体" w:hAnsi="宋体" w:cs="宋体"/>
                <w:color w:val="000000"/>
                <w:highlight w:val="none"/>
              </w:rPr>
              <w:t xml:space="preserve">：将查询出来的数据导出到</w:t>
            </w:r>
            <w:r>
              <w:rPr>
                <w:rFonts w:ascii="宋体" w:hAnsi="宋体" w:cs="宋体"/>
                <w:color w:val="000000"/>
                <w:highlight w:val="none"/>
              </w:rPr>
              <w:t xml:space="preserve">Excel</w:t>
            </w:r>
            <w:r>
              <w:rPr>
                <w:rFonts w:hint="eastAsia" w:ascii="宋体" w:hAnsi="宋体" w:cs="宋体"/>
                <w:color w:val="000000"/>
                <w:highlight w:val="none"/>
              </w:rPr>
              <w:t xml:space="preserve">存储到本地。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分配报告</w:t>
            </w:r>
            <w:r>
              <w:rPr>
                <w:rFonts w:ascii="宋体" w:hAnsi="宋体" w:cs="宋体"/>
                <w:color w:val="000000"/>
                <w:highlight w:val="none"/>
              </w:rPr>
              <w:t xml:space="preserve">/</w:t>
            </w:r>
            <w:r>
              <w:rPr>
                <w:rFonts w:hint="eastAsia" w:ascii="宋体" w:hAnsi="宋体" w:cs="宋体"/>
                <w:color w:val="000000"/>
                <w:highlight w:val="none"/>
              </w:rPr>
              <w:t xml:space="preserve">审核医生：针对有的检查需要特定人来写报告或者审核报告的情况，可以选中患者信息进行分配功能。分配功能一般需要高级权限。</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修改检查技师：修改某条检查信息的技师信息。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取消终审：将某条检查信息终审信息因为特殊原因进行取消终审。取消终审后状态变为已审核状态。</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检查预约：</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预约：对申请状态的检查执行预约操作，选择预约日期、预约时间段对病人检查进行预约操作；预约时产生的流水号规则可自定义，可按照诊室、科室或检查组多种方式生成流水号，可统一分配，也可以按照设备分配。支持同一个病人多条医嘱合并预约的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资源计划：在系统中按照时间段提前排出资源计划，按照周一至周日每天各时间段的资源数，生成资源计划到指定日期。支持选座模式，医生可选择做检查时预约到的具体时间点，使得预约更加高效，减少病人等待时间。</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查看申请信息：支持查看</w:t>
            </w:r>
            <w:r>
              <w:rPr>
                <w:rFonts w:ascii="宋体" w:hAnsi="宋体" w:cs="宋体"/>
                <w:color w:val="000000"/>
                <w:highlight w:val="none"/>
              </w:rPr>
              <w:t xml:space="preserve">HIS</w:t>
            </w:r>
            <w:r>
              <w:rPr>
                <w:rFonts w:hint="eastAsia" w:ascii="宋体" w:hAnsi="宋体" w:cs="宋体"/>
                <w:color w:val="000000"/>
                <w:highlight w:val="none"/>
              </w:rPr>
              <w:t xml:space="preserve">中病人的电子病历（主诉、病史、检验结果等信息），支持查看申请单信息，支持通过扫描仪扫描申请单功能。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打印预约单：支持自定义预约单模板，打印预约单，预约单打印可配置为预约后自动打印，也可选择手动打印。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补录费用：支持</w:t>
            </w:r>
            <w:r>
              <w:rPr>
                <w:rFonts w:ascii="宋体" w:hAnsi="宋体" w:cs="宋体"/>
                <w:color w:val="000000"/>
                <w:highlight w:val="none"/>
              </w:rPr>
              <w:t xml:space="preserve">HIS</w:t>
            </w:r>
            <w:r>
              <w:rPr>
                <w:rFonts w:hint="eastAsia" w:ascii="宋体" w:hAnsi="宋体" w:cs="宋体"/>
                <w:color w:val="000000"/>
                <w:highlight w:val="none"/>
              </w:rPr>
              <w:t xml:space="preserve">补录费用后，重新录入费用信息。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手工录入患者检查：可自定义录入患者的病人类型，姓名、检查项目等信息，新增患者检查。</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修改患者信息：修改患者类型、病人姓名、年龄等患者信息，也可修改检查项目，检查部位等检查信息。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登记：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到达：预约状态的检查，患者按照预约时间到达科室后，可执行到达操作。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查看申请信息：支持查看</w:t>
            </w:r>
            <w:r>
              <w:rPr>
                <w:rFonts w:ascii="宋体" w:hAnsi="宋体" w:cs="宋体"/>
                <w:color w:val="000000"/>
                <w:highlight w:val="none"/>
              </w:rPr>
              <w:t xml:space="preserve">HIS</w:t>
            </w:r>
            <w:r>
              <w:rPr>
                <w:rFonts w:hint="eastAsia" w:ascii="宋体" w:hAnsi="宋体" w:cs="宋体"/>
                <w:color w:val="000000"/>
                <w:highlight w:val="none"/>
              </w:rPr>
              <w:t xml:space="preserve">中病人的电子病历（主诉、病史、检验结果等信息），支持查看申请单信息，支持通过扫描仪扫描申请单功能。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打印取片单：支持自定义取片凭证模板，打印出取片凭证，取片凭证打印可配置为预约后自动打印，也可选择手动打印。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关联医嘱：支持补录的医嘱与其他检查的关联。</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排队叫号：</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呼叫队列生成：支持按诊间或分组生成呼叫队列。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查询呼叫队列：医生可灵活选择按诊间或检查组、检查子类等来检索呼叫队列信息，满足科室多种情况使用。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呼叫：调用其他语音叫号系统进行语音呼叫病人，并用多媒体终端显示叫号信息。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呼叫下一个：自动呼叫下一个未呼叫或等待状态的病人。</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过号：将呼叫后未按时来做检查的病人进行过号操作，并显示到过号列表。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取消过号：将过号病人恢复到等候病人队列。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图像采集：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采集卡：支持多种类型采集卡，如</w:t>
            </w:r>
            <w:r>
              <w:rPr>
                <w:rFonts w:ascii="宋体" w:hAnsi="宋体" w:cs="宋体"/>
                <w:color w:val="000000"/>
                <w:highlight w:val="none"/>
              </w:rPr>
              <w:t xml:space="preserve">OK</w:t>
            </w:r>
            <w:r>
              <w:rPr>
                <w:rFonts w:hint="eastAsia" w:ascii="宋体" w:hAnsi="宋体" w:cs="宋体"/>
                <w:color w:val="000000"/>
                <w:highlight w:val="none"/>
              </w:rPr>
              <w:t xml:space="preserve">、宝狮、天创恒达等采集卡。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采集方式：支持采集卡</w:t>
            </w:r>
            <w:r>
              <w:rPr>
                <w:rFonts w:ascii="宋体" w:hAnsi="宋体" w:cs="宋体"/>
                <w:color w:val="000000"/>
                <w:highlight w:val="none"/>
              </w:rPr>
              <w:t xml:space="preserve">/</w:t>
            </w:r>
            <w:r>
              <w:rPr>
                <w:rFonts w:hint="eastAsia" w:ascii="宋体" w:hAnsi="宋体" w:cs="宋体"/>
                <w:color w:val="000000"/>
                <w:highlight w:val="none"/>
              </w:rPr>
              <w:t xml:space="preserve">网口，采集快捷键支持程序按键操作，键盘快捷键操作，脚踏板</w:t>
            </w:r>
            <w:r>
              <w:rPr>
                <w:rFonts w:ascii="宋体" w:hAnsi="宋体" w:cs="宋体"/>
                <w:color w:val="000000"/>
                <w:highlight w:val="none"/>
              </w:rPr>
              <w:t xml:space="preserve">/USB</w:t>
            </w:r>
            <w:r>
              <w:rPr>
                <w:rFonts w:hint="eastAsia" w:ascii="宋体" w:hAnsi="宋体" w:cs="宋体"/>
                <w:color w:val="000000"/>
                <w:highlight w:val="none"/>
              </w:rPr>
              <w:t xml:space="preserve">手柄操作。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静态采集：单张图片采集，并将采集到的</w:t>
            </w:r>
            <w:r>
              <w:rPr>
                <w:rFonts w:ascii="宋体" w:hAnsi="宋体" w:cs="宋体"/>
                <w:color w:val="000000"/>
                <w:highlight w:val="none"/>
              </w:rPr>
              <w:t xml:space="preserve">JPG</w:t>
            </w:r>
            <w:r>
              <w:rPr>
                <w:rFonts w:hint="eastAsia" w:ascii="宋体" w:hAnsi="宋体" w:cs="宋体"/>
                <w:color w:val="000000"/>
                <w:highlight w:val="none"/>
              </w:rPr>
              <w:t xml:space="preserve">图像上传到服务器。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动态采集：支持动态图像的采集及视频回放，支持多种视频压缩算法</w:t>
            </w:r>
            <w:r>
              <w:rPr>
                <w:rFonts w:ascii="宋体" w:hAnsi="宋体" w:cs="宋体"/>
                <w:color w:val="000000"/>
                <w:highlight w:val="none"/>
              </w:rPr>
              <w:t xml:space="preserve">MPEG2,MPEG4 </w:t>
            </w:r>
            <w:r>
              <w:rPr>
                <w:rFonts w:hint="eastAsia" w:ascii="宋体" w:hAnsi="宋体" w:cs="宋体"/>
                <w:color w:val="000000"/>
                <w:highlight w:val="none"/>
              </w:rPr>
              <w:t xml:space="preserve">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图像的基本处理：如亮度调节、图像的旋转、放大、缩小、裁减、标注等，图像的模式识别等，能实现图像色彩亮度对比度调节。</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图像标注：可以把图像及标注打印在报告上面。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后台采集：支持书写诊断报告的同时后台采集，特殊患者可以先进行图像采集，把图像保存在工作站上，可以集中的把急诊患者图像采集下来，之后再加载到相应报告中。</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图像导入、导出：支持</w:t>
            </w:r>
            <w:r>
              <w:rPr>
                <w:rFonts w:ascii="宋体" w:hAnsi="宋体" w:cs="宋体"/>
                <w:color w:val="000000"/>
                <w:highlight w:val="none"/>
              </w:rPr>
              <w:t xml:space="preserve">BMP/JPG/TIF/DICOM</w:t>
            </w:r>
            <w:r>
              <w:rPr>
                <w:rFonts w:hint="eastAsia" w:ascii="宋体" w:hAnsi="宋体" w:cs="宋体"/>
                <w:color w:val="000000"/>
                <w:highlight w:val="none"/>
              </w:rPr>
              <w:t xml:space="preserve">格式图像的导入和导出功能。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诊断工作站：</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维护报告样式：可根据医院要求制作不同样式的报告，维护好的报告样式需要关联科室才可在该科室使用，在录入检查诊断信息时，医生可根据当前检查项目以及部位选择合适的报告样式。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浏览影像：查看该患者通过设备采集到的图像。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录入以及修改报告：当患者在医技执行科室完成检查之后，医生在报告界面对患者进行报告录入，报告医生可保存完成的报告并且保存的报告也同时会以</w:t>
            </w:r>
            <w:r>
              <w:rPr>
                <w:rFonts w:ascii="宋体" w:hAnsi="宋体" w:cs="宋体"/>
                <w:color w:val="000000"/>
                <w:highlight w:val="none"/>
              </w:rPr>
              <w:t xml:space="preserve">PDF</w:t>
            </w:r>
            <w:r>
              <w:rPr>
                <w:rFonts w:hint="eastAsia" w:ascii="宋体" w:hAnsi="宋体" w:cs="宋体"/>
                <w:color w:val="000000"/>
                <w:highlight w:val="none"/>
              </w:rPr>
              <w:t xml:space="preserve">文件保存在电脑上，此时检查状态变为“已录入报告”，并且原报告医生可随时打开并修改已保存的报告。医生在点击“保存报告”时可以设置是否返回首页，若选择返回，在保存报告之后返回首页；若选择不返回，在保存报告之后停留在当前页面。提交审核：报告完成之后，报告医生可提交报告给审核医生进行审核，此时患者状态变为“已提交”，并且报告医生不可再修改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审核以及驳回报告：保存成功以及提交审核的报告，都可进行审核，审核医生可对报告进行修改，审核完成的报告临床医生站该条检查状态变为“执行”。若报告存在问题，审核医生可驳回报告，报告医生可再次对报告进行修改。医生在点击“审核报告”时可以设置是否返回首页以及审核打印，若选择返回，在保存报告之后返回首页；若选择不返回，在保存报告之后停留在当前页面；若选择审核打印，则在报告审核之后自动打印报告单。</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终审报告：报告审核完毕后，也可对报告进行终审操作，终审后的报告检查状态变为“已终审”。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报告打印以及补打报告：报告医生可对已经完成的报告进行打印，也可以补打当前患者的报告。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模板数据：医生可以将“检查方法”、“检查所见”、“诊断意见”以模板的形式保存，当报告医生需要使用某个模板时可直接对当前报告进行添加或者替换。模板可以保存为公有模板和私有模板，公有模板该科室的所有医生都可以维护和使用，私有模板仅当前医生可以维护和使用。同时模板也可建立各级目录来保存不同的模板数据。医生还可使用智能模板，根据医嘱项及相关模板使用频率进行排序，最常用的模板排在首位。</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智能提醒：医生可根据患者年龄段、患者性别、检查部位、检查设备等维护智能提醒。例如维护患者性别为“男”，提醒关键字为“子宫”，在保存男性患者报告时若报告内容出现“子宫”字样，则提醒医生是否继续保存。</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报告记录：可查看该报告的所有执行操作过程；包括：操作医生、操作时间、操作状态（保存、访问、审核等）以及操作之后报告的内容。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标记回访：若患者需要回访，可为患者添加标记回访，设置回访日期、提前提醒天数以及回访医生，则可在回访前提醒回访医生该患者需要进行回访。</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质量控制：可设置报告阴阳性是否为必选项，默认阳性或者阴性；影像评级是否为必选项，默认是否为甲级；报告保存（第一次保存）多久后不能修改；报告结果同步调整字体大小，由于部分报告的某些模块需要录入字数较多，为了适应报告纸张大小其字体就会自动缩小，为了适应保持字体大小一致其他内容字体也会同步缩小；报告是否需要审核；报告是否需要终审；可编辑报告的检查状态，设置患者在预约、到达、已有图像、正在检查、检查完成状态医生才可编辑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相关检查：可以查看该患者所做其他检查的日期、临床诊断、检查所见、诊断意见以及查看影像。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定位图标注：通过使用定位图的标注功能，医师可以清晰的看到每幅采集到的图像，在该检查部位中的确切位置、详细描述，为日后再次查看报告和影像提供了方便。同时支持定位图的管理和维护功能。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报告和采集界面设置：支持同屏采集和报告，实时采集和写诊断报告分屏显示，医生可以一边观看采集图像一边写诊断报告。同屏采集界面如下：</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诊断报告管理：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ascii="宋体" w:hAnsi="宋体" w:cs="宋体"/>
                <w:color w:val="000000"/>
                <w:highlight w:val="none"/>
              </w:rPr>
              <w:t xml:space="preserve">WCF</w:t>
            </w:r>
            <w:r>
              <w:rPr>
                <w:rFonts w:hint="eastAsia" w:ascii="宋体" w:hAnsi="宋体" w:cs="宋体"/>
                <w:color w:val="000000"/>
                <w:highlight w:val="none"/>
              </w:rPr>
              <w:t xml:space="preserve">与</w:t>
            </w:r>
            <w:r>
              <w:rPr>
                <w:rFonts w:ascii="宋体" w:hAnsi="宋体" w:cs="宋体"/>
                <w:color w:val="000000"/>
                <w:highlight w:val="none"/>
              </w:rPr>
              <w:t xml:space="preserve">FTP</w:t>
            </w:r>
            <w:r>
              <w:rPr>
                <w:rFonts w:hint="eastAsia" w:ascii="宋体" w:hAnsi="宋体" w:cs="宋体"/>
                <w:color w:val="000000"/>
                <w:highlight w:val="none"/>
              </w:rPr>
              <w:t xml:space="preserve">双通道上传：在存储服务器架设</w:t>
            </w:r>
            <w:r>
              <w:rPr>
                <w:rFonts w:ascii="宋体" w:hAnsi="宋体" w:cs="宋体"/>
                <w:color w:val="000000"/>
                <w:highlight w:val="none"/>
              </w:rPr>
              <w:t xml:space="preserve">WCF</w:t>
            </w:r>
            <w:r>
              <w:rPr>
                <w:rFonts w:hint="eastAsia" w:ascii="宋体" w:hAnsi="宋体" w:cs="宋体"/>
                <w:color w:val="000000"/>
                <w:highlight w:val="none"/>
              </w:rPr>
              <w:t xml:space="preserve">存储服务程序，并同时开启</w:t>
            </w:r>
            <w:r>
              <w:rPr>
                <w:rFonts w:ascii="宋体" w:hAnsi="宋体" w:cs="宋体"/>
                <w:color w:val="000000"/>
                <w:highlight w:val="none"/>
              </w:rPr>
              <w:t xml:space="preserve">FTP</w:t>
            </w:r>
            <w:r>
              <w:rPr>
                <w:rFonts w:hint="eastAsia" w:ascii="宋体" w:hAnsi="宋体" w:cs="宋体"/>
                <w:color w:val="000000"/>
                <w:highlight w:val="none"/>
              </w:rPr>
              <w:t xml:space="preserve">虚拟目录作为备用通道，实现双保险。大大增加了报告上传的稳定行与可靠性。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多服务器多存储介质抽象化存储：是将物理存储抽象化为存储服务和存储介质，用户只需知道报告存储的服务器与介质名称即可。将用户与复杂的存储规则相隔离，同时将存储文件与存储介质相关联，达到高可扩容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ascii="宋体" w:hAnsi="宋体" w:cs="宋体"/>
                <w:color w:val="000000"/>
                <w:highlight w:val="none"/>
              </w:rPr>
              <w:t xml:space="preserve">web</w:t>
            </w:r>
            <w:r>
              <w:rPr>
                <w:rFonts w:hint="eastAsia" w:ascii="宋体" w:hAnsi="宋体" w:cs="宋体"/>
                <w:color w:val="000000"/>
                <w:highlight w:val="none"/>
              </w:rPr>
              <w:t xml:space="preserve">版调阅工具：给临床医生提供统一的</w:t>
            </w:r>
            <w:r>
              <w:rPr>
                <w:rFonts w:ascii="宋体" w:hAnsi="宋体" w:cs="宋体"/>
                <w:color w:val="000000"/>
                <w:highlight w:val="none"/>
              </w:rPr>
              <w:t xml:space="preserve">web</w:t>
            </w:r>
            <w:r>
              <w:rPr>
                <w:rFonts w:hint="eastAsia" w:ascii="宋体" w:hAnsi="宋体" w:cs="宋体"/>
                <w:color w:val="000000"/>
                <w:highlight w:val="none"/>
              </w:rPr>
              <w:t xml:space="preserve">版调阅报告工具，此工具提供多种版式的调阅方式，只看报告，只看图像，报告和图像同时浏览。并且提供基于</w:t>
            </w:r>
            <w:r>
              <w:rPr>
                <w:rFonts w:ascii="宋体" w:hAnsi="宋体" w:cs="宋体"/>
                <w:color w:val="000000"/>
                <w:highlight w:val="none"/>
              </w:rPr>
              <w:t xml:space="preserve">html5</w:t>
            </w:r>
            <w:r>
              <w:rPr>
                <w:rFonts w:hint="eastAsia" w:ascii="宋体" w:hAnsi="宋体" w:cs="宋体"/>
                <w:color w:val="000000"/>
                <w:highlight w:val="none"/>
              </w:rPr>
              <w:t xml:space="preserve">实现的禁止临床打印</w:t>
            </w:r>
            <w:r>
              <w:rPr>
                <w:rFonts w:ascii="宋体" w:hAnsi="宋体" w:cs="宋体"/>
                <w:color w:val="000000"/>
                <w:highlight w:val="none"/>
              </w:rPr>
              <w:t xml:space="preserve">pdf</w:t>
            </w:r>
            <w:r>
              <w:rPr>
                <w:rFonts w:hint="eastAsia" w:ascii="宋体" w:hAnsi="宋体" w:cs="宋体"/>
                <w:color w:val="000000"/>
                <w:highlight w:val="none"/>
              </w:rPr>
              <w:t xml:space="preserve">报告功能。</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诊断报告打印：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报告样式维护：可在样式设计器中维护报告样式，报告样式可根据检查项目子类关联，固定检查项目默认选择样式。报告样式可维护报告中各项基础信息元素，各个模块之间的排版，报告内容的字体、大小。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配置打印参数：打印参数包括选择报告样式、选择打印份数、选择图像行数、选择每个样式调用的打印机、选择等。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打印预览：配置打印预览后，打印会弹出生成</w:t>
            </w:r>
            <w:r>
              <w:rPr>
                <w:rFonts w:ascii="宋体" w:hAnsi="宋体" w:cs="宋体"/>
                <w:color w:val="000000"/>
                <w:highlight w:val="none"/>
              </w:rPr>
              <w:t xml:space="preserve">PDF</w:t>
            </w:r>
            <w:r>
              <w:rPr>
                <w:rFonts w:hint="eastAsia" w:ascii="宋体" w:hAnsi="宋体" w:cs="宋体"/>
                <w:color w:val="000000"/>
                <w:highlight w:val="none"/>
              </w:rPr>
              <w:t xml:space="preserve">文件的预览页面缩略图，确认无误后可点击打印，减少报告内容填写的错误率。</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质控管理：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修改患者基础信息：患者基础信息的修改的数据只包含对患者的登记号、姓名、拼音的修改。对于其他信息，在预约登记组件来直接修改则更方便。</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合并患者：该功能主要目的是将两位患者的信息进行合并。实际效果为将一患者下的检查，全部更新到另一患者的检查下。</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修改检查信息：可以将患者检查过程中产生的错误数据直接进行修改。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取消计费：可以对</w:t>
            </w:r>
            <w:r>
              <w:rPr>
                <w:rFonts w:ascii="宋体" w:hAnsi="宋体" w:cs="宋体"/>
                <w:color w:val="000000"/>
                <w:highlight w:val="none"/>
              </w:rPr>
              <w:t xml:space="preserve">HIS</w:t>
            </w:r>
            <w:r>
              <w:rPr>
                <w:rFonts w:hint="eastAsia" w:ascii="宋体" w:hAnsi="宋体" w:cs="宋体"/>
                <w:color w:val="000000"/>
                <w:highlight w:val="none"/>
              </w:rPr>
              <w:t xml:space="preserve">发消息，取消该检查的计费。在患者需要进行出院结算，但是还有检查未做的时候进行处理。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初始化检查：初始化主要目的是将患者的检查信息以及报告信息全部清除，但是会保留患者基础信息。如果为</w:t>
            </w:r>
            <w:r>
              <w:rPr>
                <w:rFonts w:ascii="宋体" w:hAnsi="宋体" w:cs="宋体"/>
                <w:color w:val="000000"/>
                <w:highlight w:val="none"/>
              </w:rPr>
              <w:t xml:space="preserve">HIS</w:t>
            </w:r>
            <w:r>
              <w:rPr>
                <w:rFonts w:hint="eastAsia" w:ascii="宋体" w:hAnsi="宋体" w:cs="宋体"/>
                <w:color w:val="000000"/>
                <w:highlight w:val="none"/>
              </w:rPr>
              <w:t xml:space="preserve">开的医嘱，将会变为申请状态。如果为手动预约的医嘱，将会变为取消检查状态。</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报告信息：修改报告信息主要目的是对该检查的报告信息进行修改，例如修改报告的保存时间、审核医生等。但是要注意一点，这里进行修改数据后，报告文件已经生成并且上传的话，临床调阅的文件并不会发生改变。</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取消报告：取消报告信息主要目的是对该检查的报告进行重写，只有状态为已录入报告的患者可以取消报告，取消报告后检查将回到写报告之前的状态，到达或已有图像。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报告转交：报告转交主要目的是批量修改报告锁定的用户，在</w:t>
            </w:r>
            <w:r>
              <w:rPr>
                <w:rFonts w:ascii="宋体" w:hAnsi="宋体" w:cs="宋体"/>
                <w:color w:val="000000"/>
                <w:highlight w:val="none"/>
              </w:rPr>
              <w:t xml:space="preserve">RIS</w:t>
            </w:r>
            <w:r>
              <w:rPr>
                <w:rFonts w:hint="eastAsia" w:ascii="宋体" w:hAnsi="宋体" w:cs="宋体"/>
                <w:color w:val="000000"/>
                <w:highlight w:val="none"/>
              </w:rPr>
              <w:t xml:space="preserve">中当一份报告被用户打开后，或者分配报告给指定医生后，将会给该报告添加用户锁定。当锁定用户不在电脑前或者锁定用户临时有事离岗后，在该处可批量修改锁定的医生，交给其他医生来处理报告。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统计分析：</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科室收入统计：支持按检查子类，设备，申请科室，病人类型，转诊，和部位大类来统计科室收入。支持按预约日期，登记日期，检查日期，报告日期统计。支持选择某个科室统计。支持按两种不同录入医嘱的方式统计，</w:t>
            </w:r>
            <w:r>
              <w:rPr>
                <w:rFonts w:ascii="宋体" w:hAnsi="宋体" w:cs="宋体"/>
                <w:color w:val="000000"/>
                <w:highlight w:val="none"/>
              </w:rPr>
              <w:t xml:space="preserve">HIS</w:t>
            </w:r>
            <w:r>
              <w:rPr>
                <w:rFonts w:hint="eastAsia" w:ascii="宋体" w:hAnsi="宋体" w:cs="宋体"/>
                <w:color w:val="000000"/>
                <w:highlight w:val="none"/>
              </w:rPr>
              <w:t xml:space="preserve">医嘱登记和手工登记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生工作量统计：医生工作量涉及数据最多，最复杂，可以统计医生，技师，护师，曝光数等许多方面。支持所有医生工作量统计。也可以支持报告医生，审核医生，登记医生，报告录入者，介入医生，会诊医生，辅助医生，护师，核对护师，检查技师工作量统计。支持影像评级，报告评级，审核报告评级统计。支持预约率，报告被驳回率，医生退回报告，已完成的检查率统计。支持检查项目，申请医生检查项目，医生检查项目统计。支持报告医生检查部位，审核医师检查部位，检查技师检查部位统计。支持扫描方式，同比</w:t>
            </w:r>
            <w:r>
              <w:rPr>
                <w:rFonts w:ascii="宋体" w:hAnsi="宋体" w:cs="宋体"/>
                <w:color w:val="000000"/>
                <w:highlight w:val="none"/>
              </w:rPr>
              <w:t xml:space="preserve">-</w:t>
            </w:r>
            <w:r>
              <w:rPr>
                <w:rFonts w:hint="eastAsia" w:ascii="宋体" w:hAnsi="宋体" w:cs="宋体"/>
                <w:color w:val="000000"/>
                <w:highlight w:val="none"/>
              </w:rPr>
              <w:t xml:space="preserve">环比，检查项目权重</w:t>
            </w:r>
            <w:r>
              <w:rPr>
                <w:rFonts w:ascii="宋体" w:hAnsi="宋体" w:cs="宋体"/>
                <w:color w:val="000000"/>
                <w:highlight w:val="none"/>
              </w:rPr>
              <w:t xml:space="preserve">*</w:t>
            </w:r>
            <w:r>
              <w:rPr>
                <w:rFonts w:hint="eastAsia" w:ascii="宋体" w:hAnsi="宋体" w:cs="宋体"/>
                <w:color w:val="000000"/>
                <w:highlight w:val="none"/>
              </w:rPr>
              <w:t xml:space="preserve">设备权重，检查部位权重统计。支持检查技师曝光次数，报告医师曝光次数统计。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设备工作量统计：支持按日期段，精确时间点，检查子类，检查部位，检查设备，用户来统计。支持按报告日期，检查日期，登记日期统计。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病案统计：病案统计分为了三块，病案统计，阳性率统计和医嘱检测信息。病案统计支持按报告日期，检查日期，登记日期来统计。支持按</w:t>
            </w:r>
            <w:r>
              <w:rPr>
                <w:rFonts w:hint="eastAsia" w:ascii="宋体" w:hAnsi="宋体" w:cs="宋体"/>
                <w:color w:val="000000"/>
                <w:highlight w:val="none"/>
              </w:rPr>
              <w:t xml:space="preserve">检查子类，检查部位，检查项目，结构化，归档类型来统计。支持按是否活检检查，回访状态，检查结果，报告医生，审核医生，患者年龄来统计。统计结果支持患者信息，医嘱信息，就诊信息，年龄分布图，以及报告内容。支持高级查询，用户自定义查询条件查询。统计结果支持导出到工作站查询组件。阳性率统计，支持按日期段，检查子类，病人类型，用户，诊间，设备统计。支持按时间统计，报告日期，检查日期。支持按申请科室统计。统计结果支持饼状统计图。医嘱检测信息，支持当前用户，查看对某个医嘱具体时间进行的某种操作，是否取消计费，是否初始化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流程监控统计：支持按日期，检查子类，诊间，设备，报告医生，审核医生，通过选择开始状态与结束状态进行统计。支持按检查项目耗时，检查状态耗时统计。检查状态耗时统计，可以精确的统计出此医嘱从登记到审核报告一系列流程的具体时间。支持查看检查项目平均耗时饼图。</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打印：所有的统计类型下的统计结果都支持打印。</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绘制统计图：统计结果都支持柱状统计图显示。</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病历明细：统计出来的结果选中后，都可以看出患者的基本信息，检查信息，医嘱信息等等，每个统计类型病历明细中显示的信息会有所区别。并且结果支持导出到</w:t>
            </w:r>
            <w:r>
              <w:rPr>
                <w:rFonts w:ascii="宋体" w:hAnsi="宋体" w:cs="宋体"/>
                <w:color w:val="000000"/>
                <w:highlight w:val="none"/>
              </w:rPr>
              <w:t xml:space="preserve">EXCEL</w:t>
            </w:r>
            <w:r>
              <w:rPr>
                <w:rFonts w:hint="eastAsia" w:ascii="宋体" w:hAnsi="宋体" w:cs="宋体"/>
                <w:color w:val="000000"/>
                <w:highlight w:val="none"/>
              </w:rPr>
              <w:t xml:space="preserve">表格。</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导出到</w:t>
            </w:r>
            <w:r>
              <w:rPr>
                <w:rFonts w:ascii="宋体" w:hAnsi="宋体" w:cs="宋体"/>
                <w:color w:val="000000"/>
                <w:highlight w:val="none"/>
              </w:rPr>
              <w:t xml:space="preserve">EXCEL</w:t>
            </w:r>
            <w:r>
              <w:rPr>
                <w:rFonts w:hint="eastAsia" w:ascii="宋体" w:hAnsi="宋体" w:cs="宋体"/>
                <w:color w:val="000000"/>
                <w:highlight w:val="none"/>
              </w:rPr>
              <w:t xml:space="preserve">：所有统计结果都支持导出到</w:t>
            </w:r>
            <w:r>
              <w:rPr>
                <w:rFonts w:ascii="宋体" w:hAnsi="宋体" w:cs="宋体"/>
                <w:color w:val="000000"/>
                <w:highlight w:val="none"/>
              </w:rPr>
              <w:t xml:space="preserve">EXCEL</w:t>
            </w:r>
            <w:r>
              <w:rPr>
                <w:rFonts w:hint="eastAsia" w:ascii="宋体" w:hAnsi="宋体" w:cs="宋体"/>
                <w:color w:val="000000"/>
                <w:highlight w:val="none"/>
              </w:rPr>
              <w:t xml:space="preserve">表格。</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排班管理：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检查项目关联：用于设置检查项目和检查专业组的关联。系统支持选择多个检查项目批量关联某个专业组，也支持选择多个检查项目批量取消关联，同时可按患者类型区分设置专业组关联的检查项目。支持按检查子类来过滤未关联的检查项目，方便检查项目的选择。</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用户关联：用于设置用户和检查专业组的关联。支持按角色区分设置与专业组关联的用户，可选择多个用户批量设置关联，也可选择多个用户批量取消关联。</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护人员排班：是根据角色和专业组设置医护人员在一段时间内的排班。选择排班日期、角色和专业组开始排班后，会显示一周内的排班情况，双击要排班的时间单元格，会弹出跟当前角色和专业组关联的用户，即可排班的用户，可选择多个用户来排班。支持将一周的排班复制到本科室或其它科室、角色和专业组里，解决医院同班次用户可在不同科室值班，或写不同专业组报告的需求，减少重复排班。支持切换当前用户能登录的其它科室进行排班，对完成的排班可进行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资源排班：资源排班用于按日期修改资源的可预约数。选择日期点击生成排班后，会根据资源计划生成一周的资源使用情况，包括可预约数和当前剩余数量。双击每个单元格，可修改某个设备在对应日期的可预约数。支持按设备过滤资源排班情况。</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其它模块：</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系统管理工作站：为检查科室系统提供基础数据的维护，包括检查项目基础数据维护，科室参数，系统用户，权限设置，系统参数维护及系统组件，以及科室工作流程设置等内容。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申请单浏览：查看病人的电子版申请单，内容包括：病人基本信息、病人就诊信息（主诉与临床诊断等）、检查信息。融合</w:t>
            </w:r>
            <w:r>
              <w:rPr>
                <w:rFonts w:ascii="宋体" w:hAnsi="宋体" w:cs="宋体"/>
                <w:color w:val="000000"/>
                <w:highlight w:val="none"/>
              </w:rPr>
              <w:t xml:space="preserve">HIS</w:t>
            </w:r>
            <w:r>
              <w:rPr>
                <w:rFonts w:hint="eastAsia" w:ascii="宋体" w:hAnsi="宋体" w:cs="宋体"/>
                <w:color w:val="000000"/>
                <w:highlight w:val="none"/>
              </w:rPr>
              <w:t xml:space="preserve">功能查看病人的电子病历。另外，提供了扫描纸质申请单功能，可将纸质申请单扫描并保存归档。</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检前信息记录：可填写病人病症、体征、手术情况等多项信息，形成完整的诊疗记录，并提供模板功能，方便填写自定义内容。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检中信息记录：支持录入活检部位及块数、</w:t>
            </w:r>
            <w:r>
              <w:rPr>
                <w:rFonts w:ascii="宋体" w:hAnsi="宋体" w:cs="宋体"/>
                <w:color w:val="000000"/>
                <w:highlight w:val="none"/>
              </w:rPr>
              <w:t xml:space="preserve">HP</w:t>
            </w:r>
            <w:r>
              <w:rPr>
                <w:rFonts w:hint="eastAsia" w:ascii="宋体" w:hAnsi="宋体" w:cs="宋体"/>
                <w:color w:val="000000"/>
                <w:highlight w:val="none"/>
              </w:rPr>
              <w:t xml:space="preserve">值、手术用药及手术医生等信息。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检后信息记录：可查询和填写病人的回访记录，并支持导出功能，实现诊疗的闭环。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图像报告浏览：首页选中病人的同时可快速浏览图像和报告内容，大大简化了操作与筛选流程。</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相关检查：可查看某病人的全部跨科检查记录，使医生可以便捷的查找历史检查信息，有利于提高本次诊断的目的性与准确性。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工作流程监控：查询某人或某次检查的全部操作信息，追溯检查流程，监控流程用时，提高工作效率。</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科室工作状态：显示各诊间的待检，已检和总检人数，各个诊间的实时呼叫列表，以及预约资源使用情况。使管理者对科室现状有大致了解。显示诊间设备与个人的工作量与待工作量。</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病理信息：及时有效的显示某次检查相关的病理部位、病理描述、病理诊断、等病理信息，更好的结合病理结果对病人做出准确诊断。</w:t>
            </w:r>
            <w:r>
              <w:rPr>
                <w:rFonts w:ascii="宋体" w:hAnsi="宋体" w:cs="宋体"/>
                <w:color w:val="000000"/>
                <w:highlight w:val="none"/>
              </w:rPr>
            </w:r>
            <w:r/>
          </w:p>
        </w:tc>
      </w:tr>
    </w:tbl>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2.5病理管理系统</w:t>
      </w:r>
      <w:r>
        <w:rPr>
          <w:rFonts w:ascii="宋体" w:hAnsi="宋体"/>
          <w:color w:val="000000"/>
          <w:sz w:val="24"/>
          <w:szCs w:val="24"/>
          <w:highlight w:val="none"/>
        </w:rPr>
      </w:r>
      <w:r/>
    </w:p>
    <w:tbl>
      <w:tblPr>
        <w:tblW w:w="839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病理管理系统主要实现病理科室处理临床申请的病理检查业务，将申请信息与送检标本识别后，进行规范、准确的技术处理，诊断医生依据工作流分配进行诊断报告工作，将诊断结果反馈至临床，实现“申请-诊断-报告-临床查看”的闭环管理流程，从而做到检查可监控、可追溯。</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要求提供标本运送、封装评价、接收、登记、取材、技术处理、诊断、报告管理、流程监管、统计查询等功能。</w:t>
            </w:r>
            <w:r>
              <w:rPr>
                <w:rFonts w:hint="eastAsia"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详细要求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标本运送：</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新建运送单、添加病理标本。</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详细功能描述如下：</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新建运送单：选择运送单类型，增加一条运送单信息，自动产生运送单号，记录相关运送信息。</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添加病理标本：选择新增的运送单，增加要新增的病理标本。</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标本接收：</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运送单接收、标本接收、标本拒收等。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运送单接收：针对护工运送过来的批量运送单标本的确认接收操作。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标本接收：针对单个的标本，进行检查是否合格，检查合格后确认接收。</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标本拒收：针对不合格的标本进行拒收操作，填写拒收原因，退回临床。</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申请单登记：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信息查询：支持按照天周月快捷日期、登记日期、申请日期、报告日期、医嘱子类、医嘱、状态、病理号、申请单号、条码号、登记号、病案号、姓名来进行查询。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登记：对临床下的病理申请单进行登记。可分为手动点击登记、自动登记、连续登记、批量登记；登记时可自动触发打印标签、回执单、下特检。</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取消登记：对在登记状态下的申请进行取消登记，方便在登记出现问题时及时调整。</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拒收申请：对临床下的病理申请单进行拒收，并返回消息给临床医生，以提醒临床医生及时修改申请信息或者再此申请。</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执行随访：在诊断发起随访后，登记技师回访患者，然后对回访信息登记保存，以便后期查看。</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打印标签：对查询的各种状态的申请进行标签打印，为申请单和标本提供标签，使病理管理更精准。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打印回执单：给门诊患者打印回执单，方便患者再病理科发报告后来病理科打印领取报告。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打印包埋盒：对登记状态的患者进行包埋盒的预打印，方便取材时使用。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下特检医嘱：对已经登记且未取材的患者在开始做病理检查前确定其要做特检的，可直接在此下特检医嘱，缩短检测时间，为患者病情判断加速。</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手工计费：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信息查询：支持按照天周月快捷日期、登记日期、申请日期、报告日期、医嘱子类、医嘱、标本类型、状态、病理号、申请单号、条码号、登记号、病案号、姓名、以收费未费来进行查询。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医嘱申请：与患者检查子类有所关联的或者全部费用医嘱查询，方便医护人员按相应医嘱收费。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医嘱核实：费用医嘱申请后，可修改医嘱数量，然后审核，按相应的费用扣除患者费用，方便财务管理。</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取材处理：</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信息查询：支持按照天周月快捷日期、登记日期、医嘱子类、医嘱、标本类型、病理号（单个，多个，区间）等方式进行查询，也支持快捷按钮待取、已取、快速、冰冻、补取以及沉渣包埋查询。</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取材：用户选择检查记录，确认待取材的标本之后，对标本进行取材。</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材块信息修改：对录入有误的材块信息进行编辑修改，系统自动记录修改日志。</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材块删除：对于作废的材块进行删除操作（若已进行后续操作，需逆流程将材块状态返回取材状态，方可进行删除操作）。</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大体信息录入：用户对标本进行大体描述，并记录信息；信息录入时，可引用辅助录入模板，可能引用特殊字符快捷录入。</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打印包埋盒：用户勾选未打印包埋盒的材块进行打印。</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导出取材打印列表：用户勾选取材列表进行取材信息导出打印。</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返回登记：对没有材块的检查进行返回登记操作。</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补费：对未收费的医嘱进行收费操作。</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标本信息修改：取材时发现标本信息有误，系统操作人员可以修改，系统自动记录修改日志。</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标本不合格信息记录：取材时发现标本信息不合格，可设置不合格记录信息。</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标本清理：用户对已发报告14天的检查所剩余的标本进行清理的操作。</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特检医嘱申请审核：选择一个材块之后，对该材块下特殊染色或者免疫组化医嘱，技师只能申请下医嘱，医师可直接审核。</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技术医嘱申请审核：选择需要下的技术医嘱之后，根据所需的技术医嘱判断是否需要选择材块，技师只能申请下医嘱，医师可直接审核。</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图像采集：可进行图像采集或者导入本地图片的操作，对选中的图像进行放缩，旋转，裁剪，编辑，删除等操作。</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辅助录入模板：可通过亚专科、部位、疾病三层关系对模板进行筛选，私有默认可维护用户个人的常用模板，方便大体录入。</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标本清理：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信息查询、确认清理。</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信息查询：支持按照病理号（单个，多个，区间）、标本类型、清理状态、报告时间等条件来进行查询。</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确认清理：核对信息无误之后，选中记录，选择清理人，进行清理操作，可在清理确认之后添加清理说明。</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材块核对：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信息查询：支持按照天周月快捷日期、取材时间、病理号(单个病理号、多个病理号(多个病理号用,分隔)、病理号段(病理号段用-分隔))、材块类型、核对状态、取材医师、是否脱钙条件来进行查询。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核对确认：核对信息无误之后，选中记录，然后点击核对确认，将保存核对时间，核对人，核对备注。</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核对取消：如果核对有问题，那么可以对已经核对的材块进行核对取消（没有后续流程直接取消，如果有后续流程，那么后续流程都逆操作之后才能取消）。让使用者达到逆操作处理。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工作单打印：对勾选的材块进行信息打印。</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技术处理：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信息查询：支持按照天周月快捷日期、取材日期、包埋日期、病理号(单个病理号、多个病理号(多个病理号用,分隔)、病理号段(病理号段用-分隔))、标本类型、材块类型、取材医师、是否合格、是否包埋条件来进行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包埋确认：确认信息无误之后，选中记录，然后点击包埋确认，将保存包埋时间，包埋人等。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包埋取消：如果发现包埋有问题，那么可以对已经包埋的蜡块进行包埋取消（没有后续流程直接取消，如果有后续流程，那么后续流程都逆操作之后才能取消）。让使用者达到逆操作处理。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工作单导出：对勾选的蜡块进行信息导出、打印。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病理科技师或者医师对蜡块包埋之后，需要对蜡块进行切片操作。如果切片不合格，可进行不合格信息录入。</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切片确认：确认信息无误之后，选中记录，然后点击切片确认，将保存切片时间，切片人等。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切片取消：如果发现切片有问题，那么可以对已经切片的玻片进行切片取消（没有后续流程直接取消，如果有后续流程，那么后续流程都逆操作之后才能取消）。让使用者达到逆操作处理。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工作单导出：对勾选的玻片进行信息导出、打印。</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标签打印：对勾选的玻片进行标签打印，打印的标签可贴到玻片上。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玻片打印：对勾选的玻片进行玻片打印。直接打印到玻片上，可以不用手动贴上。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染色确认：确认信息无误之后，选中记录，然后点击染色确认，将保存染色时间，染色人等。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染色取消：如果发现染色有问题，那么可以对已经染色的玻片进行染色取消（没有后续流程直接取消，如果有后续流程，那么后续流程都逆操作之后才能取消）。让使用者达到逆操作处理。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开始脱水：选择脱水机，然后选择脱水篮，点击开始脱水，表示脱水篮中的蜡块开始在脱水机中进行脱水。</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结束脱水：点击结束脱水，让正在进行脱水的蜡块结束脱水操作。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拆分脱水篮：如果脱水篮中的包埋盒数量多于脱水篮的实际空间，那么需要进行脱水篮拆分，才能进行脱水操作。点击拆分脱水篮之后，将脱水篮中多余的蜡块转移到有可用空间的脱水篮，如果没有可用空间，那么不能进行转移。</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派片确认：确认信息无误之后，选中记录，然后点击派片确认，填入初诊医师、二/三线医师之后，点击保存，将保存派片时间，派片人等。</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派片取消：如果发现派片有问题，那么可以对已经派片的玻片进行派片取消（没有后续流程直接取消，如果有后续流程，那么后续流程都逆操作之后才能取消）。让使用者达到逆操作处理。</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诊断报告：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保存：用户对属于自己的检查或者不属于任何所有人的检查进行诊断操作，保存的同时增加报告的归属操作和提交操作，将检查状态变为诊断。</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审核：二线或者三线医生对报告进行审核操作，判断审核规则，自动生成对应的PDF报告。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取消审核：如果要对报告进行取消操作，需要判断犹豫期，如果超犹豫期的报告可以根据配置来判断是否可以取消或者需要审批操作。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提交：一线医生完成诊断后，需要将检查报告提交到高级医生，可以保存时选择复诊医生，也可以批量选择自己的检查，进行批量提交。</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提取：医生针对不归属与自己的检查，可以进行提取操作，如果被提取人员未进行诊断，则直接替换，如果已经开始诊断，则增加诊断人员处理。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补充报告：报告发布后，后续需要补充诊断处理的情况，可以添加补充报告操作。同时，如果不想发布补充报告，可以对已经生成补充报告作废处理。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特检医嘱：诊断过程中，医生可以针对检查下特检医嘱来辅助诊断处理，住院患者可以自动计费。已下的特检医嘱可以作废处理，且取消计费。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技术医嘱：诊断过程中，为更好、更细致进行诊断，医生可以下技术医嘱，已下的技术医嘱可以作废处理。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玻片质量：诊断过程中可以对检查产生的玻片进行质量评价，方便质控管理。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符合情况：不同的检查类型，自动关联不同的符合情况，在诊断过程中，医生可以判断符合情况，进行质控管理。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打印预览：报告生成后，即保存操作后，可以对报告打印的样式进行预览，以此来判断报告的最终样式，便于调整内容。</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报告打印：已发布的报告进行打印处理，打印过程调用配置的本地打印机，打印纸质报告。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快捷查询：针对用户和科室不同维度对检查进行快速过滤查询，针对工作流的管理，操作人员可以便捷迅速的查询出与自己相关的各类检查，进行诊断或者其他流程操作。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修改病理号：检查在登记过程中可能存在病理号有误的情况，在后续的过程中可以对流水号进行修改处理。</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资料管理：</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信息查询：支持按照天周月快捷日期、登记日期、取材日期、归档日期、医嘱子类、医嘱、标本类型、材块类型、玻片类型、病理号（单个，多个，区间）、归档状态，检查阴阳性等方式进行查询。</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确认归档：核对信息无误之后，选中记录，选择归档位置，进行归档操作，在已归档数据中可修改归档位置。</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取消归档：对误操作的归档数据进行取消归档操作，选择归档数据之后，即可取消归档。</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发送通知：存在长时间未归档的数据，用户可以发送通知给相应的工作组或诊断人，提醒他们需要归档的具体蜡块、玻片或者底单。</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自动归档：用户勾选自动按钮之后，可通过输入蜡块号，玻片号，申请单号实现对应类型的自动归档。</w:t>
            </w:r>
            <w:r>
              <w:rPr>
                <w:rFonts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确认借出：核对待借出的资料无误之后，用户完整的填写借阅人信息，即可完成借阅操作；用户可在借阅前或借阅后打印借阅凭证。</w:t>
            </w:r>
            <w:r>
              <w:rPr>
                <w:rFonts w:hint="eastAsia" w:ascii="宋体" w:hAnsi="宋体" w:cs="宋体"/>
                <w:color w:val="000000"/>
                <w:highlight w:val="none"/>
              </w:rPr>
            </w:r>
            <w:r/>
          </w:p>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取消借出：对误操作的借阅数据进行取消借出操作，选择借阅数据之后，即可取消借阅。</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确认归还：核对待归还的资料无误之后，用户完填写归还所需的信息，即可完成归还操作；用户可通过设置蜡块或者玻片的状态来记录其损坏情况；</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报告分发。</w:t>
            </w:r>
            <w:r>
              <w:rPr>
                <w:rFonts w:hint="eastAsia"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报告查询：支持按照天、周、月快捷日期、报告日期、登记日期、申请日期、分发日期、报告医师、分发状态、病理号(单个病理号、多个病理号(多个病理号用,分隔)、病理号段(病理号段用-分隔))、就诊类型、申请科室、申请病区、申请人、子类、医嘱、报告条码条件来进行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清屏：清空/默认所有查询条件控件。</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确认分发：勾选未分发的报告列表，点击确认分发按钮，进行分发报告操作。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确认自取：勾选未分发的报告列表，点击确认自取按钮，进行分发报告操作。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取消分发：勾选已分发的报告列表，点击取消分发按钮，进行取消报告操作。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打印底单：勾选报告列表，点击打印底单按钮，进行打印底单操作。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打印签收本：勾选已分发报告列表，点击打印签收本按钮，进行打印签收本操作。</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右键扣补：勾选未分发报告列表，右键单击扣补，对未分发报告列表进行扣补操作。</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统计查询：</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及时率统计：针对阶段时间内科室的送检申请，统计出是否及时发布病理报告。</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优片率统计：针对阶段时间内科室接收的送检申请，检查产生的玻片进行质量统计，并展示非优片的原因。</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标本规范率统计：是指临床送检标本的固定是否规范化，体现临床的标本工作质控。</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医生工作量:是指病理科医生在全流程中所参与的工作的多少。</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技师工作量：技师在技术处理环节中所参与工作的统计。</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技术医嘱统计：统计科室内时间段所产生的技术医嘱的数量汇总。</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特检医嘱统计：阶段时间内科室内部产生的特检医嘱的数量汇总。</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特检项目统计：统计科室内部阶段时间内所下的特检的项目数量汇总。 </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病例查询：多维度、多条件的对科室内的检查进行全面检索，支持快捷查询、自定义查询和高级查询。</w:t>
            </w:r>
            <w:r>
              <w:rPr>
                <w:rFonts w:ascii="宋体" w:hAnsi="宋体" w:cs="宋体"/>
                <w:color w:val="000000"/>
                <w:highlight w:val="none"/>
              </w:rPr>
            </w:r>
            <w:r/>
          </w:p>
        </w:tc>
      </w:tr>
    </w:tbl>
    <w:p>
      <w:pPr>
        <w:pStyle w:val="799"/>
        <w:numPr>
          <w:ilvl w:val="4"/>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2.6医技检查预约平台</w:t>
      </w:r>
      <w:r>
        <w:rPr>
          <w:rFonts w:hint="eastAsia" w:ascii="宋体" w:hAnsi="宋体"/>
          <w:color w:val="000000"/>
          <w:sz w:val="24"/>
          <w:szCs w:val="24"/>
          <w:highlight w:val="none"/>
        </w:rPr>
      </w:r>
      <w:r/>
    </w:p>
    <w:tbl>
      <w:tblPr>
        <w:tblW w:w="8393" w:type="dxa"/>
        <w:jc w:val="center"/>
        <w:tblInd w:w="-40"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医技检查预约平台系统根据不同检查项目之间的排斥关系及先后顺序等规则，在预约时做智能判断，对于不合适的预约安排会做相应提醒。具备检查护士预约、病区护士打印、预约统计、医生站自动预约、检查陪护管理等功能，满足预约流程中各个角色的不同需求。</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要求提供医技窗口服务台预约，自动预约、诊间预约、住院病区预约、住院病区预约、自助预约、移动端预约、登记功能、二次分诊功能、检查知识库规则配置、预约统计分析等功能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详细要求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医技窗口服务台预约功能，要求支持预约窗口的医护人员能够根据患者就诊卡、登记号、姓名等信息查询患者的检查类医嘱。要求支持在预约界自动展示最近几天的可用的预约资源时间段信息，选择患者合适的时间段就行预约，也可重新选择合适的日期进行预约。预约完成后也可以取消预约。要求支持查看申请单信息，病史及临床所见、临床诊断以及检查目的等；支持查看患者历史检查信息。</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要求支持对资源预约数量和使用情况的查看和统计。</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要求支持检查申请的操作记录查询，从申请到预约、修改预约、取消预约、登记报到、检查完成、出报告等全流程监控。</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要求提供自动预约功能，要求支持根据时间规则、医学知识库规则，一键式自动批量预约患者的所有检查，智能规避检查时间冲突或医疗规则冲突。</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要求支持根据制定的规则，自动分配合适的检查时间，减轻医护人员工作量，减少患者排队次数。</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要求支持患者的多项检查在不冲突的情况下自动安排在同一天检查，减少患者来往医院次数。</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要求提供诊间预约功用，要求支持开完检查申请后，弹出诊间预约界面进行预约，系统默认匹配、推荐预约资源。</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要求支持诊间预约界面展示可用的预约时间段信息，默认选中推荐的最早的预约资源，还可根据实际情况询问患者或者相应的治疗安排进行检查资源的预约。</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要求可以取消已经预约好的检查或修改预约时间，预约之后可以打印预约单，提示患者按时检查以及检查的注意事项。</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要求支持对已预约且超出时间未缴费的申请单自动取消预约资源，防止资源浪费</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要求提供住院病区预约功用，要求支持病区护士可以统一管理病区患者的所有检查项目，查看该病区所有患者的电子检查申请单。 </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要求支持病区护士可以对同一患者、多个患者的一批检查项目进行预约安排，可以对已预约检查就行取消、调整操作。</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要求支持打印病区检查预约通知单。</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要求可以查询本病区所有检查申请单的状态，可以整体了解待检查患者的检查安排及注意事项。</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要求可以查看病区当天所需进行检查的患者信息，可查看到患者的检查项目和检查状态等信息。</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要求支持与护工排班等医技运送系统的集成，合理安排住院患者的检查时间。</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要求提供自助预约功用，要求支持患者通过自助设备进行条码扫描或者读卡后，显示出患者可以操作的检查申请列表，选择后进行预约操作。</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要求支持根据规则库以及患者的检查申请信息，智能筛选自动推荐合适的检查地点和预约时间，也可由患者自主调整检查地点和预约时间进行预约。</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要求支持预约成功后自动打印预约单。</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要求支持预约成功后，如果有其他情况，患者可以进行取消预约或者修改预约操作。</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要求提供移动端预约功用，要求支持自动展示出可操作的检查申请单列表，以便患者操作。</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要求系统可根据检查申请信息和医学规则知识库自动智能提供最优的检查时间和资源，患者也可以自行调整检查时间。</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要求支持检查在未到检之前取消预约或者修改预约时间。</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要求支持显示检查申请的详情；</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要求提供登记功能，要求支持对检查医嘱在服务台人工登记。</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要求提供自助机登记接口。</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要求提供二次分诊功能，要求支持在患者登记完成等待叫号检查时，在二次分诊页面直观展示患者登记队列。可进行查询诊间患者队列等待和呼叫情况，支持患者调整检查队列和呼叫状态。</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要求提供检查知识库规则配置功能，要求支持对科室、资源、时段进行维护，资源可以根据配置对应到诊室、设备或者设备组等，可以合理自定义时段资源区间。</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要求提供资源计划调整界面，方便操作者增减时间段内的预约数量和预约限制条件等信息。</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要求支持按周维护资源，可在上午/下午增加时段资源，可对时间段、资源数据量进行维护。</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要求支持资源规则维护，维护资源和检查项目的对应关系。</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要求支持维护检查项目的预约方式、注意事项等信息。</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要求支持维护资源的可预约诊区，实现分诊区预约</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要求提供预约统计分析功能，要求支持按日期、时间段统计所有的预约信息，可展示科室、资源、时段等资源池的统计分析。</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要求支持按统计检查开单量、预约量数据，对开单检查量比、预约率、爽约率等指标进行展示和趋势分析。</w:t>
            </w:r>
            <w:r>
              <w:rPr>
                <w:rFonts w:ascii="宋体" w:hAnsi="宋体" w:cs="宋体"/>
                <w:color w:val="000000"/>
                <w:highlight w:val="none"/>
              </w:rPr>
            </w:r>
            <w:r/>
          </w:p>
          <w:p>
            <w:pPr>
              <w:pStyle w:val="794"/>
              <w:jc w:val="left"/>
              <w:widowControl/>
              <w:rPr>
                <w:color w:val="000000"/>
                <w:highlight w:val="none"/>
              </w:rPr>
            </w:pPr>
            <w:r>
              <w:rPr>
                <w:rFonts w:hint="eastAsia" w:ascii="宋体" w:hAnsi="宋体" w:cs="宋体"/>
                <w:color w:val="000000"/>
                <w:highlight w:val="none"/>
              </w:rPr>
              <w:t xml:space="preserve">要求支持对门诊、医技、患者自助等各类预约来源渠道，进行统计分析。</w:t>
            </w:r>
            <w:r>
              <w:rPr>
                <w:color w:val="000000"/>
                <w:highlight w:val="none"/>
              </w:rPr>
            </w:r>
            <w:r/>
          </w:p>
        </w:tc>
      </w:tr>
    </w:tbl>
    <w:p>
      <w:pPr>
        <w:pStyle w:val="794"/>
        <w:rPr>
          <w:rFonts w:hint="eastAsia"/>
          <w:color w:val="000000"/>
          <w:highlight w:val="none"/>
        </w:rPr>
      </w:pPr>
      <w:r>
        <w:rPr>
          <w:rFonts w:hint="eastAsia"/>
          <w:color w:val="000000"/>
          <w:highlight w:val="none"/>
        </w:rPr>
      </w:r>
      <w:r/>
    </w:p>
    <w:p>
      <w:pPr>
        <w:pStyle w:val="799"/>
        <w:numPr>
          <w:ilvl w:val="4"/>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2.7试剂管理系统</w:t>
      </w:r>
      <w:r>
        <w:rPr>
          <w:rFonts w:hint="eastAsia" w:ascii="宋体" w:hAnsi="宋体"/>
          <w:color w:val="000000"/>
          <w:sz w:val="24"/>
          <w:szCs w:val="24"/>
          <w:highlight w:val="none"/>
        </w:rPr>
      </w:r>
      <w:r/>
    </w:p>
    <w:tbl>
      <w:tblPr>
        <w:tblW w:w="8393" w:type="dxa"/>
        <w:jc w:val="center"/>
        <w:tblInd w:w="-40" w:type="dxa"/>
        <w:tblLayout w:type="autofit"/>
        <w:tblCellMar>
          <w:left w:w="108" w:type="dxa"/>
          <w:top w:w="0" w:type="dxa"/>
          <w:right w:w="108" w:type="dxa"/>
          <w:bottom w:w="0" w:type="dxa"/>
        </w:tblCellMar>
        <w:tblLook w:val="04A0" w:firstRow="1" w:lastRow="0" w:firstColumn="1" w:lastColumn="0" w:noHBand="0" w:noVBand="1"/>
      </w:tblPr>
      <w:tblGrid>
        <w:gridCol w:w="1305"/>
        <w:gridCol w:w="7088"/>
      </w:tblGrid>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实验室试剂管理系统是实验室用来完成对医疗物资从采购、入库、出库、使用全流程的管理。保障实验室医疗物资按需采购，集中入库管理分配，出库参考效期，对于特殊医疗物资的使用也进行严格管理、使用留痕，统计对入出库、发票、用量等，提供库存、效期等信息预警，提高工作效率和工作质量，促进科室的管理水平和服务能力的提升。</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要求提供试剂采购、试剂入库、试剂出库、试剂使用、库存管理、统计查询、系统维护等功能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restart"/>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详细要求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要求试剂采购功能包含如下功能，具体要求如下：</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要求提供创建采购计划功能，要求支持试剂由实验室统一采购，由各试剂小组提出自己的采购计划，解决采购组不了解各试剂小组当前需要的试剂种类和数量问题。</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要求提供汇总生产订单功能，要求支持由采购组按照供应商汇总各试剂小组的采购计划，生成采购订单，集中采购试剂；</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创建采购订单功能，要求支持根据采购计划汇总生成的订单可以在该页面进行查看，也可以在当前页面直接创建采购订单；为便于预警和采购，要求每种试剂都可以设置低库存预警线、高库存预警线以及最佳库存，页面还提供采购周期选项，添加试剂后采购数量自动计算，也可手动维护。</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要求提供采购订单审批功能，要求支持根据实验室业务流程，在试剂基础数据菜单试剂系统参数界面配置“采购订单是否需要审批”。 被配置为“是”，则要求支持采购订单需要进行【组长审批】和【主任审批】，审批通过之后，才可以进行审核；若配置为否，则要求可在创建订单界面根据用户权限直接进行、或登陆审核界面进行审核操作。</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审核采购订单功能，要求支持对采购订单明细进行修改、保存、审核、删除以及取消审核操作，要求除取消审核外的其他操作均与创建采购订单界面基本相同，但是不能删除和添加采购试剂；要求已审核的订单可以进行取消审核操作，取消审核之后可以进行订单的修改和删除，防止误操作造成的损失；订单明细行的颜色会根据试剂的不同库存状态而有所区分。</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除此之外我们还要求提供订单综合查询页面，可以进行订单查询及打印。</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试剂入库具体功能要求说明如下：</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规则扫码入库功能，试剂采购入库前已经贴好试剂条码，并且入库的所有试剂都具有相同的规则性，它们由相对固定的前缀+序号组成，针对这种情况，要求支持入库时不需扫每一个条码，只需要扫其中一个条码，并录入生成其他条码所需的规则信息。</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要求提供逐个扫码入库功用：试剂采购入库前已经贴好试剂条码，并且入库的所有试剂无明显规则性，针对这种情况，要求支持入库时需要扫描每一个条码。</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扫码选择入库功用，试剂包装盒上一般会存在一种类似商品码的编码，若该编码包含可确定具体试剂且可提取的信息，每次入库时该信息都不会变化，我们可以将它理解为唯一对应试剂的试剂别名，此时可利用它简化入库试剂的选择操作；要求支持可以将这些信息与具体的试剂一一绑定，扫码时通过被提取的信息来检索出对应的试剂；信息串在试剂基础数据菜单的试剂耗材选项的条形码字段维护。</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要求提供订单入库功用，要求支持当通过本系统生成的采购订单所采购的试剂需要部分或者全部入库时，可通过订单入库方式入库。系统会自动根据订单明细创建入库明细，用户只需在此基础上进行修改即可。</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要求提供手工入库功能，要求支持当无法快捷（扫码、扫码选择、订单或偿还）入库时，采用手工入库方式。</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要求提供偿还入库功能，要求支持借出出库的试剂被偿还时，采用偿还入库方式。 选择已审核的借出出库单，要求该借出单应与本次偿还对应；要求支持可通过借出出库单快速生成默认偿还明细；偿还明细可修改。入库单生成之后，由具有审核权限的人进行确认审核操作。审核完成之后实现对应入库组的库存增加，并且要求可以打印当次入库的所有条码。对于除规则扫码入库和逐个扫码入库之外的入库方式，均需要将条码贴在对应的入库包装上。实现对每一个入库单位的精细化管理。</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除此之外还要求提供了库单综合查询页面，可以进行入库单查询及打印。</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试剂出库</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要求提供试剂出库功能，要求支持无特殊要求的试剂出库，都可以采用试剂出库方式，也可以实现非试剂（耗材等）的出库。</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要求提供调拨出库功能，要求支持由科室根据使用情况，主动分发给各使用小组。也可以根据订单入库单明细，对各使用小组进行批量调拨。</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请领出库功能，要求支持由各使用小组根据库存及使用情况，提交请领计划。再由实验室根据库存情况进行处理。要求支持在库存充足的情况下进行请领出库操作，在库存不足的情况下可以进行分批次处理，或补充库存后统一处理。</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盘库出库功能，要求支持在库存盘点的过程中，出现存在系统库存大于实际库存的情况。这时候需要对系统中多出来的库存进行出库操作，以保证系统库存和实际库存的一直。盘库出库在库存盘点过程中后台生成。</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要求提供仪器消耗功能，需要关联到使用仪器的试剂出库选择该种方式出库。要求支持其中在出库明细中可以选择默认仪器，也可以对明细中每一种试剂单独关联使用仪器。</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报损出库功能，要求支持在使用过程中由于失误等原因导致的试剂损坏，此时可以选择报损出库。要求支持在系统参数配置可根据实验室情况配置是否需要审批。被配置为“是”，则采购订单需要进行【组长审批】和【主任审批】，审批通过之后，才可以进行审核；若配置为否，则可在创建报损出库单界面根据用户权限直接进行、或登陆审核界面进行审核操作。</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要求提供退货出库：要求支持因试剂质量等问题造成的需要将试剂退回到供应商的情况，需要进行退货出库。</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要求提供作废出库功用，要求支持因库存囤积造成的试剂过期、失效等问题，需要进行作废出库。</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要求提供试剂借出功能，要求支持其它小组或机构试剂短缺的时候，有可能向登陆小组进行试剂借用，登陆小组记录借用明细及说明。</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要求支持各种不同场景的出库单生成之后，由具有审核权限的人进行确认审核操作。审核完成之后实现对应出库组的库存减少。</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除此之外要求提供出库单综合查询页面，可以进行出库单查询及打印。</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试剂使用具体功能及要求说明如下：</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普通试剂开封功能，要求支持普通试剂若没有进行过开封，则选择开封，打印开封标签；若已经开封且未使用完成的，要求支持可选择二次开封使用剩余部分；若当前试剂开封且使用完成，要求支持可点击耗尽。系统记录各环节操作人及时间。</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质控品开封功能，要求支持若所选试剂未被分包过，先进行分包操作，系统会自动生成n+1条开封记录，每一条记录为每一等分的试剂；依次选中每次需要使用的等分，进行开封使用；若当前试剂所有等分已经被开封使用，可点击耗尽。系统会记录各环节操作人及时间。</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化学危险品开封功用，录入所选试剂需求量，进行开封申请操作，完成化学危险品使用申请；要求支持化学危险品的开封经过组长审批和主任审批两个环节，都通过之后完成当次开封；若有剩余可选择闭封操作；若使用完成或要废弃剩余部分的试剂，可点击耗尽。系统会记录各环节操作人及时间。</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库存管理详细要求说明如下：</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库存盘点功能，要求支持库存盘点界面默认加载本试剂小组所有系统库存大于零的试剂，要求可以根据条件筛选之后确定盘库试剂列表，盘库列表可以导出；扫入实际库存条码，要求支持系统自动计算盘库数量；若无差异库存仅生成盘库记录，若有差异库存的除盘库记录外还会盘库单。</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要求提供审核盘库单功用，要求支持查看库存盘点生成的盘库单；若盘库单有误，要求支持直接删除盘库单；在盘库明细中，可记录差异原因；确认无误后，审核盘库单。</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要求模块提供库存查询，库存、效期预警功能。</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提供库存查询功能，查询登陆小组系统库存不为0的试剂；</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提供批次库存查询功能，查询所有在登陆试剂组有过库存记录的试剂；</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提供库存预警功能，要求支持展示所有库存超过预警范围的试剂。支持使用不同颜色标记“低于最低预警线”和“高于最高预警线”；</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提供过期预警功能，要求支持展示所有临近或已过期试剂。要求支持颜色表示已过期试剂，默认背景色则为临过期试剂（进入效期预警范围）。</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统计查询详细要求说明：</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要求提供各环节产生的数据统计、记录、或所需凭证，方便导出或打印，及报表的制作。</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要求提供台账记录显示登陆小组内试剂出入库记录信息，提供总账汇总试剂正常入库、偿还入库，正常出库、借用出库时间段内统计结果。</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要求提供供应商应收金额汇总，是登陆试剂小组在搜索时间段内入库的向供应商采购试剂的应付金额；</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要求提供领用小组汇总查询时间段内本试剂小组所有发放的试剂，一般二级库存试剂小组无统计数据；</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要求提供发票汇总页面搜索时间段内登陆试剂小组所有供应商发票；科室入库汇总按试剂小组查询入库情况；</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要求提供入库汇总按照供应商统计某时间段内的各试剂入库汇总及各供应商合计；搜索的时间是试剂入库审核日期；</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要求提供出库汇总按照试剂小组统计某时间段内各试剂出库汇总及各试剂小组合计；搜索的时间是试剂出库审核日期；</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要求提供实际消耗量统计指定时间段内所选试剂仪器关联的试剂消耗量和做的项目数量。</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对于各类统计汇总，要求提供强大的图形切换功能，并且要求支持图片保存；要求提供数据报表导出、打印功能。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1305"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088" w:type="dxa"/>
            <w:vAlign w:val="top"/>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系统维护具体要求说明如下 ：</w:t>
            </w:r>
            <w:r>
              <w:rPr>
                <w:rFonts w:ascii="宋体" w:hAnsi="宋体" w:cs="宋体"/>
                <w:color w:val="000000"/>
                <w:highlight w:val="none"/>
              </w:rPr>
            </w:r>
            <w:r/>
          </w:p>
          <w:p>
            <w:pPr>
              <w:pStyle w:val="794"/>
              <w:jc w:val="left"/>
              <w:widowControl/>
              <w:rPr>
                <w:rFonts w:ascii="宋体" w:hAnsi="宋体" w:cs="宋体"/>
                <w:color w:val="000000"/>
                <w:highlight w:val="none"/>
              </w:rPr>
            </w:pPr>
            <w:r>
              <w:rPr>
                <w:rFonts w:hint="eastAsia" w:ascii="宋体" w:hAnsi="宋体" w:cs="宋体"/>
                <w:color w:val="000000"/>
                <w:highlight w:val="none"/>
              </w:rPr>
              <w:t xml:space="preserve">基础信息在初次导入之后，后期变化需要维护人员在前台界面维护保存。要求该模块除实现新增数据基本功能之外，还尽可能做到批量化、简明化；要求提供系统参数配置功能，可根据实验室流程设置参数，灵活改变业务流程</w:t>
            </w:r>
            <w:r>
              <w:rPr>
                <w:rFonts w:ascii="宋体" w:hAnsi="宋体" w:cs="宋体"/>
                <w:color w:val="000000"/>
                <w:highlight w:val="none"/>
              </w:rPr>
            </w:r>
            <w:r/>
          </w:p>
        </w:tc>
      </w:tr>
    </w:tbl>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4"/>
        <w:rPr>
          <w:rFonts w:hint="eastAsia"/>
          <w:color w:val="000000"/>
          <w:highlight w:val="none"/>
        </w:rPr>
      </w:pPr>
      <w:r>
        <w:rPr>
          <w:rFonts w:hint="eastAsia"/>
          <w:color w:val="000000"/>
          <w:highlight w:val="none"/>
        </w:rPr>
      </w:r>
      <w:r/>
    </w:p>
    <w:p>
      <w:pPr>
        <w:pStyle w:val="798"/>
        <w:numPr>
          <w:ilvl w:val="3"/>
          <w:numId w:val="0"/>
        </w:numPr>
        <w:jc w:val="both"/>
        <w:keepLines/>
        <w:spacing w:before="280" w:after="290"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（三）</w:t>
      </w:r>
      <w:r>
        <w:rPr>
          <w:rFonts w:hint="eastAsia" w:ascii="宋体" w:hAnsi="宋体" w:eastAsia="宋体"/>
          <w:color w:val="000000"/>
          <w:sz w:val="24"/>
          <w:szCs w:val="24"/>
          <w:highlight w:val="none"/>
          <w:lang w:val="en-US" w:eastAsia="zh-CN"/>
        </w:rPr>
        <w:t xml:space="preserve">运营管理</w:t>
      </w:r>
      <w:r>
        <w:rPr>
          <w:rFonts w:ascii="宋体" w:hAnsi="宋体" w:eastAsia="宋体"/>
          <w:color w:val="000000"/>
          <w:sz w:val="24"/>
          <w:szCs w:val="24"/>
          <w:highlight w:val="none"/>
          <w:lang w:val="en-US" w:eastAsia="zh-CN"/>
        </w:rPr>
      </w:r>
      <w:r/>
    </w:p>
    <w:p>
      <w:pPr>
        <w:pStyle w:val="799"/>
        <w:numPr>
          <w:ilvl w:val="4"/>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1、大型医疗设备绩效分析系统</w:t>
      </w:r>
      <w:r>
        <w:rPr>
          <w:rFonts w:hint="eastAsia"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加强大型医疗设备管理，以单台大型医疗设备为管理对象，全面管理大型医疗设备基础信息、消耗信息和使用信息。采集的设备相关数据，从不同角度对设备的效益情况进行报表分析。</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要求提供基础数据管理、消耗数据管理、设备基础管理、设备使用管理、效益分析决策等功能</w:t>
            </w:r>
            <w:r>
              <w:rPr>
                <w:rFonts w:ascii="宋体" w:hAnsi="宋体" w:cs="宋体"/>
                <w:color w:val="000000"/>
                <w:highlight w:val="none"/>
              </w:rPr>
            </w:r>
            <w:r/>
          </w:p>
        </w:tc>
      </w:tr>
      <w:tr>
        <w:trPr/>
        <w:tc>
          <w:tcPr>
            <w:tcBorders>
              <w:top w:val="none" w:color="000000" w:sz="4" w:space="0"/>
              <w:left w:val="single" w:color="000000" w:sz="4" w:space="0"/>
              <w:bottom w:val="none" w:color="000000" w:sz="0" w:space="0"/>
              <w:right w:val="single" w:color="000000" w:sz="4" w:space="0"/>
            </w:tcBorders>
            <w:tcW w:w="777" w:type="dxa"/>
            <w:vAlign w:val="center"/>
            <w:vMerge w:val="restart"/>
            <w:textDirection w:val="lrTb"/>
            <w:noWrap w:val="false"/>
          </w:tcPr>
          <w:p>
            <w:pPr>
              <w:pStyle w:val="794"/>
              <w:rPr>
                <w:rFonts w:ascii="宋体" w:hAnsi="宋体" w:cs="宋体"/>
                <w:b/>
                <w:color w:val="000000"/>
                <w:highlight w:val="none"/>
              </w:rPr>
            </w:pPr>
            <w:r>
              <w:rPr>
                <w:rFonts w:hint="eastAsia" w:ascii="宋体" w:hAnsi="宋体" w:cs="宋体"/>
                <w:b/>
                <w:color w:val="000000"/>
                <w:highlight w:val="none"/>
              </w:rPr>
              <w:t xml:space="preserve">详细要求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基础数据管理：要求支持基础数据管理作为设备效益分析的基础，提供了收入、支出方面的服务项、服务细项、服务与服务细项对照、消耗项目、消耗资源等基础数据的维护功能。要求支持服务项、消耗项目、消耗资源、服务细项、服务与服务细项对照等数据维护。</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数据导入导出：要求支持多种文件类型(表格、文本)的导入,多种导入模式，导入模板更灵活，且能预校验数据，要求支持将不符合数据逻辑规则的错误信息提示出来。导入失败的数据可以重新导出再整理。</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服务项目消耗：要求支持在提供相应的医疗服务项目时，其所消耗的各种消耗项目的明细以及数量。</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服务消耗项目：要求支持在提供相同的医疗服务项目时，不同的设备其所消耗的各种消耗项目的明细以及数量可能不同，可以通过此功能可以对消耗项目的消耗进行更精细化的管理。要求支持明确到每一种设备提供该种服务时所消耗的消耗项目，甚至明确到具体一台设备其提供该种服务时，所消耗的消耗项目。</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质控项目消耗：要求支持除了在医疗设备为患者提供医疗服务的过程外，支持对医疗设备进行定期的质控的过程当中，消耗的消耗项目进行管理。</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月度资源消耗：要求支持当医疗设备在使用过程当中，每月消耗的资源大致相同，浮动不大的情况下，要求支持通过此功能定义设备每月所消耗的各种资源数量以及费用。</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设备对照：要求支持效益分析设备与其他系统中的设备进行设备对照管理，为数据采集提供支持。</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设备服务对照：要求系统支持对进行效益分析的医疗设备，管理其可以提供的医疗服务项目信息。</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专技人员管理：要求系统提供对可操作大型医疗设备的专业医技人员信息登记。</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widowControl/>
              <w:rPr>
                <w:rFonts w:ascii="宋体" w:hAnsi="宋体" w:cs="宋体"/>
                <w:b/>
                <w:color w:val="000000"/>
                <w:highlight w:val="none"/>
              </w:rPr>
            </w:pP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使用记录及查询：要求支持对医疗设备的使用信息，可以通过基础数据维护、设备对照及接口方式采集数据。同时支持数据导入、手工录入方式。要求支持指定年度、指定月份或指定时间段的设备使用信息的查询汇总。</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设备使用消耗项目：要求支持医疗设备的使用信息支持以下三种方式：系统自动根据基础数据生成、表格导入、手工录入。</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设备使用消耗项目查询：要求支持查询设备在指定时间段的使用的消耗项目信息。</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设备使用消耗资源：要求支持根据月度资源消耗定义，系统自动滚动生成设备每月消耗的资源、表格导入、手工录入的方式增加记录。</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设备使用消耗资源查询：要求支持查询设备在指定时间段的使用资源信息。</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收益分析：要求支持收益分析通过统计计算收入、支出，计算出利润和净利润率，来反映该医疗设备提供医疗服务获得收入后，其获得利润的能力，用以反映收入与利润之间的关系。</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收支明细分析：要求支持主要用于分析该设备在提供医疗服务过程当中，其成本总体支出情况，以及各种成本支出在总成本中所占比重。用以发现成本偏高的项目，为管理者发现问题及改善管理提供帮助。</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投资效益分析：要求系统支持从投资收益率和回收期的角度进行分析，分析该设备的投资的收益能力。分析设备投资后年净收益总额与设备投资总额的比率，提供评价投资盈利能力的静态指标和设备投资每年所创造的年净收益额。</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量本利分析：要求支持在变动成本计算模式的基础上，以数学化的会计模型与图文来揭示固定成本、变动成本、销售量、单价、销售额、利润等变量之间的内在规律性的联系。</w:t>
            </w:r>
            <w:r>
              <w:rPr>
                <w:color w:val="000000"/>
                <w:highlight w:val="none"/>
              </w:rPr>
            </w:r>
            <w:r/>
          </w:p>
        </w:tc>
      </w:tr>
      <w:tr>
        <w:trPr/>
        <w:tc>
          <w:tcPr>
            <w:tcBorders>
              <w:top w:val="none" w:color="000000" w:sz="0" w:space="0"/>
              <w:left w:val="single" w:color="000000" w:sz="4" w:space="0"/>
              <w:bottom w:val="none" w:color="000000" w:sz="0"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动态分析：要求支持投资效益分析主要从投资收益率和回收期的角度进行分析，分析该设备的投资的收益能力。支持将资金时间价值也考虑在内，更全面准确的反映了设备的投资的收益能力，动态的对设备的投资收益和回收期进行分析。</w:t>
            </w:r>
            <w:r>
              <w:rPr>
                <w:color w:val="000000"/>
                <w:highlight w:val="none"/>
              </w:rPr>
            </w:r>
            <w:r/>
          </w:p>
        </w:tc>
      </w:tr>
      <w:tr>
        <w:trPr/>
        <w:tc>
          <w:tcPr>
            <w:tcBorders>
              <w:top w:val="none" w:color="000000" w:sz="0"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决策分析：要求支持通过设备的各年净收益，根据内涵报酬率折算到设备采购当年，对设备的效益进行分析。对比内涵报酬率与折现率，分析真正的收益。内涵报酬率越大，表明收益越高，在决策分析当中也考虑了时间及利率因素。要求支持集团化医院，可以从集团角度对各分院设备进行对比分析。</w:t>
            </w:r>
            <w:r>
              <w:rPr>
                <w:color w:val="000000"/>
                <w:highlight w:val="none"/>
              </w:rPr>
            </w:r>
            <w:r/>
          </w:p>
        </w:tc>
      </w:tr>
    </w:tbl>
    <w:p>
      <w:pPr>
        <w:pStyle w:val="794"/>
        <w:rPr>
          <w:color w:val="000000"/>
          <w:highlight w:val="none"/>
        </w:rPr>
      </w:pPr>
      <w:r>
        <w:rPr>
          <w:color w:val="000000"/>
          <w:highlight w:val="none"/>
        </w:rPr>
      </w:r>
      <w:r/>
    </w:p>
    <w:p>
      <w:pPr>
        <w:pStyle w:val="798"/>
        <w:numPr>
          <w:ilvl w:val="3"/>
          <w:numId w:val="0"/>
        </w:numPr>
        <w:jc w:val="both"/>
        <w:keepLines/>
        <w:spacing w:before="280" w:after="29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（四）医政系统</w:t>
      </w:r>
      <w:r>
        <w:rPr>
          <w:rFonts w:hint="eastAsia" w:ascii="宋体" w:hAnsi="宋体" w:eastAsia="宋体"/>
          <w:color w:val="000000"/>
          <w:sz w:val="24"/>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1.单病种质量管理系统</w:t>
      </w:r>
      <w:r>
        <w:rPr>
          <w:rFonts w:ascii="宋体" w:hAnsi="宋体"/>
          <w:color w:val="000000"/>
          <w:sz w:val="24"/>
          <w:szCs w:val="24"/>
          <w:highlight w:val="none"/>
        </w:rPr>
      </w:r>
      <w:r/>
    </w:p>
    <w:tbl>
      <w:tblPr>
        <w:tblW w:w="8931" w:type="dxa"/>
        <w:tblInd w:w="-284" w:type="dxa"/>
        <w:tblLayout w:type="autofit"/>
        <w:tblCellMar>
          <w:left w:w="108" w:type="dxa"/>
          <w:top w:w="0" w:type="dxa"/>
          <w:right w:w="108" w:type="dxa"/>
          <w:bottom w:w="0" w:type="dxa"/>
        </w:tblCellMar>
        <w:tblLook w:val="04A0" w:firstRow="1" w:lastRow="0" w:firstColumn="1" w:lastColumn="0" w:noHBand="0" w:noVBand="1"/>
      </w:tblPr>
      <w:tblGrid>
        <w:gridCol w:w="1277"/>
        <w:gridCol w:w="7654"/>
      </w:tblGrid>
      <w:tr>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系统概述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ind w:right="-78"/>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要求实现建立单病种质量管理系统的准入准出标准，自动采集相关信息，最终实现单病种质量管理。</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功能要求：单病种基础维护、单病种过程管理、单病种上报、单病种病例检索、单病种指标配置、单病种数据标准化。</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94"/>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详细要求</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单病种基础维护：要求提供单病种定义功能、提供单病种表达式维护功能、提供病种准入准出标准功能、提供病种项目维护功能、提供病种项目值域字典功能、提供病种项目值域对照功能、提供参数配置功能。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单病种过程管理：要求基于临床路径实现，进入单病种临床路径后，会有相关提示信息。提供单病种表单展现功能。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单病种上报：要求提供单病种填报功能、提供单病种审核上报功能，可以对筛查出的病例以及医生自报单病种病例进行查询管理。</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病种病例检索：要求提供病历浏览功能：可以通过患者科室、姓名、病案号进行检索，为医生进行单病种填报提供参考；要求提供手工进入单病种功能：可以通过检索出病例，进行入组单病种操作；要求提供病种表单查看功能：可以打开单病种表单进行填报操作；要求提供自动校验结果值功能：如果项目/项目间逻辑存在错误，自动进行提示。</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支持单病种指标配置：要求提供配置各个病种需要进行统计的指标项目以及关联的数据采集项；要求支持单病种病例统计：对单病种病例进行概要信息统计。</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654"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单病种数据标准化：要求支持抗菌药物标准化：对HIS使用的抗菌药物进行标准化对照，表单项目直接绑定标准化的抗菌药物。</w:t>
            </w:r>
            <w:r>
              <w:rPr>
                <w:rFonts w:ascii="宋体" w:hAnsi="宋体" w:cs="宋体"/>
                <w:color w:val="000000"/>
                <w:sz w:val="24"/>
                <w:highlight w:val="none"/>
              </w:rPr>
            </w:r>
            <w:r/>
          </w:p>
        </w:tc>
      </w:tr>
    </w:tbl>
    <w:p>
      <w:pPr>
        <w:pStyle w:val="1171"/>
        <w:ind w:firstLine="400"/>
        <w:rPr>
          <w:rFonts w:ascii="宋体" w:hAnsi="宋体"/>
          <w:color w:val="000000"/>
          <w:szCs w:val="24"/>
          <w:highlight w:val="none"/>
        </w:rPr>
      </w:pPr>
      <w:r>
        <w:rPr>
          <w:rFonts w:ascii="宋体" w:hAnsi="宋体"/>
          <w:color w:val="000000"/>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2.医师资质授权管理</w:t>
      </w:r>
      <w:r>
        <w:rPr>
          <w:rFonts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随着医疗事业的发展及我国医疗改革的纵深推进，对未来的医院信息化建设和管理水平提出了更高更新的要求。如何实现医师资质授权管理的信息化？如何建设一个行为规范、运转协调、科学高效的医师资质授权管理体系，提升管理水平，降低运营成本，实现医院社会效益和经济效益最大化？这就需要一个医师资质授权管理平台来解决这一问题。</w:t>
            </w:r>
            <w:r>
              <w:rPr>
                <w:rFonts w:ascii="宋体" w:hAnsi="宋体" w:cs="宋体"/>
                <w:color w:val="000000"/>
                <w:highlight w:val="none"/>
              </w:rPr>
            </w:r>
            <w:r/>
          </w:p>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医师资质授权管理平台，建设一个安全、可靠、开放、高效的信息管理电子系统，为医院管理部门实现医师资质授权管理提供了极大的方便。该平台通过深入调研，结合医院特点，通过明确医师授权条件，规范医师授权过程，监控医师权限使用情况，总结出了一个全方位的医师资质授权管理的解决方案。</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要求提供信息管理、授权管理、医师知识库、综合查询等功能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794"/>
              <w:spacing w:line="360" w:lineRule="auto"/>
              <w:widowControl/>
              <w:rPr>
                <w:rFonts w:ascii="宋体" w:hAnsi="宋体" w:cs="宋体"/>
                <w:b/>
                <w:color w:val="000000"/>
                <w:highlight w:val="none"/>
              </w:rPr>
            </w:pPr>
            <w:r>
              <w:rPr>
                <w:rFonts w:hint="eastAsia" w:ascii="宋体" w:hAnsi="宋体" w:cs="宋体"/>
                <w:b/>
                <w:color w:val="000000"/>
                <w:highlight w:val="none"/>
              </w:rPr>
              <w:t xml:space="preserve">详细要求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highlight w:val="none"/>
              </w:rPr>
            </w:pPr>
            <w:r>
              <w:rPr>
                <w:rFonts w:hint="eastAsia" w:ascii="宋体" w:hAnsi="宋体"/>
                <w:color w:val="000000"/>
                <w:highlight w:val="none"/>
              </w:rPr>
              <w:t xml:space="preserve">信息管理具体要求说明如下：</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tab/>
            </w:r>
            <w:r>
              <w:rPr>
                <w:rFonts w:hint="eastAsia" w:ascii="宋体" w:hAnsi="宋体"/>
                <w:color w:val="000000"/>
                <w:highlight w:val="none"/>
              </w:rPr>
              <w:t xml:space="preserve">信息采集</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要求支持提交医师资质相关的信息申请。用于用户完善自己的医师档案，提交个人信息申请。供审核部门审批。</w:t>
            </w:r>
            <w:r>
              <w:rPr>
                <w:rFonts w:ascii="宋体" w:hAnsi="宋体"/>
                <w:color w:val="000000"/>
                <w:highlight w:val="none"/>
              </w:rPr>
            </w:r>
            <w:r/>
          </w:p>
          <w:p>
            <w:pPr>
              <w:pStyle w:val="794"/>
              <w:spacing w:line="360" w:lineRule="auto"/>
              <w:rPr>
                <w:rFonts w:hint="eastAsia" w:ascii="宋体" w:hAnsi="宋体"/>
                <w:color w:val="000000"/>
                <w:highlight w:val="none"/>
              </w:rPr>
            </w:pPr>
            <w:r>
              <w:rPr>
                <w:rFonts w:hint="eastAsia" w:ascii="宋体" w:hAnsi="宋体"/>
                <w:color w:val="000000"/>
                <w:highlight w:val="none"/>
              </w:rPr>
              <w:t xml:space="preserve">要求支持提交医师执业资格相关信息申请。</w:t>
            </w:r>
            <w:r>
              <w:rPr>
                <w:rFonts w:hint="eastAsia" w:ascii="宋体" w:hAnsi="宋体"/>
                <w:color w:val="000000"/>
                <w:highlight w:val="none"/>
              </w:rPr>
            </w:r>
            <w:r/>
          </w:p>
          <w:p>
            <w:pPr>
              <w:pStyle w:val="794"/>
              <w:spacing w:line="360" w:lineRule="auto"/>
              <w:rPr>
                <w:rFonts w:hint="eastAsia" w:ascii="宋体" w:hAnsi="宋体"/>
                <w:color w:val="000000"/>
                <w:highlight w:val="none"/>
              </w:rPr>
            </w:pPr>
            <w:r>
              <w:rPr>
                <w:rFonts w:hint="eastAsia" w:ascii="宋体" w:hAnsi="宋体"/>
                <w:color w:val="000000"/>
                <w:highlight w:val="none"/>
              </w:rPr>
              <w:t xml:space="preserve">要求支持提交医师履历信息申请。</w:t>
            </w:r>
            <w:r>
              <w:rPr>
                <w:rFonts w:hint="eastAsia" w:ascii="宋体" w:hAnsi="宋体"/>
                <w:color w:val="000000"/>
                <w:highlight w:val="none"/>
              </w:rPr>
            </w:r>
            <w:r/>
          </w:p>
          <w:p>
            <w:pPr>
              <w:pStyle w:val="794"/>
              <w:spacing w:line="360" w:lineRule="auto"/>
              <w:rPr>
                <w:rFonts w:hint="eastAsia" w:ascii="宋体" w:hAnsi="宋体"/>
                <w:color w:val="000000"/>
                <w:highlight w:val="none"/>
              </w:rPr>
            </w:pPr>
            <w:r>
              <w:rPr>
                <w:rFonts w:hint="eastAsia" w:ascii="宋体" w:hAnsi="宋体"/>
                <w:color w:val="000000"/>
                <w:highlight w:val="none"/>
              </w:rPr>
              <w:t xml:space="preserve">要求支持提交医师的奖励信息申请。</w:t>
            </w:r>
            <w:r>
              <w:rPr>
                <w:rFonts w:hint="eastAsia" w:ascii="宋体" w:hAnsi="宋体"/>
                <w:color w:val="000000"/>
                <w:highlight w:val="none"/>
              </w:rPr>
            </w:r>
            <w:r/>
          </w:p>
          <w:p>
            <w:pPr>
              <w:pStyle w:val="794"/>
              <w:spacing w:line="360" w:lineRule="auto"/>
              <w:rPr>
                <w:rFonts w:hint="eastAsia" w:ascii="宋体" w:hAnsi="宋体"/>
                <w:color w:val="000000"/>
                <w:highlight w:val="none"/>
              </w:rPr>
            </w:pPr>
            <w:r>
              <w:rPr>
                <w:rFonts w:hint="eastAsia" w:ascii="宋体" w:hAnsi="宋体"/>
                <w:color w:val="000000"/>
                <w:highlight w:val="none"/>
              </w:rPr>
              <w:t xml:space="preserve">要求支持提交医师除医师资格证、执业证之外的其他证书申请。</w:t>
            </w:r>
            <w:r>
              <w:rPr>
                <w:rFonts w:hint="eastAsia"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tab/>
            </w:r>
            <w:r>
              <w:rPr>
                <w:rFonts w:hint="eastAsia" w:ascii="宋体" w:hAnsi="宋体"/>
                <w:color w:val="000000"/>
                <w:highlight w:val="none"/>
              </w:rPr>
              <w:t xml:space="preserve">信息审核</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要求支持审核部门对医师信息申请进行审批，列表中只显示未审批的医师申请。</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医师列表</w:t>
            </w:r>
            <w:r>
              <w:rPr>
                <w:rFonts w:ascii="宋体" w:hAnsi="宋体"/>
                <w:color w:val="000000"/>
                <w:highlight w:val="none"/>
              </w:rPr>
              <w:t xml:space="preserve">：</w:t>
            </w:r>
            <w:r>
              <w:rPr>
                <w:rFonts w:hint="eastAsia" w:ascii="宋体" w:hAnsi="宋体"/>
                <w:color w:val="000000"/>
                <w:highlight w:val="none"/>
              </w:rPr>
              <w:t xml:space="preserve">要求支持医务管理人员可以查询到所有医师的信息。可以根据姓名和科室进行模糊查询。审批通过的医师信息都可以通过列表进行展示。</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我的档案</w:t>
            </w:r>
            <w:r>
              <w:rPr>
                <w:rFonts w:ascii="宋体" w:hAnsi="宋体"/>
                <w:color w:val="000000"/>
                <w:highlight w:val="none"/>
              </w:rPr>
              <w:t xml:space="preserve">：</w:t>
            </w:r>
            <w:r>
              <w:rPr>
                <w:rFonts w:hint="eastAsia" w:ascii="宋体" w:hAnsi="宋体"/>
                <w:color w:val="000000"/>
                <w:highlight w:val="none"/>
              </w:rPr>
              <w:t xml:space="preserve">要求支持医师可查询自己的档案信息，医师档案详情界面同上。</w:t>
            </w:r>
            <w:r>
              <w:rPr>
                <w:rFonts w:ascii="宋体" w:hAnsi="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highlight w:val="none"/>
              </w:rPr>
            </w:pPr>
            <w:r>
              <w:rPr>
                <w:rFonts w:hint="eastAsia" w:ascii="宋体" w:hAnsi="宋体"/>
                <w:color w:val="000000"/>
                <w:highlight w:val="none"/>
              </w:rPr>
              <w:t xml:space="preserve">授权管理：要求支持管理医生九大权限的申请和授予以及审批，主要包括手术授权、麻醉授权、处方授权、抗菌药授权、精麻毒授权、输血授权、高风险技术授权、影像医师授权、病理医师授权等。</w:t>
            </w:r>
            <w:r>
              <w:rPr>
                <w:rFonts w:ascii="宋体" w:hAnsi="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highlight w:val="none"/>
              </w:rPr>
            </w:pPr>
            <w:r>
              <w:rPr>
                <w:rFonts w:hint="eastAsia" w:ascii="宋体" w:hAnsi="宋体"/>
                <w:color w:val="000000"/>
                <w:highlight w:val="none"/>
              </w:rPr>
              <w:t xml:space="preserve">医师知识库：</w:t>
            </w:r>
            <w:r>
              <w:rPr>
                <w:rFonts w:ascii="宋体" w:hAnsi="宋体"/>
                <w:color w:val="000000"/>
                <w:highlight w:val="none"/>
              </w:rPr>
              <w:t xml:space="preserve">要求支持</w:t>
            </w:r>
            <w:r>
              <w:rPr>
                <w:rFonts w:hint="eastAsia" w:ascii="宋体" w:hAnsi="宋体"/>
                <w:color w:val="000000"/>
                <w:highlight w:val="none"/>
              </w:rPr>
              <w:t xml:space="preserve">维护医院授权管理制度、考核题库等，供医师进行查阅、下载、学习。</w:t>
            </w:r>
            <w:r>
              <w:rPr>
                <w:rFonts w:ascii="宋体" w:hAnsi="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highlight w:val="none"/>
              </w:rPr>
            </w:pPr>
            <w:r>
              <w:rPr>
                <w:rFonts w:hint="eastAsia" w:ascii="宋体" w:hAnsi="宋体"/>
                <w:color w:val="000000"/>
                <w:highlight w:val="none"/>
              </w:rPr>
              <w:t xml:space="preserve">综合查询业务具体要求说明如下：</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tab/>
            </w:r>
            <w:r>
              <w:rPr>
                <w:rFonts w:hint="eastAsia" w:ascii="宋体" w:hAnsi="宋体"/>
                <w:color w:val="000000"/>
                <w:highlight w:val="none"/>
              </w:rPr>
              <w:t xml:space="preserve">业务记录</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要求支持展示从业务系统反馈的业务记录，跟踪医师权限使用情况，对于出现越级的情况， 及时进行警示。</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tab/>
            </w:r>
            <w:r>
              <w:rPr>
                <w:rFonts w:hint="eastAsia" w:ascii="宋体" w:hAnsi="宋体"/>
                <w:color w:val="000000"/>
                <w:highlight w:val="none"/>
              </w:rPr>
              <w:t xml:space="preserve">手术记录</w:t>
            </w:r>
            <w:r>
              <w:rPr>
                <w:rFonts w:ascii="宋体" w:hAnsi="宋体"/>
                <w:color w:val="000000"/>
                <w:highlight w:val="none"/>
              </w:rPr>
            </w:r>
            <w:r/>
          </w:p>
          <w:p>
            <w:pPr>
              <w:pStyle w:val="794"/>
              <w:spacing w:line="360" w:lineRule="auto"/>
              <w:rPr>
                <w:rFonts w:hint="eastAsia" w:ascii="宋体" w:hAnsi="宋体"/>
                <w:color w:val="000000"/>
                <w:highlight w:val="none"/>
              </w:rPr>
            </w:pPr>
            <w:r>
              <w:rPr>
                <w:rFonts w:hint="eastAsia" w:ascii="宋体" w:hAnsi="宋体"/>
                <w:color w:val="000000"/>
                <w:highlight w:val="none"/>
              </w:rPr>
              <w:t xml:space="preserve">要求支持展示各个科室的手术记录，以及钻取详细手术情况。</w:t>
            </w:r>
            <w:r>
              <w:rPr>
                <w:rFonts w:hint="eastAsia"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统计分析</w:t>
            </w:r>
            <w:r>
              <w:rPr>
                <w:rFonts w:ascii="宋体" w:hAnsi="宋体"/>
                <w:color w:val="000000"/>
                <w:highlight w:val="none"/>
              </w:rPr>
              <w:t xml:space="preserve">：</w:t>
            </w:r>
            <w:r>
              <w:rPr>
                <w:rFonts w:hint="eastAsia" w:ascii="宋体" w:hAnsi="宋体"/>
                <w:color w:val="000000"/>
                <w:highlight w:val="none"/>
              </w:rPr>
              <w:t xml:space="preserve">要求支持综合分析医师各个权限的授予情况、越级情况、手术权限申请情况。</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tab/>
            </w:r>
            <w:r>
              <w:rPr>
                <w:rFonts w:hint="eastAsia" w:ascii="宋体" w:hAnsi="宋体"/>
                <w:color w:val="000000"/>
                <w:highlight w:val="none"/>
              </w:rPr>
              <w:t xml:space="preserve">医师资质综合查询</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要求支持展示各科室医师各类权限拥有情况，以及各类权限的使用情况（即业务系统反馈的业务记录），钻取数字，分别获取详情。</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tab/>
            </w:r>
            <w:r>
              <w:rPr>
                <w:rFonts w:hint="eastAsia" w:ascii="宋体" w:hAnsi="宋体"/>
                <w:color w:val="000000"/>
                <w:highlight w:val="none"/>
              </w:rPr>
              <w:t xml:space="preserve">医师职称统计</w:t>
            </w:r>
            <w:r>
              <w:rPr>
                <w:rFonts w:ascii="宋体" w:hAnsi="宋体"/>
                <w:color w:val="000000"/>
                <w:highlight w:val="none"/>
              </w:rPr>
            </w:r>
            <w:r/>
          </w:p>
          <w:p>
            <w:pPr>
              <w:pStyle w:val="794"/>
              <w:spacing w:line="360" w:lineRule="auto"/>
              <w:rPr>
                <w:rFonts w:hint="eastAsia" w:ascii="宋体" w:hAnsi="宋体"/>
                <w:color w:val="000000"/>
                <w:highlight w:val="none"/>
              </w:rPr>
            </w:pPr>
            <w:r>
              <w:rPr>
                <w:rFonts w:hint="eastAsia" w:ascii="宋体" w:hAnsi="宋体"/>
                <w:color w:val="000000"/>
                <w:highlight w:val="none"/>
              </w:rPr>
              <w:t xml:space="preserve">要求支持图表展示各科室医师职称情况。</w:t>
            </w:r>
            <w:r>
              <w:rPr>
                <w:rFonts w:hint="eastAsia"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tab/>
            </w:r>
            <w:r>
              <w:rPr>
                <w:rFonts w:hint="eastAsia" w:ascii="宋体" w:hAnsi="宋体"/>
                <w:color w:val="000000"/>
                <w:highlight w:val="none"/>
              </w:rPr>
              <w:t xml:space="preserve">各科室手术资质申请情况</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要求支持图表展示各个科室手术权限申请统计情况，钻取获得手术权限申请单，追踪权限申请情况。</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tab/>
            </w:r>
            <w:r>
              <w:rPr>
                <w:rFonts w:hint="eastAsia" w:ascii="宋体" w:hAnsi="宋体"/>
                <w:color w:val="000000"/>
                <w:highlight w:val="none"/>
              </w:rPr>
              <w:t xml:space="preserve">年度授权情况</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要求支持以年为单位，统计一年内授权情况，包括授权类别、授权人数，授权详情，以分析各类权限的授予比例。</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tab/>
            </w:r>
            <w:r>
              <w:rPr>
                <w:rFonts w:hint="eastAsia" w:ascii="宋体" w:hAnsi="宋体"/>
                <w:color w:val="000000"/>
                <w:highlight w:val="none"/>
              </w:rPr>
              <w:t xml:space="preserve">越级情况统计</w:t>
            </w:r>
            <w:r>
              <w:rPr>
                <w:rFonts w:ascii="宋体" w:hAnsi="宋体"/>
                <w:color w:val="000000"/>
                <w:highlight w:val="none"/>
              </w:rPr>
            </w:r>
            <w:r/>
          </w:p>
          <w:p>
            <w:pPr>
              <w:pStyle w:val="794"/>
              <w:spacing w:line="360" w:lineRule="auto"/>
              <w:rPr>
                <w:rFonts w:ascii="宋体" w:hAnsi="宋体"/>
                <w:color w:val="000000"/>
                <w:highlight w:val="none"/>
              </w:rPr>
            </w:pPr>
            <w:r>
              <w:rPr>
                <w:rFonts w:hint="eastAsia" w:ascii="宋体" w:hAnsi="宋体"/>
                <w:color w:val="000000"/>
                <w:highlight w:val="none"/>
              </w:rPr>
              <w:t xml:space="preserve">要求支持统计越级数量，追踪医师越级行为，给收回医师权限提供依据。</w:t>
            </w:r>
            <w:r>
              <w:rPr>
                <w:rFonts w:ascii="宋体" w:hAnsi="宋体"/>
                <w:color w:val="000000"/>
                <w:highlight w:val="none"/>
              </w:rPr>
            </w:r>
            <w:r/>
          </w:p>
        </w:tc>
      </w:tr>
    </w:tbl>
    <w:p>
      <w:pPr>
        <w:pStyle w:val="1171"/>
        <w:ind w:firstLine="0"/>
        <w:rPr>
          <w:rFonts w:ascii="宋体" w:hAnsi="宋体"/>
          <w:color w:val="000000"/>
          <w:szCs w:val="24"/>
          <w:highlight w:val="none"/>
        </w:rPr>
      </w:pPr>
      <w:r>
        <w:rPr>
          <w:rFonts w:ascii="宋体" w:hAnsi="宋体"/>
          <w:color w:val="000000"/>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3.治疗室工作站</w:t>
      </w:r>
      <w:r>
        <w:rPr>
          <w:rFonts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系统概述</w:t>
            </w:r>
            <w:r>
              <w:rPr>
                <w:rFonts w:ascii="宋体" w:hAnsi="宋体" w:cs="宋体"/>
                <w:b/>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为了满足医院越来越广泛的以康复性治疗或者恢复性治疗为目的的治疗管理方面的需求，对治疗科室的工作流程和操</w:t>
            </w:r>
            <w:r>
              <w:rPr>
                <w:rFonts w:hint="eastAsia" w:ascii="宋体" w:hAnsi="宋体" w:cs="宋体"/>
                <w:color w:val="000000"/>
                <w:sz w:val="24"/>
                <w:highlight w:val="none"/>
              </w:rPr>
              <w:t xml:space="preserve">作规范实现电子化管理。包括：康复、放射治疗、针灸、推拿、高压氧等治疗项目，部分临床科室有计划执行的持续或需要多次重复执行的专门治疗项目，但不包括药物治疗（如化疗、输液、注射等）、外科换药、手术治疗、介入治疗、医技检查。就诊医生通过诊疗录入或治疗申请单为患者进行治疗申请，患者缴费后到相应的治疗科室进行预约或者直接治疗，预约后到相应的预约日期后到相应科室进行治疗。系统同时支持治疗评估、治疗分诊、取消治疗申请、取消预约等操作，提供个人、科室工作量统计查询、治疗过程追踪、治疗记录结果、电子病历集成查询等统计查询功能</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功能要求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要求提供治疗申请、治疗分配、治疗预约或直接执行、治疗等功能</w:t>
            </w:r>
            <w:r>
              <w:rPr>
                <w:rFonts w:hint="eastAsia" w:ascii="宋体" w:hAnsi="宋体"/>
                <w:color w:val="000000"/>
                <w:sz w:val="24"/>
                <w:highlight w:val="none"/>
              </w:rPr>
              <w:t xml:space="preserve">。</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详细要求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治疗申请：要求系统支持治疗申请单独立申请，也支持医嘱录入直接录入医嘱审核申请。申请成功后，门诊患者缴费后可到相应治疗科室进行治疗，住院患者可直接前往治疗科室进行治疗。</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治疗分配：要求治疗分配为可选流程，可指定需分配的治疗医师，若启用此流程，则治疗申请只有分配到指定人员才可进行治疗预约或治疗。系统实时展示可分配治疗师名下的申请单数，便于进行及时调整，平衡分配。</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治疗预约：要求支持系统内治疗申请分为两种类型，一种是直接执行，另一种是治疗预约。直接执行无需预约，直接进行治疗记录的保存完成治疗即可。需要进行预约的治疗申请，由治疗师选择相应日期及治疗师的的治疗排班进行预约治疗。系统支持为多个申请进行批量预约，也支持为已预约的记录取消预约，可打印预约凭证。</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治疗：患者预约完成后，到指定日期后到治疗科室进行治疗，治疗师选择患者的预约记录后，可根据实际情况在系统内录入具体的治疗情况，同时也可批量录入保存治疗记录。系统支持对已治疗的治疗记录进行修改撤销，也可为相应的治疗记录上传治疗图片，可浏览治疗记录各个操作节点的时间及操作人员信息。</w:t>
            </w:r>
            <w:r>
              <w:rPr>
                <w:rFonts w:ascii="宋体" w:hAnsi="宋体"/>
                <w:color w:val="000000"/>
                <w:sz w:val="24"/>
                <w:highlight w:val="none"/>
              </w:rPr>
            </w:r>
            <w:r/>
          </w:p>
        </w:tc>
      </w:tr>
    </w:tbl>
    <w:p>
      <w:pPr>
        <w:pStyle w:val="1171"/>
        <w:ind w:firstLine="400"/>
        <w:rPr>
          <w:rFonts w:ascii="宋体" w:hAnsi="宋体"/>
          <w:color w:val="000000"/>
          <w:szCs w:val="24"/>
          <w:highlight w:val="none"/>
        </w:rPr>
      </w:pPr>
      <w:r>
        <w:rPr>
          <w:rFonts w:ascii="宋体" w:hAnsi="宋体"/>
          <w:color w:val="000000"/>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4.病历归档系统</w:t>
      </w:r>
      <w:r>
        <w:rPr>
          <w:rFonts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系统概述</w:t>
            </w:r>
            <w:r>
              <w:rPr>
                <w:rFonts w:ascii="宋体" w:hAnsi="宋体" w:cs="宋体"/>
                <w:b/>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子病历归档系统又称电子病历归档管理系统是对病历进行电子化归档形成病案进行存储、使用、管理的系统。具体是指医疗机构内部实现病历文档“以患者为中心”的集中电子化归档、存储和管理，并提供归档病历信息的检索、浏览、打印及安全审计管理等服务的计算机信息系统。它可以有效降低病案归档存储的人力物力消耗、提高病案资源利用效率，并为医院持续改进病案管理水平提供支撑。</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功能要求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要求提供电子病案生成、电子病案扫描、电子病案打印、基于角色的用户权限控制、电子病案索引管理、电子病案流通管理、电子病历浏览、归档文件存储、归档病案导出、历史病案录入、电子病历封存、电子病历复核、额外、报表、数据中心整合等功能。</w:t>
            </w:r>
            <w:r>
              <w:rPr>
                <w:rFonts w:hint="eastAsia"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详细要求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案生成：要求支持通过不同的生成方案，对接其他产品接口，实现生成病案PDF保存下来。要求建立监控平台，整体监控生成队列的情况和工作细节。要求支持第三方生成接口的集成，方便对生成错误的监控。另外，建立统一的迟归项目接口平台，为每个项目单独配置迟归。</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案扫描：要求支持对患者就诊的快速检索，使用高速扫描仪或高拍仪将纸质病历扫描到归档系统中，同时预览扫描后的病历，对扫描后的病历手工分类，要求支持自动转换为PDF文件，归档上传至归档库，进而与生成的病历组合成完整的病案。要求有完整的扫描日志记录和扫描工作量查询，方便扫描管理。</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案打印：要求支持通过设备读卡或手工查询对患者就诊的检索，连接高速打印机，配置不同的打印方案，实现患者病案的多种打印需求。完整的权限管理方便打印权限的控制，完善、多维度的日志记录方便工作量的统计。要求系统中含有打印版本控制，病案打印后重新生成保留版本，再次打印时进行版本选择。</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基于角色的用户权限控制：要求支持完整的角色-用户-功能的权限控制。可维护角色、功能和用户。要求支持一个用户多角色，可在登录时进行角色选择，登录后具有登录角色权限。可配置多层可继承角色，继承角色具有基本角色所有权限。</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电子病案索引管理</w:t>
            </w:r>
            <w:r>
              <w:rPr>
                <w:rFonts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患者基本信息：要求支持对患者基本信息进行收集并建立相应索引。</w:t>
            </w:r>
            <w:r>
              <w:rPr>
                <w:rFonts w:hint="eastAsia"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患者就诊信息：要求支持对患者就诊信息进行收集并建立相应索引。</w:t>
            </w:r>
            <w:r>
              <w:rPr>
                <w:rFonts w:hint="eastAsia"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病案首页信息：要求支持对病案首页结构化信息进行收集并建立相应索引。</w:t>
            </w:r>
            <w:r>
              <w:rPr>
                <w:rFonts w:hint="eastAsia"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费用信息：要求支持对患者费用信息进行收集。</w:t>
            </w:r>
            <w:r>
              <w:rPr>
                <w:rFonts w:hint="eastAsia"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疾病编码：要求支持电子病案归档管理系统ICD-10疾病诊断信息管理。</w:t>
            </w:r>
            <w:r>
              <w:rPr>
                <w:rFonts w:hint="eastAsia"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手术编码：要求支持电子病案归档管理系统ICD-9-CM-3手术及操作信息管理。</w:t>
            </w:r>
            <w:r>
              <w:rPr>
                <w:rFonts w:hint="eastAsia"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基础码表映射管理：要求支持从HIS等系统基础码表映射维护管理。</w:t>
            </w:r>
            <w:r>
              <w:rPr>
                <w:rFonts w:hint="eastAsia"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电子病案流通管理</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病案流通：要求支持回收，复核，编目，上架进行维护管理。电子病案示踪管理。</w:t>
            </w:r>
            <w:r>
              <w:rPr>
                <w:rFonts w:ascii="宋体" w:hAnsi="宋体"/>
                <w:color w:val="000000"/>
                <w:sz w:val="24"/>
                <w:highlight w:val="none"/>
              </w:rPr>
            </w:r>
            <w:r/>
          </w:p>
          <w:p>
            <w:pPr>
              <w:pStyle w:val="794"/>
              <w:spacing w:line="360" w:lineRule="auto"/>
              <w:rPr>
                <w:rFonts w:hint="eastAsia" w:ascii="宋体" w:hAnsi="宋体"/>
                <w:color w:val="000000"/>
                <w:sz w:val="24"/>
                <w:highlight w:val="none"/>
              </w:rPr>
            </w:pPr>
            <w:r>
              <w:rPr>
                <w:rFonts w:hint="eastAsia" w:ascii="宋体" w:hAnsi="宋体"/>
                <w:color w:val="000000"/>
                <w:sz w:val="24"/>
                <w:highlight w:val="none"/>
              </w:rPr>
              <w:t xml:space="preserve">查询统计：要求支持电子病案流通状态查询。</w:t>
            </w:r>
            <w:r>
              <w:rPr>
                <w:rFonts w:hint="eastAsia"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电子病历浏览</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PDF浏览基础组件：要求支持PDF浏览基础组件，支持放大，缩小，旋转，画框放大等功能，支持PDF水印等。</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基于权限的病案借阅浏览：要求支持借阅审批浏览。</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对于第三方提供浏览组件：要求支持封装电子病历归档管理组件供第三方浏览病案使用。</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门诊住院既往病案浏览：要求支持给门诊，住院医生提供既往病案浏览。</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对病历浏览的支持：要求支持在电子病历得病历浏览功能中增加电子病案的浏览。</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归档文件传输基础件：要求支持传输封装，传输管控等基础功能。</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FTP基础传输: 要求支持FTP上传，下载，目录访问，目录列表，删除，获取文件大小等基础功能。</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FTP进阶传输: 要求支持进阶专业级传输，更稳定高效，除基础功能外增加断点续传，断线重连，上传确认，完备的日志。</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归档文件存储</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基础时间散列文件系统: 要求支持基础电子病历归档管理文件系统。</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持续可扩展时间散列文件系统: 要求支持电子病历归档管理文件系统的不断扩容，并且可分布在多台服务器上。</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病案归档检索</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基于权限的病案检索：要求支持自定义查询权限配置，电子病案检索授权，条件可配置综合检索，查询结果导出EXCEL。</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病案全文检索：要求支持可对归档的所有PDF文档进行全文检索。</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归档病案导出</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归档病案PDF导出：要求支持归档电子病案导出，支持批量导出，支持导出方案，要求支持导出文件名设置，支持导出水印。</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导出PDF加密：要求支持导出PDF时增加用户密码，可设置用户密码和权限。</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历史病案录入</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历史纸质或电子病案录入：要求支持录入患者信息，就诊信息，诊断信息，手术信息。支持患者病案自动合并。</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历史纸质或电子病案录入统计：要求支持对录入进行工作量统计。</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电子病历封存</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运行态纠纷电子病历封存：要求支持运行态纠纷电子病历封存。</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电子病历复核</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完整性质控：要求支持对归档内容的完整性在提交时进行质控并提示。</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多科室三级复核：要求支持科室复核、病案室复核、质控科复核三级质控。</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终末质控整合：要求支持整合终末质控手工评分等。</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附加功用</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出院患者病历页数统计系统：要求支持在患者出院时统计病案的页数。</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电子病历CA验证：要求支持在医生提交病历时进行CA签名验证（需要与CA对接）。</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敏感数据变更管控记录：要求支持可将病案加入敏感病案列表，在使用时进行管控。</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统一监控运维平台：要求支持统一的日志记录监控。</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企业签章：要求提供可整合企业签章。</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报表</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电子病历归档管理报表系统：要求支持提供基础电子病历归档管理报表。</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数据中心整合</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归档存储文件系统支持：要求支持对数据中心提供归档病案的文件存储。</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实时报告处理中心：要求支持报告实时归档。</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实施报告负载均衡：要求支持报告实时归档负载均衡。</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数据中心接口：要求提供和数据中心接口。</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电子病历归档系统基础支持：要求提供电子病历归档管理系统基础支持。</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历史文档迁移：要求支持历史的文档归集到电子病历归档管理系统。</w:t>
            </w:r>
            <w:r>
              <w:rPr>
                <w:rFonts w:ascii="宋体" w:hAnsi="宋体"/>
                <w:color w:val="000000"/>
                <w:sz w:val="24"/>
                <w:highlight w:val="none"/>
              </w:rPr>
            </w:r>
            <w:r/>
          </w:p>
        </w:tc>
      </w:tr>
    </w:tbl>
    <w:p>
      <w:pPr>
        <w:pStyle w:val="1171"/>
        <w:ind w:firstLine="400"/>
        <w:rPr>
          <w:rFonts w:ascii="宋体" w:hAnsi="宋体"/>
          <w:color w:val="000000"/>
          <w:szCs w:val="24"/>
          <w:highlight w:val="none"/>
        </w:rPr>
      </w:pPr>
      <w:r>
        <w:rPr>
          <w:rFonts w:ascii="宋体" w:hAnsi="宋体"/>
          <w:color w:val="000000"/>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5.护理病历</w:t>
      </w:r>
      <w:r>
        <w:rPr>
          <w:rFonts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系统概述</w:t>
            </w:r>
            <w:r>
              <w:rPr>
                <w:rFonts w:ascii="宋体" w:hAnsi="宋体" w:cs="宋体"/>
                <w:b/>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护理病历系统，可用于满足住院部床旁护理的日常工作要求，功能涵盖日常护理所需的各种护理文书，有助于医院对护理实现精细化管理，大幅缩短护士的病历书写时间，优化护理工作流程，可提高护士的工作效率，有效降低护理差错事故的发生率。产品实施简便，实施周期短，绝大部分用户需求可以通过简单配置完成。用户可自定义界面、报表和参数等，不同科室也可定义不同的参数和界面，系统提供系统接口，通过接口对接可调取所需相关数据。</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功能要求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要求提供体温单、血糖单、评估单、中医专科评估单等功能。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详细要求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体温单</w:t>
            </w:r>
            <w:r>
              <w:rPr>
                <w:rFonts w:ascii="宋体" w:hAnsi="宋体"/>
                <w:color w:val="000000"/>
                <w:sz w:val="24"/>
                <w:highlight w:val="none"/>
              </w:rPr>
              <w:t xml:space="preserve">：要求支持</w:t>
            </w:r>
            <w:r>
              <w:rPr>
                <w:rFonts w:hint="eastAsia" w:ascii="宋体" w:hAnsi="宋体"/>
                <w:color w:val="000000"/>
                <w:sz w:val="24"/>
                <w:highlight w:val="none"/>
              </w:rPr>
              <w:t xml:space="preserve">护理人员利用手持PDA系统采集体征数据、患者事件的输入，系统可自动生成体温单绘制并支持打印；根据采集患者体征数据自动生成血压趋势图</w:t>
            </w:r>
            <w:r>
              <w:rPr>
                <w:rFonts w:hint="eastAsia" w:ascii="宋体" w:hAnsi="宋体" w:cs="宋体"/>
                <w:color w:val="000000"/>
                <w:sz w:val="24"/>
                <w:highlight w:val="none"/>
              </w:rPr>
              <w:t xml:space="preserve">。</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血糖单</w:t>
            </w:r>
            <w:r>
              <w:rPr>
                <w:rFonts w:ascii="宋体" w:hAnsi="宋体"/>
                <w:color w:val="000000"/>
                <w:sz w:val="24"/>
                <w:highlight w:val="none"/>
              </w:rPr>
              <w:t xml:space="preserve">：要求</w:t>
            </w:r>
            <w:r>
              <w:rPr>
                <w:rFonts w:hint="eastAsia" w:ascii="宋体" w:hAnsi="宋体"/>
                <w:color w:val="000000"/>
                <w:sz w:val="24"/>
                <w:highlight w:val="none"/>
              </w:rPr>
              <w:t xml:space="preserve">支持单人和多人批量两种输入血糖数据模式，自动生成血糖单，自动生成血糖趋势图，趋势图可展示每个采集值的详细信息，支持根据血糖采集状态过滤查看</w:t>
            </w:r>
            <w:r>
              <w:rPr>
                <w:rFonts w:hint="eastAsia" w:ascii="宋体" w:hAnsi="宋体" w:cs="宋体"/>
                <w:color w:val="000000"/>
                <w:sz w:val="24"/>
                <w:highlight w:val="none"/>
              </w:rPr>
              <w:t xml:space="preserve">。</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评估单</w:t>
            </w:r>
            <w:r>
              <w:rPr>
                <w:rFonts w:ascii="宋体" w:hAnsi="宋体"/>
                <w:color w:val="000000"/>
                <w:sz w:val="24"/>
                <w:highlight w:val="none"/>
              </w:rPr>
              <w:t xml:space="preserve">：要求</w:t>
            </w:r>
            <w:r>
              <w:rPr>
                <w:rFonts w:hint="eastAsia" w:ascii="宋体" w:hAnsi="宋体"/>
                <w:color w:val="000000"/>
                <w:sz w:val="24"/>
                <w:highlight w:val="none"/>
              </w:rPr>
              <w:t xml:space="preserve">系统支持入院评估、Gordon11项身体结构功能评估以及各专项评估，可自动生成护理评估单</w:t>
            </w:r>
            <w:r>
              <w:rPr>
                <w:rFonts w:hint="eastAsia" w:ascii="宋体" w:hAnsi="宋体" w:cs="宋体"/>
                <w:color w:val="000000"/>
                <w:sz w:val="24"/>
                <w:highlight w:val="none"/>
              </w:rPr>
              <w:t xml:space="preserve">。</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中医专科评估单</w:t>
            </w:r>
            <w:r>
              <w:rPr>
                <w:rFonts w:ascii="宋体" w:hAnsi="宋体"/>
                <w:color w:val="000000"/>
                <w:sz w:val="24"/>
                <w:highlight w:val="none"/>
              </w:rPr>
              <w:t xml:space="preserve">：</w:t>
            </w:r>
            <w:r>
              <w:rPr>
                <w:rFonts w:hint="eastAsia" w:ascii="宋体" w:hAnsi="宋体"/>
                <w:color w:val="000000"/>
                <w:sz w:val="24"/>
                <w:highlight w:val="none"/>
              </w:rPr>
              <w:t xml:space="preserve">要求系统支持护理人员通过对证候症状、主要症状、中医护理技术、主要辩证施护方法，开展中医护理方案制定，支持对中医护理方案、中医护理技术依从性/满意度、中医护理技术应用情况、主要辩证施护方法应用情况等维度的统计。</w:t>
            </w:r>
            <w:r>
              <w:rPr>
                <w:rFonts w:ascii="宋体" w:hAnsi="宋体"/>
                <w:color w:val="000000"/>
                <w:sz w:val="24"/>
                <w:highlight w:val="none"/>
              </w:rPr>
            </w:r>
            <w:r/>
          </w:p>
        </w:tc>
      </w:tr>
    </w:tbl>
    <w:p>
      <w:pPr>
        <w:pStyle w:val="1171"/>
        <w:ind w:firstLine="0"/>
        <w:rPr>
          <w:rFonts w:ascii="宋体" w:hAnsi="宋体"/>
          <w:color w:val="000000"/>
          <w:szCs w:val="24"/>
          <w:highlight w:val="none"/>
        </w:rPr>
      </w:pPr>
      <w:r>
        <w:rPr>
          <w:rFonts w:ascii="宋体" w:hAnsi="宋体"/>
          <w:color w:val="000000"/>
          <w:szCs w:val="24"/>
          <w:highlight w:val="none"/>
        </w:rPr>
      </w:r>
      <w:r/>
    </w:p>
    <w:p>
      <w:pPr>
        <w:pStyle w:val="799"/>
        <w:numPr>
          <w:ilvl w:val="4"/>
          <w:numId w:val="0"/>
        </w:num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6.护理计划（含P</w:t>
      </w:r>
      <w:r>
        <w:rPr>
          <w:rFonts w:ascii="宋体" w:hAnsi="宋体"/>
          <w:color w:val="000000"/>
          <w:sz w:val="24"/>
          <w:szCs w:val="24"/>
          <w:highlight w:val="none"/>
        </w:rPr>
        <w:t xml:space="preserve">DA</w:t>
      </w:r>
      <w:r>
        <w:rPr>
          <w:rFonts w:hint="eastAsia" w:ascii="宋体" w:hAnsi="宋体"/>
          <w:color w:val="000000"/>
          <w:sz w:val="24"/>
          <w:szCs w:val="24"/>
          <w:highlight w:val="none"/>
        </w:rPr>
        <w:t xml:space="preserve">端）</w:t>
      </w:r>
      <w:r>
        <w:rPr>
          <w:rFonts w:ascii="宋体" w:hAnsi="宋体"/>
          <w:color w:val="000000"/>
          <w:sz w:val="24"/>
          <w:szCs w:val="24"/>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rHeight w:val="334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系统概述</w:t>
            </w:r>
            <w:r>
              <w:rPr>
                <w:rFonts w:ascii="宋体" w:hAnsi="宋体" w:cs="宋体"/>
                <w:b/>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护理管理系统，是为医院各级各科室护理人员提供全面的人力资源、绩效管理、组织体系、护理质控等护理全面的解决方案；是对全体护理人员成长过程的记录，可协助护理管理团队在数据层面跟踪护理工作从整体到个体的完成情况，实现动态调控的绩效评估与人力调配。</w:t>
            </w:r>
            <w:r>
              <w:rPr>
                <w:rFonts w:ascii="宋体" w:hAnsi="宋体" w:cs="宋体"/>
                <w:color w:val="000000"/>
                <w:sz w:val="24"/>
                <w:highlight w:val="none"/>
              </w:rPr>
            </w:r>
            <w:r/>
          </w:p>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护理所涉及的绩效管理更是可以科学的按照护理工作的质和量，为护理人员提供奖金奖励，激励护理人员的工作热情，提高住院患者的照护质量。在面对全院护理质量进行持续管控与改进的同时，系统也将护理人员的在职教育与考核融入日常工作中，不断提高护理人员的知识面，并改进各级护理规范。另外，系统通过与院内HIS等系统的对接提取护理工作量的数据、临床护理相关数据集，协助护理管理团队从多维度梳理全院护理工作。</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功能要求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要求提供护理档案管理、科室事务管理、护理工作量管理、护理质量控制、人员动态、护士长手册、护理教学、护理调查、科研管理、专业组、实习进修、护理指标分析、基础数据维护、系统设置等功能。</w:t>
            </w:r>
            <w:r>
              <w:rPr>
                <w:rFonts w:ascii="宋体" w:hAnsi="宋体" w:cs="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794"/>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详细要求</w:t>
            </w:r>
            <w:r>
              <w:rPr>
                <w:rFonts w:ascii="宋体" w:hAnsi="宋体" w:cs="宋体"/>
                <w:b/>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护理档案管理</w:t>
            </w:r>
            <w:r>
              <w:rPr>
                <w:rFonts w:ascii="宋体" w:hAnsi="宋体"/>
                <w:color w:val="000000"/>
                <w:sz w:val="24"/>
                <w:highlight w:val="none"/>
              </w:rPr>
              <w:t xml:space="preserve">：要求</w:t>
            </w:r>
            <w:r>
              <w:rPr>
                <w:rFonts w:hint="eastAsia" w:ascii="宋体" w:hAnsi="宋体"/>
                <w:color w:val="000000"/>
                <w:sz w:val="24"/>
                <w:highlight w:val="none"/>
              </w:rPr>
              <w:t xml:space="preserve">护理档案管理通过对护士的个人档案信息的完善及管理来实现护理部对在职护理人员的统一管理，方便护理部掌握在院所有护理人员的基本素质、学历分布、专业分布、年龄层次、聘任职称、护士层级、护士调科信息等等,主要功能要求包括护士档案、技术能手、服务之星、护士离职、奖惩情况、离退人员列表、护士排班看板、护士退休、人力指标、离职情况分布、人员一览表等等。</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科室事务管理</w:t>
            </w:r>
            <w:r>
              <w:rPr>
                <w:rFonts w:ascii="宋体" w:hAnsi="宋体"/>
                <w:color w:val="000000"/>
                <w:sz w:val="24"/>
                <w:highlight w:val="none"/>
              </w:rPr>
              <w:t xml:space="preserve">：要求</w:t>
            </w:r>
            <w:r>
              <w:rPr>
                <w:rFonts w:hint="eastAsia" w:ascii="宋体" w:hAnsi="宋体"/>
                <w:color w:val="000000"/>
                <w:sz w:val="24"/>
                <w:highlight w:val="none"/>
              </w:rPr>
              <w:t xml:space="preserve">对护士工作进行安排、统计。主要功能要求包括关联床位管理、初始化积假设置、排班日程、请假申请、护士长请假备案、换班申请、改班申请、排班统计等功能,关联床位管理是关联HIS病区专业组及床位。</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护理工作量管理</w:t>
            </w:r>
            <w:r>
              <w:rPr>
                <w:rFonts w:ascii="宋体" w:hAnsi="宋体"/>
                <w:color w:val="000000"/>
                <w:sz w:val="24"/>
                <w:highlight w:val="none"/>
              </w:rPr>
              <w:t xml:space="preserve">：</w:t>
            </w:r>
            <w:r>
              <w:rPr>
                <w:rFonts w:hint="eastAsia" w:ascii="宋体" w:hAnsi="宋体"/>
                <w:color w:val="000000"/>
                <w:sz w:val="24"/>
                <w:highlight w:val="none"/>
              </w:rPr>
              <w:t xml:space="preserve">护理工作量管理要求用于对护士的工作进行数据统计，实现完整的工作量数据统计工作。主要功能要求包括服务之星统计、技术能手统计、工作量项目、生成月报、工作量月报查询等功能。</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质量控制</w:t>
            </w:r>
            <w:r>
              <w:rPr>
                <w:rFonts w:ascii="宋体" w:hAnsi="宋体"/>
                <w:color w:val="000000"/>
                <w:sz w:val="24"/>
                <w:highlight w:val="none"/>
              </w:rPr>
              <w:t xml:space="preserve">：</w:t>
            </w:r>
            <w:r>
              <w:rPr>
                <w:rFonts w:hint="eastAsia" w:ascii="宋体" w:hAnsi="宋体"/>
                <w:color w:val="000000"/>
                <w:sz w:val="24"/>
                <w:highlight w:val="none"/>
              </w:rPr>
              <w:t xml:space="preserve">要求支持抽取质控指标进行表单重组,能够有效的根据敏感指标进行质控评价，要求采用PDCA循环质量管理能够有效的提升护理质控水平,要求通过友好的人机交互、三层质控和三级指标的系统分类、PDCA的流程及科学的数据分析工具，为护理质量控制提供高效的解决方案,主要功能要求包括质控组管理、检查病区维护、检查病区分组、检查任务计划、质控排班、换班申请、质控任务发布、质控检查、随机检查、复查检查、质控问题汇总、质控统计分析等功能。</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人员动态</w:t>
            </w:r>
            <w:r>
              <w:rPr>
                <w:rFonts w:ascii="宋体" w:hAnsi="宋体"/>
                <w:color w:val="000000"/>
                <w:sz w:val="24"/>
                <w:highlight w:val="none"/>
              </w:rPr>
              <w:t xml:space="preserve">：</w:t>
            </w:r>
            <w:r>
              <w:rPr>
                <w:rFonts w:hint="eastAsia" w:ascii="宋体" w:hAnsi="宋体"/>
                <w:color w:val="000000"/>
                <w:sz w:val="24"/>
                <w:highlight w:val="none"/>
              </w:rPr>
              <w:t xml:space="preserve">要求包括科室轮转、弹性调配和院内调岗功能；其中科室轮转是对未定科的护士制定的轮转计划，计划发布后轮转护士分配到各个病区由带教老师指导其护理相关的工作；弹性调配要求包括计划性调配和随机调配，弹性调配一般用于突然状况（如疫情原因，部分科室患者急增，需要增加护士）进行护士批量调配；计划性调配要求需要护士长提交用人申请由科护士长或者护理部审核通过然后分配人员；随机性调配则由护士长直接将护士的调配信息提交即可。</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组织管理</w:t>
            </w:r>
            <w:r>
              <w:rPr>
                <w:rFonts w:ascii="宋体" w:hAnsi="宋体"/>
                <w:color w:val="000000"/>
                <w:sz w:val="24"/>
                <w:highlight w:val="none"/>
              </w:rPr>
              <w:t xml:space="preserve">：</w:t>
            </w:r>
            <w:r>
              <w:rPr>
                <w:rFonts w:hint="eastAsia" w:ascii="宋体" w:hAnsi="宋体"/>
                <w:color w:val="000000"/>
                <w:sz w:val="24"/>
                <w:highlight w:val="none"/>
              </w:rPr>
              <w:t xml:space="preserve">组织管理要求包括组织管理制度和组织规划功能。</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组织管理制度要求支持对护理部、科室和病区对相关制度的维护、查阅以及护理文件的管理及维护工作。</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组织规划要求支持护理部对工作规划、工作计划、工作重点的维护工作，其中工作计划和工作重点又分为年度、季度、半年和月底计划和重点。</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护士长手册</w:t>
            </w:r>
            <w:r>
              <w:rPr>
                <w:rFonts w:ascii="宋体" w:hAnsi="宋体"/>
                <w:color w:val="000000"/>
                <w:sz w:val="24"/>
                <w:highlight w:val="none"/>
              </w:rPr>
              <w:t xml:space="preserve">：</w:t>
            </w:r>
            <w:r>
              <w:rPr>
                <w:rFonts w:hint="eastAsia" w:ascii="宋体" w:hAnsi="宋体"/>
                <w:color w:val="000000"/>
                <w:sz w:val="24"/>
                <w:highlight w:val="none"/>
              </w:rPr>
              <w:t xml:space="preserve">要求根据项目实际情况进行系统的功能优化升级。具体功能要求包括手册说明、护理人员信息、计划总结、质量管理、风险管理、日常事务管理、护理查房、病例讨论、手册审阅等功能。</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护理教学</w:t>
            </w:r>
            <w:r>
              <w:rPr>
                <w:rFonts w:ascii="宋体" w:hAnsi="宋体"/>
                <w:color w:val="000000"/>
                <w:sz w:val="24"/>
                <w:highlight w:val="none"/>
              </w:rPr>
              <w:t xml:space="preserve">：</w:t>
            </w:r>
            <w:r>
              <w:rPr>
                <w:rFonts w:hint="eastAsia" w:ascii="宋体" w:hAnsi="宋体"/>
                <w:color w:val="000000"/>
                <w:sz w:val="24"/>
                <w:highlight w:val="none"/>
              </w:rPr>
              <w:t xml:space="preserve">要求包括日常练习（章节练习、真题模考、学习资料库）、考核发布、理论考核、技操考核、应急预案考核、应急预案演练、教学情况汇总（综合汇总、培训汇总、考核汇总）等功能。</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护理调查</w:t>
            </w:r>
            <w:r>
              <w:rPr>
                <w:rFonts w:ascii="宋体" w:hAnsi="宋体"/>
                <w:color w:val="000000"/>
                <w:sz w:val="24"/>
                <w:highlight w:val="none"/>
              </w:rPr>
              <w:t xml:space="preserve">：</w:t>
            </w:r>
            <w:r>
              <w:rPr>
                <w:rFonts w:hint="eastAsia" w:ascii="宋体" w:hAnsi="宋体"/>
                <w:color w:val="000000"/>
                <w:sz w:val="24"/>
                <w:highlight w:val="none"/>
              </w:rPr>
              <w:t xml:space="preserve">要求包括护士满意度调查、患者满意度调查和出院随访等功能。</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科研管理</w:t>
            </w:r>
            <w:r>
              <w:rPr>
                <w:rFonts w:ascii="宋体" w:hAnsi="宋体"/>
                <w:color w:val="000000"/>
                <w:sz w:val="24"/>
                <w:highlight w:val="none"/>
              </w:rPr>
              <w:t xml:space="preserve">：要求</w:t>
            </w:r>
            <w:r>
              <w:rPr>
                <w:rFonts w:hint="eastAsia" w:ascii="宋体" w:hAnsi="宋体"/>
                <w:color w:val="000000"/>
                <w:sz w:val="24"/>
                <w:highlight w:val="none"/>
              </w:rPr>
              <w:t xml:space="preserve">科研管理支持对在院护士的发表论文、交流获奖论文、年底上交论文、科研立项、科室创新、获奖科研、专利备案、新技术申报审批等功能的填报。</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专业组</w:t>
            </w:r>
            <w:r>
              <w:rPr>
                <w:rFonts w:ascii="宋体" w:hAnsi="宋体"/>
                <w:color w:val="000000"/>
                <w:sz w:val="24"/>
                <w:highlight w:val="none"/>
              </w:rPr>
              <w:t xml:space="preserve">：要求支持</w:t>
            </w:r>
            <w:r>
              <w:rPr>
                <w:rFonts w:hint="eastAsia" w:ascii="宋体" w:hAnsi="宋体"/>
                <w:color w:val="000000"/>
                <w:sz w:val="24"/>
                <w:highlight w:val="none"/>
              </w:rPr>
              <w:t xml:space="preserve">医院对于各个专科专业组、人员进行分配登记，此外还有专科护士备案以及再认证等工作也可以在系统中进行相关信息的统计。</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实习进修</w:t>
            </w:r>
            <w:r>
              <w:rPr>
                <w:rFonts w:ascii="宋体" w:hAnsi="宋体"/>
                <w:color w:val="000000"/>
                <w:sz w:val="24"/>
                <w:highlight w:val="none"/>
              </w:rPr>
              <w:t xml:space="preserve">：</w:t>
            </w:r>
            <w:r>
              <w:rPr>
                <w:rFonts w:hint="eastAsia" w:ascii="宋体" w:hAnsi="宋体"/>
                <w:color w:val="000000"/>
                <w:sz w:val="24"/>
                <w:highlight w:val="none"/>
              </w:rPr>
              <w:t xml:space="preserve">要求包括实习生列表、进修人员管理、轮转管理、人员登记、培训管理、奖惩记录等功能。</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护理指标分析</w:t>
            </w:r>
            <w:r>
              <w:rPr>
                <w:rFonts w:ascii="宋体" w:hAnsi="宋体"/>
                <w:color w:val="000000"/>
                <w:sz w:val="24"/>
                <w:highlight w:val="none"/>
              </w:rPr>
              <w:t xml:space="preserve">：</w:t>
            </w:r>
            <w:r>
              <w:rPr>
                <w:rFonts w:hint="eastAsia" w:ascii="宋体" w:hAnsi="宋体"/>
                <w:color w:val="000000"/>
                <w:sz w:val="24"/>
                <w:highlight w:val="none"/>
              </w:rPr>
              <w:t xml:space="preserve">要求包括敏感指标、医疗照护（工作量）指标、人力指标、安全通报指标、质量考核指标;建立指标数据平台，可实现与HIS系统、移动护理、护理病历、护理排班、不良事件、人力系统、院感系统等护理相关系统的对接，要求指标系统支持高度可配置化管理，支持数据源定义、指标的快速构建、报表模板定义等，可满足护理指标数据的提取。要求支持根据填报、上报、导入需求进行模板的定制，系统需根据敏感指标的要求，自动导入符合国家护理质控平台要求的模板。</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基础数据维护</w:t>
            </w:r>
            <w:r>
              <w:rPr>
                <w:rFonts w:ascii="宋体" w:hAnsi="宋体"/>
                <w:color w:val="000000"/>
                <w:sz w:val="24"/>
                <w:highlight w:val="none"/>
              </w:rPr>
              <w:t xml:space="preserve">：</w:t>
            </w:r>
            <w:r>
              <w:rPr>
                <w:rFonts w:hint="eastAsia" w:ascii="宋体" w:hAnsi="宋体"/>
                <w:color w:val="000000"/>
                <w:sz w:val="24"/>
                <w:highlight w:val="none"/>
              </w:rPr>
              <w:t xml:space="preserve">要求包括片区（大科）设置、科室设置、病区设置、楼层设置、全局排班类型管理、病区排班类型管理、质控项目管理、公共代码维护、节假日维护、用户设置、教学维护、专科护士再认证项目、调查问卷维护等。片区（大科）设置要求实现对片区（大科）的添加功能，并可以关联所辖科室；科室设置要求实现对科室添加功能，并支持关联所辖病区；病区设置要求支持病区的添加功能，需支持顺序调整、关联所属科室功能，要求支持与HIS病区的关联；楼层设置是对楼层的维护，要求支持楼层关联病区功能；全局排班类型管理是护理部对全院所有排班班次的维</w:t>
            </w:r>
            <w:r>
              <w:rPr>
                <w:rFonts w:hint="eastAsia" w:ascii="宋体" w:hAnsi="宋体"/>
                <w:color w:val="000000"/>
                <w:sz w:val="24"/>
                <w:highlight w:val="none"/>
              </w:rPr>
              <w:t xml:space="preserve">护功能，要求支持顺序调整、班次时间段的维护、班次导出等功能；病区排班类型管理要求支持病区护士长对本病区所属班次的添加、班次时间段的维护功能；要求质控项目管理支持对质控指标的添加、编辑、删除、导入、导出功能；公共代码维护需支持对系统公共代码的维护功能；节假日维护需支持对国家法定节假日的维护功能；用户设置需实现对用户的his信息的相关关联；教学维护需支持对理论项目、技操项目的考核题目的维护；专科护士再认证项目要求支持相关认证项目的维护；调查问卷维护要求支持对护士满意度调查、患者满意度调查以及出院随访问卷的维护。</w:t>
            </w:r>
            <w:r>
              <w:rPr>
                <w:rFonts w:ascii="宋体" w:hAnsi="宋体"/>
                <w:color w:val="000000"/>
                <w:sz w:val="24"/>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spacing w:before="100" w:beforeAutospacing="1" w:after="100" w:afterAutospacing="1" w:line="360" w:lineRule="auto"/>
              <w:rPr>
                <w:rFonts w:ascii="宋体" w:hAnsi="宋体"/>
                <w:color w:val="000000"/>
                <w:sz w:val="24"/>
                <w:highlight w:val="none"/>
              </w:rPr>
            </w:pPr>
            <w:r>
              <w:rPr>
                <w:rFonts w:hint="eastAsia" w:ascii="宋体" w:hAnsi="宋体"/>
                <w:color w:val="000000"/>
                <w:sz w:val="24"/>
                <w:highlight w:val="none"/>
              </w:rPr>
              <w:t xml:space="preserve">系统设置</w:t>
            </w:r>
            <w:r>
              <w:rPr>
                <w:rFonts w:ascii="宋体" w:hAnsi="宋体"/>
                <w:color w:val="000000"/>
                <w:sz w:val="24"/>
                <w:highlight w:val="none"/>
              </w:rPr>
              <w:t xml:space="preserve">：</w:t>
            </w:r>
            <w:r>
              <w:rPr>
                <w:rFonts w:hint="eastAsia" w:ascii="宋体" w:hAnsi="宋体"/>
                <w:color w:val="000000"/>
                <w:sz w:val="24"/>
                <w:highlight w:val="none"/>
              </w:rPr>
              <w:t xml:space="preserve">要求支持对护理管理系统参数的维护。具体功能要求包括模块设置、菜单设置、菜单权限设置、病区权限设置、用户角色管理、系统参数设置、综合参数设置、列表配置、夜班费及系数等。</w:t>
            </w:r>
            <w:r>
              <w:rPr>
                <w:rFonts w:ascii="宋体" w:hAnsi="宋体"/>
                <w:color w:val="000000"/>
                <w:sz w:val="24"/>
                <w:highlight w:val="none"/>
              </w:rPr>
              <w:t xml:space="preserve"> </w:t>
            </w:r>
            <w:r>
              <w:rPr>
                <w:rFonts w:ascii="宋体" w:hAnsi="宋体"/>
                <w:color w:val="000000"/>
                <w:sz w:val="24"/>
                <w:highlight w:val="none"/>
              </w:rPr>
            </w:r>
            <w:r/>
          </w:p>
        </w:tc>
      </w:tr>
    </w:tbl>
    <w:p>
      <w:pPr>
        <w:pStyle w:val="1171"/>
        <w:ind w:firstLine="400"/>
        <w:rPr>
          <w:rFonts w:hint="eastAsia" w:ascii="宋体" w:hAnsi="宋体"/>
          <w:color w:val="000000"/>
          <w:szCs w:val="24"/>
          <w:highlight w:val="none"/>
        </w:rPr>
      </w:pPr>
      <w:r>
        <w:rPr>
          <w:rFonts w:hint="eastAsia" w:ascii="宋体" w:hAnsi="宋体"/>
          <w:color w:val="000000"/>
          <w:szCs w:val="24"/>
          <w:highlight w:val="none"/>
        </w:rPr>
      </w:r>
      <w:r/>
    </w:p>
    <w:p>
      <w:pPr>
        <w:pStyle w:val="1167"/>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7、抗肿瘤药物分级管理系统</w:t>
      </w:r>
      <w:r>
        <w:rPr>
          <w:rFonts w:hint="eastAsia" w:ascii="宋体" w:hAnsi="宋体"/>
          <w:b/>
          <w:bCs/>
          <w:color w:val="000000"/>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5"/>
        <w:gridCol w:w="7203"/>
      </w:tblGrid>
      <w:tr>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系统概述</w:t>
            </w:r>
            <w:r>
              <w:rPr>
                <w:rFonts w:ascii="宋体" w:hAnsi="宋体" w:cs="宋体"/>
                <w:b/>
                <w:color w:val="000000"/>
                <w:highlight w:val="none"/>
              </w:rPr>
            </w:r>
            <w:r/>
          </w:p>
        </w:tc>
        <w:tc>
          <w:tcPr>
            <w:tcBorders>
              <w:top w:val="singl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抗肿瘤药物管理系统通过对抗肿瘤药物进行分类，实现不同级别的抗肿瘤药物的流程配置化管理。系统支持各职称医生对不同就诊类型的患者所能开具的抗肿瘤药物权限进行管理，支持各级别抗肿瘤药物申请流程的定制，以及支持抗肿瘤药物联合用药的管理。</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功能要求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要求提供抗肿瘤药物权限管理、抗肿瘤药物流程配置、抗肿瘤药物功能配置、抗菌药物联合用药管理等功能</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pStyle w:val="794"/>
              <w:widowControl/>
              <w:rPr>
                <w:rFonts w:ascii="宋体" w:hAnsi="宋体" w:cs="宋体"/>
                <w:b/>
                <w:color w:val="000000"/>
                <w:highlight w:val="none"/>
              </w:rPr>
            </w:pPr>
            <w:r>
              <w:rPr>
                <w:rFonts w:hint="eastAsia" w:ascii="宋体" w:hAnsi="宋体" w:cs="宋体"/>
                <w:b/>
                <w:color w:val="000000"/>
                <w:highlight w:val="none"/>
              </w:rPr>
              <w:t xml:space="preserve">详细要求</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抗肿瘤药物权限管理：要求实现不同的就诊类型，医生对各级别抗肿瘤药物的权限管理，系统中权限分为级别权限和医生权限，只需维护级别权限，医生权限默认继承于级别权限，医生权限优先于级别权限。</w:t>
            </w:r>
            <w:r>
              <w:rPr>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抗肿瘤药物流程配置：要求支持针对某种级别的抗肿瘤药物医生无权限时，如何去向上级部门申请的流程管理。现在系统流程类型分为非特抗药申请流程、特抗药无审核权限申请流程、特抗药有审核权限申请流程三种流程。支持的审核节点有科室预审、会诊、科室审核、和最终审核。</w:t>
            </w:r>
            <w:r>
              <w:rPr>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抗肿瘤药物功能配置：要求实现对抗肿瘤药物各功能进行配置化管理。包括系统开关、常用功能、扩展功能、会诊设置、使用目的管控等，为整个的抗菌药物维护提供便利。</w:t>
            </w:r>
            <w:r>
              <w:rPr>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23" w:type="dxa"/>
            <w:vAlign w:val="top"/>
            <w:textDirection w:val="lrTb"/>
            <w:noWrap w:val="false"/>
          </w:tcPr>
          <w:p>
            <w:pPr>
              <w:pStyle w:val="794"/>
              <w:rPr>
                <w:color w:val="000000"/>
                <w:highlight w:val="none"/>
              </w:rPr>
            </w:pPr>
            <w:r>
              <w:rPr>
                <w:rFonts w:hint="eastAsia"/>
                <w:color w:val="000000"/>
                <w:highlight w:val="none"/>
              </w:rPr>
              <w:t xml:space="preserve">抗肿瘤药物联合用药管理：要求支持对抗肿瘤药物联合用药进行管理。支持当患者发生联合用药时，需要填写相关的联合用药原因，并且当患者的联次发生变更时，需要填写变更原因。</w:t>
            </w:r>
            <w:r>
              <w:rPr>
                <w:color w:val="000000"/>
                <w:highlight w:val="none"/>
              </w:rPr>
            </w:r>
            <w:r/>
          </w:p>
        </w:tc>
      </w:tr>
    </w:tbl>
    <w:p>
      <w:pPr>
        <w:pStyle w:val="1171"/>
        <w:ind w:firstLine="400"/>
        <w:rPr>
          <w:rFonts w:hint="eastAsia" w:ascii="宋体" w:hAnsi="宋体"/>
          <w:color w:val="000000"/>
          <w:szCs w:val="24"/>
          <w:highlight w:val="none"/>
        </w:rPr>
      </w:pPr>
      <w:r>
        <w:rPr>
          <w:rFonts w:hint="eastAsia" w:ascii="宋体" w:hAnsi="宋体"/>
          <w:color w:val="000000"/>
          <w:szCs w:val="24"/>
          <w:highlight w:val="none"/>
        </w:rPr>
      </w:r>
      <w:r/>
    </w:p>
    <w:p>
      <w:pPr>
        <w:pStyle w:val="1171"/>
        <w:ind w:firstLine="400"/>
        <w:rPr>
          <w:rFonts w:hint="eastAsia" w:ascii="宋体" w:hAnsi="宋体"/>
          <w:color w:val="000000"/>
          <w:szCs w:val="24"/>
          <w:highlight w:val="none"/>
        </w:rPr>
      </w:pPr>
      <w:r>
        <w:rPr>
          <w:rFonts w:hint="eastAsia" w:ascii="宋体" w:hAnsi="宋体"/>
          <w:color w:val="000000"/>
          <w:szCs w:val="24"/>
          <w:highlight w:val="none"/>
        </w:rPr>
      </w:r>
      <w:r/>
    </w:p>
    <w:p>
      <w:pPr>
        <w:pStyle w:val="798"/>
        <w:numPr>
          <w:ilvl w:val="3"/>
          <w:numId w:val="0"/>
        </w:numPr>
        <w:ind w:left="864" w:hanging="864"/>
        <w:jc w:val="both"/>
        <w:keepLines/>
        <w:spacing w:before="280" w:after="290" w:line="360" w:lineRule="auto"/>
        <w:rPr>
          <w:rFonts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（五）办公系统</w:t>
      </w:r>
      <w:r>
        <w:rPr>
          <w:rFonts w:ascii="宋体" w:hAnsi="宋体" w:eastAsia="宋体"/>
          <w:b/>
          <w:bCs/>
          <w:color w:val="000000"/>
          <w:sz w:val="24"/>
          <w:szCs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将现有的办公系统及流程在手机端实现：</w:t>
      </w:r>
      <w:r>
        <w:rPr>
          <w:rFonts w:ascii="宋体" w:hAnsi="宋体"/>
          <w:color w:val="000000"/>
          <w:sz w:val="24"/>
          <w:highlight w:val="none"/>
        </w:rPr>
      </w:r>
      <w:r/>
    </w:p>
    <w:p>
      <w:pPr>
        <w:pStyle w:val="794"/>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系统要求支持以下功能：</w:t>
      </w:r>
      <w:r>
        <w:rPr>
          <w:rFonts w:hint="eastAsia" w:ascii="宋体" w:hAnsi="宋体"/>
          <w:color w:val="000000"/>
          <w:sz w:val="24"/>
          <w:highlight w:val="none"/>
        </w:rPr>
      </w:r>
      <w:r/>
    </w:p>
    <w:p>
      <w:pPr>
        <w:pStyle w:val="1167"/>
        <w:ind w:firstLine="480"/>
        <w:rPr>
          <w:rFonts w:hint="eastAsia"/>
          <w:color w:val="000000"/>
          <w:highlight w:val="none"/>
        </w:rPr>
      </w:pPr>
      <w:r>
        <w:rPr>
          <w:rFonts w:hint="eastAsia"/>
          <w:color w:val="000000"/>
          <w:highlight w:val="none"/>
        </w:rPr>
        <w:t xml:space="preserve">1.信息同步：实现PC端应用在移动端无缝发布的功能。</w:t>
      </w:r>
      <w:r>
        <w:rPr>
          <w:rFonts w:hint="eastAsia"/>
          <w:color w:val="000000"/>
          <w:highlight w:val="none"/>
        </w:rPr>
      </w:r>
      <w:r/>
    </w:p>
    <w:p>
      <w:pPr>
        <w:pStyle w:val="1167"/>
        <w:ind w:firstLine="480"/>
        <w:rPr>
          <w:rFonts w:hint="eastAsia"/>
          <w:color w:val="000000"/>
          <w:highlight w:val="none"/>
        </w:rPr>
      </w:pPr>
      <w:r>
        <w:rPr>
          <w:rFonts w:hint="eastAsia"/>
          <w:color w:val="000000"/>
          <w:highlight w:val="none"/>
        </w:rPr>
        <w:t xml:space="preserve">2.多平台支撑：必须支持独立APP、企业微信等移动办公应用，并提供专用对接平台，便于统一维护。</w:t>
      </w:r>
      <w:r>
        <w:rPr>
          <w:rFonts w:hint="eastAsia"/>
          <w:color w:val="000000"/>
          <w:highlight w:val="none"/>
        </w:rPr>
      </w:r>
      <w:r/>
    </w:p>
    <w:p>
      <w:pPr>
        <w:pStyle w:val="1167"/>
        <w:ind w:firstLine="480"/>
        <w:rPr>
          <w:rFonts w:hint="eastAsia"/>
          <w:color w:val="000000"/>
          <w:highlight w:val="none"/>
        </w:rPr>
      </w:pPr>
      <w:r>
        <w:rPr>
          <w:rFonts w:hint="eastAsia"/>
          <w:color w:val="000000"/>
          <w:highlight w:val="none"/>
        </w:rPr>
        <w:t xml:space="preserve">3.设备兼容性：提供包括手机、平板电脑等移动应用，支持在这些移动终端上进行移动办公，移动平台显示界面应能够自适应主流手机、Pad分辨率。</w:t>
      </w:r>
      <w:r>
        <w:rPr>
          <w:rFonts w:hint="eastAsia"/>
          <w:color w:val="000000"/>
          <w:highlight w:val="none"/>
        </w:rPr>
      </w:r>
      <w:r/>
    </w:p>
    <w:p>
      <w:pPr>
        <w:pStyle w:val="1167"/>
        <w:ind w:firstLine="480"/>
        <w:rPr>
          <w:rFonts w:hint="eastAsia"/>
          <w:color w:val="000000"/>
          <w:highlight w:val="none"/>
        </w:rPr>
      </w:pPr>
      <w:r>
        <w:rPr>
          <w:rFonts w:hint="eastAsia"/>
          <w:color w:val="000000"/>
          <w:highlight w:val="none"/>
        </w:rPr>
        <w:t xml:space="preserve">4.信息推送：及时将待批、待阅及通知公告等信息推送至移动设备终端，便于用户随时随地处理工作事务。</w:t>
      </w:r>
      <w:r>
        <w:rPr>
          <w:rFonts w:hint="eastAsia"/>
          <w:color w:val="000000"/>
          <w:highlight w:val="none"/>
        </w:rPr>
      </w:r>
      <w:r/>
    </w:p>
    <w:p>
      <w:pPr>
        <w:pStyle w:val="798"/>
        <w:numPr>
          <w:ilvl w:val="3"/>
          <w:numId w:val="0"/>
        </w:numPr>
        <w:jc w:val="both"/>
        <w:keepLines/>
        <w:spacing w:before="280" w:after="29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（六）互联网+医疗</w:t>
      </w:r>
      <w:r>
        <w:rPr>
          <w:rFonts w:hint="eastAsia" w:ascii="宋体" w:hAnsi="宋体" w:eastAsia="宋体"/>
          <w:color w:val="000000"/>
          <w:sz w:val="24"/>
          <w:szCs w:val="24"/>
          <w:highlight w:val="none"/>
        </w:rPr>
      </w:r>
      <w:r/>
    </w:p>
    <w:p>
      <w:pPr>
        <w:pStyle w:val="1167"/>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1、互联网医院患者端小程序</w:t>
      </w:r>
      <w:r>
        <w:rPr>
          <w:rFonts w:hint="eastAsia" w:ascii="宋体" w:hAnsi="宋体"/>
          <w:b/>
          <w:bCs/>
          <w:color w:val="000000"/>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83"/>
        <w:gridCol w:w="7245"/>
      </w:tblGrid>
      <w:tr>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系统概述</w:t>
            </w:r>
            <w:r>
              <w:rPr>
                <w:rFonts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互联网医院主要面向部分常见病以及慢病复诊患者群体，延伸医院医疗服务半径，优化医院服务流程，提高患者就医体验。</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功能要求</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用户可通过关注“互联网医院”小程序绑定患者院内就诊卡，提供预约挂号、图文问诊、视频问诊、医嘱建议、报告查询、处方流转、药品配送等服务。患者足不出户即可远程复诊，不出家门药品配送到家。</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pStyle w:val="794"/>
              <w:jc w:val="center"/>
              <w:widowControl/>
              <w:rPr>
                <w:rFonts w:ascii="宋体" w:hAnsi="宋体" w:cs="宋体"/>
                <w:color w:val="000000"/>
                <w:highlight w:val="none"/>
              </w:rPr>
            </w:pPr>
            <w:r>
              <w:rPr>
                <w:rFonts w:hint="eastAsia" w:ascii="宋体" w:hAnsi="宋体" w:cs="宋体"/>
                <w:color w:val="000000"/>
                <w:highlight w:val="none"/>
              </w:rPr>
              <w:t xml:space="preserve">详细要求</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登录授权：通过登录开放接口获取用户登录凭证，进而换取用户登录态信息，包括用户身份唯一标识openid 以及该次登录的会话秘钥。授权用户微信身份（头像、昵称）。</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OCR就诊实名识别：系统支持通过上传患者身份证照片OCR自动识别患者姓名、身份证号码等身份证信息； </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绑定手机/建档：授权用户验证患者身份证信息后，通过手机注册发送验证码绑定患者。</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人脸核身：参照公安部“互联网+”可信身份认证服务平台标准，依托第三方公司相关基于微信平台生物识别技术，建立微信“实名实人信息校验能力”，即通过人脸识别+公安比对，校验用户实名信息和本人操作。</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绑定就诊卡：通过系统查询院内HIS历史建档记录绑定患者就诊卡。</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绑卡预约：复诊患者登录绑定院内就诊卡，选择图文咨询或者视频问诊，点击要预约的科室医生和就诊时间，同时完成病情描述、检验检查报告拍照图片上传以及相关既往病史等预诊问卷；支付挂号费用完成预约。</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分时段预约：支持患者端分时段预约医生视频问诊，支持以短信方式告知患者；</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线上预诊问卷：病情描述、检验检查报告拍照图片上传以及相关既往病史等，支持文字、图片等形式。</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一对一咨询问诊：患者提交预诊问卷，对接即时通信平台，患者以IM形式和医生一对一，点对点进行对话，支持发送文字，图片；</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一对一视频问诊：连接消息平台，视频通知、视频开始提醒，支持和接诊医生一对一进行第三方软件视频沟通；</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医嘱建议：可以查看医生针对问诊的医嘱建议等；</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在线诊断：可以查看医生针对问诊的病情诊断记录等；</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在线检验：支持线上开医技检验单，对接院内医技预约系统；</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在线检查：支持线上开医技检查单，对接院内医技预约系统；</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图文咨询状态显示：支持患者端实现待支付、支付失败、待回复、咨询中、申请退款等状态的分类和查询；</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咨询状态提醒管理：支持患者端实现医生回复后，实时聊天消息提醒，退款成功与否等途径接收短信或推送提醒；</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问诊记录：支持查询自己和其他就诊人（就诊人为自己名下添加的其他就诊人）的图文咨询记录；</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我的医生：支持展示我关注的全部医生记录；</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科室信息维护：针对开展图文咨询科室相关信息的增删改查操作；</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医生信息维护：针对开展图文咨询医生相关信息的增删改查操作；</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视频记录监控：针对视频问诊，后台支持保存一定时间内的就诊记录，以备监管存档需求。</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图文咨询线上支付：支付图文问诊相关费用；</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视频问诊线上支付：支付视频问诊相关费用；</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问诊诊间线上支付：包含相关医嘱费用、处方费用在线支付以及门诊再付费用等；</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住院预交金支付：住院预交金支付，可以查询住院历史缴费明细；</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就诊人管理：支持患者端实现添加非本人的“就诊人”信息，可选择默认就诊人，实现对就诊人的增删改查操作。</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用户建卡模块：患者通过上传身份证照片OCR自动识别患者姓名、身份证号码等身份证信息，并输入个人手机号码，通过验证码注册建卡。</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用户绑卡模块：通过系统查询院内HIS历史建档记录绑定患者就诊卡。</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就诊人切换：可以在添加的就诊人之间进行切换当前就诊患者；</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就诊二维码：在就诊人列表中选择就诊人二维码，在使用时，向医生出示此就诊码，其中包含姓名、登记号、手机号、就诊卡号、身份证号等信息。</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药品清单：可以查看当前患者的医生开具的医嘱药品详细清单，包括历史清单。</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关注医生：在我的关注里面可以对当前就诊医生进行关注，后续复诊咨询可以直接查找该医生。</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物流信息：对接第三方物流配送系统，可以查看当前医嘱处方药品配送的物流信息。包括配送单号、派发状态、运输方式、到达的网点路径、是否签收确认等信息。</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微信头像昵称显示：系统关联用户微信账号，并默认为当前就诊人，显示当前用户微信头像昵称。</w:t>
            </w:r>
            <w:r>
              <w:rPr>
                <w:rFonts w:ascii="宋体" w:hAnsi="宋体" w:cs="宋体"/>
                <w:color w:val="000000"/>
                <w:highlight w:val="none"/>
              </w:rPr>
            </w:r>
            <w:r/>
          </w:p>
        </w:tc>
      </w:tr>
      <w:tr>
        <w:trPr/>
        <w:tc>
          <w:tcPr>
            <w:tcBorders>
              <w:top w:val="non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94"/>
              <w:jc w:val="left"/>
              <w:widowControl/>
              <w:rPr>
                <w:rFonts w:ascii="宋体" w:hAnsi="宋体" w:cs="宋体"/>
                <w:color w:val="000000"/>
                <w:highlight w:val="none"/>
              </w:rPr>
            </w:pP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4248" w:type="dxa"/>
            <w:vAlign w:val="center"/>
            <w:textDirection w:val="lrTb"/>
            <w:noWrap w:val="false"/>
          </w:tcPr>
          <w:p>
            <w:pPr>
              <w:pStyle w:val="794"/>
              <w:jc w:val="left"/>
              <w:widowControl/>
              <w:rPr>
                <w:rFonts w:ascii="宋体" w:hAnsi="宋体" w:cs="宋体"/>
                <w:color w:val="000000"/>
                <w:highlight w:val="none"/>
              </w:rPr>
            </w:pPr>
            <w:r>
              <w:rPr>
                <w:rFonts w:hint="eastAsia" w:ascii="宋体" w:hAnsi="宋体" w:cs="宋体"/>
                <w:color w:val="000000"/>
                <w:highlight w:val="none"/>
              </w:rPr>
              <w:t xml:space="preserve">消息通知：包括挂号、就诊、视频、医生回复、退款等消息通知提醒。</w:t>
            </w:r>
            <w:r>
              <w:rPr>
                <w:rFonts w:ascii="宋体" w:hAnsi="宋体" w:cs="宋体"/>
                <w:color w:val="000000"/>
                <w:highlight w:val="none"/>
              </w:rPr>
            </w:r>
            <w:r/>
          </w:p>
        </w:tc>
      </w:tr>
    </w:tbl>
    <w:p>
      <w:pPr>
        <w:pStyle w:val="1167"/>
        <w:ind w:firstLine="482"/>
        <w:spacing w:line="360" w:lineRule="auto"/>
        <w:rPr>
          <w:rFonts w:hint="eastAsia" w:ascii="宋体" w:hAnsi="宋体"/>
          <w:b/>
          <w:bCs/>
          <w:color w:val="000000"/>
          <w:highlight w:val="none"/>
        </w:rPr>
      </w:pPr>
      <w:r>
        <w:rPr>
          <w:rFonts w:hint="eastAsia" w:ascii="宋体" w:hAnsi="宋体"/>
          <w:b/>
          <w:bCs/>
          <w:color w:val="000000"/>
          <w:highlight w:val="none"/>
        </w:rPr>
      </w:r>
      <w:r/>
    </w:p>
    <w:p>
      <w:pPr>
        <w:pStyle w:val="1167"/>
        <w:ind w:firstLine="482"/>
        <w:spacing w:line="360" w:lineRule="auto"/>
        <w:rPr>
          <w:rFonts w:hint="eastAsia" w:ascii="宋体" w:hAnsi="宋体"/>
          <w:b/>
          <w:bCs/>
          <w:color w:val="000000"/>
          <w:highlight w:val="none"/>
        </w:rPr>
      </w:pPr>
      <w:r>
        <w:rPr>
          <w:rFonts w:hint="eastAsia" w:ascii="宋体" w:hAnsi="宋体"/>
          <w:b/>
          <w:bCs/>
          <w:color w:val="000000"/>
          <w:highlight w:val="none"/>
        </w:rPr>
        <w:t xml:space="preserve">2、</w:t>
      </w:r>
      <w:r>
        <w:rPr>
          <w:rFonts w:ascii="宋体" w:hAnsi="宋体"/>
          <w:b/>
          <w:bCs/>
          <w:color w:val="000000"/>
          <w:highlight w:val="none"/>
        </w:rPr>
        <w:t xml:space="preserve">互联网医院移动医生应用</w:t>
      </w:r>
      <w:r>
        <w:rPr>
          <w:rFonts w:hint="eastAsia" w:ascii="宋体" w:hAnsi="宋体"/>
          <w:b/>
          <w:bCs/>
          <w:color w:val="000000"/>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具体功能要求说明如下：</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人脸识别免密登录：要求支持拍摄医生人脸图片上传，使用人脸识别免密登录；</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未接诊提醒：要求支持有未接诊互联网就诊患者提醒功能，提醒医生及时处理；</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会诊管理：要求支持医生查看本科室申请的会诊信息、需处理会诊信息、已完成会诊信息；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抗生素管理：要求支持医生查看已处理、未处理抗菌药物申请信息；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危急值管理：要求支持医生查询检验危机值信息，可查看报告详情；</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科室选择：要求支持医生切换HIS对应科室查看科室患者信息；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在院患者：要求支持医生查看医生权限下在院患者信息；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诊断信息：要求支持医生查看患者的本次诊断和历史诊断信息；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医嘱信息：要求支持医生查看在院及门诊患者的已有医嘱信息；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检验报告：要求支持医生查看患者的历史检验报告、单个检验项目历史曲线图、相同检验项目历史数据对比；</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检查报告：要求支持医生查看患者的历史检查报告、有条件情况下可查看pdf报告及影像报告；</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体温单：要求支持医生查看在院患者体温单信息；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电子病历：要求支持医生查看在院患者电子病历信息；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多媒体病历：要求支持医生查房过程中拍照及语音录音；</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出诊信息：要求支持医生按日期检索查看排班及患者预约挂号信息；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就诊记录：要求支持医生查看患者历史就诊记录；</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患者查询：要求支持在院患者按名字、登记号检索查询相关信息；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手术列表：要求支持医生查询本科室手术申请信息；</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诊断录入：要求支持医生对住院及门诊患者录入诊断、修改诊断备注、撤销诊断；</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医嘱录入：要求支持医生对住院及门诊患者录入医嘱；</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图文咨询：要求支持医生开展图文咨询服务；</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视频咨询：要求支持医生开展视频咨询服务；</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诊疗建议：要求支持医生针对患者线上问诊录入诊疗建议，包括检验、检查、处方等；</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网络诊室呼入：要求支持医生呼叫患者进入网络诊间进行问诊；</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自助排班：要求支持医生利用碎片化时间进行互联网诊间排班，可自定义个数及选择时段等；</w:t>
      </w:r>
      <w:r>
        <w:rPr>
          <w:rFonts w:ascii="宋体" w:hAnsi="宋体" w:cs="宋体"/>
          <w:color w:val="000000"/>
          <w:sz w:val="24"/>
          <w:highlight w:val="none"/>
        </w:rPr>
      </w:r>
      <w:r/>
    </w:p>
    <w:p>
      <w:pPr>
        <w:pStyle w:val="794"/>
        <w:ind w:firstLine="480"/>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我的小程序码：要求支持医生分享自己的小程序码方便患者就诊；</w:t>
      </w:r>
      <w:r>
        <w:rPr>
          <w:rFonts w:ascii="宋体" w:hAnsi="宋体" w:cs="宋体"/>
          <w:color w:val="000000"/>
          <w:sz w:val="24"/>
          <w:highlight w:val="none"/>
        </w:rPr>
      </w:r>
      <w:r/>
    </w:p>
    <w:p>
      <w:pPr>
        <w:pStyle w:val="794"/>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常用回复：要求支持医生维护互联网图文咨询常用回复；</w:t>
      </w:r>
      <w:r>
        <w:rPr>
          <w:rFonts w:hint="eastAsia" w:ascii="宋体" w:hAnsi="宋体" w:cs="宋体"/>
          <w:color w:val="000000"/>
          <w:sz w:val="24"/>
          <w:highlight w:val="none"/>
        </w:rPr>
      </w:r>
      <w:r/>
    </w:p>
    <w:p>
      <w:pPr>
        <w:pStyle w:val="798"/>
        <w:numPr>
          <w:ilvl w:val="3"/>
          <w:numId w:val="0"/>
        </w:numPr>
        <w:jc w:val="both"/>
        <w:keepLines/>
        <w:spacing w:before="280" w:after="29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（七）反统方统一管理系统</w:t>
      </w:r>
      <w:r>
        <w:rPr>
          <w:rFonts w:hint="eastAsia" w:ascii="宋体" w:hAnsi="宋体" w:eastAsia="宋体"/>
          <w:color w:val="000000"/>
          <w:sz w:val="24"/>
          <w:szCs w:val="24"/>
          <w:highlight w:val="none"/>
        </w:rPr>
      </w:r>
      <w:r/>
    </w:p>
    <w:tbl>
      <w:tblPr>
        <w:tblpPr w:horzAnchor="page" w:tblpX="2116" w:vertAnchor="text" w:tblpY="1661" w:leftFromText="180" w:topFromText="0" w:rightFromText="180" w:bottomFromText="0"/>
        <w:tblW w:w="8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276"/>
        <w:gridCol w:w="5839"/>
      </w:tblGrid>
      <w:tr>
        <w:trPr/>
        <w:tc>
          <w:tcPr>
            <w:gridSpan w:val="2"/>
            <w:tcW w:w="2660" w:type="dxa"/>
            <w:vAlign w:val="center"/>
            <w:textDirection w:val="lrTb"/>
            <w:noWrap w:val="false"/>
          </w:tcPr>
          <w:p>
            <w:pPr>
              <w:pStyle w:val="794"/>
              <w:rPr>
                <w:rFonts w:ascii="宋体" w:hAnsi="宋体"/>
                <w:b/>
                <w:color w:val="000000"/>
                <w:szCs w:val="21"/>
                <w:highlight w:val="none"/>
              </w:rPr>
              <w:framePr w:vAnchor="text" w:hAnchor="page" w:x="2116" w:y="1661"/>
            </w:pPr>
            <w:r>
              <w:rPr>
                <w:rFonts w:ascii="宋体" w:hAnsi="宋体"/>
                <w:b/>
                <w:color w:val="000000"/>
                <w:szCs w:val="21"/>
                <w:highlight w:val="none"/>
              </w:rPr>
              <w:t xml:space="preserve">参数</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b/>
                <w:color w:val="000000"/>
                <w:szCs w:val="21"/>
                <w:highlight w:val="none"/>
              </w:rPr>
              <w:framePr w:vAnchor="text" w:hAnchor="page" w:x="2116" w:y="1661"/>
            </w:pPr>
            <w:r>
              <w:rPr>
                <w:rFonts w:ascii="宋体" w:hAnsi="宋体"/>
                <w:b/>
                <w:color w:val="000000"/>
                <w:szCs w:val="21"/>
                <w:highlight w:val="none"/>
              </w:rPr>
              <w:t xml:space="preserve">内容、</w:t>
            </w:r>
            <w:r>
              <w:rPr>
                <w:rFonts w:hint="eastAsia" w:ascii="宋体" w:hAnsi="宋体"/>
                <w:b/>
                <w:color w:val="000000"/>
                <w:szCs w:val="21"/>
                <w:highlight w:val="none"/>
              </w:rPr>
              <w:t xml:space="preserve">功能</w:t>
            </w:r>
            <w:r>
              <w:rPr>
                <w:rFonts w:ascii="宋体" w:hAnsi="宋体"/>
                <w:b/>
                <w:color w:val="000000"/>
                <w:szCs w:val="21"/>
                <w:highlight w:val="none"/>
              </w:rPr>
              <w:t xml:space="preserve">描述</w:t>
            </w:r>
            <w:r>
              <w:rPr>
                <w:rFonts w:ascii="宋体" w:hAnsi="宋体"/>
                <w:b/>
                <w:color w:val="000000"/>
                <w:szCs w:val="21"/>
                <w:highlight w:val="none"/>
              </w:rPr>
            </w:r>
            <w:r/>
          </w:p>
        </w:tc>
      </w:tr>
      <w:tr>
        <w:trPr/>
        <w:tc>
          <w:tcPr>
            <w:tcW w:w="1384" w:type="dxa"/>
            <w:vAlign w:val="center"/>
            <w:vMerge w:val="restart"/>
            <w:textDirection w:val="lrTb"/>
            <w:noWrap w:val="false"/>
          </w:tcPr>
          <w:p>
            <w:pPr>
              <w:pStyle w:val="794"/>
              <w:ind w:left="113" w:right="113"/>
              <w:rPr>
                <w:rFonts w:ascii="宋体" w:hAnsi="宋体"/>
                <w:b/>
                <w:color w:val="000000"/>
                <w:szCs w:val="21"/>
                <w:highlight w:val="none"/>
              </w:rPr>
              <w:framePr w:vAnchor="text" w:hAnchor="page" w:x="2116" w:y="1661"/>
            </w:pPr>
            <w:r>
              <w:rPr>
                <w:rFonts w:hint="eastAsia" w:ascii="宋体" w:hAnsi="宋体"/>
                <w:b/>
                <w:color w:val="000000"/>
                <w:szCs w:val="21"/>
                <w:highlight w:val="none"/>
              </w:rPr>
              <w:t xml:space="preserve">性能参数</w:t>
            </w:r>
            <w:r>
              <w:rPr>
                <w:rFonts w:ascii="宋体" w:hAnsi="宋体"/>
                <w:b/>
                <w:color w:val="000000"/>
                <w:szCs w:val="21"/>
                <w:highlight w:val="none"/>
              </w:rPr>
            </w:r>
            <w:r/>
          </w:p>
        </w:tc>
        <w:tc>
          <w:tcPr>
            <w:tcW w:w="1276"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吞吐量</w:t>
            </w: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s="宋体"/>
                <w:color w:val="000000"/>
                <w:szCs w:val="21"/>
                <w:highlight w:val="none"/>
              </w:rPr>
              <w:t xml:space="preserve">≥</w:t>
            </w:r>
            <w:r>
              <w:rPr>
                <w:rFonts w:ascii="宋体" w:hAnsi="宋体"/>
                <w:color w:val="000000"/>
                <w:szCs w:val="21"/>
                <w:highlight w:val="none"/>
              </w:rPr>
              <w:t xml:space="preserve">2G</w:t>
            </w:r>
            <w:r>
              <w:rPr>
                <w:rFonts w:hint="eastAsia" w:ascii="宋体" w:hAnsi="宋体"/>
                <w:color w:val="000000"/>
                <w:szCs w:val="21"/>
                <w:highlight w:val="none"/>
              </w:rPr>
              <w:t xml:space="preserve">bps</w:t>
            </w:r>
            <w:r>
              <w:rPr>
                <w:rFonts w:ascii="宋体" w:hAnsi="宋体"/>
                <w:color w:val="000000"/>
                <w:szCs w:val="21"/>
                <w:highlight w:val="none"/>
              </w:rPr>
            </w:r>
            <w:r/>
          </w:p>
        </w:tc>
      </w:tr>
      <w:tr>
        <w:trPr/>
        <w:tc>
          <w:tcPr>
            <w:tcW w:w="1384"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1276"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内置存储</w:t>
            </w: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000GB</w:t>
            </w:r>
            <w:r>
              <w:rPr>
                <w:rFonts w:ascii="宋体" w:hAnsi="宋体"/>
                <w:color w:val="000000"/>
                <w:szCs w:val="21"/>
                <w:highlight w:val="none"/>
              </w:rPr>
            </w:r>
            <w:r/>
          </w:p>
        </w:tc>
      </w:tr>
      <w:tr>
        <w:trPr/>
        <w:tc>
          <w:tcPr>
            <w:tcW w:w="1384"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1276"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设备接口</w:t>
            </w: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s="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个</w:t>
            </w:r>
            <w:r>
              <w:rPr>
                <w:rFonts w:ascii="宋体" w:hAnsi="宋体"/>
                <w:color w:val="000000"/>
                <w:szCs w:val="21"/>
                <w:highlight w:val="none"/>
              </w:rPr>
              <w:t xml:space="preserve">千兆电口</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个</w:t>
            </w:r>
            <w:r>
              <w:rPr>
                <w:rFonts w:ascii="宋体" w:hAnsi="宋体"/>
                <w:color w:val="000000"/>
                <w:szCs w:val="21"/>
                <w:highlight w:val="none"/>
              </w:rPr>
              <w:t xml:space="preserve">千兆</w:t>
            </w:r>
            <w:r>
              <w:rPr>
                <w:rFonts w:hint="eastAsia" w:ascii="宋体" w:hAnsi="宋体"/>
                <w:color w:val="000000"/>
                <w:szCs w:val="21"/>
                <w:highlight w:val="none"/>
              </w:rPr>
              <w:t xml:space="preserve">光</w:t>
            </w:r>
            <w:r>
              <w:rPr>
                <w:rFonts w:ascii="宋体" w:hAnsi="宋体"/>
                <w:color w:val="000000"/>
                <w:szCs w:val="21"/>
                <w:highlight w:val="none"/>
              </w:rPr>
              <w:t xml:space="preserve">口</w:t>
            </w:r>
            <w:r>
              <w:rPr>
                <w:rFonts w:ascii="宋体" w:hAnsi="宋体"/>
                <w:color w:val="000000"/>
                <w:szCs w:val="21"/>
                <w:highlight w:val="none"/>
              </w:rPr>
            </w:r>
            <w:r/>
          </w:p>
        </w:tc>
      </w:tr>
      <w:tr>
        <w:trPr>
          <w:trHeight w:val="344"/>
        </w:trPr>
        <w:tc>
          <w:tcPr>
            <w:gridSpan w:val="2"/>
            <w:tcW w:w="2660" w:type="dxa"/>
            <w:vAlign w:val="center"/>
            <w:vMerge w:val="restart"/>
            <w:textDirection w:val="lrTb"/>
            <w:noWrap w:val="false"/>
          </w:tcPr>
          <w:p>
            <w:pPr>
              <w:pStyle w:val="794"/>
              <w:rPr>
                <w:rFonts w:ascii="宋体" w:hAnsi="宋体"/>
                <w:color w:val="000000"/>
                <w:szCs w:val="21"/>
                <w:highlight w:val="none"/>
              </w:rPr>
              <w:framePr w:vAnchor="text" w:hAnchor="page" w:x="2116" w:y="1661"/>
            </w:pPr>
            <w:r>
              <w:rPr>
                <w:rFonts w:hint="eastAsia" w:ascii="宋体" w:hAnsi="宋体"/>
                <w:b/>
                <w:color w:val="000000"/>
                <w:szCs w:val="21"/>
                <w:highlight w:val="none"/>
              </w:rPr>
              <w:t xml:space="preserve">网络特性</w:t>
            </w: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ascii="宋体" w:hAnsi="宋体"/>
                <w:color w:val="000000"/>
                <w:szCs w:val="21"/>
                <w:highlight w:val="none"/>
              </w:rPr>
              <w:t xml:space="preserve">设备</w:t>
            </w:r>
            <w:r>
              <w:rPr>
                <w:rFonts w:hint="eastAsia" w:ascii="宋体" w:hAnsi="宋体"/>
                <w:color w:val="000000"/>
                <w:szCs w:val="21"/>
                <w:highlight w:val="none"/>
              </w:rPr>
              <w:t xml:space="preserve">具备旁路</w:t>
            </w:r>
            <w:r>
              <w:rPr>
                <w:rFonts w:ascii="宋体" w:hAnsi="宋体"/>
                <w:color w:val="000000"/>
                <w:szCs w:val="21"/>
                <w:highlight w:val="none"/>
              </w:rPr>
              <w:t xml:space="preserve">部署模式</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*设备支持LCD及操作按键，通过LCD显示设备自身信息，通过操作按键可以配置设备基本信息（如IP地址、网关等）</w:t>
            </w:r>
            <w:r>
              <w:rPr>
                <w:rFonts w:ascii="宋体" w:hAnsi="宋体"/>
                <w:color w:val="000000"/>
                <w:szCs w:val="21"/>
                <w:highlight w:val="none"/>
              </w:rPr>
            </w:r>
            <w:r/>
          </w:p>
        </w:tc>
      </w:tr>
      <w:tr>
        <w:trPr/>
        <w:tc>
          <w:tcPr>
            <w:gridSpan w:val="2"/>
            <w:tcW w:w="2660" w:type="dxa"/>
            <w:vAlign w:val="center"/>
            <w:textDirection w:val="lrTb"/>
            <w:noWrap w:val="false"/>
          </w:tcPr>
          <w:p>
            <w:pPr>
              <w:pStyle w:val="794"/>
              <w:widowControl/>
              <w:rPr>
                <w:rFonts w:ascii="宋体" w:hAnsi="宋体"/>
                <w:b/>
                <w:color w:val="000000"/>
                <w:szCs w:val="21"/>
                <w:highlight w:val="none"/>
              </w:rPr>
              <w:framePr w:vAnchor="text" w:hAnchor="page" w:x="2116" w:y="1661"/>
            </w:pPr>
            <w:r>
              <w:rPr>
                <w:rFonts w:hint="eastAsia" w:ascii="宋体" w:hAnsi="宋体"/>
                <w:b/>
                <w:color w:val="000000"/>
                <w:szCs w:val="21"/>
                <w:highlight w:val="none"/>
              </w:rPr>
              <w:t xml:space="preserve">设备集群化</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*支持设备集群化部署，可通过集群中单独某一台设备查看集群中其他设备的审计与告警信息</w:t>
            </w:r>
            <w:r>
              <w:rPr>
                <w:rFonts w:ascii="宋体" w:hAnsi="宋体"/>
                <w:color w:val="000000"/>
                <w:szCs w:val="21"/>
                <w:highlight w:val="none"/>
              </w:rPr>
            </w:r>
            <w:r/>
          </w:p>
        </w:tc>
      </w:tr>
      <w:tr>
        <w:trPr/>
        <w:tc>
          <w:tcPr>
            <w:gridSpan w:val="2"/>
            <w:tcW w:w="2660" w:type="dxa"/>
            <w:vAlign w:val="center"/>
            <w:vMerge w:val="restart"/>
            <w:textDirection w:val="lrTb"/>
            <w:noWrap w:val="false"/>
          </w:tcPr>
          <w:p>
            <w:pPr>
              <w:pStyle w:val="794"/>
              <w:widowControl/>
              <w:rPr>
                <w:rFonts w:ascii="宋体" w:hAnsi="宋体"/>
                <w:b/>
                <w:color w:val="000000"/>
                <w:szCs w:val="21"/>
                <w:highlight w:val="none"/>
              </w:rPr>
              <w:framePr w:vAnchor="text" w:hAnchor="page" w:x="2116" w:y="1661"/>
            </w:pPr>
            <w:r>
              <w:rPr>
                <w:rFonts w:hint="eastAsia" w:ascii="宋体" w:hAnsi="宋体"/>
                <w:b/>
                <w:color w:val="000000"/>
                <w:szCs w:val="21"/>
                <w:highlight w:val="none"/>
              </w:rPr>
              <w:t xml:space="preserve">流量分析</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支持接口总带宽分析，</w:t>
            </w:r>
            <w:r>
              <w:rPr>
                <w:rFonts w:ascii="宋体" w:hAnsi="宋体"/>
                <w:color w:val="000000"/>
                <w:szCs w:val="21"/>
                <w:highlight w:val="none"/>
              </w:rPr>
              <w:t xml:space="preserve">根据</w:t>
            </w:r>
            <w:r>
              <w:rPr>
                <w:rFonts w:hint="eastAsia" w:ascii="宋体" w:hAnsi="宋体"/>
                <w:color w:val="000000"/>
                <w:szCs w:val="21"/>
                <w:highlight w:val="none"/>
              </w:rPr>
              <w:t xml:space="preserve">带宽数值大小排名</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支持服务器活跃度分析，显示总连接数、</w:t>
            </w:r>
            <w:r>
              <w:rPr>
                <w:rFonts w:ascii="宋体" w:hAnsi="宋体"/>
                <w:color w:val="000000"/>
                <w:szCs w:val="21"/>
                <w:highlight w:val="none"/>
              </w:rPr>
              <w:t xml:space="preserve">最大</w:t>
            </w:r>
            <w:r>
              <w:rPr>
                <w:rFonts w:hint="eastAsia" w:ascii="宋体" w:hAnsi="宋体"/>
                <w:color w:val="000000"/>
                <w:szCs w:val="21"/>
                <w:highlight w:val="none"/>
              </w:rPr>
              <w:t xml:space="preserve">连接数、</w:t>
            </w:r>
            <w:r>
              <w:rPr>
                <w:rFonts w:ascii="宋体" w:hAnsi="宋体"/>
                <w:color w:val="000000"/>
                <w:szCs w:val="21"/>
                <w:highlight w:val="none"/>
              </w:rPr>
              <w:t xml:space="preserve">最小</w:t>
            </w:r>
            <w:r>
              <w:rPr>
                <w:rFonts w:hint="eastAsia" w:ascii="宋体" w:hAnsi="宋体"/>
                <w:color w:val="000000"/>
                <w:szCs w:val="21"/>
                <w:highlight w:val="none"/>
              </w:rPr>
              <w:t xml:space="preserve">连接数</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支持服务器带宽分析</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支持服务器流量分析</w:t>
            </w:r>
            <w:r>
              <w:rPr>
                <w:rFonts w:ascii="宋体" w:hAnsi="宋体"/>
                <w:color w:val="000000"/>
                <w:szCs w:val="21"/>
                <w:highlight w:val="none"/>
              </w:rPr>
            </w:r>
            <w:r/>
          </w:p>
        </w:tc>
      </w:tr>
      <w:tr>
        <w:trPr/>
        <w:tc>
          <w:tcPr>
            <w:gridSpan w:val="2"/>
            <w:tcW w:w="2660" w:type="dxa"/>
            <w:vAlign w:val="center"/>
            <w:vMerge w:val="restart"/>
            <w:textDirection w:val="lrTb"/>
            <w:noWrap w:val="false"/>
          </w:tcPr>
          <w:p>
            <w:pPr>
              <w:pStyle w:val="794"/>
              <w:widowControl/>
              <w:rPr>
                <w:rFonts w:ascii="宋体" w:hAnsi="宋体"/>
                <w:b/>
                <w:color w:val="000000"/>
                <w:szCs w:val="21"/>
                <w:highlight w:val="none"/>
              </w:rPr>
              <w:framePr w:vAnchor="text" w:hAnchor="page" w:x="2116" w:y="1661"/>
            </w:pPr>
            <w:r>
              <w:rPr>
                <w:rFonts w:hint="eastAsia" w:ascii="宋体" w:hAnsi="宋体"/>
                <w:b/>
                <w:color w:val="000000"/>
                <w:szCs w:val="21"/>
                <w:highlight w:val="none"/>
              </w:rPr>
              <w:t xml:space="preserve">审计分析</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*支持对Cache、Oracle、SQLServer等主流数据库审计分析。系统界面可显示所支持的最新版Cache和iMedical版本信息</w:t>
            </w:r>
            <w:r>
              <w:rPr>
                <w:rFonts w:ascii="宋体" w:hAnsi="宋体"/>
                <w:color w:val="000000"/>
                <w:szCs w:val="21"/>
                <w:highlight w:val="none"/>
              </w:rPr>
            </w:r>
            <w:r/>
          </w:p>
        </w:tc>
      </w:tr>
      <w:tr>
        <w:trPr>
          <w:trHeight w:val="315"/>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*支持对东华HIS系统、Cache SuperServer端口、Telnet、Cache PORTAL、FTP等信息的采集和审计</w:t>
            </w:r>
            <w:r>
              <w:rPr>
                <w:rFonts w:ascii="宋体" w:hAnsi="宋体"/>
                <w:color w:val="000000"/>
                <w:szCs w:val="21"/>
                <w:highlight w:val="none"/>
              </w:rPr>
            </w:r>
            <w:r/>
          </w:p>
        </w:tc>
      </w:tr>
      <w:tr>
        <w:trPr>
          <w:trHeight w:val="315"/>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*要求所投反统方系统支持东华H</w:t>
            </w:r>
            <w:r>
              <w:rPr>
                <w:rFonts w:ascii="宋体" w:hAnsi="宋体"/>
                <w:color w:val="000000"/>
                <w:szCs w:val="21"/>
                <w:highlight w:val="none"/>
              </w:rPr>
              <w:t xml:space="preserve">IS</w:t>
            </w:r>
            <w:r>
              <w:rPr>
                <w:rFonts w:hint="eastAsia" w:ascii="宋体" w:hAnsi="宋体"/>
                <w:color w:val="000000"/>
                <w:szCs w:val="21"/>
                <w:highlight w:val="none"/>
              </w:rPr>
              <w:t xml:space="preserve">系统iMedical8.5及以上版本加密</w:t>
            </w:r>
            <w:r>
              <w:rPr>
                <w:rFonts w:hint="eastAsia" w:ascii="宋体" w:hAnsi="宋体" w:cs="宋体"/>
                <w:color w:val="000000"/>
                <w:szCs w:val="21"/>
                <w:highlight w:val="none"/>
              </w:rPr>
              <w:t xml:space="preserve">数据（H</w:t>
            </w:r>
            <w:r>
              <w:rPr>
                <w:rFonts w:ascii="宋体" w:hAnsi="宋体" w:cs="宋体"/>
                <w:color w:val="000000"/>
                <w:szCs w:val="21"/>
                <w:highlight w:val="none"/>
              </w:rPr>
              <w:t xml:space="preserve">TTPS</w:t>
            </w:r>
            <w:r>
              <w:rPr>
                <w:rFonts w:hint="eastAsia" w:ascii="宋体" w:hAnsi="宋体" w:cs="宋体"/>
                <w:color w:val="000000"/>
                <w:szCs w:val="21"/>
                <w:highlight w:val="none"/>
              </w:rPr>
              <w:t xml:space="preserve">）审计</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*支持用户使用监察页面对告警行为进行集中化处理与显示</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支持对客户端信息的审计，</w:t>
            </w:r>
            <w:r>
              <w:rPr>
                <w:rFonts w:ascii="宋体" w:hAnsi="宋体"/>
                <w:color w:val="000000"/>
                <w:szCs w:val="21"/>
                <w:highlight w:val="none"/>
              </w:rPr>
              <w:t xml:space="preserve">包括</w:t>
            </w:r>
            <w:r>
              <w:rPr>
                <w:rFonts w:hint="eastAsia" w:ascii="宋体" w:hAnsi="宋体"/>
                <w:color w:val="000000"/>
                <w:szCs w:val="21"/>
                <w:highlight w:val="none"/>
              </w:rPr>
              <w:t xml:space="preserve">IP地址、MAC地址、</w:t>
            </w:r>
            <w:r>
              <w:rPr>
                <w:rFonts w:ascii="宋体" w:hAnsi="宋体"/>
                <w:color w:val="000000"/>
                <w:szCs w:val="21"/>
                <w:highlight w:val="none"/>
              </w:rPr>
              <w:t xml:space="preserve">端口</w:t>
            </w:r>
            <w:r>
              <w:rPr>
                <w:rFonts w:hint="eastAsia" w:ascii="宋体" w:hAnsi="宋体"/>
                <w:color w:val="000000"/>
                <w:szCs w:val="21"/>
                <w:highlight w:val="none"/>
              </w:rPr>
              <w:t xml:space="preserve">、</w:t>
            </w:r>
            <w:r>
              <w:rPr>
                <w:rFonts w:ascii="宋体" w:hAnsi="宋体"/>
                <w:color w:val="000000"/>
                <w:szCs w:val="21"/>
                <w:highlight w:val="none"/>
              </w:rPr>
              <w:t xml:space="preserve">发生</w:t>
            </w:r>
            <w:r>
              <w:rPr>
                <w:rFonts w:hint="eastAsia" w:ascii="宋体" w:hAnsi="宋体"/>
                <w:color w:val="000000"/>
                <w:szCs w:val="21"/>
                <w:highlight w:val="none"/>
              </w:rPr>
              <w:t xml:space="preserve">时间、</w:t>
            </w:r>
            <w:r>
              <w:rPr>
                <w:rFonts w:ascii="宋体" w:hAnsi="宋体"/>
                <w:color w:val="000000"/>
                <w:szCs w:val="21"/>
                <w:highlight w:val="none"/>
              </w:rPr>
              <w:t xml:space="preserve">客户端</w:t>
            </w:r>
            <w:r>
              <w:rPr>
                <w:rFonts w:hint="eastAsia" w:ascii="宋体" w:hAnsi="宋体"/>
                <w:color w:val="000000"/>
                <w:szCs w:val="21"/>
                <w:highlight w:val="none"/>
              </w:rPr>
              <w:t xml:space="preserve">程序</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支持对服务器端信息的审计，</w:t>
            </w:r>
            <w:r>
              <w:rPr>
                <w:rFonts w:ascii="宋体" w:hAnsi="宋体"/>
                <w:color w:val="000000"/>
                <w:szCs w:val="21"/>
                <w:highlight w:val="none"/>
              </w:rPr>
              <w:t xml:space="preserve">包括</w:t>
            </w:r>
            <w:r>
              <w:rPr>
                <w:rFonts w:hint="eastAsia" w:ascii="宋体" w:hAnsi="宋体"/>
                <w:color w:val="000000"/>
                <w:szCs w:val="21"/>
                <w:highlight w:val="none"/>
              </w:rPr>
              <w:t xml:space="preserve">IP地址、</w:t>
            </w:r>
            <w:r>
              <w:rPr>
                <w:rFonts w:ascii="宋体" w:hAnsi="宋体"/>
                <w:color w:val="000000"/>
                <w:szCs w:val="21"/>
                <w:highlight w:val="none"/>
              </w:rPr>
              <w:t xml:space="preserve">端口</w:t>
            </w:r>
            <w:r>
              <w:rPr>
                <w:rFonts w:hint="eastAsia" w:ascii="宋体" w:hAnsi="宋体"/>
                <w:color w:val="000000"/>
                <w:szCs w:val="21"/>
                <w:highlight w:val="none"/>
              </w:rPr>
              <w:t xml:space="preserve">、MAC地址</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*支持通过私钥配置来实现对IRIS数据库下HTTPS访问方式的HIS系统访问行为进行审计</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*支持在界面还原对统方行为操作的详细内容</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支持对数据库告警查询、显示告警级别和命中词等</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*支持根据客户端IP、用户名/工号、操作选择等进行搜索</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支持对关键词的审计并告警、</w:t>
            </w:r>
            <w:r>
              <w:rPr>
                <w:rFonts w:ascii="宋体" w:hAnsi="宋体"/>
                <w:color w:val="000000"/>
                <w:szCs w:val="21"/>
                <w:highlight w:val="none"/>
              </w:rPr>
              <w:t xml:space="preserve">支持</w:t>
            </w:r>
            <w:r>
              <w:rPr>
                <w:rFonts w:hint="eastAsia" w:ascii="宋体" w:hAnsi="宋体"/>
                <w:color w:val="000000"/>
                <w:szCs w:val="21"/>
                <w:highlight w:val="none"/>
              </w:rPr>
              <w:t xml:space="preserve">关键词信息导入</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支持对自定义用户、</w:t>
            </w:r>
            <w:r>
              <w:rPr>
                <w:rFonts w:ascii="宋体" w:hAnsi="宋体"/>
                <w:color w:val="000000"/>
                <w:szCs w:val="21"/>
                <w:highlight w:val="none"/>
              </w:rPr>
              <w:t xml:space="preserve">审计</w:t>
            </w:r>
            <w:r>
              <w:rPr>
                <w:rFonts w:hint="eastAsia" w:ascii="宋体" w:hAnsi="宋体"/>
                <w:color w:val="000000"/>
                <w:szCs w:val="21"/>
                <w:highlight w:val="none"/>
              </w:rPr>
              <w:t xml:space="preserve">时间的审计</w:t>
            </w:r>
            <w:r>
              <w:rPr>
                <w:rFonts w:ascii="宋体" w:hAnsi="宋体"/>
                <w:color w:val="000000"/>
                <w:szCs w:val="21"/>
                <w:highlight w:val="none"/>
              </w:rPr>
            </w:r>
            <w:r/>
          </w:p>
        </w:tc>
      </w:tr>
      <w:tr>
        <w:trPr/>
        <w:tc>
          <w:tcPr>
            <w:gridSpan w:val="2"/>
            <w:tcW w:w="2660" w:type="dxa"/>
            <w:vAlign w:val="center"/>
            <w:vMerge w:val="restart"/>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t xml:space="preserve">告警功能</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支持系统内置规则库，包括SQL，Cache, </w:t>
            </w:r>
            <w:r>
              <w:rPr>
                <w:rFonts w:ascii="宋体" w:hAnsi="宋体"/>
                <w:color w:val="000000"/>
                <w:szCs w:val="21"/>
                <w:highlight w:val="none"/>
              </w:rPr>
              <w:t xml:space="preserve">Oracle</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telnet告警规则</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*支持对告警行为进行二次人工研判</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支持自定义通用告警规则，包括对请求和响应数据的关键字告警，响应数据的响应时间，返回行数告警</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*支持通过编辑流程剧本的方式，对误告警数据有效的进行过滤</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支持告警白名单，审计白名单，HIS白名单名单</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支持邮件告警功能</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支持短信告警功能</w:t>
            </w:r>
            <w:r>
              <w:rPr>
                <w:rFonts w:ascii="宋体" w:hAnsi="宋体"/>
                <w:color w:val="000000"/>
                <w:szCs w:val="21"/>
                <w:highlight w:val="none"/>
              </w:rPr>
            </w:r>
            <w:r/>
          </w:p>
        </w:tc>
      </w:tr>
      <w:tr>
        <w:trPr/>
        <w:tc>
          <w:tcPr>
            <w:gridSpan w:val="2"/>
            <w:tcW w:w="2660" w:type="dxa"/>
            <w:vAlign w:val="center"/>
            <w:vMerge w:val="restart"/>
            <w:textDirection w:val="lrTb"/>
            <w:noWrap w:val="false"/>
          </w:tcPr>
          <w:p>
            <w:pPr>
              <w:pStyle w:val="794"/>
              <w:widowControl/>
              <w:rPr>
                <w:rFonts w:ascii="宋体" w:hAnsi="宋体"/>
                <w:b/>
                <w:color w:val="000000"/>
                <w:szCs w:val="21"/>
                <w:highlight w:val="none"/>
              </w:rPr>
              <w:framePr w:vAnchor="text" w:hAnchor="page" w:x="2116" w:y="1661"/>
            </w:pPr>
            <w:r>
              <w:rPr>
                <w:rFonts w:hint="eastAsia" w:ascii="宋体" w:hAnsi="宋体"/>
                <w:b/>
                <w:color w:val="000000"/>
                <w:szCs w:val="21"/>
                <w:highlight w:val="none"/>
              </w:rPr>
              <w:t xml:space="preserve">系统管理</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支持WEB、S</w:t>
            </w:r>
            <w:r>
              <w:rPr>
                <w:rFonts w:ascii="宋体" w:hAnsi="宋体"/>
                <w:color w:val="000000"/>
                <w:szCs w:val="21"/>
                <w:highlight w:val="none"/>
              </w:rPr>
              <w:t xml:space="preserve">SH</w:t>
            </w:r>
            <w:r>
              <w:rPr>
                <w:rFonts w:hint="eastAsia" w:ascii="宋体" w:hAnsi="宋体"/>
                <w:color w:val="000000"/>
                <w:szCs w:val="21"/>
                <w:highlight w:val="none"/>
              </w:rPr>
              <w:t xml:space="preserve">、Console进行管理配置</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支持管理员权限划分，可自定义管理员角色</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支持系统日志</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支持授权管理</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支持系统配置备份</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支持系统数据定期清理</w:t>
            </w:r>
            <w:r>
              <w:rPr>
                <w:rFonts w:ascii="宋体" w:hAnsi="宋体"/>
                <w:color w:val="000000"/>
                <w:szCs w:val="21"/>
                <w:highlight w:val="none"/>
              </w:rPr>
            </w:r>
            <w:r/>
          </w:p>
        </w:tc>
      </w:tr>
      <w:tr>
        <w:trPr/>
        <w:tc>
          <w:tcPr>
            <w:gridSpan w:val="2"/>
            <w:tcW w:w="2660" w:type="dxa"/>
            <w:vAlign w:val="center"/>
            <w:vMerge w:val="restart"/>
            <w:textDirection w:val="lrTb"/>
            <w:noWrap w:val="false"/>
          </w:tcPr>
          <w:p>
            <w:pPr>
              <w:pStyle w:val="794"/>
              <w:widowControl/>
              <w:rPr>
                <w:rFonts w:ascii="宋体" w:hAnsi="宋体"/>
                <w:color w:val="000000"/>
                <w:szCs w:val="21"/>
                <w:highlight w:val="none"/>
              </w:rPr>
              <w:framePr w:vAnchor="text" w:hAnchor="page" w:x="2116" w:y="1661"/>
            </w:pPr>
            <w:r>
              <w:rPr>
                <w:rFonts w:hint="eastAsia" w:ascii="宋体" w:hAnsi="宋体"/>
                <w:b/>
                <w:color w:val="000000"/>
                <w:szCs w:val="21"/>
                <w:highlight w:val="none"/>
              </w:rPr>
              <w:t xml:space="preserve">报表功能</w:t>
            </w: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w:t>
            </w:r>
            <w:r>
              <w:rPr>
                <w:rFonts w:ascii="宋体" w:hAnsi="宋体"/>
                <w:color w:val="000000"/>
                <w:szCs w:val="21"/>
                <w:highlight w:val="none"/>
              </w:rPr>
              <w:t xml:space="preserve">pdf</w:t>
            </w:r>
            <w:r>
              <w:rPr>
                <w:rFonts w:hint="eastAsia" w:ascii="宋体" w:hAnsi="宋体"/>
                <w:color w:val="000000"/>
                <w:szCs w:val="21"/>
                <w:highlight w:val="none"/>
              </w:rPr>
              <w:t xml:space="preserve">、</w:t>
            </w:r>
            <w:r>
              <w:rPr>
                <w:rFonts w:ascii="宋体" w:hAnsi="宋体"/>
                <w:color w:val="000000"/>
                <w:szCs w:val="21"/>
                <w:highlight w:val="none"/>
              </w:rPr>
              <w:t xml:space="preserve">excel</w:t>
            </w:r>
            <w:r>
              <w:rPr>
                <w:rFonts w:hint="eastAsia" w:ascii="宋体" w:hAnsi="宋体"/>
                <w:color w:val="000000"/>
                <w:szCs w:val="21"/>
                <w:highlight w:val="none"/>
              </w:rPr>
              <w:t xml:space="preserve">、</w:t>
            </w:r>
            <w:r>
              <w:rPr>
                <w:rFonts w:ascii="宋体" w:hAnsi="宋体"/>
                <w:color w:val="000000"/>
                <w:szCs w:val="21"/>
                <w:highlight w:val="none"/>
              </w:rPr>
              <w:t xml:space="preserve">word</w:t>
            </w:r>
            <w:r>
              <w:rPr>
                <w:rFonts w:hint="eastAsia" w:ascii="宋体" w:hAnsi="宋体"/>
                <w:color w:val="000000"/>
                <w:szCs w:val="21"/>
                <w:highlight w:val="none"/>
              </w:rPr>
              <w:t xml:space="preserve">等报表格式输出</w:t>
            </w:r>
            <w:r>
              <w:rPr>
                <w:rFonts w:ascii="宋体" w:hAnsi="宋体"/>
                <w:color w:val="000000"/>
                <w:szCs w:val="21"/>
                <w:highlight w:val="none"/>
              </w:rPr>
            </w:r>
            <w:r/>
          </w:p>
        </w:tc>
      </w:tr>
      <w:tr>
        <w:trPr/>
        <w:tc>
          <w:tcPr>
            <w:gridSpan w:val="2"/>
            <w:tcW w:w="2660" w:type="dxa"/>
            <w:vAlign w:val="center"/>
            <w:vMerge w:val="continue"/>
            <w:textDirection w:val="lrTb"/>
            <w:noWrap w:val="false"/>
          </w:tcPr>
          <w:p>
            <w:pPr>
              <w:pStyle w:val="794"/>
              <w:widowControl/>
              <w:rPr>
                <w:rFonts w:ascii="宋体" w:hAnsi="宋体"/>
                <w:color w:val="000000"/>
                <w:szCs w:val="21"/>
                <w:highlight w:val="none"/>
              </w:rPr>
              <w:framePr w:vAnchor="text" w:hAnchor="page" w:x="2116" w:y="1661"/>
            </w:pPr>
            <w:r>
              <w:rPr>
                <w:rFonts w:ascii="宋体" w:hAnsi="宋体"/>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支持报表报告定制功能，支持日报、周报、月报、年报形式报告，并能自动发送指定用户信箱</w:t>
            </w:r>
            <w:r>
              <w:rPr>
                <w:rFonts w:ascii="宋体" w:hAnsi="宋体"/>
                <w:color w:val="000000"/>
                <w:szCs w:val="21"/>
                <w:highlight w:val="none"/>
              </w:rPr>
            </w:r>
            <w:r/>
          </w:p>
        </w:tc>
      </w:tr>
      <w:tr>
        <w:trPr>
          <w:trHeight w:val="58"/>
        </w:trPr>
        <w:tc>
          <w:tcPr>
            <w:gridSpan w:val="2"/>
            <w:tcW w:w="2660" w:type="dxa"/>
            <w:vAlign w:val="center"/>
            <w:vMerge w:val="restart"/>
            <w:textDirection w:val="lrTb"/>
            <w:noWrap w:val="false"/>
          </w:tcPr>
          <w:p>
            <w:pPr>
              <w:pStyle w:val="794"/>
              <w:widowControl/>
              <w:rPr>
                <w:rFonts w:ascii="宋体" w:hAnsi="宋体"/>
                <w:b/>
                <w:color w:val="000000"/>
                <w:szCs w:val="21"/>
                <w:highlight w:val="none"/>
              </w:rPr>
              <w:framePr w:vAnchor="text" w:hAnchor="page" w:x="2116" w:y="1661"/>
            </w:pPr>
            <w:r>
              <w:rPr>
                <w:rFonts w:hint="eastAsia" w:ascii="宋体" w:hAnsi="宋体"/>
                <w:b/>
                <w:color w:val="000000"/>
                <w:szCs w:val="21"/>
                <w:highlight w:val="none"/>
              </w:rPr>
              <w:t xml:space="preserve">重点药品监控</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支持重点药品网络查询分析；通过识别流量数据，从中提取包含重点药品的数据记录。日志及图形方式展现。客户端重点药品数据记录排名分析，重点药品数据时间分析等</w:t>
            </w:r>
            <w:r>
              <w:rPr>
                <w:rFonts w:ascii="宋体" w:hAnsi="宋体"/>
                <w:color w:val="000000"/>
                <w:szCs w:val="21"/>
                <w:highlight w:val="none"/>
              </w:rPr>
            </w:r>
            <w:r/>
          </w:p>
        </w:tc>
      </w:tr>
      <w:tr>
        <w:trPr>
          <w:trHeight w:val="113"/>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top"/>
            <w:textDirection w:val="lrTb"/>
            <w:noWrap w:val="false"/>
          </w:tcPr>
          <w:p>
            <w:pPr>
              <w:pStyle w:val="794"/>
              <w:rPr>
                <w:rFonts w:ascii="宋体" w:hAnsi="宋体"/>
                <w:color w:val="000000"/>
                <w:szCs w:val="21"/>
                <w:highlight w:val="none"/>
              </w:rPr>
              <w:framePr w:vAnchor="text" w:hAnchor="page" w:x="2116" w:y="1661"/>
            </w:pPr>
            <w:r>
              <w:rPr>
                <w:rFonts w:hint="eastAsia"/>
                <w:color w:val="000000"/>
                <w:highlight w:val="none"/>
              </w:rPr>
              <w:t xml:space="preserve">支持重点药品告警</w:t>
            </w:r>
            <w:r>
              <w:rPr>
                <w:rFonts w:ascii="宋体" w:hAnsi="宋体"/>
                <w:color w:val="000000"/>
                <w:szCs w:val="21"/>
                <w:highlight w:val="none"/>
              </w:rPr>
            </w:r>
            <w:r/>
          </w:p>
        </w:tc>
      </w:tr>
      <w:tr>
        <w:trPr>
          <w:trHeight w:val="113"/>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top"/>
            <w:textDirection w:val="lrTb"/>
            <w:noWrap w:val="false"/>
          </w:tcPr>
          <w:p>
            <w:pPr>
              <w:pStyle w:val="794"/>
              <w:rPr>
                <w:rFonts w:ascii="宋体" w:hAnsi="宋体"/>
                <w:color w:val="000000"/>
                <w:szCs w:val="21"/>
                <w:highlight w:val="none"/>
              </w:rPr>
              <w:framePr w:vAnchor="text" w:hAnchor="page" w:x="2116" w:y="1661"/>
            </w:pPr>
            <w:r>
              <w:rPr>
                <w:rFonts w:hint="eastAsia"/>
                <w:color w:val="000000"/>
                <w:highlight w:val="none"/>
              </w:rPr>
              <w:t xml:space="preserve">规则告警，通过编辑规则，配合结果类型判断，进行重点药品流量数据的告警</w:t>
            </w:r>
            <w:r>
              <w:rPr>
                <w:rFonts w:ascii="宋体" w:hAnsi="宋体"/>
                <w:color w:val="000000"/>
                <w:szCs w:val="21"/>
                <w:highlight w:val="none"/>
              </w:rPr>
            </w:r>
            <w:r/>
          </w:p>
        </w:tc>
      </w:tr>
      <w:tr>
        <w:trPr>
          <w:trHeight w:val="56"/>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top"/>
            <w:textDirection w:val="lrTb"/>
            <w:noWrap w:val="false"/>
          </w:tcPr>
          <w:p>
            <w:pPr>
              <w:pStyle w:val="794"/>
              <w:rPr>
                <w:rFonts w:ascii="宋体" w:hAnsi="宋体"/>
                <w:color w:val="000000"/>
                <w:szCs w:val="21"/>
                <w:highlight w:val="none"/>
              </w:rPr>
              <w:framePr w:vAnchor="text" w:hAnchor="page" w:x="2116" w:y="1661"/>
            </w:pPr>
            <w:r>
              <w:rPr>
                <w:rFonts w:hint="eastAsia"/>
                <w:color w:val="000000"/>
                <w:highlight w:val="none"/>
              </w:rPr>
              <w:t xml:space="preserve">异常数据主动告警；收集数据样本并通过机器学习的方式训练出数据模型，进行异常数据主动告警</w:t>
            </w:r>
            <w:r>
              <w:rPr>
                <w:rFonts w:ascii="宋体" w:hAnsi="宋体"/>
                <w:color w:val="000000"/>
                <w:szCs w:val="21"/>
                <w:highlight w:val="none"/>
              </w:rPr>
            </w:r>
            <w:r/>
          </w:p>
        </w:tc>
      </w:tr>
      <w:tr>
        <w:trPr>
          <w:trHeight w:val="56"/>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top"/>
            <w:textDirection w:val="lrTb"/>
            <w:noWrap w:val="false"/>
          </w:tcPr>
          <w:p>
            <w:pPr>
              <w:pStyle w:val="794"/>
              <w:rPr>
                <w:rFonts w:ascii="宋体" w:hAnsi="宋体"/>
                <w:color w:val="000000"/>
                <w:szCs w:val="21"/>
                <w:highlight w:val="none"/>
              </w:rPr>
              <w:framePr w:vAnchor="text" w:hAnchor="page" w:x="2116" w:y="1661"/>
            </w:pPr>
            <w:r>
              <w:rPr>
                <w:rFonts w:hint="eastAsia"/>
                <w:color w:val="000000"/>
                <w:highlight w:val="none"/>
              </w:rPr>
              <w:t xml:space="preserve">重点药品告警数据剧本过滤；通过编辑流程剧本的方式，对误告警数据有效的进行过滤</w:t>
            </w:r>
            <w:r>
              <w:rPr>
                <w:rFonts w:ascii="宋体" w:hAnsi="宋体"/>
                <w:color w:val="000000"/>
                <w:szCs w:val="21"/>
                <w:highlight w:val="none"/>
              </w:rPr>
            </w:r>
            <w:r/>
          </w:p>
        </w:tc>
      </w:tr>
      <w:tr>
        <w:trPr>
          <w:trHeight w:val="56"/>
        </w:trPr>
        <w:tc>
          <w:tcPr>
            <w:gridSpan w:val="2"/>
            <w:tcW w:w="2660" w:type="dxa"/>
            <w:vAlign w:val="center"/>
            <w:vMerge w:val="restart"/>
            <w:textDirection w:val="lrTb"/>
            <w:noWrap w:val="false"/>
          </w:tcPr>
          <w:p>
            <w:pPr>
              <w:pStyle w:val="794"/>
              <w:widowControl/>
              <w:rPr>
                <w:rFonts w:ascii="宋体" w:hAnsi="宋体"/>
                <w:b/>
                <w:color w:val="000000"/>
                <w:szCs w:val="21"/>
                <w:highlight w:val="none"/>
              </w:rPr>
              <w:framePr w:vAnchor="text" w:hAnchor="page" w:x="2116" w:y="1661"/>
            </w:pPr>
            <w:r>
              <w:rPr>
                <w:rFonts w:hint="eastAsia" w:ascii="宋体" w:hAnsi="宋体"/>
                <w:b/>
                <w:color w:val="000000"/>
                <w:szCs w:val="21"/>
                <w:highlight w:val="none"/>
              </w:rPr>
              <w:t xml:space="preserve">重点耗材监控</w:t>
            </w:r>
            <w:r>
              <w:rPr>
                <w:rFonts w:ascii="宋体" w:hAnsi="宋体"/>
                <w:b/>
                <w:color w:val="000000"/>
                <w:szCs w:val="21"/>
                <w:highlight w:val="none"/>
              </w:rPr>
            </w:r>
            <w:r/>
          </w:p>
        </w:tc>
        <w:tc>
          <w:tcPr>
            <w:tcW w:w="5839" w:type="dxa"/>
            <w:vAlign w:val="center"/>
            <w:textDirection w:val="lrTb"/>
            <w:noWrap w:val="false"/>
          </w:tcPr>
          <w:p>
            <w:pPr>
              <w:pStyle w:val="794"/>
              <w:rPr>
                <w:color w:val="000000"/>
                <w:highlight w:val="none"/>
              </w:rPr>
              <w:framePr w:vAnchor="text" w:hAnchor="page" w:x="2116" w:y="1661"/>
            </w:pPr>
            <w:r>
              <w:rPr>
                <w:rFonts w:hint="eastAsia" w:ascii="宋体" w:hAnsi="宋体"/>
                <w:color w:val="000000"/>
                <w:szCs w:val="21"/>
                <w:highlight w:val="none"/>
              </w:rPr>
              <w:t xml:space="preserve">支持对重点耗材网络查询审计分析；通过识别流量数据，从中提取包含重点耗材的查询数据记录。通过日志及图形方式展现。</w:t>
            </w:r>
            <w:r>
              <w:rPr>
                <w:color w:val="000000"/>
                <w:highlight w:val="none"/>
              </w:rPr>
            </w:r>
            <w:r/>
          </w:p>
        </w:tc>
      </w:tr>
      <w:tr>
        <w:trPr>
          <w:trHeight w:val="56"/>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支持对客户端查询重点耗材数据记录进行排名分析，查询重点耗材数据的时间分析等。</w:t>
            </w:r>
            <w:r>
              <w:rPr>
                <w:rFonts w:ascii="宋体" w:hAnsi="宋体"/>
                <w:color w:val="000000"/>
                <w:szCs w:val="21"/>
                <w:highlight w:val="none"/>
              </w:rPr>
            </w:r>
            <w:r/>
          </w:p>
        </w:tc>
      </w:tr>
      <w:tr>
        <w:trPr>
          <w:trHeight w:val="56"/>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olor w:val="000000"/>
                <w:szCs w:val="21"/>
                <w:highlight w:val="none"/>
              </w:rPr>
              <w:t xml:space="preserve">支持对医生查询重要耗材行为进行分级别告警。</w:t>
            </w:r>
            <w:r>
              <w:rPr>
                <w:rFonts w:hint="eastAsia"/>
                <w:color w:val="000000"/>
                <w:highlight w:val="none"/>
              </w:rPr>
              <w:t xml:space="preserve">异常数据主动告警；可收集数据样本并通过机器学习的方式训练出数据模型，进行异常数据主动告警。</w:t>
            </w:r>
            <w:r>
              <w:rPr>
                <w:rFonts w:ascii="宋体" w:hAnsi="宋体"/>
                <w:color w:val="000000"/>
                <w:szCs w:val="21"/>
                <w:highlight w:val="none"/>
              </w:rPr>
            </w:r>
            <w:r/>
          </w:p>
        </w:tc>
      </w:tr>
      <w:tr>
        <w:trPr>
          <w:trHeight w:val="56"/>
        </w:trPr>
        <w:tc>
          <w:tcPr>
            <w:gridSpan w:val="2"/>
            <w:tcW w:w="2660" w:type="dxa"/>
            <w:vAlign w:val="center"/>
            <w:vMerge w:val="continue"/>
            <w:textDirection w:val="lrTb"/>
            <w:noWrap w:val="false"/>
          </w:tcPr>
          <w:p>
            <w:pPr>
              <w:pStyle w:val="794"/>
              <w:widowControl/>
              <w:rPr>
                <w:rFonts w:ascii="宋体" w:hAnsi="宋体"/>
                <w:b/>
                <w:color w:val="000000"/>
                <w:szCs w:val="21"/>
                <w:highlight w:val="none"/>
              </w:rPr>
              <w:framePr w:vAnchor="text" w:hAnchor="page" w:x="2116" w:y="1661"/>
            </w:pP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color w:val="000000"/>
                <w:highlight w:val="none"/>
              </w:rPr>
              <w:t xml:space="preserve">支持对重要耗材告警数据剧本过滤；通过编辑流程剧本的方式，对误告警数据有效的进行有效过滤。</w:t>
            </w:r>
            <w:r>
              <w:rPr>
                <w:rFonts w:ascii="宋体" w:hAnsi="宋体"/>
                <w:color w:val="000000"/>
                <w:szCs w:val="21"/>
                <w:highlight w:val="none"/>
              </w:rPr>
            </w:r>
            <w:r/>
          </w:p>
        </w:tc>
      </w:tr>
      <w:tr>
        <w:trPr/>
        <w:tc>
          <w:tcPr>
            <w:gridSpan w:val="2"/>
            <w:tcW w:w="2660" w:type="dxa"/>
            <w:vAlign w:val="center"/>
            <w:textDirection w:val="lrTb"/>
            <w:noWrap w:val="false"/>
          </w:tcPr>
          <w:p>
            <w:pPr>
              <w:pStyle w:val="794"/>
              <w:widowControl/>
              <w:rPr>
                <w:rFonts w:ascii="宋体" w:hAnsi="宋体"/>
                <w:b/>
                <w:color w:val="000000"/>
                <w:szCs w:val="21"/>
                <w:highlight w:val="none"/>
              </w:rPr>
              <w:framePr w:vAnchor="text" w:hAnchor="page" w:x="2116" w:y="1661"/>
            </w:pPr>
            <w:r>
              <w:rPr>
                <w:rFonts w:hint="eastAsia" w:ascii="宋体" w:hAnsi="宋体" w:cs="宋体"/>
                <w:b/>
                <w:bCs/>
                <w:color w:val="000000"/>
                <w:szCs w:val="21"/>
                <w:highlight w:val="none"/>
              </w:rPr>
              <w:t xml:space="preserve">售后</w:t>
            </w:r>
            <w:r>
              <w:rPr>
                <w:rFonts w:ascii="宋体" w:hAnsi="宋体" w:cs="宋体"/>
                <w:b/>
                <w:bCs/>
                <w:color w:val="000000"/>
                <w:szCs w:val="21"/>
                <w:highlight w:val="none"/>
              </w:rPr>
              <w:t xml:space="preserve">服务</w:t>
            </w:r>
            <w:r>
              <w:rPr>
                <w:rFonts w:ascii="宋体" w:hAnsi="宋体"/>
                <w:b/>
                <w:color w:val="000000"/>
                <w:szCs w:val="21"/>
                <w:highlight w:val="none"/>
              </w:rPr>
            </w:r>
            <w:r/>
          </w:p>
        </w:tc>
        <w:tc>
          <w:tcPr>
            <w:tcW w:w="5839" w:type="dxa"/>
            <w:vAlign w:val="center"/>
            <w:textDirection w:val="lrTb"/>
            <w:noWrap w:val="false"/>
          </w:tcPr>
          <w:p>
            <w:pPr>
              <w:pStyle w:val="794"/>
              <w:rPr>
                <w:rFonts w:ascii="宋体" w:hAnsi="宋体"/>
                <w:color w:val="000000"/>
                <w:szCs w:val="21"/>
                <w:highlight w:val="none"/>
              </w:rPr>
              <w:framePr w:vAnchor="text" w:hAnchor="page" w:x="2116" w:y="1661"/>
            </w:pPr>
            <w:r>
              <w:rPr>
                <w:rFonts w:hint="eastAsia" w:ascii="宋体" w:hAnsi="宋体" w:cs="宋体"/>
                <w:color w:val="000000"/>
                <w:szCs w:val="21"/>
                <w:highlight w:val="none"/>
              </w:rPr>
              <w:t xml:space="preserve">厂家能够提供快速本地化现场技术支持（1小时内到达用户现场），提供7*24小时技术服务支持</w:t>
            </w:r>
            <w:r>
              <w:rPr>
                <w:rFonts w:ascii="宋体" w:hAnsi="宋体"/>
                <w:color w:val="000000"/>
                <w:szCs w:val="21"/>
                <w:highlight w:val="none"/>
              </w:rPr>
            </w:r>
            <w:r/>
          </w:p>
        </w:tc>
      </w:tr>
    </w:tbl>
    <w:p>
      <w:pPr>
        <w:pStyle w:val="794"/>
        <w:rPr>
          <w:rFonts w:hint="eastAsia"/>
          <w:color w:val="000000"/>
          <w:highlight w:val="none"/>
        </w:rPr>
      </w:pPr>
      <w:r>
        <w:rPr>
          <w:rFonts w:hint="eastAsia"/>
          <w:color w:val="000000"/>
          <w:highlight w:val="none"/>
        </w:rPr>
      </w:r>
      <w:r/>
    </w:p>
    <w:p>
      <w:pPr>
        <w:pStyle w:val="798"/>
        <w:numPr>
          <w:ilvl w:val="3"/>
          <w:numId w:val="0"/>
        </w:numPr>
        <w:jc w:val="both"/>
        <w:keepLines/>
        <w:spacing w:before="280" w:after="29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（八）电子病历评级系统改造及接口改造</w:t>
      </w:r>
      <w:r>
        <w:rPr>
          <w:rFonts w:hint="eastAsia" w:ascii="宋体" w:hAnsi="宋体" w:eastAsia="宋体"/>
          <w:color w:val="000000"/>
          <w:sz w:val="24"/>
          <w:szCs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按照评级要求，实现闭环管理（包括HIS、电子病历、PDA输血输注、检验检查危急值闭环、检验检查质控、护理输液巡回记录</w:t>
      </w:r>
      <w:r>
        <w:rPr>
          <w:rFonts w:hint="eastAsia" w:ascii="宋体" w:hAnsi="宋体"/>
          <w:color w:val="000000"/>
          <w:sz w:val="24"/>
          <w:highlight w:val="none"/>
          <w:lang w:val="en-US" w:eastAsia="zh-CN"/>
        </w:rPr>
        <w:t xml:space="preserve">等）</w:t>
      </w:r>
      <w:r>
        <w:rPr>
          <w:rFonts w:hint="eastAsia" w:ascii="宋体" w:hAnsi="宋体"/>
          <w:color w:val="000000"/>
          <w:sz w:val="24"/>
          <w:highlight w:val="none"/>
        </w:rPr>
        <w:t xml:space="preserve">、接口调整以及医共体平台接口、互联网医院接口。</w:t>
      </w:r>
      <w:r>
        <w:rPr>
          <w:rFonts w:ascii="宋体" w:hAnsi="宋体"/>
          <w:color w:val="000000"/>
          <w:sz w:val="24"/>
          <w:highlight w:val="none"/>
        </w:rPr>
      </w:r>
      <w:r/>
    </w:p>
    <w:p>
      <w:pPr>
        <w:pStyle w:val="1167"/>
        <w:ind w:firstLine="482"/>
        <w:spacing w:line="360" w:lineRule="auto"/>
        <w:rPr>
          <w:rFonts w:hint="eastAsia" w:ascii="宋体" w:hAnsi="宋体"/>
          <w:b/>
          <w:bCs/>
          <w:color w:val="000000"/>
          <w:highlight w:val="none"/>
        </w:rPr>
      </w:pPr>
      <w:r>
        <w:rPr>
          <w:rFonts w:hint="eastAsia" w:ascii="宋体" w:hAnsi="宋体"/>
          <w:b/>
          <w:bCs/>
          <w:color w:val="000000"/>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1.药品闭环管理</w:t>
      </w:r>
      <w:r>
        <w:rPr>
          <w:rFonts w:ascii="宋体" w:hAnsi="宋体"/>
          <w:b/>
          <w:bCs/>
          <w:color w:val="000000"/>
          <w:highlight w:val="none"/>
        </w:rPr>
      </w:r>
      <w:r/>
    </w:p>
    <w:p>
      <w:pPr>
        <w:pStyle w:val="1085"/>
        <w:ind w:firstLine="480"/>
        <w:spacing w:before="36" w:after="72"/>
        <w:rPr>
          <w:rFonts w:hAnsi="宋体"/>
          <w:color w:val="000000"/>
          <w:sz w:val="24"/>
          <w:szCs w:val="24"/>
          <w:highlight w:val="none"/>
        </w:rPr>
      </w:pPr>
      <w:r>
        <w:rPr>
          <w:rFonts w:hint="eastAsia" w:hAnsi="宋体"/>
          <w:color w:val="000000"/>
          <w:sz w:val="24"/>
          <w:szCs w:val="24"/>
          <w:highlight w:val="none"/>
        </w:rPr>
        <w:t xml:space="preserve">患者门诊口服药医嘱的在各个医疗服务点上的人员、时间和状态的集中采集，节点主要包含 ：处方打印,药师审方通过,药师审方不通过,已缴费,药房发药,患者领药。患者住院口服药医嘱的在各个医疗服务点上的人员、时间和状态的集中采集，节点主要包含：医嘱下达,医嘱撤回,医嘱审核,医嘱作废（DC）,医嘱执行,处方审核,处方审核（不通过）,药师审核自动审核通过,药师审核人工审核通过,审核结果等待医生答复,药师审核不通过,审方挂起,住院药房发药,自助机包药,住院药房摆药 ,服药执行,停止医嘱,停止审核。</w:t>
      </w:r>
      <w:r>
        <w:rPr>
          <w:rFonts w:hAnsi="宋体"/>
          <w:color w:val="000000"/>
          <w:sz w:val="24"/>
          <w:szCs w:val="24"/>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2.检查闭环</w:t>
      </w:r>
      <w:r>
        <w:rPr>
          <w:rFonts w:ascii="宋体" w:hAnsi="宋体"/>
          <w:b/>
          <w:bCs/>
          <w:color w:val="000000"/>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医嘱开立：住院医生站通过检查申请开立形式进行检查医嘱的开立，记录医嘱开立时同及开立人。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自动排期：检查申请开立完成后，系统根据统一检查预约规则进行自动排期，记录排期时间及排期人。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医嘱审核：住院护士对排期充成后的检查医嘱进行审核，记录审核时间及审核人。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入室检查：医技科室通过扫描患者腕带核对患者身份，进行入室检查确认，记录入室时间及核对人。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报告书写：医技科室书写结构化报告，记录报告书写时间及报告人。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报告审核：报告书写完成后，由上级医师进行审核，记录审核时间及审核人。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报告发送：报告审核完成后，通过系统发送至医护站进行查看，并进行全院共享。</w:t>
      </w:r>
      <w:r>
        <w:rPr>
          <w:rFonts w:ascii="宋体" w:hAnsi="宋体"/>
          <w:color w:val="000000"/>
          <w:sz w:val="24"/>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3.检验闭环</w:t>
      </w:r>
      <w:r>
        <w:rPr>
          <w:rFonts w:ascii="宋体" w:hAnsi="宋体"/>
          <w:b/>
          <w:bCs/>
          <w:color w:val="000000"/>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检验医嘱闭环管理从住院医生申请单开始到护士站医嘱审核与执行到试管条码打印，到标本的全流程以及上机检测、上机审核、报告审核、报告发布，直到医生站调阅的全流程管理，全程通过信息化的手段实现过程可追溯。</w:t>
      </w:r>
      <w:r>
        <w:rPr>
          <w:rFonts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67"/>
        <w:ind w:firstLine="420"/>
        <w:spacing w:line="360" w:lineRule="auto"/>
        <w:rPr>
          <w:rFonts w:ascii="宋体" w:hAnsi="宋体"/>
          <w:b/>
          <w:bCs/>
          <w:color w:val="000000"/>
          <w:highlight w:val="none"/>
        </w:rPr>
      </w:pPr>
      <w:r>
        <w:rPr>
          <w:rFonts w:hint="eastAsia" w:ascii="宋体" w:hAnsi="宋体"/>
          <w:b/>
          <w:bCs/>
          <w:color w:val="000000"/>
          <w:highlight w:val="none"/>
        </w:rPr>
        <w:t xml:space="preserve">4.检验危急值闭环</w:t>
      </w:r>
      <w:r>
        <w:rPr>
          <w:rFonts w:ascii="宋体" w:hAnsi="宋体"/>
          <w:b/>
          <w:bCs/>
          <w:color w:val="000000"/>
          <w:highlight w:val="none"/>
        </w:rPr>
      </w:r>
      <w:r/>
    </w:p>
    <w:p>
      <w:pPr>
        <w:pStyle w:val="794"/>
        <w:ind w:firstLine="420"/>
        <w:spacing w:line="360" w:lineRule="auto"/>
        <w:rPr>
          <w:rFonts w:ascii="宋体" w:hAnsi="宋体"/>
          <w:color w:val="000000"/>
          <w:sz w:val="24"/>
          <w:szCs w:val="32"/>
          <w:highlight w:val="none"/>
        </w:rPr>
      </w:pPr>
      <w:r>
        <w:rPr>
          <w:rFonts w:hint="eastAsia" w:ascii="宋体" w:hAnsi="宋体"/>
          <w:color w:val="000000"/>
          <w:sz w:val="24"/>
          <w:szCs w:val="32"/>
          <w:highlight w:val="none"/>
        </w:rPr>
        <w:t xml:space="preserve">危急值发送：检验报告结果完成后，如发现有危急值，则通过PC端对危急值结果向医生、护士发送，记承发送时间及发送人，危急值提醒：在PC端分别对医生站、护士站进行检验危急值弹框提醒，记录提置时间及提醒人。危急值处理：医生在PC端对检验危急值的处置方案进行上报，记录处理时间及处理人。</w:t>
      </w:r>
      <w:r>
        <w:rPr>
          <w:rFonts w:ascii="宋体" w:hAnsi="宋体"/>
          <w:color w:val="000000"/>
          <w:sz w:val="24"/>
          <w:szCs w:val="32"/>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5.检查危急值闭环</w:t>
      </w:r>
      <w:r>
        <w:rPr>
          <w:rFonts w:ascii="宋体" w:hAnsi="宋体"/>
          <w:b/>
          <w:bCs/>
          <w:color w:val="000000"/>
          <w:highlight w:val="none"/>
        </w:rPr>
      </w:r>
      <w:r/>
    </w:p>
    <w:p>
      <w:pPr>
        <w:pStyle w:val="794"/>
        <w:ind w:firstLine="420"/>
        <w:spacing w:line="360" w:lineRule="auto"/>
        <w:rPr>
          <w:rFonts w:ascii="宋体" w:hAnsi="宋体"/>
          <w:color w:val="000000"/>
          <w:sz w:val="24"/>
          <w:szCs w:val="32"/>
          <w:highlight w:val="none"/>
        </w:rPr>
      </w:pPr>
      <w:r>
        <w:rPr>
          <w:rFonts w:hint="eastAsia" w:ascii="宋体" w:hAnsi="宋体"/>
          <w:color w:val="000000"/>
          <w:sz w:val="24"/>
          <w:szCs w:val="32"/>
          <w:highlight w:val="none"/>
        </w:rPr>
        <w:t xml:space="preserve">危急值发送：检查报告结果完成后，如发现有危急值，则通过PC端对危急值结果向医生、护士发送，记录发送时间及发送人。危急值提醒：在PC端分别对医生站、护士站进行检查危急值弹框提醒，记录提醒时间及提醒人。危急值处理：医生在PC端对检查危急值的处置方案进行上报，记录处理时间及处理人。</w:t>
      </w:r>
      <w:r>
        <w:rPr>
          <w:rFonts w:ascii="宋体" w:hAnsi="宋体"/>
          <w:color w:val="000000"/>
          <w:sz w:val="24"/>
          <w:szCs w:val="32"/>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6.P</w:t>
      </w:r>
      <w:r>
        <w:rPr>
          <w:rFonts w:ascii="宋体" w:hAnsi="宋体"/>
          <w:b/>
          <w:bCs/>
          <w:color w:val="000000"/>
          <w:highlight w:val="none"/>
        </w:rPr>
        <w:t xml:space="preserve">DA输血闭环</w:t>
      </w:r>
      <w:r>
        <w:rPr>
          <w:rFonts w:ascii="宋体" w:hAnsi="宋体"/>
          <w:b/>
          <w:bCs/>
          <w:color w:val="000000"/>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输血申请完成后自动生成输血医嘱，记录申请时间及申请人。输血审批：输血申请完成后，对大量用血的申请由管理部门进行审批，记录审批时间及审批人。交叉配血：审批通过后，输血科根据输血申请开始交又配血，记录交叉配血开始时间及配置人。配血完成：配血完成后，系统记录配血完成时间及配置人。开始发血：配血完成后，输血科打印输血执行码，并进行发血，记录发血时间及发血人</w:t>
      </w:r>
      <w:r>
        <w:rPr>
          <w:rFonts w:hint="eastAsia" w:ascii="宋体" w:hAnsi="宋体"/>
          <w:color w:val="000000"/>
          <w:sz w:val="24"/>
          <w:highlight w:val="none"/>
        </w:rPr>
        <w:t xml:space="preserve">。双人签收：血液发送至护士站，由双人通过PDA进行签收，记录签收时间及签收人。患者用血：住院护士双人扫描患者腕带进行核对，输血执行，记录输血开始时间及执行人。输血巡回：住院护士在输血后15分钟，输血完成后，完成后15分钟，完成后4小时分别对患者进行输血巡回，分别记录巡回时间及巡回人。不良反应：若输血过程中患者发生不良反应，住院护士能够通过PDA进行输血不良反应上报，记录上报时间及上报人。输血完成：输血完成后，系统记录完成时间及操作人。血袋销毁：输血完成后，血袋回收至输血科，并进行销毁，记录销毁时间及销毁人。</w:t>
      </w:r>
      <w:r>
        <w:rPr>
          <w:rFonts w:ascii="宋体" w:hAnsi="宋体"/>
          <w:color w:val="000000"/>
          <w:sz w:val="24"/>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7.病历质控闭环</w:t>
      </w:r>
      <w:r>
        <w:rPr>
          <w:rFonts w:ascii="宋体" w:hAnsi="宋体"/>
          <w:b/>
          <w:bCs/>
          <w:color w:val="000000"/>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病历书写：住院医生对在院患者书写病历过程中，系统运行环节质控实时提示病历缺陷。病历提交：住院医生对出院患者病历进行提交后，系统会自动进行打分。缺陷记录：质控人员对出院病历运行终末质控，记录病历缺陷，系统自动记录质控时间及质控人。缺陷反馈：质控人员将病历缺陷反馈给住院医生，系统自动记录反馈时间及接收人。缺陷修改：住院医生根据系统反馈的病历缺陷再次修改并提交，系统记录修改时间及修改人。缺陷确认：质控人员对再次修改的病历缺陷进行最终确认，系统记录确认时间及确认人。</w:t>
      </w:r>
      <w:r>
        <w:rPr>
          <w:rFonts w:ascii="宋体" w:hAnsi="宋体"/>
          <w:color w:val="000000"/>
          <w:sz w:val="24"/>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8.会诊闭环</w:t>
      </w:r>
      <w:r>
        <w:rPr>
          <w:rFonts w:ascii="宋体" w:hAnsi="宋体"/>
          <w:b/>
          <w:bCs/>
          <w:color w:val="000000"/>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会诊申请：住院医生通过系统发起会诊申请，生成会诊申请单，记录申请时间及申请人。</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会诊审批：会诊组长通过系统对会诊申请进行审批，审批通过后发送给相应科室医生（消息或短信方式），</w:t>
      </w:r>
      <w:r>
        <w:rPr>
          <w:rFonts w:hint="eastAsia" w:ascii="宋体" w:hAnsi="宋体"/>
          <w:color w:val="000000"/>
          <w:sz w:val="24"/>
          <w:highlight w:val="none"/>
        </w:rPr>
        <w:t xml:space="preserve">记</w:t>
      </w:r>
      <w:r>
        <w:rPr>
          <w:rFonts w:hint="eastAsia" w:ascii="宋体" w:hAnsi="宋体"/>
          <w:color w:val="000000"/>
          <w:sz w:val="24"/>
          <w:highlight w:val="none"/>
          <w:lang w:val="en-US" w:eastAsia="zh-CN"/>
        </w:rPr>
        <w:t xml:space="preserve">录</w:t>
      </w:r>
      <w:r>
        <w:rPr>
          <w:rFonts w:hint="eastAsia" w:ascii="宋体" w:hAnsi="宋体"/>
          <w:color w:val="000000"/>
          <w:sz w:val="24"/>
          <w:highlight w:val="none"/>
        </w:rPr>
        <w:t xml:space="preserve">审批时间及审批人，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会诊接收：</w:t>
      </w:r>
      <w:r>
        <w:rPr>
          <w:rFonts w:hint="eastAsia" w:ascii="宋体" w:hAnsi="宋体"/>
          <w:color w:val="000000"/>
          <w:sz w:val="24"/>
          <w:highlight w:val="none"/>
        </w:rPr>
        <w:t xml:space="preserve">会</w:t>
      </w:r>
      <w:r>
        <w:rPr>
          <w:rFonts w:hint="eastAsia" w:ascii="宋体" w:hAnsi="宋体"/>
          <w:color w:val="000000"/>
          <w:sz w:val="24"/>
          <w:highlight w:val="none"/>
          <w:lang w:val="en-US" w:eastAsia="zh-CN"/>
        </w:rPr>
        <w:t xml:space="preserve">诊</w:t>
      </w:r>
      <w:r>
        <w:rPr>
          <w:rFonts w:hint="eastAsia" w:ascii="宋体" w:hAnsi="宋体"/>
          <w:color w:val="000000"/>
          <w:sz w:val="24"/>
          <w:highlight w:val="none"/>
        </w:rPr>
        <w:t xml:space="preserve">医生对发送的会诊申请进行接收确认，</w:t>
      </w:r>
      <w:r>
        <w:rPr>
          <w:rFonts w:hint="eastAsia" w:ascii="宋体" w:hAnsi="宋体"/>
          <w:color w:val="000000"/>
          <w:sz w:val="24"/>
          <w:highlight w:val="none"/>
        </w:rPr>
        <w:t xml:space="preserve">记</w:t>
      </w:r>
      <w:r>
        <w:rPr>
          <w:rFonts w:hint="eastAsia" w:ascii="宋体" w:hAnsi="宋体"/>
          <w:color w:val="000000"/>
          <w:sz w:val="24"/>
          <w:highlight w:val="none"/>
          <w:lang w:val="en-US" w:eastAsia="zh-CN"/>
        </w:rPr>
        <w:t xml:space="preserve">录</w:t>
      </w:r>
      <w:r>
        <w:rPr>
          <w:rFonts w:hint="eastAsia" w:ascii="宋体" w:hAnsi="宋体"/>
          <w:color w:val="000000"/>
          <w:sz w:val="24"/>
          <w:highlight w:val="none"/>
        </w:rPr>
        <w:t xml:space="preserve">接收时间及接收人。</w:t>
      </w:r>
      <w:r>
        <w:rPr>
          <w:rFonts w:ascii="宋体" w:hAnsi="宋体"/>
          <w:color w:val="000000"/>
          <w:sz w:val="24"/>
          <w:highlight w:val="none"/>
        </w:rPr>
      </w:r>
      <w:r/>
    </w:p>
    <w:p>
      <w:pPr>
        <w:pStyle w:val="794"/>
        <w:ind w:firstLine="420"/>
        <w:spacing w:line="360" w:lineRule="auto"/>
        <w:rPr>
          <w:rFonts w:ascii="宋体" w:hAnsi="宋体"/>
          <w:color w:val="000000"/>
          <w:sz w:val="24"/>
          <w:highlight w:val="none"/>
        </w:rPr>
      </w:pPr>
      <w:r>
        <w:rPr>
          <w:rFonts w:hint="eastAsia" w:ascii="宋体" w:hAnsi="宋体"/>
          <w:color w:val="000000"/>
          <w:sz w:val="24"/>
          <w:highlight w:val="none"/>
        </w:rPr>
        <w:t xml:space="preserve">会诊意见：会诊医生对相应患者进行会诊，书写会诊意见，记录会诊时间及会诊人。</w:t>
      </w:r>
      <w:r>
        <w:rPr>
          <w:rFonts w:ascii="宋体" w:hAnsi="宋体"/>
          <w:color w:val="000000"/>
          <w:sz w:val="24"/>
          <w:highlight w:val="none"/>
        </w:rPr>
      </w:r>
      <w:r/>
    </w:p>
    <w:p>
      <w:pPr>
        <w:pStyle w:val="1167"/>
        <w:ind w:firstLine="482"/>
        <w:spacing w:line="360" w:lineRule="auto"/>
        <w:rPr>
          <w:rFonts w:ascii="宋体" w:hAnsi="宋体"/>
          <w:b/>
          <w:bCs/>
          <w:color w:val="000000"/>
          <w:highlight w:val="none"/>
        </w:rPr>
      </w:pPr>
      <w:r>
        <w:rPr>
          <w:rFonts w:hint="eastAsia" w:ascii="宋体" w:hAnsi="宋体"/>
          <w:b/>
          <w:bCs/>
          <w:color w:val="000000"/>
          <w:highlight w:val="none"/>
        </w:rPr>
        <w:t xml:space="preserve">9.接口调整以及医共体平台接口</w:t>
      </w:r>
      <w:r>
        <w:rPr>
          <w:rFonts w:ascii="宋体" w:hAnsi="宋体"/>
          <w:b/>
          <w:bCs/>
          <w:color w:val="000000"/>
          <w:highlight w:val="none"/>
        </w:rPr>
      </w:r>
      <w:r/>
    </w:p>
    <w:p>
      <w:pPr>
        <w:pStyle w:val="1167"/>
        <w:ind w:firstLine="480"/>
        <w:spacing w:line="360" w:lineRule="auto"/>
        <w:rPr>
          <w:rFonts w:hint="eastAsia" w:ascii="宋体" w:hAnsi="宋体"/>
          <w:color w:val="000000"/>
          <w:highlight w:val="none"/>
        </w:rPr>
      </w:pPr>
      <w:r>
        <w:rPr>
          <w:rFonts w:hint="eastAsia" w:ascii="宋体" w:hAnsi="宋体"/>
          <w:color w:val="000000"/>
          <w:highlight w:val="none"/>
        </w:rPr>
        <w:t xml:space="preserve">要求提供电子病历评级升级改造产生的系统接口改造及医共体平台接口改造。</w:t>
      </w:r>
      <w:r>
        <w:rPr>
          <w:rFonts w:hint="eastAsia" w:ascii="宋体" w:hAnsi="宋体"/>
          <w:color w:val="000000"/>
          <w:highlight w:val="none"/>
        </w:rPr>
      </w:r>
      <w:r/>
    </w:p>
    <w:p>
      <w:pPr>
        <w:pStyle w:val="798"/>
        <w:numPr>
          <w:ilvl w:val="3"/>
          <w:numId w:val="0"/>
        </w:numPr>
        <w:jc w:val="both"/>
        <w:keepLines/>
        <w:spacing w:before="280" w:after="29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（九）测评辅助支持</w:t>
      </w:r>
      <w:r>
        <w:rPr>
          <w:rFonts w:hint="eastAsia" w:ascii="宋体" w:hAnsi="宋体" w:eastAsia="宋体"/>
          <w:color w:val="000000"/>
          <w:sz w:val="24"/>
          <w:szCs w:val="24"/>
          <w:highlight w:val="none"/>
        </w:rPr>
      </w:r>
      <w:r/>
    </w:p>
    <w:p>
      <w:pPr>
        <w:pStyle w:val="794"/>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1.电子病历测评支持</w:t>
      </w:r>
      <w:r>
        <w:rPr>
          <w:rFonts w:ascii="宋体" w:hAnsi="宋体"/>
          <w:b/>
          <w:bCs/>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按照国家卫健委发布的医院电子病历分级评价评测的相关标准和要求进行系统建设，构建满足医院需求的医院信息系统，符合《电子病历系统应用水平分级评价管理办法（试行）》和《电子病历系统应用水平分级评价标准（试行）》认证相关的等级评审要求。</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1）投标人需要提供完整电子病历系统应用水平分级评价咨询、改造实施服务：</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对标《电子病历系统应用水平分级评价管理办法（试行）》和《电子病历系统应用水平分级评价标准（试行）》协助医院进行自评，帮医院梳理并完成改造实施评测需要改造的内容和信息化系统改造的相关内容；</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3）协助医院完成全院各系统数据能够按统一的医疗数据管理机制进行信息集成，并提供跨部门集成展示工具。</w:t>
      </w:r>
      <w:r>
        <w:rPr>
          <w:rFonts w:hint="eastAsia" w:ascii="宋体" w:hAnsi="宋体"/>
          <w:color w:val="000000"/>
          <w:sz w:val="24"/>
          <w:highlight w:val="none"/>
        </w:rPr>
      </w:r>
      <w:r/>
    </w:p>
    <w:p>
      <w:pPr>
        <w:pStyle w:val="79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4）提供完备的数据采集智能化工具，支持病历、报告等的结构化、智能化书写。</w:t>
      </w:r>
      <w:r>
        <w:rPr>
          <w:rFonts w:hint="eastAsia"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5）协助医院构建基于集成的病人信息，利用知识库实现决策支持服务。</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2.互联互通测评支持</w:t>
      </w:r>
      <w:r>
        <w:rPr>
          <w:rFonts w:ascii="宋体" w:hAnsi="宋体"/>
          <w:b/>
          <w:bCs/>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按照国家卫健委发布的医院信息互联互通标准化成熟度评测的相关标准和要求进行平台建设，构建互联互通成熟度评测体系，符合并通过国家卫计委《医院信息互联互通标准化成熟度测评方案》认证相关的等级评审要求。</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投标人建设内容符合卫健委关于医院互联互通成熟度评测要求.</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1）投标人需要提供完整互联互通成熟度评测改造及支持服务：</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2）对标标准协助医院进行自评及差距分析，根据评测需要改造的内容和平台改造的相关内容等进行改造及支持服务；</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3）协助医院进行报名并提供专业的材料审查；</w:t>
      </w:r>
      <w:r>
        <w:rPr>
          <w:rFonts w:ascii="宋体" w:hAnsi="宋体"/>
          <w:color w:val="000000"/>
          <w:sz w:val="24"/>
          <w:highlight w:val="none"/>
        </w:rPr>
      </w:r>
      <w:r/>
    </w:p>
    <w:p>
      <w:pPr>
        <w:pStyle w:val="798"/>
        <w:numPr>
          <w:ilvl w:val="3"/>
          <w:numId w:val="0"/>
        </w:numPr>
        <w:jc w:val="both"/>
        <w:keepLines/>
        <w:spacing w:before="280" w:after="290" w:line="360" w:lineRule="auto"/>
        <w:rPr>
          <w:rFonts w:ascii="宋体" w:hAnsi="宋体"/>
          <w:color w:val="000000"/>
          <w:sz w:val="24"/>
          <w:highlight w:val="none"/>
        </w:rPr>
      </w:pPr>
      <w:r>
        <w:rPr>
          <w:rFonts w:hint="eastAsia" w:ascii="宋体" w:hAnsi="宋体"/>
          <w:color w:val="000000"/>
          <w:sz w:val="24"/>
          <w:highlight w:val="none"/>
        </w:rPr>
        <w:t xml:space="preserve">4）协助医院完成实验室测试相关改造及支持;</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5）协助医院准备专家文审材料及文审汇报;并根据文审结果进行改造及支持。</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numPr>
          <w:ilvl w:val="0"/>
          <w:numId w:val="12"/>
        </w:numPr>
        <w:spacing w:line="360" w:lineRule="auto"/>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采购标的的数量、采购项目交付或者实施的时间和地点</w:t>
      </w:r>
      <w:r>
        <w:rPr>
          <w:rFonts w:ascii="宋体" w:hAnsi="宋体" w:cs="仿宋_GB2312"/>
          <w:color w:val="000000"/>
          <w:sz w:val="28"/>
          <w:szCs w:val="28"/>
          <w:highlight w:val="none"/>
        </w:rPr>
      </w:r>
      <w:r/>
    </w:p>
    <w:tbl>
      <w:tblPr>
        <w:tblW w:w="8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1830"/>
        <w:gridCol w:w="3237"/>
        <w:gridCol w:w="1722"/>
      </w:tblGrid>
      <w:tr>
        <w:trPr>
          <w:trHeight w:val="312"/>
        </w:trPr>
        <w:tc>
          <w:tcPr>
            <w:tcW w:w="817" w:type="dxa"/>
            <w:vAlign w:val="center"/>
            <w:textDirection w:val="lrTb"/>
            <w:noWrap/>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134" w:type="dxa"/>
            <w:vAlign w:val="center"/>
            <w:textDirection w:val="lrTb"/>
            <w:noWrap/>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业务分类</w:t>
            </w:r>
            <w:r>
              <w:rPr>
                <w:rFonts w:ascii="宋体" w:hAnsi="宋体" w:cs="宋体"/>
                <w:b/>
                <w:bCs/>
                <w:color w:val="000000"/>
                <w:szCs w:val="21"/>
                <w:highlight w:val="none"/>
              </w:rPr>
            </w:r>
            <w:r/>
          </w:p>
        </w:tc>
        <w:tc>
          <w:tcPr>
            <w:tcW w:w="1830" w:type="dxa"/>
            <w:vAlign w:val="center"/>
            <w:textDirection w:val="lrTb"/>
            <w:noWrap/>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系统</w:t>
            </w:r>
            <w:r>
              <w:rPr>
                <w:rFonts w:ascii="宋体" w:hAnsi="宋体" w:cs="宋体"/>
                <w:b/>
                <w:bCs/>
                <w:color w:val="000000"/>
                <w:szCs w:val="21"/>
                <w:highlight w:val="none"/>
              </w:rPr>
            </w:r>
            <w:r/>
          </w:p>
        </w:tc>
        <w:tc>
          <w:tcPr>
            <w:tcW w:w="3237" w:type="dxa"/>
            <w:vAlign w:val="center"/>
            <w:textDirection w:val="lrTb"/>
            <w:noWrap/>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子系统</w:t>
            </w:r>
            <w:r>
              <w:rPr>
                <w:rFonts w:ascii="宋体" w:hAnsi="宋体" w:cs="宋体"/>
                <w:b/>
                <w:bCs/>
                <w:color w:val="000000"/>
                <w:szCs w:val="21"/>
                <w:highlight w:val="none"/>
              </w:rPr>
            </w:r>
            <w:r/>
          </w:p>
        </w:tc>
        <w:tc>
          <w:tcPr>
            <w:tcW w:w="1722" w:type="dxa"/>
            <w:vAlign w:val="center"/>
            <w:textDirection w:val="lrTb"/>
            <w:noWrap/>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功能模块</w:t>
            </w:r>
            <w:r>
              <w:rPr>
                <w:rFonts w:ascii="宋体" w:hAnsi="宋体" w:cs="宋体"/>
                <w:b/>
                <w:bCs/>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34" w:type="dxa"/>
            <w:vAlign w:val="center"/>
            <w:vMerge w:val="restart"/>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医院信息集成平台</w:t>
            </w:r>
            <w:r>
              <w:rPr>
                <w:rFonts w:ascii="宋体" w:hAnsi="宋体" w:cs="宋体"/>
                <w:color w:val="000000"/>
                <w:szCs w:val="21"/>
                <w:highlight w:val="none"/>
              </w:rPr>
            </w:r>
            <w:r/>
          </w:p>
        </w:tc>
        <w:tc>
          <w:tcPr>
            <w:tcW w:w="1830" w:type="dxa"/>
            <w:vAlign w:val="center"/>
            <w:vMerge w:val="restart"/>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医院服务总线</w:t>
            </w: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平台管理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服务管理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消息管理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标准管理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流程管理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监控管理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与第三方系统集成组件</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主数据管理</w:t>
            </w: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患者主索引管理</w:t>
            </w: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restart"/>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数据质量和单点登录</w:t>
            </w: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数据驱动基础套件</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1</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vMerge w:val="restart"/>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数据驱动角色套件</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医生站</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2</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护士长</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3</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临床科室主任</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4</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门诊运营与监管</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5</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护理运营与监管</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6</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vMerge w:val="continue"/>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医务运营与监管</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7</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restart"/>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数据中心</w:t>
            </w: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数据中心管理平台</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8</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临床数据中心</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标准体系建设</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基础数据治理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平台公共服务</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应用平台化支撑</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restart"/>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基于平台的应用</w:t>
            </w: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患者3</w:t>
            </w:r>
            <w:r>
              <w:rPr>
                <w:rFonts w:ascii="宋体" w:hAnsi="宋体" w:cs="宋体"/>
                <w:color w:val="000000"/>
                <w:szCs w:val="21"/>
                <w:highlight w:val="none"/>
              </w:rPr>
              <w:t xml:space="preserve">60</w:t>
            </w:r>
            <w:r>
              <w:rPr>
                <w:rFonts w:hint="eastAsia" w:ascii="宋体" w:hAnsi="宋体" w:cs="宋体"/>
                <w:color w:val="000000"/>
                <w:szCs w:val="21"/>
                <w:highlight w:val="none"/>
              </w:rPr>
              <w:t xml:space="preserve">集成视图</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医疗质量安全综合监控与管理平台</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预住院日间手术管理</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临床决策支持（中医）</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院长决策支持系统</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三级医院绩效考核系统</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三甲医院评审系统</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W w:w="1134" w:type="dxa"/>
            <w:vAlign w:val="center"/>
            <w:vMerge w:val="restart"/>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医技系统</w:t>
            </w: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影像中心系统</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restart"/>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PACS升级</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放射科信息系统</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医学影像传输与归档系统</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超声影像信息系统</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内镜影像信息系统</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vMerge w:val="continue"/>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病理管理系统</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医技检查预约平台</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试剂管理系统</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37</w:t>
            </w:r>
            <w:r>
              <w:rPr>
                <w:rFonts w:hint="eastAsia" w:ascii="宋体" w:hAnsi="宋体" w:cs="宋体"/>
                <w:color w:val="000000"/>
                <w:szCs w:val="21"/>
                <w:highlight w:val="none"/>
              </w:rPr>
            </w:r>
            <w:r/>
          </w:p>
        </w:tc>
        <w:tc>
          <w:tcPr>
            <w:tcW w:w="1134"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运营管理</w:t>
            </w:r>
            <w:r>
              <w:rPr>
                <w:rFonts w:hint="eastAsia"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大型医疗设备绩效分析系统</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1134" w:type="dxa"/>
            <w:vAlign w:val="center"/>
            <w:vMerge w:val="restart"/>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医政系统</w:t>
            </w: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单病种质量管理系统</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医师资质授权管理</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治疗室工作站</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病历归档系统</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护理病历</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护理计划(含PDA端</w:t>
            </w:r>
            <w:r>
              <w:rPr>
                <w:rFonts w:ascii="宋体" w:hAnsi="宋体" w:cs="宋体"/>
                <w:color w:val="000000"/>
                <w:szCs w:val="21"/>
                <w:highlight w:val="none"/>
              </w:rPr>
              <w:t xml:space="preserve">)</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抗肿瘤药物分级管理系统</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W w:w="1134"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办公系统</w:t>
            </w: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OA</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手机端</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w:t>
            </w:r>
            <w:r>
              <w:rPr>
                <w:rFonts w:hint="eastAsia" w:ascii="宋体" w:hAnsi="宋体" w:cs="宋体"/>
                <w:color w:val="000000"/>
                <w:szCs w:val="21"/>
                <w:highlight w:val="none"/>
              </w:rPr>
            </w:r>
            <w:r/>
          </w:p>
        </w:tc>
        <w:tc>
          <w:tcPr>
            <w:tcW w:w="1134"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反统方</w:t>
            </w:r>
            <w:r>
              <w:rPr>
                <w:rFonts w:hint="eastAsia"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反统方系统</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反统方统一管理系统</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47</w:t>
            </w:r>
            <w:r>
              <w:rPr>
                <w:rFonts w:hint="eastAsia" w:ascii="宋体" w:hAnsi="宋体" w:cs="宋体"/>
                <w:color w:val="000000"/>
                <w:szCs w:val="21"/>
                <w:highlight w:val="none"/>
              </w:rPr>
            </w:r>
            <w:r/>
          </w:p>
        </w:tc>
        <w:tc>
          <w:tcPr>
            <w:tcW w:w="1134" w:type="dxa"/>
            <w:vAlign w:val="center"/>
            <w:vMerge w:val="restart"/>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互联网+医疗</w:t>
            </w:r>
            <w:r>
              <w:rPr>
                <w:rFonts w:hint="eastAsia"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互联网医院患者端小程序</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互联网医院移动医生应用</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3984"/>
        </w:trPr>
        <w:tc>
          <w:tcPr>
            <w:tcW w:w="817" w:type="dxa"/>
            <w:vAlign w:val="center"/>
            <w:textDirection w:val="lrTb"/>
            <w:noWrap/>
          </w:tcPr>
          <w:p>
            <w:pPr>
              <w:pStyle w:val="79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w:t>
            </w:r>
            <w:r>
              <w:rPr>
                <w:rFonts w:hint="eastAsia" w:ascii="宋体" w:hAnsi="宋体" w:cs="宋体"/>
                <w:color w:val="000000"/>
                <w:szCs w:val="21"/>
                <w:highlight w:val="none"/>
              </w:rPr>
            </w:r>
            <w:r/>
          </w:p>
        </w:tc>
        <w:tc>
          <w:tcPr>
            <w:tcW w:w="1134"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电子病历评级系统改造及接口改造</w:t>
            </w:r>
            <w:r>
              <w:rPr>
                <w:rFonts w:hint="eastAsia"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HIS、EMR、护理、医务、医技系统改造、国家/省/市相关接口、医共体接口、互联网医院接口</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评级要求，实现闭环管理（包括HIS、电子病历、PDA输血输注、检验检查危急值闭环、检验检查质控、护理输液巡回记录等）、国家/省/市相关接口调整以及医共体平台接口、互联网医院接口实现患者就诊信息统一</w:t>
            </w:r>
            <w:r>
              <w:rPr>
                <w:rFonts w:hint="eastAsia"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vMerge w:val="restart"/>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1134" w:type="dxa"/>
            <w:vAlign w:val="center"/>
            <w:vMerge w:val="restart"/>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测评辅助支持</w:t>
            </w: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hint="eastAsia" w:ascii="宋体" w:hAnsi="宋体" w:cs="宋体"/>
                <w:color w:val="000000"/>
                <w:szCs w:val="21"/>
                <w:highlight w:val="none"/>
              </w:rPr>
            </w:pPr>
            <w:r>
              <w:rPr>
                <w:rFonts w:hint="eastAsia" w:ascii="宋体" w:hAnsi="宋体" w:cs="宋体"/>
                <w:color w:val="000000"/>
                <w:sz w:val="20"/>
                <w:szCs w:val="20"/>
                <w:highlight w:val="none"/>
              </w:rPr>
              <w:t xml:space="preserve">电子病历测评支持</w:t>
            </w:r>
            <w:r>
              <w:rPr>
                <w:rFonts w:hint="eastAsia"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文档模版、测评咨询</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rHeight w:val="288"/>
        </w:trPr>
        <w:tc>
          <w:tcPr>
            <w:tcW w:w="817" w:type="dxa"/>
            <w:vAlign w:val="center"/>
            <w:vMerge w:val="continue"/>
            <w:textDirection w:val="lrTb"/>
            <w:noWrap/>
          </w:tcPr>
          <w:p>
            <w:pPr>
              <w:pStyle w:val="79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vMerge w:val="continue"/>
            <w:textDirection w:val="lrTb"/>
            <w:noWrap w:val="false"/>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830"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互联互通测评支持</w:t>
            </w:r>
            <w:r>
              <w:rPr>
                <w:rFonts w:ascii="宋体" w:hAnsi="宋体" w:cs="宋体"/>
                <w:color w:val="000000"/>
                <w:szCs w:val="21"/>
                <w:highlight w:val="none"/>
              </w:rPr>
            </w:r>
            <w:r/>
          </w:p>
        </w:tc>
        <w:tc>
          <w:tcPr>
            <w:tcW w:w="3237" w:type="dxa"/>
            <w:vAlign w:val="center"/>
            <w:textDirection w:val="lrTb"/>
            <w:noWrap w:val="false"/>
          </w:tcPr>
          <w:p>
            <w:pPr>
              <w:pStyle w:val="794"/>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文档模版、测评咨询以及培训</w:t>
            </w:r>
            <w:r>
              <w:rPr>
                <w:rFonts w:ascii="宋体" w:hAnsi="宋体" w:cs="宋体"/>
                <w:color w:val="000000"/>
                <w:szCs w:val="21"/>
                <w:highlight w:val="none"/>
              </w:rPr>
            </w:r>
            <w:r/>
          </w:p>
        </w:tc>
        <w:tc>
          <w:tcPr>
            <w:tcW w:w="1722" w:type="dxa"/>
            <w:vAlign w:val="center"/>
            <w:textDirection w:val="lrTb"/>
            <w:noWrap/>
          </w:tcPr>
          <w:p>
            <w:pPr>
              <w:pStyle w:val="794"/>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pStyle w:val="794"/>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94"/>
        <w:spacing w:line="360" w:lineRule="auto"/>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五、采购标的需满足的服务标准、期限、效率等要求；</w:t>
      </w:r>
      <w:r>
        <w:rPr>
          <w:rFonts w:ascii="宋体" w:hAnsi="宋体" w:cs="仿宋_GB2312"/>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2025年前完成</w:t>
      </w:r>
      <w:r>
        <w:rPr>
          <w:rFonts w:hint="eastAsia" w:ascii="宋体" w:hAnsi="宋体" w:cs="宋体"/>
          <w:color w:val="000000"/>
          <w:sz w:val="28"/>
          <w:szCs w:val="28"/>
          <w:highlight w:val="none"/>
          <w:lang w:val="en-US" w:eastAsia="zh-CN"/>
        </w:rPr>
        <w:t xml:space="preserve">并通过</w:t>
      </w:r>
      <w:r>
        <w:rPr>
          <w:rFonts w:hint="eastAsia" w:ascii="宋体" w:hAnsi="宋体"/>
          <w:color w:val="000000"/>
          <w:sz w:val="28"/>
          <w:szCs w:val="28"/>
          <w:highlight w:val="none"/>
        </w:rPr>
        <w:t xml:space="preserve">互联互通四级甲等测评，2026年前完成</w:t>
      </w:r>
      <w:r>
        <w:rPr>
          <w:rFonts w:hint="eastAsia" w:ascii="宋体" w:hAnsi="宋体" w:cs="宋体"/>
          <w:color w:val="000000"/>
          <w:sz w:val="28"/>
          <w:szCs w:val="28"/>
          <w:highlight w:val="none"/>
          <w:lang w:val="en-US" w:eastAsia="zh-CN"/>
        </w:rPr>
        <w:t xml:space="preserve">并通过</w:t>
      </w:r>
      <w:r>
        <w:rPr>
          <w:rFonts w:hint="eastAsia" w:ascii="宋体" w:hAnsi="宋体"/>
          <w:color w:val="000000"/>
          <w:sz w:val="28"/>
          <w:szCs w:val="28"/>
          <w:highlight w:val="none"/>
        </w:rPr>
        <w:t xml:space="preserve">电子病历应用水平五级测评。</w:t>
      </w: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color w:val="000000"/>
          <w:sz w:val="28"/>
          <w:szCs w:val="28"/>
          <w:highlight w:val="none"/>
        </w:rPr>
        <w:t xml:space="preserve">六</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采购标的的验收标准；</w:t>
      </w:r>
      <w:r>
        <w:rPr>
          <w:rFonts w:ascii="宋体" w:hAnsi="宋体"/>
          <w:color w:val="000000"/>
          <w:sz w:val="28"/>
          <w:szCs w:val="28"/>
          <w:highlight w:val="none"/>
        </w:rPr>
      </w:r>
      <w:r/>
    </w:p>
    <w:p>
      <w:pPr>
        <w:pStyle w:val="794"/>
        <w:ind w:firstLine="555"/>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分阶段验收：</w:t>
      </w:r>
      <w:r>
        <w:rPr>
          <w:rFonts w:ascii="宋体" w:hAnsi="宋体"/>
          <w:color w:val="000000"/>
          <w:sz w:val="28"/>
          <w:szCs w:val="28"/>
          <w:highlight w:val="none"/>
        </w:rPr>
      </w:r>
      <w:r/>
    </w:p>
    <w:p>
      <w:pPr>
        <w:pStyle w:val="794"/>
        <w:ind w:left="1275" w:hanging="720"/>
        <w:spacing w:line="360" w:lineRule="auto"/>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.模块</w:t>
      </w:r>
      <w:r>
        <w:rPr>
          <w:rFonts w:hint="eastAsia" w:ascii="宋体" w:hAnsi="宋体" w:cs="宋体"/>
          <w:color w:val="000000"/>
          <w:sz w:val="28"/>
          <w:szCs w:val="28"/>
          <w:highlight w:val="none"/>
        </w:rPr>
        <w:t xml:space="preserve">（1—4</w:t>
      </w: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项</w:t>
      </w:r>
      <w:r>
        <w:rPr>
          <w:rFonts w:hint="eastAsia" w:ascii="宋体" w:hAnsi="宋体"/>
          <w:color w:val="000000"/>
          <w:sz w:val="28"/>
          <w:szCs w:val="28"/>
          <w:highlight w:val="none"/>
        </w:rPr>
        <w:t xml:space="preserve">）上线并适应医院的使用要求为第一阶段验收标准；</w:t>
      </w:r>
      <w:r>
        <w:rPr>
          <w:rFonts w:ascii="宋体" w:hAnsi="宋体"/>
          <w:color w:val="000000"/>
          <w:sz w:val="28"/>
          <w:szCs w:val="28"/>
          <w:highlight w:val="none"/>
        </w:rPr>
      </w:r>
      <w:r/>
    </w:p>
    <w:p>
      <w:pPr>
        <w:pStyle w:val="794"/>
        <w:ind w:left="1275" w:hanging="720"/>
        <w:spacing w:line="360" w:lineRule="auto"/>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.通过互联互通四级甲等和电子病历应用水平五级测评为第二阶段验收标准。</w:t>
      </w:r>
      <w:r>
        <w:rPr>
          <w:rFonts w:ascii="宋体" w:hAnsi="宋体"/>
          <w:color w:val="000000"/>
          <w:sz w:val="28"/>
          <w:szCs w:val="28"/>
          <w:highlight w:val="none"/>
        </w:rPr>
      </w:r>
      <w:r/>
    </w:p>
    <w:p>
      <w:pPr>
        <w:pStyle w:val="1030"/>
        <w:ind w:firstLine="0"/>
        <w:rPr>
          <w:rFonts w:ascii="宋体" w:hAnsi="宋体" w:eastAsia="宋体"/>
          <w:color w:val="000000"/>
          <w:szCs w:val="28"/>
          <w:highlight w:val="none"/>
        </w:rPr>
      </w:pPr>
      <w:r>
        <w:rPr>
          <w:rFonts w:ascii="宋体" w:hAnsi="宋体" w:eastAsia="宋体"/>
          <w:color w:val="000000"/>
          <w:szCs w:val="28"/>
          <w:highlight w:val="none"/>
        </w:rPr>
        <w:t xml:space="preserve">七</w:t>
      </w:r>
      <w:r>
        <w:rPr>
          <w:rFonts w:hint="eastAsia" w:ascii="宋体" w:hAnsi="宋体" w:eastAsia="宋体"/>
          <w:color w:val="000000"/>
          <w:szCs w:val="28"/>
          <w:highlight w:val="none"/>
        </w:rPr>
        <w:t xml:space="preserve">、</w:t>
      </w:r>
      <w:r>
        <w:rPr>
          <w:rFonts w:ascii="宋体" w:hAnsi="宋体" w:eastAsia="宋体"/>
          <w:color w:val="000000"/>
          <w:szCs w:val="28"/>
          <w:highlight w:val="none"/>
        </w:rPr>
        <w:t xml:space="preserve">采购标的的其他技术、服务等要求</w:t>
      </w:r>
      <w:r>
        <w:rPr>
          <w:rFonts w:hint="eastAsia" w:ascii="宋体" w:hAnsi="宋体" w:eastAsia="宋体"/>
          <w:color w:val="000000"/>
          <w:szCs w:val="28"/>
          <w:highlight w:val="none"/>
        </w:rPr>
        <w:t xml:space="preserve">；</w:t>
      </w:r>
      <w:r>
        <w:rPr>
          <w:rFonts w:ascii="宋体" w:hAnsi="宋体" w:eastAsia="宋体"/>
          <w:color w:val="000000"/>
          <w:szCs w:val="28"/>
          <w:highlight w:val="none"/>
        </w:rPr>
      </w:r>
      <w:r/>
    </w:p>
    <w:p>
      <w:pPr>
        <w:pStyle w:val="1030"/>
        <w:ind w:firstLine="0"/>
        <w:rPr>
          <w:rFonts w:ascii="宋体" w:hAnsi="宋体" w:eastAsia="宋体"/>
          <w:color w:val="000000"/>
          <w:szCs w:val="28"/>
          <w:highlight w:val="none"/>
        </w:rPr>
      </w:pPr>
      <w:r>
        <w:rPr>
          <w:rFonts w:hint="eastAsia" w:ascii="宋体" w:hAnsi="宋体" w:eastAsia="宋体"/>
          <w:color w:val="000000"/>
          <w:szCs w:val="28"/>
          <w:highlight w:val="none"/>
        </w:rPr>
        <w:t xml:space="preserve">   </w:t>
      </w:r>
      <w:r>
        <w:rPr>
          <w:rFonts w:hint="eastAsia" w:ascii="宋体" w:hAnsi="宋体" w:eastAsia="宋体"/>
          <w:color w:val="000000"/>
          <w:szCs w:val="28"/>
          <w:highlight w:val="none"/>
        </w:rPr>
        <w:t xml:space="preserve"> 第一阶段验收</w:t>
      </w:r>
      <w:r>
        <w:rPr>
          <w:rFonts w:hint="eastAsia" w:ascii="宋体" w:hAnsi="宋体" w:eastAsia="宋体" w:cs="宋体"/>
          <w:color w:val="000000"/>
          <w:sz w:val="28"/>
          <w:szCs w:val="28"/>
          <w:highlight w:val="none"/>
          <w:lang w:val="en-US" w:eastAsia="zh-CN" w:bidi="ar-SA"/>
        </w:rPr>
        <w:t xml:space="preserve">通过</w:t>
      </w:r>
      <w:r>
        <w:rPr>
          <w:rFonts w:hint="eastAsia" w:ascii="宋体" w:hAnsi="宋体" w:eastAsia="宋体"/>
          <w:color w:val="000000"/>
          <w:szCs w:val="28"/>
          <w:highlight w:val="none"/>
        </w:rPr>
        <w:t xml:space="preserve">后，免费维保期一年。</w:t>
      </w:r>
      <w:r>
        <w:rPr>
          <w:rFonts w:ascii="宋体" w:hAnsi="宋体" w:eastAsia="宋体"/>
          <w:color w:val="000000"/>
          <w:szCs w:val="28"/>
          <w:highlight w:val="none"/>
        </w:rPr>
      </w:r>
      <w:r/>
    </w:p>
    <w:p>
      <w:pPr>
        <w:pStyle w:val="794"/>
        <w:spacing w:line="360" w:lineRule="auto"/>
        <w:rPr>
          <w:rFonts w:ascii="宋体" w:hAnsi="宋体"/>
          <w:color w:val="000000"/>
          <w:sz w:val="28"/>
          <w:szCs w:val="28"/>
          <w:highlight w:val="none"/>
        </w:rPr>
      </w:pPr>
      <w:r>
        <w:rPr>
          <w:rFonts w:ascii="宋体" w:hAnsi="宋体"/>
          <w:color w:val="000000"/>
          <w:sz w:val="28"/>
          <w:szCs w:val="28"/>
          <w:highlight w:val="none"/>
        </w:rPr>
        <w:t xml:space="preserve">八</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非单一产品采购项目，采购标的中的核心产品</w:t>
      </w: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t xml:space="preserve">项目需求中</w:t>
      </w:r>
      <w:r>
        <w:rPr>
          <w:rFonts w:hint="eastAsia" w:ascii="宋体" w:hAnsi="宋体" w:cs="宋体"/>
          <w:color w:val="000000"/>
          <w:sz w:val="28"/>
          <w:szCs w:val="28"/>
          <w:highlight w:val="none"/>
          <w:lang w:val="en-US" w:eastAsia="zh-CN"/>
        </w:rPr>
        <w:t xml:space="preserve">第49项</w:t>
      </w:r>
      <w:r>
        <w:rPr>
          <w:rFonts w:hint="eastAsia" w:ascii="宋体" w:hAnsi="宋体"/>
          <w:color w:val="000000"/>
          <w:sz w:val="28"/>
          <w:szCs w:val="28"/>
          <w:highlight w:val="none"/>
        </w:rPr>
        <w:t xml:space="preserve">“电子病历评级系统改造及接口改造”。</w:t>
      </w: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color w:val="000000"/>
          <w:sz w:val="28"/>
          <w:szCs w:val="28"/>
          <w:highlight w:val="none"/>
        </w:rPr>
        <w:t xml:space="preserve">九</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采购需求中必须满足的实质性要求</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为了保障项目顺利进行，供应商需承诺报价中包含HIS系统改造、数据迁移、电子病历评级系统改造及接口改造可能产生的费用，并在合同签订前与HIS厂家工作量及费用达成一致并提供书面证明。（若与采购人正式合同签订前未能与HIS厂家就工作量及费用达成一致，视为主动放弃中标资格，采购人向财政监管部门报告）</w:t>
      </w:r>
      <w:r>
        <w:rPr>
          <w:rFonts w:ascii="宋体" w:hAnsi="宋体"/>
          <w:color w:val="000000"/>
          <w:sz w:val="28"/>
          <w:szCs w:val="28"/>
          <w:highlight w:val="none"/>
        </w:rPr>
      </w:r>
      <w:r/>
    </w:p>
    <w:p>
      <w:pPr>
        <w:pStyle w:val="794"/>
        <w:spacing w:line="360" w:lineRule="auto"/>
        <w:rPr>
          <w:rFonts w:ascii="宋体" w:hAnsi="宋体"/>
          <w:color w:val="000000"/>
          <w:sz w:val="28"/>
          <w:szCs w:val="28"/>
          <w:highlight w:val="none"/>
        </w:rPr>
      </w:pPr>
      <w:r>
        <w:rPr>
          <w:rFonts w:ascii="宋体" w:hAnsi="宋体"/>
          <w:color w:val="000000"/>
          <w:sz w:val="28"/>
          <w:szCs w:val="28"/>
          <w:highlight w:val="none"/>
        </w:rPr>
        <w:t xml:space="preserve">十</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付款方式</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1.签订合同后支付中标金额的30%</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2.完成第一阶段验收后支付中标金额的20%</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3.第一阶验收后一年支付中标金额的10%</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4.通过互联互通四级甲等测评后支付中标金额的20%</w:t>
      </w:r>
      <w:r>
        <w:rPr>
          <w:rFonts w:ascii="宋体" w:hAnsi="宋体"/>
          <w:color w:val="000000"/>
          <w:sz w:val="28"/>
          <w:szCs w:val="28"/>
          <w:highlight w:val="none"/>
        </w:rPr>
      </w:r>
      <w:r/>
    </w:p>
    <w:p>
      <w:pPr>
        <w:pStyle w:val="794"/>
        <w:ind w:firstLine="56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5.通过电子病历应用水平五级文审测评后支付10%，通过电子病历应用水平五级现场测评后支付10%。</w:t>
      </w:r>
      <w:r>
        <w:rPr>
          <w:rFonts w:hint="eastAsia" w:ascii="宋体" w:hAnsi="宋体"/>
          <w:color w:val="000000"/>
          <w:sz w:val="28"/>
          <w:szCs w:val="28"/>
          <w:highlight w:val="none"/>
        </w:rPr>
      </w:r>
      <w:r/>
    </w:p>
    <w:p>
      <w:pPr>
        <w:pStyle w:val="794"/>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十</w:t>
      </w:r>
      <w:r>
        <w:rPr>
          <w:rFonts w:hint="eastAsia" w:ascii="宋体" w:hAnsi="宋体"/>
          <w:bCs/>
          <w:color w:val="000000"/>
          <w:sz w:val="28"/>
          <w:szCs w:val="28"/>
          <w:highlight w:val="none"/>
        </w:rPr>
        <w:t xml:space="preserve">一、</w:t>
      </w:r>
      <w:r>
        <w:rPr>
          <w:rFonts w:ascii="宋体" w:hAnsi="宋体"/>
          <w:bCs/>
          <w:color w:val="000000"/>
          <w:sz w:val="28"/>
          <w:szCs w:val="28"/>
          <w:highlight w:val="none"/>
        </w:rPr>
        <w:t xml:space="preserve">本项目不接受进口产品投标</w:t>
      </w:r>
      <w:bookmarkEnd w:id="0"/>
      <w:r/>
      <w:bookmarkEnd w:id="1"/>
      <w:r/>
      <w:bookmarkEnd w:id="2"/>
      <w:r>
        <w:rPr>
          <w:rFonts w:ascii="宋体" w:hAnsi="宋体"/>
          <w:bCs/>
          <w:color w:val="000000"/>
          <w:sz w:val="28"/>
          <w:szCs w:val="28"/>
          <w:highlight w:val="none"/>
        </w:rPr>
      </w:r>
      <w:r/>
    </w:p>
    <w:p>
      <w:pPr>
        <w:pStyle w:val="794"/>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十二、</w:t>
      </w:r>
      <w:r>
        <w:rPr>
          <w:rFonts w:ascii="宋体" w:hAnsi="宋体"/>
          <w:bCs/>
          <w:color w:val="000000"/>
          <w:sz w:val="28"/>
          <w:szCs w:val="28"/>
          <w:highlight w:val="none"/>
        </w:rPr>
        <w:t xml:space="preserve">政府采购政策功能要求</w:t>
      </w:r>
      <w:r>
        <w:rPr>
          <w:rFonts w:ascii="宋体" w:hAnsi="宋体"/>
          <w:bCs/>
          <w:color w:val="000000"/>
          <w:sz w:val="28"/>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1.商品包装环保要求：应当按《关于印发〈商品包装政府采购需求标准（试行）〉、〈快递包装政府采购需求标准（试行）〉的通知》（财办库〔2020〕123号）文件执行。</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（1）商品包装层数不得超过 3 层，空隙率不大于 40%；</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（2）商品包装尽可能使用单一材质的包装材料，如因功能需求必需使用不同材质，不同材质间应便于分离；</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（3）商品包装中铅、汞、镉、六价铬的总含量应不大于100mg/kg；</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（4）商品包装印刷使用的油墨中挥发性有机化合物(VOCs)含量应不大于 5%（以重量计）；</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（5）塑料材质商品包装上呈现的印刷颜色不得超过 6 色；</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（6）纸质商品包装应使用 75%以上的可再生纤维原料生产；</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（7）木质商品包装的原料应来源于可持续性森林。</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w:t>
      </w:r>
      <w:r>
        <w:rPr>
          <w:rFonts w:hint="eastAsia" w:ascii="宋体" w:hAnsi="宋体" w:eastAsia="宋体"/>
          <w:b/>
          <w:bCs/>
          <w:color w:val="000000"/>
          <w:szCs w:val="28"/>
          <w:highlight w:val="none"/>
        </w:rPr>
        <w:t xml:space="preserve">如项目类型为“货物”，</w:t>
      </w:r>
      <w:r>
        <w:rPr>
          <w:rFonts w:hint="eastAsia" w:ascii="宋体" w:hAnsi="宋体" w:eastAsia="宋体"/>
          <w:color w:val="000000"/>
          <w:szCs w:val="28"/>
          <w:highlight w:val="none"/>
        </w:rPr>
        <w:t xml:space="preserve">投标时供应商提供承诺函，承诺函需对以上要求逐一作出响应。采购人在必要时可要求中标供应商在履约验收环节出具检测报告。）</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2.快递包装环保要求：</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（1）快递包装中重金属（铅、汞、镉、六价铬）总量应不大于 100mg/kg；</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（2）快递包装印刷使用的油墨中不应添加邻苯二甲酸酯，其挥发性有机化合物(VOCs)含量应不大于5%（以重量计）；</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（3）快递包装中使用纸基材的包装材料，纸基材中的有机氯的含量应不大于 150 mg/kg；</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（5）快递中使用的塑料包装袋不得使用聚氯乙烯作为原料，且原料应为单一材质制成，生物分解率大于60%；</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（6）快递中使用的充气类填充物不得使用聚氯乙烯作为原料，且原料为单一材质制成，生物分解率大于60%；</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（7）快递中使用的集装袋应为单一材质制成，其重复使用次数应不小于 80 次；</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（8）快递中应使用幅宽不大于45mm 的生物降解胶带；</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（9）快递包装中不得使用溶剂型胶粘剂；</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（11）快递应使用电子面单；</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（12）直接使用商品包装作为快递包装的商品，其商品包装满足《商品包装政府采购需求标准（试行）》即可；</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（13）快递包装产品质量和封装方式应符合相关国家或行业标准技术指标要求。</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w:t>
      </w:r>
      <w:r>
        <w:rPr>
          <w:rFonts w:hint="eastAsia" w:ascii="宋体" w:hAnsi="宋体" w:eastAsia="宋体"/>
          <w:b/>
          <w:bCs/>
          <w:color w:val="000000"/>
          <w:szCs w:val="28"/>
          <w:highlight w:val="none"/>
        </w:rPr>
        <w:t xml:space="preserve">如项目类型为“货物”，</w:t>
      </w:r>
      <w:r>
        <w:rPr>
          <w:rFonts w:hint="eastAsia" w:ascii="宋体" w:hAnsi="宋体" w:eastAsia="宋体"/>
          <w:color w:val="000000"/>
          <w:szCs w:val="28"/>
          <w:highlight w:val="none"/>
        </w:rPr>
        <w:t xml:space="preserve">投标时供应商提供承诺函，承诺函需对以上要求逐一作出响应。采购人在必要时可要求中标供应商在履约验收环节出具检测报告。）</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3.绿色数据中心（如有）</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（1）采购数据中心相关设备、运维服务，应当有利于节约能源、环境保护和资源循环利用。</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（3）成交供应商未按合同约定提供设备或服务的，采购人依法追究其违约责任。对供应商提供虚假材料谋取中标、成交的，依法由相关部门予以处理。</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hAnsi="宋体" w:eastAsia="宋体"/>
          <w:color w:val="000000"/>
          <w:szCs w:val="28"/>
          <w:highlight w:val="none"/>
        </w:rPr>
      </w:r>
      <w:r/>
    </w:p>
    <w:p>
      <w:pPr>
        <w:pStyle w:val="1030"/>
        <w:rPr>
          <w:rFonts w:ascii="宋体" w:hAnsi="宋体" w:eastAsia="宋体"/>
          <w:color w:val="000000"/>
          <w:szCs w:val="28"/>
          <w:highlight w:val="none"/>
        </w:rPr>
      </w:pPr>
      <w:r>
        <w:rPr>
          <w:rFonts w:hint="eastAsia" w:ascii="宋体" w:hAnsi="宋体" w:eastAsia="宋体"/>
          <w:color w:val="000000"/>
          <w:szCs w:val="28"/>
          <w:highlight w:val="none"/>
        </w:rPr>
        <w:t xml:space="preserve">6.绿色低碳管理目标和服务要求：在物业、合同能源管理等服务类采购项目中，要强化绿色低碳管理目标和服务要求，促进绿色产品和服务推广应用。</w:t>
      </w:r>
      <w:r>
        <w:rPr>
          <w:rFonts w:ascii="宋体" w:hAnsi="宋体" w:eastAsia="宋体"/>
          <w:color w:val="000000"/>
          <w:szCs w:val="28"/>
          <w:highlight w:val="none"/>
        </w:rPr>
      </w:r>
      <w:r/>
    </w:p>
    <w:p>
      <w:pPr>
        <w:pStyle w:val="794"/>
        <w:spacing w:line="360" w:lineRule="auto"/>
        <w:rPr>
          <w:rFonts w:ascii="宋体" w:hAnsi="宋体"/>
          <w:b/>
          <w:color w:val="000000"/>
          <w:sz w:val="28"/>
          <w:szCs w:val="28"/>
          <w:highlight w:val="none"/>
        </w:rPr>
      </w:pPr>
      <w:r>
        <w:rPr>
          <w:rFonts w:ascii="宋体" w:hAnsi="宋体"/>
          <w:b/>
          <w:color w:val="000000"/>
          <w:sz w:val="28"/>
          <w:szCs w:val="28"/>
          <w:highlight w:val="none"/>
        </w:rPr>
      </w:r>
      <w:r/>
    </w:p>
    <w:p>
      <w:pPr>
        <w:pStyle w:val="794"/>
        <w:jc w:val="center"/>
        <w:spacing w:line="360" w:lineRule="auto"/>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第四部分  开标和评标</w:t>
      </w:r>
      <w:r>
        <w:rPr>
          <w:rFonts w:ascii="宋体" w:hAnsi="宋体"/>
          <w:bCs/>
          <w:color w:val="000000"/>
          <w:sz w:val="36"/>
          <w:szCs w:val="36"/>
          <w:highlight w:val="none"/>
        </w:rPr>
      </w:r>
      <w:r/>
    </w:p>
    <w:p>
      <w:pPr>
        <w:pStyle w:val="1033"/>
        <w:ind w:left="0" w:right="0" w:firstLine="562"/>
        <w:jc w:val="left"/>
        <w:spacing w:before="0" w:after="0"/>
        <w:rPr>
          <w:rFonts w:ascii="宋体" w:hAnsi="宋体"/>
          <w:b/>
          <w:color w:val="000000"/>
          <w:sz w:val="28"/>
          <w:szCs w:val="28"/>
          <w:highlight w:val="none"/>
        </w:rPr>
      </w:pPr>
      <w:r>
        <w:rPr>
          <w:rFonts w:ascii="宋体" w:hAnsi="宋体"/>
          <w:b/>
          <w:color w:val="000000"/>
          <w:sz w:val="28"/>
          <w:szCs w:val="28"/>
          <w:highlight w:val="none"/>
        </w:rPr>
        <w:t xml:space="preserve">一、开标</w:t>
      </w:r>
      <w:r>
        <w:rPr>
          <w:rFonts w:ascii="宋体" w:hAnsi="宋体"/>
          <w:b/>
          <w:color w:val="000000"/>
          <w:sz w:val="28"/>
          <w:szCs w:val="28"/>
          <w:highlight w:val="none"/>
        </w:rPr>
      </w:r>
      <w:r/>
    </w:p>
    <w:p>
      <w:pPr>
        <w:pStyle w:val="794"/>
        <w:ind w:firstLine="537"/>
        <w:spacing w:line="360" w:lineRule="auto"/>
        <w:tabs>
          <w:tab w:val="left" w:pos="3585" w:leader="none"/>
        </w:tabs>
        <w:rPr>
          <w:rFonts w:ascii="宋体" w:hAnsi="宋体"/>
          <w:color w:val="000000"/>
          <w:sz w:val="28"/>
          <w:szCs w:val="28"/>
          <w:highlight w:val="none"/>
        </w:rPr>
      </w:pPr>
      <w:r>
        <w:rPr>
          <w:rFonts w:ascii="宋体" w:hAnsi="宋体"/>
          <w:color w:val="000000"/>
          <w:sz w:val="28"/>
          <w:szCs w:val="28"/>
          <w:highlight w:val="none"/>
        </w:rPr>
        <w:t xml:space="preserve">项目开标活动模式：不见面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w:t>
      </w:r>
      <w:r>
        <w:rPr>
          <w:rFonts w:ascii="宋体" w:hAnsi="宋体"/>
          <w:color w:val="000000"/>
          <w:sz w:val="28"/>
          <w:szCs w:val="28"/>
          <w:highlight w:val="none"/>
        </w:rPr>
      </w:r>
      <w:r/>
    </w:p>
    <w:p>
      <w:pPr>
        <w:pStyle w:val="1033"/>
        <w:ind w:left="0" w:right="0" w:firstLine="562"/>
        <w:jc w:val="left"/>
        <w:spacing w:before="0" w:after="0"/>
        <w:rPr>
          <w:rFonts w:ascii="宋体" w:hAnsi="宋体"/>
          <w:b/>
          <w:color w:val="000000"/>
          <w:sz w:val="28"/>
          <w:szCs w:val="28"/>
          <w:highlight w:val="none"/>
        </w:rPr>
      </w:pPr>
      <w:r>
        <w:rPr>
          <w:rFonts w:ascii="宋体" w:hAnsi="宋体"/>
          <w:b/>
          <w:color w:val="000000"/>
          <w:sz w:val="28"/>
          <w:szCs w:val="28"/>
          <w:highlight w:val="none"/>
        </w:rPr>
        <w:t xml:space="preserve">二、评标</w:t>
      </w:r>
      <w:r>
        <w:rPr>
          <w:rFonts w:hint="eastAsia" w:ascii="宋体" w:hAnsi="宋体"/>
          <w:b/>
          <w:color w:val="000000"/>
          <w:sz w:val="28"/>
          <w:szCs w:val="28"/>
          <w:highlight w:val="none"/>
        </w:rPr>
        <w:t xml:space="preserve">方法</w:t>
      </w:r>
      <w:r>
        <w:rPr>
          <w:rFonts w:ascii="宋体" w:hAnsi="宋体"/>
          <w:b/>
          <w:color w:val="000000"/>
          <w:sz w:val="28"/>
          <w:szCs w:val="28"/>
          <w:highlight w:val="none"/>
        </w:rPr>
        <w:t xml:space="preserve">和评标标准</w:t>
      </w:r>
      <w:r>
        <w:rPr>
          <w:rFonts w:ascii="宋体" w:hAnsi="宋体"/>
          <w:b/>
          <w:color w:val="000000"/>
          <w:sz w:val="28"/>
          <w:szCs w:val="28"/>
          <w:highlight w:val="none"/>
        </w:rPr>
      </w:r>
      <w:r/>
    </w:p>
    <w:p>
      <w:pPr>
        <w:pStyle w:val="1033"/>
        <w:ind w:right="0"/>
        <w:jc w:val="left"/>
        <w:spacing w:before="0" w:after="0"/>
        <w:rPr>
          <w:rFonts w:ascii="宋体" w:hAnsi="宋体"/>
          <w:color w:val="000000"/>
          <w:sz w:val="28"/>
          <w:szCs w:val="28"/>
          <w:highlight w:val="none"/>
        </w:rPr>
      </w:pPr>
      <w:r>
        <w:rPr>
          <w:rFonts w:hint="eastAsia" w:ascii="宋体" w:hAnsi="宋体"/>
          <w:color w:val="000000"/>
          <w:sz w:val="28"/>
          <w:szCs w:val="28"/>
          <w:highlight w:val="none"/>
        </w:rPr>
        <w:t xml:space="preserve">本项目采用：综合评分法。</w:t>
      </w:r>
      <w:r>
        <w:rPr>
          <w:rFonts w:ascii="宋体" w:hAnsi="宋体"/>
          <w:color w:val="000000"/>
          <w:sz w:val="28"/>
          <w:szCs w:val="28"/>
          <w:highlight w:val="none"/>
        </w:rPr>
        <w:t xml:space="preserve">总分值为100分。</w:t>
      </w:r>
      <w:r>
        <w:rPr>
          <w:rFonts w:ascii="宋体" w:hAnsi="宋体"/>
          <w:color w:val="000000"/>
          <w:sz w:val="28"/>
          <w:szCs w:val="28"/>
          <w:highlight w:val="none"/>
        </w:rPr>
      </w:r>
      <w:r/>
    </w:p>
    <w:p>
      <w:pPr>
        <w:pStyle w:val="794"/>
        <w:ind w:firstLine="555"/>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rPr>
          <w:rFonts w:ascii="宋体" w:hAnsi="宋体"/>
          <w:color w:val="000000"/>
          <w:sz w:val="28"/>
          <w:szCs w:val="28"/>
          <w:highlight w:val="none"/>
        </w:rPr>
      </w:r>
      <w:r/>
    </w:p>
    <w:p>
      <w:pPr>
        <w:pStyle w:val="794"/>
        <w:ind w:firstLine="413"/>
        <w:spacing w:line="360" w:lineRule="auto"/>
        <w:rPr>
          <w:rFonts w:ascii="宋体" w:hAnsi="宋体"/>
          <w:b/>
          <w:color w:val="000000"/>
          <w:sz w:val="28"/>
          <w:szCs w:val="28"/>
          <w:highlight w:val="none"/>
        </w:rPr>
      </w:pPr>
      <w:r>
        <w:rPr>
          <w:rFonts w:ascii="宋体" w:hAnsi="宋体"/>
          <w:b/>
          <w:color w:val="000000"/>
          <w:sz w:val="28"/>
          <w:szCs w:val="28"/>
          <w:highlight w:val="none"/>
        </w:rPr>
        <w:t xml:space="preserve">（一）</w:t>
      </w:r>
      <w:r>
        <w:rPr>
          <w:rFonts w:hint="eastAsia" w:ascii="宋体" w:hAnsi="宋体"/>
          <w:b/>
          <w:color w:val="000000"/>
          <w:sz w:val="28"/>
          <w:szCs w:val="28"/>
          <w:highlight w:val="none"/>
        </w:rPr>
        <w:t xml:space="preserve">招标人</w:t>
      </w:r>
      <w:r>
        <w:rPr>
          <w:rFonts w:ascii="宋体" w:hAnsi="宋体"/>
          <w:b/>
          <w:color w:val="000000"/>
          <w:sz w:val="28"/>
          <w:szCs w:val="28"/>
          <w:highlight w:val="none"/>
        </w:rPr>
        <w:t xml:space="preserve">（代表）对投标人资格进行审查。</w:t>
      </w:r>
      <w:r>
        <w:rPr>
          <w:rFonts w:ascii="宋体" w:hAnsi="宋体"/>
          <w:b/>
          <w:color w:val="000000"/>
          <w:sz w:val="28"/>
          <w:szCs w:val="28"/>
          <w:highlight w:val="none"/>
        </w:rPr>
      </w:r>
      <w:r/>
    </w:p>
    <w:p>
      <w:pPr>
        <w:pStyle w:val="1037"/>
        <w:ind w:firstLine="577"/>
        <w:spacing w:line="360" w:lineRule="auto"/>
        <w:rPr>
          <w:rFonts w:ascii="宋体" w:eastAsia="宋体"/>
          <w:color w:val="000000"/>
          <w:sz w:val="28"/>
          <w:highlight w:val="none"/>
        </w:rPr>
      </w:pPr>
      <w:r>
        <w:rPr>
          <w:rFonts w:ascii="宋体" w:eastAsia="宋体"/>
          <w:color w:val="000000"/>
          <w:sz w:val="28"/>
          <w:highlight w:val="none"/>
        </w:rPr>
        <w:t xml:space="preserve">投标人资格不合格的，其投标文件判定为无效投标文件。</w:t>
      </w:r>
      <w:r>
        <w:rPr>
          <w:rFonts w:ascii="宋体" w:eastAsia="宋体"/>
          <w:color w:val="000000"/>
          <w:sz w:val="28"/>
          <w:highlight w:val="none"/>
        </w:rPr>
      </w:r>
      <w:r/>
    </w:p>
    <w:p>
      <w:pPr>
        <w:pStyle w:val="794"/>
        <w:ind w:firstLine="413"/>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（二）评标委员会对符合资格投标人的投标文件进行符合性审</w:t>
      </w:r>
      <w:r>
        <w:rPr>
          <w:rFonts w:ascii="宋体" w:hAnsi="宋体"/>
          <w:b/>
          <w:color w:val="000000"/>
          <w:sz w:val="28"/>
          <w:szCs w:val="28"/>
          <w:highlight w:val="none"/>
        </w:rPr>
      </w:r>
      <w:r/>
    </w:p>
    <w:p>
      <w:pPr>
        <w:pStyle w:val="794"/>
        <w:jc w:val="left"/>
        <w:spacing w:line="360" w:lineRule="auto"/>
        <w:rPr>
          <w:rFonts w:ascii="宋体" w:hAnsi="宋体"/>
          <w:b/>
          <w:color w:val="000000"/>
          <w:sz w:val="28"/>
          <w:szCs w:val="28"/>
          <w:highlight w:val="none"/>
        </w:rPr>
      </w:pPr>
      <w:r>
        <w:rPr>
          <w:rFonts w:ascii="宋体" w:hAnsi="宋体"/>
          <w:b/>
          <w:color w:val="000000"/>
          <w:sz w:val="28"/>
          <w:szCs w:val="28"/>
          <w:highlight w:val="none"/>
        </w:rPr>
        <w:t xml:space="preserve">查。</w:t>
      </w:r>
      <w:r>
        <w:rPr>
          <w:rFonts w:ascii="宋体" w:hAnsi="宋体"/>
          <w:b/>
          <w:color w:val="000000"/>
          <w:sz w:val="28"/>
          <w:szCs w:val="28"/>
          <w:highlight w:val="none"/>
        </w:rPr>
      </w:r>
      <w:r/>
    </w:p>
    <w:p>
      <w:pPr>
        <w:pStyle w:val="1037"/>
        <w:ind w:firstLine="577"/>
        <w:spacing w:line="360" w:lineRule="auto"/>
        <w:rPr>
          <w:rFonts w:ascii="宋体" w:eastAsia="宋体"/>
          <w:color w:val="000000"/>
          <w:sz w:val="28"/>
          <w:highlight w:val="none"/>
        </w:rPr>
      </w:pPr>
      <w:r>
        <w:rPr>
          <w:rFonts w:ascii="宋体" w:eastAsia="宋体"/>
          <w:color w:val="000000"/>
          <w:sz w:val="28"/>
          <w:highlight w:val="none"/>
        </w:rPr>
        <w:t xml:space="preserve">未通过符合性审查的投标文件，将被判为不满足招标文件实质性要求。 </w:t>
      </w:r>
      <w:r>
        <w:rPr>
          <w:rFonts w:ascii="宋体" w:eastAsia="宋体"/>
          <w:color w:val="000000"/>
          <w:sz w:val="28"/>
          <w:highlight w:val="none"/>
        </w:rPr>
      </w:r>
      <w:r/>
    </w:p>
    <w:p>
      <w:pPr>
        <w:pStyle w:val="794"/>
        <w:ind w:firstLine="562"/>
        <w:jc w:val="left"/>
        <w:spacing w:line="360" w:lineRule="auto"/>
        <w:rPr>
          <w:rFonts w:ascii="宋体" w:hAnsi="宋体"/>
          <w:color w:val="000000"/>
          <w:sz w:val="28"/>
          <w:szCs w:val="28"/>
          <w:highlight w:val="none"/>
          <w:lang w:val="zh-CN"/>
        </w:rPr>
      </w:pPr>
      <w:r>
        <w:rPr>
          <w:rFonts w:ascii="宋体" w:hAnsi="宋体"/>
          <w:b/>
          <w:color w:val="000000"/>
          <w:sz w:val="28"/>
          <w:szCs w:val="28"/>
          <w:highlight w:val="none"/>
        </w:rPr>
        <w:t xml:space="preserve">（</w:t>
      </w:r>
      <w:r>
        <w:rPr>
          <w:rFonts w:ascii="宋体" w:hAnsi="宋体"/>
          <w:b/>
          <w:color w:val="000000"/>
          <w:sz w:val="28"/>
          <w:szCs w:val="28"/>
          <w:highlight w:val="none"/>
          <w:lang w:val="zh-CN"/>
        </w:rPr>
        <w:t xml:space="preserve">三</w:t>
      </w:r>
      <w:r>
        <w:rPr>
          <w:rFonts w:ascii="宋体" w:hAnsi="宋体"/>
          <w:b/>
          <w:color w:val="000000"/>
          <w:sz w:val="28"/>
          <w:szCs w:val="28"/>
          <w:highlight w:val="none"/>
        </w:rPr>
        <w:t xml:space="preserve">）</w:t>
      </w:r>
      <w:r>
        <w:rPr>
          <w:rFonts w:ascii="宋体" w:hAnsi="宋体"/>
          <w:b/>
          <w:color w:val="000000"/>
          <w:sz w:val="28"/>
          <w:szCs w:val="28"/>
          <w:highlight w:val="none"/>
          <w:lang w:val="zh-CN"/>
        </w:rPr>
        <w:t xml:space="preserve">商务技术分</w:t>
      </w:r>
      <w:r>
        <w:rPr>
          <w:rFonts w:ascii="宋体" w:hAnsi="宋体"/>
          <w:color w:val="000000"/>
          <w:sz w:val="28"/>
          <w:szCs w:val="28"/>
          <w:highlight w:val="none"/>
          <w:lang w:val="zh-CN"/>
        </w:rPr>
        <w:t xml:space="preserve">：</w:t>
      </w:r>
      <w:r>
        <w:rPr>
          <w:rFonts w:hint="eastAsia" w:ascii="宋体" w:hAnsi="宋体"/>
          <w:color w:val="000000"/>
          <w:sz w:val="28"/>
          <w:szCs w:val="28"/>
          <w:highlight w:val="none"/>
        </w:rPr>
        <w:t xml:space="preserve">80</w:t>
      </w:r>
      <w:r>
        <w:rPr>
          <w:rFonts w:ascii="宋体" w:hAnsi="宋体"/>
          <w:color w:val="000000"/>
          <w:sz w:val="28"/>
          <w:szCs w:val="28"/>
          <w:highlight w:val="none"/>
          <w:lang w:val="zh-CN"/>
        </w:rPr>
        <w:t xml:space="preserve">分</w:t>
      </w:r>
      <w:r>
        <w:rPr>
          <w:rFonts w:ascii="宋体" w:hAnsi="宋体"/>
          <w:color w:val="000000"/>
          <w:sz w:val="28"/>
          <w:szCs w:val="28"/>
          <w:highlight w:val="none"/>
          <w:lang w:val="zh-CN"/>
        </w:rPr>
      </w:r>
      <w:r/>
    </w:p>
    <w:p>
      <w:pPr>
        <w:pStyle w:val="794"/>
        <w:ind w:firstLine="70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各投标人得分为评委会成员评分的算术平均分，分值保留小数点后两位。</w:t>
      </w:r>
      <w:r>
        <w:rPr>
          <w:rFonts w:ascii="宋体" w:hAnsi="宋体"/>
          <w:color w:val="000000"/>
          <w:sz w:val="28"/>
          <w:szCs w:val="28"/>
          <w:highlight w:val="none"/>
        </w:rPr>
      </w:r>
      <w:r/>
    </w:p>
    <w:tbl>
      <w:tblPr>
        <w:tblW w:w="9231" w:type="dxa"/>
        <w:tblInd w:w="-125" w:type="dxa"/>
        <w:tblLayout w:type="autofit"/>
        <w:tblCellMar>
          <w:left w:w="108" w:type="dxa"/>
          <w:top w:w="0" w:type="dxa"/>
          <w:right w:w="108" w:type="dxa"/>
          <w:bottom w:w="0" w:type="dxa"/>
        </w:tblCellMar>
        <w:tblLook w:val="04A0" w:firstRow="1" w:lastRow="0" w:firstColumn="1" w:lastColumn="0" w:noHBand="0" w:noVBand="1"/>
      </w:tblPr>
      <w:tblGrid>
        <w:gridCol w:w="636"/>
        <w:gridCol w:w="2440"/>
        <w:gridCol w:w="640"/>
        <w:gridCol w:w="5515"/>
      </w:tblGrid>
      <w:tr>
        <w:trPr>
          <w:trHeight w:val="285"/>
        </w:trPr>
        <w:tc>
          <w:tcPr>
            <w:tcBorders>
              <w:top w:val="single" w:color="000000" w:sz="8" w:space="0"/>
              <w:left w:val="single" w:color="000000" w:sz="8" w:space="0"/>
              <w:bottom w:val="single" w:color="000000" w:sz="8" w:space="0"/>
              <w:right w:val="single" w:color="000000" w:sz="8" w:space="0"/>
            </w:tcBorders>
            <w:tcW w:w="636"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序号 </w:t>
            </w:r>
            <w:r>
              <w:rPr>
                <w:rFonts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2440"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评分点名称 </w:t>
            </w:r>
            <w:r>
              <w:rPr>
                <w:rFonts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640"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分值</w:t>
            </w:r>
            <w:r>
              <w:rPr>
                <w:rFonts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515" w:type="dxa"/>
            <w:vAlign w:val="center"/>
            <w:textDirection w:val="lrTb"/>
            <w:noWrap/>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评审标准</w:t>
            </w:r>
            <w:r>
              <w:rPr>
                <w:rFonts w:ascii="宋体" w:hAnsi="宋体" w:cs="宋体"/>
                <w:color w:val="000000"/>
                <w:szCs w:val="21"/>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投标人管理能力评分</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要求提供证明材料复印件并加盖投标人公章。</w:t>
            </w:r>
            <w:r>
              <w:rPr>
                <w:rFonts w:ascii="宋体" w:hAnsi="宋体" w:cs="宋体"/>
                <w:b/>
                <w:bCs/>
                <w:color w:val="000000"/>
                <w:szCs w:val="21"/>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ISO9001认证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投标人需提供ISO9001质量管理体系认证证书</w:t>
            </w:r>
            <w:r>
              <w:rPr>
                <w:rFonts w:ascii="宋体" w:hAnsi="宋体" w:cs="宋体"/>
                <w:color w:val="000000"/>
                <w:szCs w:val="21"/>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ISO14001认证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投标人需提供ISO14001环境管理体系认证证书</w:t>
            </w:r>
            <w:r>
              <w:rPr>
                <w:rFonts w:ascii="宋体" w:hAnsi="宋体" w:cs="宋体"/>
                <w:color w:val="000000"/>
                <w:szCs w:val="21"/>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ISO20000认证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投标人需提供ISO20000服务管理体系认证证书</w:t>
            </w:r>
            <w:r>
              <w:rPr>
                <w:rFonts w:ascii="宋体" w:hAnsi="宋体" w:cs="宋体"/>
                <w:color w:val="000000"/>
                <w:szCs w:val="21"/>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ISO27001认证</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投标人需提供ISO27001信息安全管理体系认证证书</w:t>
            </w:r>
            <w:r>
              <w:rPr>
                <w:rFonts w:ascii="宋体" w:hAnsi="宋体" w:cs="宋体"/>
                <w:color w:val="000000"/>
                <w:szCs w:val="21"/>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投标人自主知识产权能力评分</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12</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投标人自身具备以下软件的软件著作权；说明：要求版权所有人必须与投标人公司名称完全相符,提供版权复印件加盖投标人公章。</w:t>
            </w:r>
            <w:r>
              <w:rPr>
                <w:rFonts w:ascii="宋体" w:hAnsi="宋体" w:cs="宋体"/>
                <w:b/>
                <w:bCs/>
                <w:color w:val="000000"/>
                <w:szCs w:val="21"/>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医院信息化管理系统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具体软著符合项目实际需求得3分</w:t>
            </w:r>
            <w:r>
              <w:rPr>
                <w:rFonts w:ascii="宋体" w:hAnsi="宋体" w:cs="宋体"/>
                <w:color w:val="000000"/>
                <w:szCs w:val="21"/>
                <w:highlight w:val="none"/>
              </w:rPr>
            </w:r>
            <w:r/>
          </w:p>
        </w:tc>
      </w:tr>
      <w:tr>
        <w:trPr>
          <w:trHeight w:val="438"/>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手术难度分级系统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具体软著符合项目实际需求得3分</w:t>
            </w:r>
            <w:r>
              <w:rPr>
                <w:rFonts w:ascii="宋体" w:hAnsi="宋体" w:cs="宋体"/>
                <w:color w:val="000000"/>
                <w:szCs w:val="21"/>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预住院日间手术管理系统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具体软著符合项目实际需求得3分</w:t>
            </w:r>
            <w:r>
              <w:rPr>
                <w:rFonts w:ascii="宋体" w:hAnsi="宋体" w:cs="宋体"/>
                <w:color w:val="000000"/>
                <w:szCs w:val="21"/>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编码管理及智能转换系统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具体软著符合项目实际需求得3分</w:t>
            </w:r>
            <w:r>
              <w:rPr>
                <w:rFonts w:ascii="宋体" w:hAnsi="宋体" w:cs="宋体"/>
                <w:color w:val="000000"/>
                <w:szCs w:val="21"/>
                <w:highlight w:val="none"/>
              </w:rPr>
            </w:r>
            <w:r/>
          </w:p>
        </w:tc>
      </w:tr>
      <w:tr>
        <w:trPr>
          <w:trHeight w:val="78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典型案例</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10</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人需具有三级医院HIS、EMR、平台一体化建设案例，并同时通过互联互通四级甲等和电子病历五级测评得10分，没有不得分。要求提供合同复印件加盖公章以及评级结果证明，没有证明材料或证明材料不完整者不得分。</w:t>
            </w:r>
            <w:r>
              <w:rPr>
                <w:rFonts w:ascii="宋体" w:hAnsi="宋体" w:cs="宋体"/>
                <w:b/>
                <w:bCs/>
                <w:color w:val="000000"/>
                <w:szCs w:val="21"/>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售后服务</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5</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投标人承诺除正常开发人员外，另外提供1名长期驻场维护人员得5分。没有承诺不得分。</w:t>
            </w:r>
            <w:r>
              <w:rPr>
                <w:rFonts w:ascii="宋体" w:hAnsi="宋体" w:cs="宋体"/>
                <w:b/>
                <w:bCs/>
                <w:color w:val="000000"/>
                <w:szCs w:val="21"/>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5</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研发技术标准符合度</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13</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ind w:left="108" w:right="24"/>
              <w:spacing w:before="231" w:line="401" w:lineRule="auto"/>
              <w:rPr>
                <w:rFonts w:ascii="宋体" w:hAnsi="宋体" w:cs="宋体"/>
                <w:b/>
                <w:bCs/>
                <w:color w:val="000000"/>
                <w:szCs w:val="21"/>
                <w:highlight w:val="none"/>
              </w:rPr>
            </w:pPr>
            <w:r>
              <w:rPr>
                <w:rFonts w:ascii="宋体" w:hAnsi="宋体" w:cs="宋体"/>
                <w:b/>
                <w:bCs/>
                <w:color w:val="000000"/>
                <w:szCs w:val="21"/>
                <w:highlight w:val="none"/>
              </w:rPr>
              <w:t xml:space="preserve">投标人所投产品支持快速医疗互操作性资源(FHIR)标准，提供测评机构颁发患者、就诊、检查申请、检查报告、院内检验报告、院外检验报告、用药医嘱、预约、手术、术语、电子病历生成和读取、电子病历共享交换(XDS)、临床辅助诊疗测试</w:t>
            </w:r>
            <w:r>
              <w:rPr>
                <w:rFonts w:hint="eastAsia" w:ascii="宋体" w:hAnsi="宋体" w:cs="宋体"/>
                <w:b/>
                <w:bCs/>
                <w:color w:val="000000"/>
                <w:szCs w:val="21"/>
                <w:highlight w:val="none"/>
              </w:rPr>
              <w:t xml:space="preserve">等</w:t>
            </w:r>
            <w:r>
              <w:rPr>
                <w:rFonts w:ascii="宋体" w:hAnsi="宋体" w:cs="宋体"/>
                <w:b/>
                <w:bCs/>
                <w:color w:val="000000"/>
                <w:szCs w:val="21"/>
                <w:highlight w:val="none"/>
              </w:rPr>
              <w:t xml:space="preserve">场景证明；</w:t>
            </w:r>
            <w:r>
              <w:rPr>
                <w:rFonts w:hint="eastAsia" w:ascii="宋体" w:hAnsi="宋体" w:cs="宋体"/>
                <w:b/>
                <w:bCs/>
                <w:color w:val="000000"/>
                <w:szCs w:val="21"/>
                <w:highlight w:val="none"/>
              </w:rPr>
              <w:t xml:space="preserve">不足8个不得分，</w:t>
            </w:r>
            <w:r>
              <w:rPr>
                <w:rFonts w:ascii="宋体" w:hAnsi="宋体" w:cs="宋体"/>
                <w:b/>
                <w:bCs/>
                <w:color w:val="000000"/>
                <w:szCs w:val="21"/>
                <w:highlight w:val="none"/>
              </w:rPr>
              <w:t xml:space="preserve">达到</w:t>
            </w:r>
            <w:r>
              <w:rPr>
                <w:rFonts w:hint="eastAsia" w:ascii="宋体" w:hAnsi="宋体" w:cs="宋体"/>
                <w:b/>
                <w:bCs/>
                <w:color w:val="000000"/>
                <w:szCs w:val="21"/>
                <w:highlight w:val="none"/>
              </w:rPr>
              <w:t xml:space="preserve">8</w:t>
            </w:r>
            <w:r>
              <w:rPr>
                <w:rFonts w:ascii="宋体" w:hAnsi="宋体" w:cs="宋体"/>
                <w:b/>
                <w:bCs/>
                <w:color w:val="000000"/>
                <w:szCs w:val="21"/>
                <w:highlight w:val="none"/>
              </w:rPr>
              <w:t xml:space="preserve">个得</w:t>
            </w:r>
            <w:r>
              <w:rPr>
                <w:rFonts w:hint="eastAsia" w:ascii="宋体" w:hAnsi="宋体" w:cs="宋体"/>
                <w:b/>
                <w:bCs/>
                <w:color w:val="000000"/>
                <w:szCs w:val="21"/>
                <w:highlight w:val="none"/>
              </w:rPr>
              <w:t xml:space="preserve">8</w:t>
            </w:r>
            <w:r>
              <w:rPr>
                <w:rFonts w:ascii="宋体" w:hAnsi="宋体" w:cs="宋体"/>
                <w:b/>
                <w:bCs/>
                <w:color w:val="000000"/>
                <w:szCs w:val="21"/>
                <w:highlight w:val="none"/>
              </w:rPr>
              <w:t xml:space="preserve">分，</w:t>
            </w:r>
            <w:r>
              <w:rPr>
                <w:rFonts w:hint="eastAsia" w:ascii="宋体" w:hAnsi="宋体" w:cs="宋体"/>
                <w:b/>
                <w:bCs/>
                <w:color w:val="000000"/>
                <w:szCs w:val="21"/>
                <w:highlight w:val="none"/>
              </w:rPr>
              <w:t xml:space="preserve">后</w:t>
            </w:r>
            <w:r>
              <w:rPr>
                <w:rFonts w:ascii="宋体" w:hAnsi="宋体" w:cs="宋体"/>
                <w:b/>
                <w:bCs/>
                <w:color w:val="000000"/>
                <w:szCs w:val="21"/>
                <w:highlight w:val="none"/>
              </w:rPr>
              <w:t xml:space="preserve">每增加一个加</w:t>
            </w:r>
            <w:r>
              <w:rPr>
                <w:rFonts w:hint="eastAsia" w:ascii="宋体" w:hAnsi="宋体" w:cs="宋体"/>
                <w:b/>
                <w:bCs/>
                <w:color w:val="000000"/>
                <w:szCs w:val="21"/>
                <w:highlight w:val="none"/>
              </w:rPr>
              <w:t xml:space="preserve">1</w:t>
            </w:r>
            <w:r>
              <w:rPr>
                <w:rFonts w:ascii="宋体" w:hAnsi="宋体" w:cs="宋体"/>
                <w:b/>
                <w:bCs/>
                <w:color w:val="000000"/>
                <w:szCs w:val="21"/>
                <w:highlight w:val="none"/>
              </w:rPr>
              <w:t xml:space="preserve">分，最高得</w:t>
            </w:r>
            <w:r>
              <w:rPr>
                <w:rFonts w:hint="eastAsia" w:ascii="宋体" w:hAnsi="宋体" w:cs="宋体"/>
                <w:b/>
                <w:bCs/>
                <w:color w:val="000000"/>
                <w:szCs w:val="21"/>
                <w:highlight w:val="none"/>
              </w:rPr>
              <w:t xml:space="preserve">13</w:t>
            </w:r>
            <w:r>
              <w:rPr>
                <w:rFonts w:ascii="宋体" w:hAnsi="宋体" w:cs="宋体"/>
                <w:b/>
                <w:bCs/>
                <w:color w:val="000000"/>
                <w:szCs w:val="21"/>
                <w:highlight w:val="none"/>
              </w:rPr>
              <w:t xml:space="preserve">分。评审依据：提供第三方测评机构出具的测试通过证明文件佐证，未提供不得分</w:t>
            </w:r>
            <w:r>
              <w:rPr>
                <w:rFonts w:hint="eastAsia" w:ascii="宋体" w:hAnsi="宋体" w:cs="宋体"/>
                <w:b/>
                <w:bCs/>
                <w:color w:val="000000"/>
                <w:szCs w:val="21"/>
                <w:highlight w:val="none"/>
              </w:rPr>
              <w:t xml:space="preserve">。</w:t>
            </w:r>
            <w:r>
              <w:rPr>
                <w:rFonts w:ascii="宋体" w:hAnsi="宋体" w:cs="宋体"/>
                <w:b/>
                <w:bCs/>
                <w:color w:val="000000"/>
                <w:szCs w:val="21"/>
                <w:highlight w:val="none"/>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6</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产品功能</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36</w:t>
            </w:r>
            <w:r>
              <w:rPr>
                <w:rFonts w:ascii="宋体" w:hAnsi="宋体" w:cs="宋体"/>
                <w:b/>
                <w:bCs/>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以下9项为重要指标，全部满足技术指标要求的得36分，按照标准，逐一核对，满足所在产品功能全部指标的得所在项满分，只能满足所在产品功能部分指标的，不得分。下面指标必须提供有效证明材料（如：软件截图、产品彩页或白皮书、产品截图、官网链接）。</w:t>
            </w:r>
            <w:r>
              <w:rPr>
                <w:rFonts w:ascii="宋体" w:hAnsi="宋体" w:cs="宋体"/>
                <w:b/>
                <w:bCs/>
                <w:color w:val="000000"/>
                <w:szCs w:val="21"/>
                <w:highlight w:val="none"/>
              </w:rPr>
            </w:r>
            <w:r/>
          </w:p>
        </w:tc>
      </w:tr>
      <w:tr>
        <w:trPr>
          <w:trHeight w:val="154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平台消息管理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要求提供平台消息管理功能，包括消息汇总查看、异常消息查看、消息发布信息查看、消息订阅信息查看等。</w:t>
            </w:r>
            <w:r>
              <w:rPr>
                <w:rFonts w:ascii="宋体" w:hAnsi="宋体" w:cs="宋体"/>
                <w:color w:val="000000"/>
                <w:szCs w:val="21"/>
                <w:highlight w:val="none"/>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基于消息的传递</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要求依靠消息传递信息，消息也会被持久化，同时支持消息的队列管理、消息的同步、任务识别、消息的跟踪、消息的定时发送、事件处理、通知等功能。</w:t>
            </w:r>
            <w:r>
              <w:rPr>
                <w:rFonts w:ascii="宋体" w:hAnsi="宋体" w:cs="宋体"/>
                <w:color w:val="000000"/>
                <w:szCs w:val="21"/>
                <w:highlight w:val="none"/>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消息监控</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要求提供图形化消息监控界面，实时查看消息负载及消息异常状况等内容</w:t>
            </w:r>
            <w:r>
              <w:rPr>
                <w:rFonts w:ascii="宋体" w:hAnsi="宋体" w:cs="宋体"/>
                <w:color w:val="000000"/>
                <w:szCs w:val="21"/>
                <w:highlight w:val="none"/>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病历质控系统</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病历质控提示列表：要求可以在医生书写界面完成病历提醒功能，主要包括自动质控提示列表以及环节质控提示列表。</w:t>
            </w:r>
            <w:r>
              <w:rPr>
                <w:rFonts w:ascii="宋体" w:hAnsi="宋体" w:cs="宋体"/>
                <w:color w:val="000000"/>
                <w:szCs w:val="21"/>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门诊集成视图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具有门诊患者集成视图的功能，通过基于时间轴的信息视图浏览患者历次就诊诊断接诊医生、处方、检验、检查、其他医嘱完整过程信息</w:t>
            </w:r>
            <w:r>
              <w:rPr>
                <w:rFonts w:ascii="宋体" w:hAnsi="宋体" w:cs="宋体"/>
                <w:color w:val="000000"/>
                <w:szCs w:val="21"/>
                <w:highlight w:val="none"/>
              </w:rPr>
            </w:r>
            <w:r/>
          </w:p>
        </w:tc>
      </w:tr>
      <w:tr>
        <w:trPr>
          <w:trHeight w:val="52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住院集成视图</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基于时间轴的信息视图浏览患者诊断、过敏记录、生命体征、出量入量、长期医嘱、临时医嘱、电子病历、检验、检查，并能够在该视图了解病人历次住院就诊的详细临床信息</w:t>
            </w:r>
            <w:r>
              <w:rPr>
                <w:rFonts w:ascii="宋体" w:hAnsi="宋体" w:cs="宋体"/>
                <w:color w:val="000000"/>
                <w:szCs w:val="21"/>
                <w:highlight w:val="none"/>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任务清单模式</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任务细分为：护理病历、护士执行、生命提体征、护理计划、健康宣教等，可实时查阅待办任务清单</w:t>
            </w:r>
            <w:r>
              <w:rPr>
                <w:rFonts w:ascii="宋体" w:hAnsi="宋体" w:cs="宋体"/>
                <w:color w:val="000000"/>
                <w:szCs w:val="21"/>
                <w:highlight w:val="none"/>
              </w:rPr>
            </w:r>
            <w:r/>
          </w:p>
        </w:tc>
      </w:tr>
      <w:tr>
        <w:trPr>
          <w:trHeight w:val="1545"/>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系统具有公共消息交互平台 </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可以对医护人员的工作进行智能提醒，包括危急值、病历质控、会诊、处方点评、皮试结果等信息提醒</w:t>
            </w:r>
            <w:r>
              <w:rPr>
                <w:rFonts w:ascii="宋体" w:hAnsi="宋体" w:cs="宋体"/>
                <w:color w:val="000000"/>
                <w:szCs w:val="21"/>
                <w:highlight w:val="none"/>
              </w:rPr>
            </w:r>
            <w:r/>
          </w:p>
        </w:tc>
      </w:tr>
      <w:tr>
        <w:trPr>
          <w:trHeight w:val="1290"/>
        </w:trPr>
        <w:tc>
          <w:tcPr>
            <w:tcBorders>
              <w:top w:val="none" w:color="000000" w:sz="4" w:space="0"/>
              <w:left w:val="single" w:color="000000" w:sz="8" w:space="0"/>
              <w:bottom w:val="single" w:color="000000" w:sz="8" w:space="0"/>
              <w:right w:val="single" w:color="000000" w:sz="8" w:space="0"/>
            </w:tcBorders>
            <w:tcW w:w="636"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6.9</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24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产品配置管理</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40" w:type="dxa"/>
            <w:vAlign w:val="center"/>
            <w:textDirection w:val="lrTb"/>
            <w:noWrap w:val="false"/>
          </w:tcPr>
          <w:p>
            <w:pPr>
              <w:pStyle w:val="794"/>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5515" w:type="dxa"/>
            <w:vAlign w:val="center"/>
            <w:textDirection w:val="lrTb"/>
            <w:noWrap w:val="false"/>
          </w:tcPr>
          <w:p>
            <w:pPr>
              <w:pStyle w:val="794"/>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要求能够完成医院信息系统下的多种模块的配置，要求能够实现一站式产品配置管理与服务</w:t>
            </w:r>
            <w:r>
              <w:rPr>
                <w:rFonts w:ascii="宋体" w:hAnsi="宋体" w:cs="宋体"/>
                <w:color w:val="000000"/>
                <w:szCs w:val="21"/>
                <w:highlight w:val="none"/>
              </w:rPr>
            </w:r>
            <w:r/>
          </w:p>
        </w:tc>
      </w:tr>
    </w:tbl>
    <w:p>
      <w:pPr>
        <w:pStyle w:val="794"/>
        <w:spacing w:line="360" w:lineRule="auto"/>
        <w:rPr>
          <w:rFonts w:ascii="宋体" w:hAnsi="宋体"/>
          <w:b/>
          <w:color w:val="000000"/>
          <w:sz w:val="28"/>
          <w:szCs w:val="28"/>
          <w:highlight w:val="none"/>
        </w:rPr>
      </w:pPr>
      <w:r>
        <w:rPr>
          <w:rFonts w:ascii="宋体" w:hAnsi="宋体"/>
          <w:b/>
          <w:color w:val="000000"/>
          <w:sz w:val="28"/>
          <w:szCs w:val="28"/>
          <w:highlight w:val="none"/>
        </w:rPr>
      </w:r>
      <w:r/>
    </w:p>
    <w:p>
      <w:pPr>
        <w:pStyle w:val="794"/>
        <w:ind w:firstLine="551"/>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注：1.上述投标文件中所提供的相关证书等证明材料如有有效期的，均须在有效期内。</w:t>
      </w:r>
      <w:r>
        <w:rPr>
          <w:rFonts w:ascii="宋体" w:hAnsi="宋体"/>
          <w:b/>
          <w:color w:val="000000"/>
          <w:sz w:val="28"/>
          <w:szCs w:val="28"/>
          <w:highlight w:val="none"/>
        </w:rPr>
      </w:r>
      <w:r/>
    </w:p>
    <w:p>
      <w:pPr>
        <w:pStyle w:val="794"/>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2.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rPr>
          <w:rFonts w:ascii="宋体" w:hAnsi="宋体" w:cs="宋体"/>
          <w:b/>
          <w:color w:val="000000"/>
          <w:sz w:val="28"/>
          <w:szCs w:val="28"/>
          <w:highlight w:val="none"/>
        </w:rPr>
      </w:r>
      <w:r/>
    </w:p>
    <w:p>
      <w:pPr>
        <w:pStyle w:val="1030"/>
        <w:rPr>
          <w:rFonts w:ascii="宋体" w:hAnsi="宋体" w:eastAsia="宋体" w:cs="宋体"/>
          <w:b/>
          <w:color w:val="000000"/>
          <w:szCs w:val="28"/>
          <w:highlight w:val="none"/>
        </w:rPr>
      </w:pPr>
      <w:r>
        <w:rPr>
          <w:rFonts w:hint="eastAsia" w:ascii="宋体" w:hAnsi="宋体" w:eastAsia="宋体" w:cs="宋体"/>
          <w:b/>
          <w:color w:val="000000"/>
          <w:szCs w:val="28"/>
          <w:highlight w:val="none"/>
        </w:rPr>
        <w:t xml:space="preserve">3.商务技术评分标准中须提供的相关得分佐证材料需放置于相应投标文件组成中（如评分点1，评分点2····），条理清晰，对重点部分着重标注。若因错放，漏放造成的不得分情况由投标人自行承担。</w:t>
      </w:r>
      <w:r>
        <w:rPr>
          <w:rFonts w:ascii="宋体" w:hAnsi="宋体" w:eastAsia="宋体" w:cs="宋体"/>
          <w:b/>
          <w:color w:val="000000"/>
          <w:szCs w:val="28"/>
          <w:highlight w:val="none"/>
        </w:rPr>
      </w:r>
      <w:r/>
    </w:p>
    <w:p>
      <w:pPr>
        <w:pStyle w:val="794"/>
        <w:ind w:firstLine="560"/>
        <w:spacing w:line="360" w:lineRule="auto"/>
        <w:rPr>
          <w:rFonts w:ascii="宋体" w:hAnsi="宋体"/>
          <w:color w:val="000000"/>
          <w:sz w:val="28"/>
          <w:szCs w:val="28"/>
          <w:highlight w:val="none"/>
        </w:rPr>
      </w:pPr>
      <w:r>
        <w:rPr>
          <w:rFonts w:ascii="宋体" w:hAnsi="宋体"/>
          <w:b/>
          <w:color w:val="000000"/>
          <w:sz w:val="28"/>
          <w:szCs w:val="28"/>
          <w:highlight w:val="none"/>
        </w:rPr>
        <w:t xml:space="preserve"> （四）</w:t>
      </w:r>
      <w:r>
        <w:rPr>
          <w:rFonts w:ascii="宋体" w:hAnsi="宋体"/>
          <w:b/>
          <w:color w:val="000000"/>
          <w:sz w:val="28"/>
          <w:szCs w:val="28"/>
          <w:highlight w:val="none"/>
          <w:lang w:val="zh-CN"/>
        </w:rPr>
        <w:t xml:space="preserve">价格分</w:t>
      </w:r>
      <w:r>
        <w:rPr>
          <w:rFonts w:ascii="宋体" w:hAnsi="宋体"/>
          <w:b/>
          <w:color w:val="000000"/>
          <w:sz w:val="28"/>
          <w:szCs w:val="28"/>
          <w:highlight w:val="none"/>
        </w:rPr>
        <w:t xml:space="preserve">：</w:t>
      </w:r>
      <w:r>
        <w:rPr>
          <w:rFonts w:hint="eastAsia" w:ascii="宋体" w:hAnsi="宋体"/>
          <w:color w:val="000000"/>
          <w:sz w:val="28"/>
          <w:szCs w:val="28"/>
          <w:highlight w:val="none"/>
        </w:rPr>
        <w:t xml:space="preserve">20</w:t>
      </w:r>
      <w:r>
        <w:rPr>
          <w:rFonts w:ascii="宋体" w:hAnsi="宋体"/>
          <w:color w:val="000000"/>
          <w:sz w:val="28"/>
          <w:szCs w:val="28"/>
          <w:highlight w:val="none"/>
          <w:lang w:val="zh-CN"/>
        </w:rPr>
        <w:t xml:space="preserve">分</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ascii="宋体" w:hAnsi="宋体"/>
          <w:color w:val="000000"/>
          <w:sz w:val="28"/>
          <w:szCs w:val="28"/>
          <w:highlight w:val="none"/>
        </w:rPr>
        <w:t xml:space="preserve">投标报价得分=（评标基准价/投标报价）×价格权值×100</w:t>
      </w:r>
      <w:r>
        <w:rPr>
          <w:rFonts w:ascii="宋体" w:hAnsi="宋体"/>
          <w:color w:val="000000"/>
          <w:sz w:val="28"/>
          <w:szCs w:val="28"/>
          <w:highlight w:val="none"/>
        </w:rPr>
      </w:r>
      <w:r/>
    </w:p>
    <w:p>
      <w:pPr>
        <w:pStyle w:val="1033"/>
        <w:ind w:left="0" w:right="0" w:firstLine="562"/>
        <w:jc w:val="both"/>
        <w:spacing w:before="0" w:after="0"/>
        <w:rPr>
          <w:rFonts w:ascii="宋体" w:hAnsi="宋体"/>
          <w:b/>
          <w:bCs/>
          <w:color w:val="000000"/>
          <w:sz w:val="28"/>
          <w:szCs w:val="28"/>
          <w:highlight w:val="none"/>
        </w:rPr>
      </w:pPr>
      <w:r>
        <w:rPr>
          <w:rFonts w:ascii="宋体" w:hAnsi="宋体"/>
          <w:b/>
          <w:color w:val="000000"/>
          <w:sz w:val="28"/>
          <w:szCs w:val="28"/>
          <w:highlight w:val="none"/>
        </w:rPr>
        <w:t xml:space="preserve">（</w:t>
      </w:r>
      <w:r>
        <w:rPr>
          <w:rFonts w:ascii="宋体" w:hAnsi="宋体"/>
          <w:b/>
          <w:bCs/>
          <w:color w:val="000000"/>
          <w:sz w:val="28"/>
          <w:szCs w:val="28"/>
          <w:highlight w:val="none"/>
        </w:rPr>
        <w:t xml:space="preserve">五</w:t>
      </w:r>
      <w:r>
        <w:rPr>
          <w:rFonts w:ascii="宋体" w:hAnsi="宋体"/>
          <w:b/>
          <w:color w:val="000000"/>
          <w:sz w:val="28"/>
          <w:szCs w:val="28"/>
          <w:highlight w:val="none"/>
        </w:rPr>
        <w:t xml:space="preserve">）</w:t>
      </w:r>
      <w:r>
        <w:rPr>
          <w:rFonts w:ascii="宋体" w:hAnsi="宋体"/>
          <w:b/>
          <w:bCs/>
          <w:color w:val="000000"/>
          <w:sz w:val="28"/>
          <w:szCs w:val="28"/>
          <w:highlight w:val="none"/>
        </w:rPr>
        <w:t xml:space="preserve">政府采购政策功能落实</w:t>
      </w:r>
      <w:r>
        <w:rPr>
          <w:rFonts w:ascii="宋体" w:hAnsi="宋体"/>
          <w:b/>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1、小微型企业价格扣除</w:t>
      </w:r>
      <w:r>
        <w:rPr>
          <w:rFonts w:ascii="宋体" w:hAnsi="宋体"/>
          <w:bCs/>
          <w:color w:val="000000"/>
          <w:sz w:val="28"/>
          <w:szCs w:val="28"/>
          <w:highlight w:val="none"/>
        </w:rPr>
      </w:r>
      <w:r/>
    </w:p>
    <w:p>
      <w:pPr>
        <w:pStyle w:val="794"/>
        <w:ind w:firstLine="570"/>
        <w:spacing w:line="360" w:lineRule="auto"/>
        <w:rPr>
          <w:rFonts w:ascii="宋体" w:hAnsi="宋体" w:cs="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cs="宋体"/>
          <w:bCs/>
          <w:color w:val="000000"/>
          <w:sz w:val="28"/>
          <w:szCs w:val="28"/>
          <w:highlight w:val="none"/>
        </w:rPr>
        <w:t xml:space="preserve">对于非专门面向中小企业采购的货物类或者服务类项目，对小型和微型企业给予10%的价格扣除，用扣除后的价格参与评审。</w:t>
      </w:r>
      <w:r>
        <w:rPr>
          <w:rFonts w:ascii="宋体" w:hAnsi="宋体" w:cs="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（2）供应商需按照《政府采购促进中小企业发展管理办法》（财库﹝2020﹞46 号）的规定提供相应的《中小企业声明函》。</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（3）企业标准请参照《关于印发中小企业划型标准规定的通知》（工信部联企业[2011]300号）文件规定自行填写。</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2、残疾人福利单位价格扣除</w:t>
      </w:r>
      <w:r>
        <w:rPr>
          <w:rFonts w:ascii="宋体" w:hAnsi="宋体"/>
          <w:bCs/>
          <w:color w:val="000000"/>
          <w:sz w:val="28"/>
          <w:szCs w:val="28"/>
          <w:highlight w:val="none"/>
        </w:rPr>
      </w:r>
      <w:r/>
    </w:p>
    <w:p>
      <w:pPr>
        <w:pStyle w:val="794"/>
        <w:ind w:firstLine="570"/>
        <w:spacing w:line="360" w:lineRule="auto"/>
        <w:rPr>
          <w:rFonts w:ascii="宋体" w:hAnsi="宋体" w:cs="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cs="宋体"/>
          <w:bCs/>
          <w:color w:val="000000"/>
          <w:sz w:val="28"/>
          <w:szCs w:val="28"/>
          <w:highlight w:val="none"/>
        </w:rPr>
        <w:t xml:space="preserve">对于非专门面向中小企业采购的货物类或者服务类项目，对残疾人福利性单位，给予10%的价格扣除，用扣除后的价格参与评审。</w:t>
      </w:r>
      <w:r>
        <w:rPr>
          <w:rFonts w:ascii="宋体" w:hAnsi="宋体" w:cs="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（2）残疾人福利单位需按照采购文件的要求提供《残疾人福利性单位声明函》。</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（3）残疾人福利单位标准请参照《关于促进残疾人就业政府采购政策的通知》（财库〔2017〕141号）。</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3、监狱和戒毒企业价格扣除</w:t>
      </w:r>
      <w:r>
        <w:rPr>
          <w:rFonts w:ascii="宋体" w:hAnsi="宋体"/>
          <w:bCs/>
          <w:color w:val="000000"/>
          <w:sz w:val="28"/>
          <w:szCs w:val="28"/>
          <w:highlight w:val="none"/>
        </w:rPr>
      </w:r>
      <w:r/>
    </w:p>
    <w:p>
      <w:pPr>
        <w:pStyle w:val="794"/>
        <w:ind w:firstLine="570"/>
        <w:spacing w:line="360" w:lineRule="auto"/>
        <w:rPr>
          <w:rFonts w:ascii="宋体" w:hAnsi="宋体" w:cs="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cs="宋体"/>
          <w:bCs/>
          <w:color w:val="000000"/>
          <w:sz w:val="28"/>
          <w:szCs w:val="28"/>
          <w:highlight w:val="none"/>
        </w:rPr>
        <w:t xml:space="preserve">对于非专门面向中小企业采购的货物类或者服务类项目，对监狱和戒毒企业（简称监狱企业）给予10%的价格扣除，用扣除后的价格参与评审。</w:t>
      </w:r>
      <w:r>
        <w:rPr>
          <w:rFonts w:ascii="宋体" w:hAnsi="宋体" w:cs="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（3）监狱企业标准请参照《关于政府采购支持监狱企业发展有关问题的通知》（财库[2014]68号）。</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4、残疾人福利单位、监狱企业属于小型、微型企业的，不重复享受政策。</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5、</w:t>
      </w:r>
      <w:r>
        <w:rPr>
          <w:rFonts w:hint="eastAsia" w:ascii="宋体" w:hAnsi="宋体"/>
          <w:bCs/>
          <w:color w:val="000000"/>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Cs/>
          <w:color w:val="000000"/>
          <w:sz w:val="28"/>
          <w:szCs w:val="28"/>
          <w:highlight w:val="none"/>
        </w:rPr>
        <w:t xml:space="preserve">6、联合体各方均为小型、微型企业（残疾人福利单位、监狱企业）的，联合体享受上述同类价格扣除，用扣除后的价格参与评审。</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7、专门面向中小</w:t>
      </w:r>
      <w:r>
        <w:rPr>
          <w:rFonts w:ascii="宋体" w:hAnsi="宋体"/>
          <w:bCs/>
          <w:color w:val="000000"/>
          <w:sz w:val="28"/>
          <w:szCs w:val="28"/>
          <w:highlight w:val="none"/>
        </w:rPr>
        <w:t xml:space="preserve">微</w:t>
      </w:r>
      <w:r>
        <w:rPr>
          <w:rFonts w:hint="eastAsia" w:ascii="宋体" w:hAnsi="宋体"/>
          <w:bCs/>
          <w:color w:val="000000"/>
          <w:sz w:val="28"/>
          <w:szCs w:val="28"/>
          <w:highlight w:val="none"/>
        </w:rPr>
        <w:t xml:space="preserve">企业采购的项目或者采购包，不再执行价格评审优惠的扶持政策。</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8、根据《江苏省政府采购信用管理暂行办法》的规定，供应商信用评价结果为三星的扣2分，评价结果为二星的扣3分，评价结果为一星的扣4分。</w:t>
      </w:r>
      <w:r>
        <w:rPr>
          <w:rFonts w:ascii="宋体" w:hAnsi="宋体"/>
          <w:bCs/>
          <w:color w:val="000000"/>
          <w:sz w:val="28"/>
          <w:szCs w:val="28"/>
          <w:highlight w:val="none"/>
        </w:rPr>
      </w:r>
      <w:r/>
    </w:p>
    <w:p>
      <w:pPr>
        <w:pStyle w:val="794"/>
        <w:ind w:firstLine="570"/>
        <w:spacing w:line="360" w:lineRule="auto"/>
        <w:rPr>
          <w:rFonts w:ascii="宋体" w:hAnsi="宋体"/>
          <w:bCs/>
          <w:color w:val="000000"/>
          <w:sz w:val="28"/>
          <w:szCs w:val="28"/>
          <w:highlight w:val="none"/>
        </w:rPr>
      </w:pPr>
      <w:r>
        <w:rPr>
          <w:rFonts w:ascii="宋体" w:hAnsi="宋体"/>
          <w:b/>
          <w:color w:val="000000"/>
          <w:sz w:val="28"/>
          <w:szCs w:val="28"/>
          <w:highlight w:val="none"/>
        </w:rPr>
        <w:t xml:space="preserve">（六）中标人的确定</w:t>
      </w:r>
      <w:r>
        <w:rPr>
          <w:rFonts w:ascii="宋体" w:hAnsi="宋体"/>
          <w:bCs/>
          <w:color w:val="000000"/>
          <w:sz w:val="28"/>
          <w:szCs w:val="28"/>
          <w:highlight w:val="none"/>
        </w:rPr>
      </w:r>
      <w:r/>
    </w:p>
    <w:p>
      <w:pPr>
        <w:pStyle w:val="794"/>
        <w:ind w:firstLine="570"/>
        <w:spacing w:line="360" w:lineRule="auto"/>
        <w:rPr>
          <w:rFonts w:ascii="宋体" w:hAnsi="宋体"/>
          <w:color w:val="000000"/>
          <w:sz w:val="28"/>
          <w:szCs w:val="28"/>
          <w:highlight w:val="none"/>
        </w:rPr>
      </w:pPr>
      <w:r>
        <w:rPr>
          <w:rFonts w:ascii="宋体" w:hAnsi="宋体"/>
          <w:color w:val="000000"/>
          <w:sz w:val="28"/>
          <w:szCs w:val="28"/>
          <w:highlight w:val="none"/>
        </w:rPr>
        <w:t xml:space="preserve">评委会汇总各评委评分后，按照得分从高到低的顺序推荐三名中标候选人，并编写评标报告。</w:t>
      </w:r>
      <w:r>
        <w:rPr>
          <w:rFonts w:ascii="宋体" w:hAnsi="宋体"/>
          <w:color w:val="000000"/>
          <w:sz w:val="28"/>
          <w:szCs w:val="28"/>
          <w:highlight w:val="none"/>
        </w:rPr>
      </w:r>
      <w:r/>
    </w:p>
    <w:p>
      <w:pPr>
        <w:pStyle w:val="794"/>
        <w:ind w:firstLine="570"/>
        <w:spacing w:line="360" w:lineRule="auto"/>
        <w:rPr>
          <w:rFonts w:ascii="宋体" w:hAnsi="宋体"/>
          <w:color w:val="000000"/>
          <w:sz w:val="28"/>
          <w:szCs w:val="28"/>
          <w:highlight w:val="none"/>
        </w:rPr>
      </w:pP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应根据评委会推荐的中标候选人确定中标人。</w:t>
      </w:r>
      <w:r>
        <w:rPr>
          <w:rFonts w:ascii="宋体" w:hAnsi="宋体"/>
          <w:color w:val="000000"/>
          <w:sz w:val="28"/>
          <w:szCs w:val="28"/>
          <w:highlight w:val="none"/>
        </w:rPr>
      </w:r>
      <w:r/>
    </w:p>
    <w:p>
      <w:pPr>
        <w:pStyle w:val="794"/>
        <w:ind w:firstLine="557"/>
        <w:spacing w:line="360" w:lineRule="auto"/>
        <w:rPr>
          <w:rFonts w:ascii="宋体" w:hAnsi="宋体"/>
          <w:b/>
          <w:color w:val="000000"/>
          <w:sz w:val="28"/>
          <w:szCs w:val="28"/>
          <w:highlight w:val="none"/>
        </w:rPr>
      </w:pPr>
      <w:r>
        <w:rPr>
          <w:rFonts w:ascii="宋体" w:hAnsi="宋体"/>
          <w:b/>
          <w:color w:val="000000"/>
          <w:sz w:val="28"/>
          <w:szCs w:val="28"/>
          <w:highlight w:val="none"/>
        </w:rPr>
        <w:t xml:space="preserve">（七）</w:t>
      </w:r>
      <w:r>
        <w:rPr>
          <w:rFonts w:hint="eastAsia" w:ascii="宋体" w:hAnsi="宋体"/>
          <w:b/>
          <w:color w:val="000000"/>
          <w:sz w:val="28"/>
          <w:szCs w:val="28"/>
          <w:highlight w:val="none"/>
        </w:rPr>
        <w:t xml:space="preserve">招标人</w:t>
      </w:r>
      <w:r>
        <w:rPr>
          <w:rFonts w:ascii="宋体" w:hAnsi="宋体"/>
          <w:b/>
          <w:color w:val="000000"/>
          <w:sz w:val="28"/>
          <w:szCs w:val="28"/>
          <w:highlight w:val="none"/>
        </w:rPr>
        <w:t xml:space="preserve">代表宣布评标结果。</w:t>
      </w:r>
      <w:r>
        <w:rPr>
          <w:rFonts w:ascii="宋体" w:hAnsi="宋体"/>
          <w:b/>
          <w:color w:val="000000"/>
          <w:sz w:val="28"/>
          <w:szCs w:val="28"/>
          <w:highlight w:val="none"/>
        </w:rPr>
      </w:r>
      <w:r/>
    </w:p>
    <w:p>
      <w:pPr>
        <w:pStyle w:val="794"/>
        <w:ind w:firstLine="562"/>
        <w:spacing w:line="360" w:lineRule="auto"/>
        <w:rPr>
          <w:rFonts w:ascii="宋体" w:hAnsi="宋体"/>
          <w:b/>
          <w:color w:val="000000"/>
          <w:sz w:val="28"/>
          <w:szCs w:val="28"/>
          <w:highlight w:val="none"/>
        </w:rPr>
      </w:pPr>
      <w:r>
        <w:rPr>
          <w:rFonts w:ascii="宋体" w:hAnsi="宋体"/>
          <w:b/>
          <w:color w:val="000000"/>
          <w:sz w:val="28"/>
          <w:szCs w:val="28"/>
          <w:highlight w:val="none"/>
        </w:rPr>
        <w:t xml:space="preserve">（八）公告中标结果</w:t>
      </w:r>
      <w:r>
        <w:rPr>
          <w:rFonts w:ascii="宋体" w:hAnsi="宋体"/>
          <w:b/>
          <w:color w:val="000000"/>
          <w:sz w:val="28"/>
          <w:szCs w:val="28"/>
          <w:highlight w:val="none"/>
        </w:rPr>
      </w:r>
      <w:r/>
    </w:p>
    <w:p>
      <w:pPr>
        <w:pStyle w:val="794"/>
        <w:ind w:firstLine="570"/>
        <w:spacing w:line="360" w:lineRule="auto"/>
        <w:rPr>
          <w:rFonts w:ascii="宋体" w:hAnsi="宋体"/>
          <w:color w:val="000000"/>
          <w:sz w:val="28"/>
          <w:szCs w:val="28"/>
          <w:highlight w:val="none"/>
        </w:rPr>
      </w:pPr>
      <w:r>
        <w:rPr>
          <w:rFonts w:ascii="宋体" w:hAnsi="宋体"/>
          <w:color w:val="000000"/>
          <w:sz w:val="28"/>
          <w:szCs w:val="28"/>
          <w:highlight w:val="none"/>
        </w:rPr>
        <w:t xml:space="preserve">自确定中标人之日起2个工作日内，在</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t xml:space="preserve">公告中标结果，公告期限为1个工作日。</w:t>
      </w:r>
      <w:r>
        <w:rPr>
          <w:rFonts w:ascii="宋体" w:hAnsi="宋体"/>
          <w:color w:val="000000"/>
          <w:sz w:val="28"/>
          <w:szCs w:val="28"/>
          <w:highlight w:val="none"/>
        </w:rPr>
      </w:r>
      <w:r/>
    </w:p>
    <w:p>
      <w:pPr>
        <w:pStyle w:val="794"/>
        <w:ind w:firstLine="562"/>
        <w:spacing w:line="360" w:lineRule="auto"/>
        <w:rPr>
          <w:rFonts w:ascii="宋体" w:hAnsi="宋体"/>
          <w:b/>
          <w:bCs/>
          <w:color w:val="000000"/>
          <w:sz w:val="28"/>
          <w:szCs w:val="28"/>
          <w:highlight w:val="none"/>
        </w:rPr>
      </w:pPr>
      <w:r>
        <w:rPr>
          <w:rFonts w:ascii="宋体" w:hAnsi="宋体"/>
          <w:b/>
          <w:color w:val="000000"/>
          <w:sz w:val="28"/>
          <w:szCs w:val="28"/>
          <w:highlight w:val="none"/>
        </w:rPr>
        <w:t xml:space="preserve">（</w:t>
      </w:r>
      <w:r>
        <w:rPr>
          <w:rFonts w:ascii="宋体" w:hAnsi="宋体"/>
          <w:b/>
          <w:bCs/>
          <w:color w:val="000000"/>
          <w:sz w:val="28"/>
          <w:szCs w:val="28"/>
          <w:highlight w:val="none"/>
        </w:rPr>
        <w:t xml:space="preserve">九</w:t>
      </w:r>
      <w:r>
        <w:rPr>
          <w:rFonts w:ascii="宋体" w:hAnsi="宋体"/>
          <w:b/>
          <w:color w:val="000000"/>
          <w:sz w:val="28"/>
          <w:szCs w:val="28"/>
          <w:highlight w:val="none"/>
        </w:rPr>
        <w:t xml:space="preserve">）</w:t>
      </w:r>
      <w:r>
        <w:rPr>
          <w:rFonts w:ascii="宋体" w:hAnsi="宋体"/>
          <w:b/>
          <w:bCs/>
          <w:color w:val="000000"/>
          <w:sz w:val="28"/>
          <w:szCs w:val="28"/>
          <w:highlight w:val="none"/>
        </w:rPr>
        <w:t xml:space="preserve">中标通知书</w:t>
      </w:r>
      <w:r>
        <w:rPr>
          <w:rFonts w:ascii="宋体" w:hAnsi="宋体"/>
          <w:b/>
          <w:bCs/>
          <w:color w:val="000000"/>
          <w:sz w:val="28"/>
          <w:szCs w:val="28"/>
          <w:highlight w:val="none"/>
        </w:rPr>
      </w:r>
      <w:r/>
    </w:p>
    <w:p>
      <w:pPr>
        <w:pStyle w:val="794"/>
        <w:ind w:firstLine="570"/>
        <w:spacing w:line="360" w:lineRule="auto"/>
        <w:rPr>
          <w:rFonts w:ascii="宋体" w:hAnsi="宋体"/>
          <w:color w:val="000000"/>
          <w:sz w:val="28"/>
          <w:szCs w:val="28"/>
          <w:highlight w:val="none"/>
        </w:rPr>
      </w:pPr>
      <w:r>
        <w:rPr>
          <w:rFonts w:ascii="宋体" w:hAnsi="宋体"/>
          <w:color w:val="000000"/>
          <w:sz w:val="28"/>
          <w:szCs w:val="28"/>
          <w:highlight w:val="none"/>
        </w:rPr>
        <w:t xml:space="preserve">中标通知书发出后，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不得违法改变中标结果，中标供应商无正当理由不得放弃中标。</w:t>
      </w:r>
      <w:r>
        <w:rPr>
          <w:rFonts w:ascii="宋体" w:hAnsi="宋体"/>
          <w:color w:val="000000"/>
          <w:sz w:val="28"/>
          <w:szCs w:val="28"/>
          <w:highlight w:val="none"/>
        </w:rPr>
      </w:r>
      <w:r/>
    </w:p>
    <w:p>
      <w:pPr>
        <w:pStyle w:val="794"/>
        <w:ind w:firstLine="557"/>
        <w:spacing w:line="360" w:lineRule="auto"/>
        <w:rPr>
          <w:rFonts w:ascii="宋体" w:hAnsi="宋体"/>
          <w:b/>
          <w:color w:val="000000"/>
          <w:sz w:val="28"/>
          <w:szCs w:val="28"/>
          <w:highlight w:val="none"/>
        </w:rPr>
      </w:pPr>
      <w:r>
        <w:rPr>
          <w:rFonts w:ascii="宋体" w:hAnsi="宋体"/>
          <w:b/>
          <w:color w:val="000000"/>
          <w:sz w:val="28"/>
          <w:szCs w:val="28"/>
          <w:highlight w:val="none"/>
        </w:rPr>
        <w:t xml:space="preserve">中标供应商须提供一份纸质版投标文件正本至项目开标人。</w:t>
      </w:r>
      <w:r>
        <w:rPr>
          <w:rFonts w:ascii="宋体" w:hAnsi="宋体"/>
          <w:b/>
          <w:color w:val="000000"/>
          <w:sz w:val="28"/>
          <w:szCs w:val="28"/>
          <w:highlight w:val="none"/>
        </w:rPr>
      </w:r>
      <w:r/>
    </w:p>
    <w:p>
      <w:pPr>
        <w:pStyle w:val="794"/>
        <w:jc w:val="center"/>
        <w:spacing w:line="360" w:lineRule="auto"/>
        <w:rPr>
          <w:rFonts w:ascii="宋体" w:hAnsi="宋体"/>
          <w:bCs/>
          <w:color w:val="000000"/>
          <w:sz w:val="36"/>
          <w:szCs w:val="36"/>
          <w:highlight w:val="none"/>
        </w:rPr>
        <w:outlineLvl w:val="0"/>
      </w:pPr>
      <w:r>
        <w:rPr>
          <w:rFonts w:hint="eastAsia" w:ascii="宋体" w:hAnsi="宋体"/>
          <w:b/>
          <w:color w:val="000000"/>
          <w:sz w:val="36"/>
          <w:szCs w:val="36"/>
          <w:highlight w:val="none"/>
        </w:rPr>
        <w:br w:type="page" w:clear="all"/>
      </w:r>
      <w:r>
        <w:rPr>
          <w:rFonts w:hint="eastAsia" w:ascii="宋体" w:hAnsi="宋体"/>
          <w:bCs/>
          <w:color w:val="000000"/>
          <w:sz w:val="36"/>
          <w:szCs w:val="36"/>
          <w:highlight w:val="none"/>
        </w:rPr>
        <w:t xml:space="preserve">第五部分  投标文件组成</w:t>
      </w:r>
      <w:r>
        <w:rPr>
          <w:rFonts w:ascii="宋体" w:hAnsi="宋体"/>
          <w:bCs/>
          <w:color w:val="000000"/>
          <w:sz w:val="36"/>
          <w:szCs w:val="36"/>
          <w:highlight w:val="none"/>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一、法人或者其他组织的营业执照等证明文件，自然人的身份证明</w:t>
      </w:r>
      <w:r>
        <w:rPr>
          <w:rFonts w:ascii="宋体" w:hAnsi="宋体"/>
          <w:bCs/>
          <w:color w:val="000000"/>
          <w:sz w:val="28"/>
          <w:szCs w:val="28"/>
          <w:highlight w:val="none"/>
          <w:lang w:val="zh-CN"/>
        </w:rPr>
      </w:r>
      <w:r/>
    </w:p>
    <w:p>
      <w:pPr>
        <w:pStyle w:val="794"/>
        <w:ind w:firstLine="570"/>
        <w:spacing w:line="360" w:lineRule="auto"/>
        <w:rPr>
          <w:rFonts w:hint="eastAsia" w:ascii="宋体" w:hAnsi="宋体" w:eastAsia="宋体"/>
          <w:bCs/>
          <w:color w:val="000000"/>
          <w:sz w:val="28"/>
          <w:szCs w:val="28"/>
          <w:highlight w:val="none"/>
          <w:lang w:val="en-US" w:eastAsia="zh-CN"/>
        </w:rPr>
      </w:pPr>
      <w:r>
        <w:rPr>
          <w:rFonts w:hint="eastAsia" w:ascii="宋体" w:hAnsi="宋体"/>
          <w:bCs/>
          <w:color w:val="000000"/>
          <w:sz w:val="28"/>
          <w:szCs w:val="28"/>
          <w:highlight w:val="none"/>
          <w:lang w:val="zh-CN"/>
        </w:rPr>
        <w:t xml:space="preserve">二、上一年度的财务状况报告</w:t>
      </w:r>
      <w:r>
        <w:rPr>
          <w:rFonts w:hint="eastAsia" w:ascii="宋体" w:hAnsi="宋体"/>
          <w:bCs/>
          <w:color w:val="000000"/>
          <w:sz w:val="28"/>
          <w:szCs w:val="28"/>
          <w:highlight w:val="none"/>
          <w:lang w:val="en-US" w:eastAsia="zh-CN"/>
        </w:rPr>
        <w:t xml:space="preserve">(</w:t>
      </w:r>
      <w:r>
        <w:rPr>
          <w:rFonts w:hint="eastAsia" w:ascii="宋体" w:hAnsi="宋体"/>
          <w:bCs/>
          <w:color w:val="000000"/>
          <w:sz w:val="28"/>
          <w:szCs w:val="28"/>
          <w:highlight w:val="none"/>
          <w:lang w:val="zh-CN"/>
        </w:rPr>
        <w:t xml:space="preserve">投标人成立不满一年无需提供</w:t>
      </w:r>
      <w:r>
        <w:rPr>
          <w:rFonts w:hint="eastAsia" w:ascii="宋体" w:hAnsi="宋体"/>
          <w:bCs/>
          <w:color w:val="000000"/>
          <w:sz w:val="28"/>
          <w:szCs w:val="28"/>
          <w:highlight w:val="none"/>
          <w:lang w:val="en-US" w:eastAsia="zh-CN"/>
        </w:rPr>
        <w:t xml:space="preserve">)</w:t>
      </w:r>
      <w:r>
        <w:rPr>
          <w:rFonts w:hint="eastAsia" w:ascii="宋体" w:hAnsi="宋体" w:eastAsia="宋体"/>
          <w:bCs/>
          <w:color w:val="000000"/>
          <w:sz w:val="28"/>
          <w:szCs w:val="28"/>
          <w:highlight w:val="none"/>
          <w:lang w:val="en-US" w:eastAsia="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四、具备履行合同所必需的设备和专业技术能力的书面声明</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五、参加政府采购活动前 3 年内在经营活动中没有重大违法记录的书面声明</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六、特定资格要求的证明文件（如果本项目设置特定资格要求，则需要提供）</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七、法人授权书</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八、投标函</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九、中小企业声明函（如有）</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十、残疾人福利性单位声明函或监狱和戒毒企业证明材料（如有）</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十一、联合体协议（如有）</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十二、投标分项报价表</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十三、技术要求响应及偏离表</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十四、商务要求响应及偏离表</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十五、开标一览表</w:t>
      </w:r>
      <w:r>
        <w:rPr>
          <w:rFonts w:ascii="宋体" w:hAnsi="宋体"/>
          <w:bCs/>
          <w:color w:val="000000"/>
          <w:sz w:val="28"/>
          <w:szCs w:val="28"/>
          <w:highlight w:val="none"/>
          <w:lang w:val="zh-CN"/>
        </w:rPr>
      </w:r>
      <w:r/>
    </w:p>
    <w:p>
      <w:pPr>
        <w:pStyle w:val="794"/>
        <w:ind w:firstLine="570"/>
        <w:spacing w:line="360" w:lineRule="auto"/>
        <w:rPr>
          <w:rFonts w:ascii="宋体" w:hAnsi="宋体"/>
          <w:bCs/>
          <w:color w:val="000000"/>
          <w:sz w:val="28"/>
          <w:szCs w:val="28"/>
          <w:highlight w:val="none"/>
          <w:lang w:val="zh-CN"/>
        </w:rPr>
      </w:pPr>
      <w:r>
        <w:rPr>
          <w:rFonts w:hint="eastAsia" w:ascii="宋体" w:hAnsi="宋体"/>
          <w:bCs/>
          <w:color w:val="000000"/>
          <w:sz w:val="28"/>
          <w:szCs w:val="28"/>
          <w:highlight w:val="none"/>
          <w:lang w:val="zh-CN"/>
        </w:rPr>
        <w:t xml:space="preserve">十六、商务技术评分标准中须提供的相关得分佐证材料（如有）</w:t>
      </w:r>
      <w:r>
        <w:rPr>
          <w:rFonts w:ascii="宋体" w:hAnsi="宋体"/>
          <w:bCs/>
          <w:color w:val="000000"/>
          <w:sz w:val="28"/>
          <w:szCs w:val="28"/>
          <w:highlight w:val="none"/>
          <w:lang w:val="zh-CN"/>
        </w:rPr>
      </w:r>
      <w:r/>
    </w:p>
    <w:p>
      <w:pPr>
        <w:pStyle w:val="794"/>
        <w:contextualSpacing/>
        <w:ind w:firstLine="540"/>
        <w:spacing w:line="360" w:lineRule="auto"/>
        <w:rPr>
          <w:rFonts w:ascii="宋体" w:hAnsi="宋体" w:cs="宋体"/>
          <w:b/>
          <w:color w:val="000000"/>
          <w:sz w:val="28"/>
          <w:szCs w:val="28"/>
          <w:highlight w:val="none"/>
          <w:lang w:val="zh-CN"/>
        </w:rPr>
      </w:pPr>
      <w:r>
        <w:rPr>
          <w:rFonts w:ascii="宋体" w:hAnsi="宋体" w:cs="宋体"/>
          <w:b/>
          <w:color w:val="000000"/>
          <w:sz w:val="28"/>
          <w:szCs w:val="28"/>
          <w:highlight w:val="none"/>
          <w:lang w:val="zh-CN"/>
        </w:rPr>
      </w:r>
      <w:r/>
    </w:p>
    <w:p>
      <w:pPr>
        <w:pStyle w:val="794"/>
        <w:contextualSpacing/>
        <w:spacing w:line="360" w:lineRule="auto"/>
        <w:rPr>
          <w:rFonts w:ascii="宋体" w:hAnsi="宋体" w:cs="宋体"/>
          <w:b/>
          <w:color w:val="000000"/>
          <w:sz w:val="28"/>
          <w:szCs w:val="28"/>
          <w:highlight w:val="none"/>
          <w:lang w:val="zh-CN"/>
        </w:rPr>
      </w:pPr>
      <w:r>
        <w:rPr>
          <w:rFonts w:ascii="宋体" w:hAnsi="宋体" w:cs="宋体"/>
          <w:b/>
          <w:color w:val="000000"/>
          <w:sz w:val="28"/>
          <w:szCs w:val="28"/>
          <w:highlight w:val="none"/>
          <w:lang w:val="zh-CN"/>
        </w:rPr>
      </w:r>
      <w:r/>
    </w:p>
    <w:p>
      <w:pPr>
        <w:pStyle w:val="794"/>
        <w:jc w:val="center"/>
        <w:spacing w:line="360" w:lineRule="auto"/>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第六部分  合同签订与验收付款</w:t>
      </w:r>
      <w:r>
        <w:rPr>
          <w:rFonts w:ascii="宋体" w:hAnsi="宋体"/>
          <w:bCs/>
          <w:color w:val="000000"/>
          <w:sz w:val="36"/>
          <w:szCs w:val="36"/>
          <w:highlight w:val="none"/>
        </w:rPr>
      </w:r>
      <w:r/>
    </w:p>
    <w:p>
      <w:pPr>
        <w:pStyle w:val="794"/>
        <w:contextualSpacing/>
        <w:ind w:firstLine="660"/>
        <w:spacing w:line="360" w:lineRule="auto"/>
        <w:rPr>
          <w:rFonts w:ascii="宋体" w:hAnsi="宋体"/>
          <w:color w:val="000000"/>
          <w:sz w:val="28"/>
          <w:szCs w:val="28"/>
          <w:highlight w:val="none"/>
        </w:rPr>
      </w:pPr>
      <w:r/>
      <w:bookmarkStart w:id="129" w:name="OLE_LINK2"/>
      <w:r/>
      <w:bookmarkStart w:id="130" w:name="OLE_LINK1"/>
      <w:r>
        <w:rPr>
          <w:rFonts w:ascii="宋体" w:hAnsi="宋体"/>
          <w:color w:val="000000"/>
          <w:sz w:val="28"/>
          <w:szCs w:val="28"/>
          <w:highlight w:val="none"/>
        </w:rPr>
      </w:r>
      <w:r/>
    </w:p>
    <w:p>
      <w:pPr>
        <w:pStyle w:val="794"/>
        <w:contextualSpacing/>
        <w:ind w:firstLine="6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一、中标供应商和采购单位在接到《中标通知书》后30日内签订合同。合同签订后中标供应商方可履约，否则引起的一切后果由中标人自行承担。纸质合同一式三份，采购人、供应商、交易中心各一份；另外自合同签订之日起2个工作日内采购人应将合同原件送至交易中心进行网上公告。所签合同不得对采购文件作实质性修改。采购单位不得向中标供应商提出不合理的要求作为签订合同的条件，不得与中标供应商私下订立背离采购文件实质性内容的协议。</w:t>
      </w:r>
      <w:r>
        <w:rPr>
          <w:rFonts w:ascii="宋体" w:hAnsi="宋体"/>
          <w:color w:val="000000"/>
          <w:sz w:val="28"/>
          <w:szCs w:val="28"/>
          <w:highlight w:val="none"/>
        </w:rPr>
      </w:r>
      <w:r/>
    </w:p>
    <w:p>
      <w:pPr>
        <w:pStyle w:val="794"/>
        <w:contextualSpacing/>
        <w:ind w:firstLine="6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ascii="宋体" w:hAnsi="宋体"/>
          <w:color w:val="000000"/>
          <w:sz w:val="28"/>
          <w:szCs w:val="28"/>
          <w:highlight w:val="none"/>
        </w:rPr>
      </w:r>
      <w:r/>
    </w:p>
    <w:p>
      <w:pPr>
        <w:pStyle w:val="794"/>
        <w:contextualSpacing/>
        <w:ind w:firstLine="6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rPr>
          <w:rFonts w:ascii="宋体" w:hAnsi="宋体"/>
          <w:color w:val="000000"/>
          <w:sz w:val="28"/>
          <w:szCs w:val="28"/>
          <w:highlight w:val="none"/>
        </w:rPr>
      </w:r>
      <w:r/>
    </w:p>
    <w:p>
      <w:pPr>
        <w:pStyle w:val="794"/>
        <w:contextualSpacing/>
        <w:ind w:firstLine="6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rPr>
          <w:rFonts w:ascii="宋体" w:hAnsi="宋体"/>
          <w:color w:val="000000"/>
          <w:sz w:val="28"/>
          <w:szCs w:val="28"/>
          <w:highlight w:val="none"/>
        </w:rPr>
      </w:r>
      <w:r/>
    </w:p>
    <w:p>
      <w:pPr>
        <w:pStyle w:val="816"/>
        <w:contextualSpacing/>
        <w:ind w:right="210" w:firstLine="599"/>
        <w:spacing w:line="360" w:lineRule="auto"/>
        <w:rPr>
          <w:rFonts w:ascii="宋体" w:hAnsi="宋体"/>
          <w:b/>
          <w:color w:val="000000"/>
          <w:sz w:val="28"/>
          <w:szCs w:val="28"/>
          <w:highlight w:val="none"/>
        </w:rPr>
      </w:pPr>
      <w:r>
        <w:rPr>
          <w:rFonts w:hint="eastAsia" w:ascii="宋体" w:hAnsi="宋体"/>
          <w:color w:val="000000"/>
          <w:sz w:val="28"/>
          <w:szCs w:val="28"/>
          <w:highlight w:val="none"/>
          <w:lang w:val="zh-CN"/>
        </w:rPr>
        <w:t xml:space="preserve">五、</w:t>
      </w:r>
      <w:r>
        <w:rPr>
          <w:rFonts w:hint="eastAsia" w:ascii="宋体" w:hAnsi="宋体"/>
          <w:b/>
          <w:color w:val="000000"/>
          <w:sz w:val="28"/>
          <w:szCs w:val="28"/>
          <w:highlight w:val="none"/>
        </w:rPr>
        <w:t xml:space="preserve">不响应付款方式的，视同无效投标处理。</w:t>
      </w:r>
      <w:r>
        <w:rPr>
          <w:rFonts w:ascii="宋体" w:hAnsi="宋体"/>
          <w:b/>
          <w:color w:val="000000"/>
          <w:sz w:val="28"/>
          <w:szCs w:val="28"/>
          <w:highlight w:val="none"/>
        </w:rPr>
      </w:r>
      <w:r/>
    </w:p>
    <w:p>
      <w:pPr>
        <w:pStyle w:val="816"/>
        <w:contextualSpacing/>
        <w:ind w:right="210" w:firstLine="599"/>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付款要求：见本文件“第三部分项目需求”</w:t>
      </w:r>
      <w:r>
        <w:rPr>
          <w:rFonts w:ascii="宋体" w:hAnsi="宋体"/>
          <w:color w:val="000000"/>
          <w:sz w:val="28"/>
          <w:szCs w:val="28"/>
          <w:highlight w:val="none"/>
        </w:rPr>
      </w:r>
      <w:r/>
    </w:p>
    <w:p>
      <w:pPr>
        <w:pStyle w:val="794"/>
        <w:contextualSpacing/>
        <w:ind w:right="210" w:firstLine="599"/>
        <w:spacing w:line="360" w:lineRule="auto"/>
        <w:rPr>
          <w:rFonts w:ascii="宋体" w:hAnsi="宋体"/>
          <w:color w:val="000000"/>
          <w:sz w:val="28"/>
          <w:szCs w:val="28"/>
          <w:highlight w:val="none"/>
        </w:rPr>
      </w:pPr>
      <w:r/>
      <w:bookmarkEnd w:id="129"/>
      <w:r/>
      <w:bookmarkEnd w:id="130"/>
      <w:r>
        <w:rPr>
          <w:rFonts w:hint="eastAsia" w:ascii="宋体" w:hAnsi="宋体"/>
          <w:color w:val="000000"/>
          <w:sz w:val="28"/>
          <w:szCs w:val="28"/>
          <w:highlight w:val="none"/>
        </w:rPr>
        <w:t xml:space="preserve">款项由采购人按相关财务支付规定办理支付手续。不得故意拖延支付时间。</w:t>
      </w:r>
      <w:r>
        <w:rPr>
          <w:rFonts w:ascii="宋体" w:hAnsi="宋体"/>
          <w:color w:val="000000"/>
          <w:sz w:val="28"/>
          <w:szCs w:val="28"/>
          <w:highlight w:val="none"/>
        </w:rPr>
      </w:r>
      <w:r/>
    </w:p>
    <w:p>
      <w:pPr>
        <w:pStyle w:val="794"/>
        <w:spacing w:line="360" w:lineRule="auto"/>
        <w:rPr>
          <w:rFonts w:ascii="宋体" w:hAnsi="宋体"/>
          <w:b/>
          <w:color w:val="000000"/>
          <w:spacing w:val="20"/>
          <w:sz w:val="84"/>
          <w:szCs w:val="84"/>
          <w:highlight w:val="none"/>
        </w:rPr>
      </w:pPr>
      <w:r>
        <w:rPr>
          <w:rFonts w:ascii="宋体" w:hAnsi="宋体"/>
          <w:b/>
          <w:color w:val="000000"/>
          <w:spacing w:val="20"/>
          <w:sz w:val="84"/>
          <w:szCs w:val="84"/>
          <w:highlight w:val="none"/>
        </w:rPr>
      </w:r>
      <w:r/>
    </w:p>
    <w:p>
      <w:pPr>
        <w:pStyle w:val="794"/>
        <w:jc w:val="center"/>
        <w:spacing w:line="360" w:lineRule="auto"/>
        <w:rPr>
          <w:rFonts w:ascii="宋体" w:hAnsi="宋体"/>
          <w:b/>
          <w:color w:val="000000"/>
          <w:spacing w:val="20"/>
          <w:sz w:val="84"/>
          <w:szCs w:val="84"/>
          <w:highlight w:val="none"/>
        </w:rPr>
      </w:pPr>
      <w:r>
        <w:rPr>
          <w:rFonts w:hint="eastAsia" w:ascii="宋体" w:hAnsi="宋体"/>
          <w:b/>
          <w:color w:val="000000"/>
          <w:spacing w:val="20"/>
          <w:sz w:val="84"/>
          <w:szCs w:val="84"/>
          <w:highlight w:val="none"/>
        </w:rPr>
        <w:t xml:space="preserve">南通市政府采购项目</w:t>
      </w:r>
      <w:r>
        <w:rPr>
          <w:rFonts w:ascii="宋体" w:hAnsi="宋体"/>
          <w:b/>
          <w:color w:val="000000"/>
          <w:spacing w:val="20"/>
          <w:sz w:val="84"/>
          <w:szCs w:val="84"/>
          <w:highlight w:val="none"/>
        </w:rPr>
      </w:r>
      <w:r/>
    </w:p>
    <w:p>
      <w:pPr>
        <w:pStyle w:val="794"/>
        <w:jc w:val="center"/>
        <w:spacing w:line="360" w:lineRule="auto"/>
        <w:rPr>
          <w:rFonts w:ascii="宋体" w:hAnsi="宋体"/>
          <w:b/>
          <w:color w:val="000000"/>
          <w:spacing w:val="20"/>
          <w:sz w:val="28"/>
          <w:highlight w:val="none"/>
        </w:rPr>
      </w:pPr>
      <w:r>
        <w:rPr>
          <w:rFonts w:ascii="宋体" w:hAnsi="宋体"/>
          <w:b/>
          <w:color w:val="000000"/>
          <w:spacing w:val="20"/>
          <w:sz w:val="28"/>
          <w:highlight w:val="none"/>
        </w:rPr>
      </w:r>
      <w:r/>
    </w:p>
    <w:p>
      <w:pPr>
        <w:pStyle w:val="794"/>
        <w:jc w:val="center"/>
        <w:spacing w:line="360" w:lineRule="auto"/>
        <w:rPr>
          <w:rFonts w:ascii="宋体" w:hAnsi="宋体"/>
          <w:b/>
          <w:color w:val="000000"/>
          <w:sz w:val="44"/>
          <w:highlight w:val="none"/>
        </w:rPr>
      </w:pPr>
      <w:r>
        <w:rPr>
          <w:rFonts w:ascii="宋体" w:hAnsi="宋体"/>
          <w:b/>
          <w:color w:val="000000"/>
          <w:sz w:val="44"/>
          <w:highlight w:val="none"/>
        </w:rPr>
      </w:r>
      <w:r/>
    </w:p>
    <w:p>
      <w:pPr>
        <w:pStyle w:val="794"/>
        <w:jc w:val="center"/>
        <w:spacing w:line="360" w:lineRule="auto"/>
        <w:rPr>
          <w:rFonts w:ascii="宋体" w:hAnsi="宋体"/>
          <w:b/>
          <w:color w:val="000000"/>
          <w:spacing w:val="200"/>
          <w:sz w:val="96"/>
          <w:highlight w:val="none"/>
        </w:rPr>
      </w:pPr>
      <w:r>
        <w:rPr>
          <w:rFonts w:hint="eastAsia" w:ascii="宋体" w:hAnsi="宋体"/>
          <w:b/>
          <w:color w:val="000000"/>
          <w:spacing w:val="200"/>
          <w:sz w:val="96"/>
          <w:highlight w:val="none"/>
        </w:rPr>
        <w:t xml:space="preserve">合同书</w:t>
      </w:r>
      <w:r>
        <w:rPr>
          <w:rFonts w:ascii="宋体" w:hAnsi="宋体"/>
          <w:b/>
          <w:color w:val="000000"/>
          <w:spacing w:val="200"/>
          <w:sz w:val="96"/>
          <w:highlight w:val="none"/>
        </w:rPr>
      </w:r>
      <w:r/>
    </w:p>
    <w:p>
      <w:pPr>
        <w:pStyle w:val="794"/>
        <w:jc w:val="center"/>
        <w:spacing w:line="360" w:lineRule="auto"/>
        <w:rPr>
          <w:rFonts w:ascii="宋体" w:hAnsi="宋体"/>
          <w:b/>
          <w:color w:val="000000"/>
          <w:sz w:val="32"/>
          <w:highlight w:val="none"/>
        </w:rPr>
      </w:pPr>
      <w:r>
        <w:rPr>
          <w:rFonts w:ascii="宋体" w:hAnsi="宋体"/>
          <w:b/>
          <w:color w:val="000000"/>
          <w:sz w:val="32"/>
          <w:highlight w:val="none"/>
        </w:rPr>
      </w:r>
      <w:r/>
    </w:p>
    <w:p>
      <w:pPr>
        <w:pStyle w:val="794"/>
        <w:jc w:val="center"/>
        <w:spacing w:line="360" w:lineRule="auto"/>
        <w:rPr>
          <w:rFonts w:ascii="宋体" w:hAnsi="宋体"/>
          <w:b/>
          <w:color w:val="000000"/>
          <w:sz w:val="32"/>
          <w:highlight w:val="none"/>
        </w:rPr>
      </w:pPr>
      <w:r>
        <w:rPr>
          <w:rFonts w:hint="eastAsia" w:ascii="宋体" w:hAnsi="宋体"/>
          <w:b/>
          <w:color w:val="000000"/>
          <w:sz w:val="32"/>
          <w:highlight w:val="none"/>
        </w:rPr>
        <w:t xml:space="preserve">（本合同书仅供参考）</w:t>
      </w:r>
      <w:r>
        <w:rPr>
          <w:rFonts w:ascii="宋体" w:hAnsi="宋体"/>
          <w:b/>
          <w:color w:val="000000"/>
          <w:sz w:val="32"/>
          <w:highlight w:val="none"/>
        </w:rPr>
      </w:r>
      <w:r/>
    </w:p>
    <w:p>
      <w:pPr>
        <w:pStyle w:val="794"/>
        <w:jc w:val="center"/>
        <w:spacing w:line="360" w:lineRule="auto"/>
        <w:rPr>
          <w:rFonts w:ascii="宋体" w:hAnsi="宋体"/>
          <w:b/>
          <w:color w:val="000000"/>
          <w:sz w:val="32"/>
          <w:highlight w:val="none"/>
        </w:rPr>
      </w:pPr>
      <w:r>
        <w:rPr>
          <w:rFonts w:ascii="宋体" w:hAnsi="宋体"/>
          <w:b/>
          <w:color w:val="000000"/>
          <w:sz w:val="32"/>
          <w:highlight w:val="none"/>
        </w:rPr>
      </w:r>
      <w:r/>
    </w:p>
    <w:p>
      <w:pPr>
        <w:pStyle w:val="794"/>
        <w:jc w:val="center"/>
        <w:spacing w:line="360" w:lineRule="auto"/>
        <w:rPr>
          <w:rFonts w:ascii="宋体" w:hAnsi="宋体"/>
          <w:b/>
          <w:color w:val="000000"/>
          <w:sz w:val="32"/>
          <w:highlight w:val="none"/>
        </w:rPr>
      </w:pPr>
      <w:r>
        <w:rPr>
          <w:rFonts w:ascii="宋体" w:hAnsi="宋体"/>
          <w:b/>
          <w:color w:val="000000"/>
          <w:sz w:val="32"/>
          <w:highlight w:val="none"/>
        </w:rPr>
      </w:r>
      <w:r/>
    </w:p>
    <w:p>
      <w:pPr>
        <w:pStyle w:val="794"/>
        <w:ind w:left="1680"/>
        <w:spacing w:line="360" w:lineRule="auto"/>
        <w:rPr>
          <w:rFonts w:ascii="宋体" w:hAnsi="宋体"/>
          <w:b/>
          <w:color w:val="000000"/>
          <w:sz w:val="28"/>
          <w:highlight w:val="none"/>
          <w:u w:val="single"/>
        </w:rPr>
      </w:pPr>
      <w:r>
        <w:rPr>
          <w:rFonts w:hint="eastAsia" w:ascii="宋体" w:hAnsi="宋体"/>
          <w:b/>
          <w:color w:val="000000"/>
          <w:sz w:val="28"/>
          <w:highlight w:val="none"/>
        </w:rPr>
        <w:t xml:space="preserve">项目名称：</w:t>
      </w:r>
      <w:r>
        <w:rPr>
          <w:rFonts w:hint="eastAsia" w:ascii="宋体" w:hAnsi="宋体"/>
          <w:b/>
          <w:color w:val="000000"/>
          <w:sz w:val="28"/>
          <w:highlight w:val="none"/>
          <w:u w:val="single"/>
        </w:rPr>
        <w:t xml:space="preserve">                           </w:t>
      </w:r>
      <w:r>
        <w:rPr>
          <w:rFonts w:ascii="宋体" w:hAnsi="宋体"/>
          <w:b/>
          <w:color w:val="000000"/>
          <w:sz w:val="28"/>
          <w:highlight w:val="none"/>
          <w:u w:val="single"/>
        </w:rPr>
      </w:r>
      <w:r/>
    </w:p>
    <w:p>
      <w:pPr>
        <w:pStyle w:val="794"/>
        <w:ind w:left="1680"/>
        <w:spacing w:line="360" w:lineRule="auto"/>
        <w:rPr>
          <w:rFonts w:ascii="宋体" w:hAnsi="宋体"/>
          <w:b/>
          <w:color w:val="000000"/>
          <w:sz w:val="28"/>
          <w:highlight w:val="none"/>
        </w:rPr>
      </w:pPr>
      <w:r>
        <w:rPr>
          <w:rFonts w:hint="eastAsia" w:ascii="宋体" w:hAnsi="宋体"/>
          <w:b/>
          <w:color w:val="000000"/>
          <w:sz w:val="28"/>
          <w:highlight w:val="none"/>
        </w:rPr>
        <w:t xml:space="preserve">合同编号：</w:t>
      </w:r>
      <w:r>
        <w:rPr>
          <w:rFonts w:hint="eastAsia" w:ascii="宋体" w:hAnsi="宋体"/>
          <w:b/>
          <w:color w:val="000000"/>
          <w:sz w:val="28"/>
          <w:highlight w:val="none"/>
          <w:u w:val="single"/>
        </w:rPr>
        <w:t xml:space="preserve">                           </w:t>
      </w:r>
      <w:r>
        <w:rPr>
          <w:rFonts w:ascii="宋体" w:hAnsi="宋体"/>
          <w:b/>
          <w:color w:val="000000"/>
          <w:sz w:val="28"/>
          <w:highlight w:val="none"/>
        </w:rPr>
      </w:r>
      <w:r/>
    </w:p>
    <w:p>
      <w:pPr>
        <w:pStyle w:val="794"/>
        <w:ind w:left="1680"/>
        <w:spacing w:line="360" w:lineRule="auto"/>
        <w:rPr>
          <w:rFonts w:ascii="宋体" w:hAnsi="宋体"/>
          <w:b/>
          <w:color w:val="000000"/>
          <w:sz w:val="28"/>
          <w:highlight w:val="none"/>
        </w:rPr>
      </w:pPr>
      <w:r>
        <w:rPr>
          <w:rFonts w:hint="eastAsia" w:ascii="宋体" w:hAnsi="宋体"/>
          <w:b/>
          <w:color w:val="000000"/>
          <w:sz w:val="28"/>
          <w:highlight w:val="none"/>
        </w:rPr>
        <w:t xml:space="preserve">签约地点：</w:t>
      </w:r>
      <w:r>
        <w:rPr>
          <w:rFonts w:hint="eastAsia" w:ascii="宋体" w:hAnsi="宋体"/>
          <w:b/>
          <w:color w:val="000000"/>
          <w:sz w:val="28"/>
          <w:highlight w:val="none"/>
          <w:u w:val="single"/>
        </w:rPr>
        <w:t xml:space="preserve">                           </w:t>
      </w:r>
      <w:r>
        <w:rPr>
          <w:rFonts w:ascii="宋体" w:hAnsi="宋体"/>
          <w:b/>
          <w:color w:val="000000"/>
          <w:sz w:val="28"/>
          <w:highlight w:val="none"/>
        </w:rPr>
      </w:r>
      <w:r/>
    </w:p>
    <w:p>
      <w:pPr>
        <w:pStyle w:val="794"/>
        <w:ind w:firstLine="1687"/>
        <w:spacing w:line="360" w:lineRule="auto"/>
        <w:rPr>
          <w:rFonts w:ascii="宋体" w:hAnsi="宋体"/>
          <w:b/>
          <w:color w:val="000000"/>
          <w:sz w:val="28"/>
          <w:highlight w:val="none"/>
        </w:rPr>
      </w:pPr>
      <w:r>
        <w:rPr>
          <w:rFonts w:hint="eastAsia" w:ascii="宋体" w:hAnsi="宋体"/>
          <w:b/>
          <w:color w:val="000000"/>
          <w:sz w:val="28"/>
          <w:highlight w:val="none"/>
        </w:rPr>
        <w:t xml:space="preserve">签订日期：二○   年    月     日</w:t>
      </w:r>
      <w:r>
        <w:rPr>
          <w:rFonts w:ascii="宋体" w:hAnsi="宋体"/>
          <w:b/>
          <w:color w:val="000000"/>
          <w:sz w:val="28"/>
          <w:highlight w:val="none"/>
        </w:rPr>
      </w:r>
      <w:r/>
    </w:p>
    <w:p>
      <w:pPr>
        <w:pStyle w:val="794"/>
        <w:spacing w:line="360" w:lineRule="auto"/>
        <w:rPr>
          <w:rFonts w:ascii="宋体" w:hAnsi="宋体"/>
          <w:b/>
          <w:color w:val="000000"/>
          <w:sz w:val="28"/>
          <w:highlight w:val="none"/>
        </w:rPr>
      </w:pPr>
      <w:r>
        <w:rPr>
          <w:rFonts w:ascii="宋体" w:hAnsi="宋体"/>
          <w:b/>
          <w:color w:val="000000"/>
          <w:sz w:val="28"/>
          <w:highlight w:val="none"/>
        </w:rPr>
      </w:r>
      <w:r/>
    </w:p>
    <w:p>
      <w:pPr>
        <w:pStyle w:val="794"/>
        <w:spacing w:line="360" w:lineRule="auto"/>
        <w:rPr>
          <w:rFonts w:ascii="宋体" w:hAnsi="宋体"/>
          <w:b/>
          <w:color w:val="000000"/>
          <w:sz w:val="28"/>
          <w:highlight w:val="none"/>
        </w:rPr>
      </w:pPr>
      <w:r>
        <w:rPr>
          <w:rFonts w:ascii="宋体" w:hAnsi="宋体"/>
          <w:b/>
          <w:color w:val="000000"/>
          <w:sz w:val="28"/>
          <w:highlight w:val="none"/>
        </w:rPr>
      </w:r>
      <w:r/>
    </w:p>
    <w:p>
      <w:pPr>
        <w:pStyle w:val="794"/>
        <w:spacing w:line="360" w:lineRule="auto"/>
        <w:rPr>
          <w:rFonts w:ascii="宋体" w:hAnsi="宋体"/>
          <w:b/>
          <w:color w:val="000000"/>
          <w:sz w:val="28"/>
          <w:highlight w:val="none"/>
        </w:rPr>
      </w:pPr>
      <w:r>
        <w:rPr>
          <w:rFonts w:ascii="宋体" w:hAnsi="宋体"/>
          <w:b/>
          <w:color w:val="000000"/>
          <w:sz w:val="28"/>
          <w:highlight w:val="none"/>
        </w:rPr>
      </w:r>
      <w:r/>
    </w:p>
    <w:p>
      <w:pPr>
        <w:pStyle w:val="794"/>
        <w:contextualSpacing/>
        <w:ind w:firstLine="924"/>
        <w:spacing w:line="360" w:lineRule="auto"/>
        <w:tabs>
          <w:tab w:val="left" w:pos="840" w:leader="none"/>
        </w:tabs>
        <w:rPr>
          <w:rFonts w:ascii="宋体" w:hAnsi="宋体"/>
          <w:color w:val="000000"/>
          <w:sz w:val="28"/>
          <w:szCs w:val="28"/>
          <w:highlight w:val="none"/>
          <w:u w:val="single"/>
        </w:rPr>
      </w:pPr>
      <w:r>
        <w:rPr>
          <w:rFonts w:ascii="宋体" w:hAnsi="宋体"/>
          <w:color w:val="000000"/>
          <w:sz w:val="28"/>
          <w:szCs w:val="28"/>
          <w:highlight w:val="none"/>
          <w:u w:val="single"/>
        </w:rPr>
      </w:r>
      <w:r/>
    </w:p>
    <w:p>
      <w:pPr>
        <w:pStyle w:val="794"/>
        <w:contextualSpacing/>
        <w:ind w:firstLine="924"/>
        <w:spacing w:line="360" w:lineRule="auto"/>
        <w:tabs>
          <w:tab w:val="left" w:pos="840" w:leader="none"/>
        </w:tabs>
        <w:rPr>
          <w:rFonts w:ascii="宋体" w:hAnsi="宋体"/>
          <w:color w:val="000000"/>
          <w:sz w:val="28"/>
          <w:szCs w:val="28"/>
          <w:highlight w:val="none"/>
          <w:u w:val="single"/>
        </w:rPr>
      </w:pPr>
      <w:r>
        <w:rPr>
          <w:rFonts w:ascii="宋体" w:hAnsi="宋体"/>
          <w:color w:val="000000"/>
          <w:sz w:val="28"/>
          <w:szCs w:val="28"/>
          <w:highlight w:val="none"/>
          <w:u w:val="single"/>
        </w:rPr>
      </w:r>
      <w:r/>
    </w:p>
    <w:p>
      <w:pPr>
        <w:pStyle w:val="794"/>
        <w:contextualSpacing/>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采购单位全称：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（简称甲方）</w:t>
      </w:r>
      <w:r>
        <w:rPr>
          <w:rFonts w:ascii="宋体" w:hAnsi="宋体"/>
          <w:color w:val="000000"/>
          <w:sz w:val="28"/>
          <w:szCs w:val="28"/>
          <w:highlight w:val="none"/>
        </w:rPr>
      </w:r>
      <w:r/>
    </w:p>
    <w:p>
      <w:pPr>
        <w:pStyle w:val="794"/>
        <w:contextualSpacing/>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中标供应商全称：</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（简称乙方）</w:t>
      </w:r>
      <w:r>
        <w:rPr>
          <w:rFonts w:ascii="宋体" w:hAnsi="宋体"/>
          <w:color w:val="000000"/>
          <w:sz w:val="28"/>
          <w:szCs w:val="28"/>
          <w:highlight w:val="none"/>
        </w:rPr>
      </w:r>
      <w:r/>
    </w:p>
    <w:p>
      <w:pPr>
        <w:pStyle w:val="794"/>
        <w:contextualSpacing/>
        <w:ind w:firstLine="560"/>
        <w:spacing w:before="160" w:line="360" w:lineRule="auto"/>
        <w:rPr>
          <w:rFonts w:ascii="宋体" w:hAnsi="宋体"/>
          <w:color w:val="000000"/>
          <w:sz w:val="28"/>
          <w:szCs w:val="28"/>
          <w:highlight w:val="none"/>
        </w:rPr>
      </w:pPr>
      <w:r>
        <w:rPr>
          <w:rFonts w:ascii="宋体" w:hAnsi="宋体"/>
          <w:color w:val="000000"/>
          <w:sz w:val="28"/>
          <w:szCs w:val="28"/>
          <w:highlight w:val="none"/>
        </w:rPr>
      </w:r>
      <w:r/>
    </w:p>
    <w:p>
      <w:pPr>
        <w:pStyle w:val="794"/>
        <w:contextualSpacing/>
        <w:ind w:firstLine="560"/>
        <w:spacing w:before="160" w:line="360" w:lineRule="auto"/>
        <w:rPr>
          <w:rFonts w:ascii="宋体" w:hAnsi="宋体"/>
          <w:color w:val="000000"/>
          <w:sz w:val="28"/>
          <w:szCs w:val="28"/>
          <w:highlight w:val="none"/>
        </w:rPr>
      </w:pPr>
      <w:r>
        <w:rPr>
          <w:rFonts w:hint="eastAsia" w:ascii="宋体" w:hAnsi="宋体"/>
          <w:color w:val="000000"/>
          <w:sz w:val="28"/>
          <w:szCs w:val="28"/>
          <w:highlight w:val="none"/>
        </w:rPr>
        <w:t xml:space="preserve">依照《中华人民共和国政府采购法》、《中华人民共和国合同法》及其他有关法律、行政法规，遵循平等、自愿、公平和诚实信用的原则，双方就采购</w:t>
      </w:r>
      <w:r>
        <w:rPr>
          <w:rFonts w:hint="eastAsia" w:ascii="宋体" w:hAnsi="宋体"/>
          <w:bCs/>
          <w:color w:val="000000"/>
          <w:sz w:val="28"/>
          <w:szCs w:val="28"/>
          <w:highlight w:val="none"/>
        </w:rPr>
        <w:t xml:space="preserve">项目相关</w:t>
      </w:r>
      <w:r>
        <w:rPr>
          <w:rFonts w:hint="eastAsia" w:ascii="宋体" w:hAnsi="宋体"/>
          <w:color w:val="000000"/>
          <w:sz w:val="28"/>
          <w:szCs w:val="28"/>
          <w:highlight w:val="none"/>
        </w:rPr>
        <w:t xml:space="preserve">事项协商一致，签订本合同，并达成如下合同条款：</w:t>
      </w:r>
      <w:r>
        <w:rPr>
          <w:rFonts w:ascii="宋体" w:hAnsi="宋体"/>
          <w:color w:val="000000"/>
          <w:sz w:val="28"/>
          <w:szCs w:val="28"/>
          <w:highlight w:val="none"/>
        </w:rPr>
      </w:r>
      <w:r/>
    </w:p>
    <w:p>
      <w:pPr>
        <w:pStyle w:val="794"/>
        <w:contextualSpacing/>
        <w:ind w:firstLine="562"/>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一、合同标的</w:t>
      </w:r>
      <w:r>
        <w:rPr>
          <w:rFonts w:ascii="宋体" w:hAnsi="宋体"/>
          <w:b/>
          <w:color w:val="000000"/>
          <w:sz w:val="28"/>
          <w:szCs w:val="28"/>
          <w:highlight w:val="none"/>
        </w:rPr>
      </w:r>
      <w:r/>
    </w:p>
    <w:p>
      <w:pPr>
        <w:pStyle w:val="794"/>
        <w:numPr>
          <w:ilvl w:val="0"/>
          <w:numId w:val="13"/>
        </w:numPr>
        <w:contextualSpacing/>
        <w:jc w:val="left"/>
        <w:spacing w:line="360" w:lineRule="auto"/>
        <w:widowControl/>
        <w:tabs>
          <w:tab w:val="left" w:pos="42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本合同标的为</w:t>
      </w:r>
      <w:r>
        <w:rPr>
          <w:rFonts w:hint="eastAsia" w:ascii="宋体" w:hAnsi="宋体"/>
          <w:i/>
          <w:color w:val="000000"/>
          <w:sz w:val="28"/>
          <w:szCs w:val="28"/>
          <w:highlight w:val="none"/>
          <w:u w:val="single"/>
        </w:rPr>
        <w:t xml:space="preserve">（采购对象）</w:t>
      </w:r>
      <w:r>
        <w:rPr>
          <w:rFonts w:hint="eastAsia" w:ascii="宋体" w:hAnsi="宋体"/>
          <w:color w:val="000000"/>
          <w:sz w:val="28"/>
          <w:szCs w:val="28"/>
          <w:highlight w:val="none"/>
        </w:rPr>
        <w:t xml:space="preserve">，包括设计、货物供货、安装、调试、培训、验收、技术服务（包括技术资料、图纸的提供）、质保期保障等的全部内容。</w:t>
      </w:r>
      <w:r>
        <w:rPr>
          <w:rFonts w:ascii="宋体" w:hAnsi="宋体"/>
          <w:color w:val="000000"/>
          <w:sz w:val="28"/>
          <w:szCs w:val="28"/>
          <w:highlight w:val="none"/>
        </w:rPr>
      </w:r>
      <w:r/>
    </w:p>
    <w:p>
      <w:pPr>
        <w:pStyle w:val="794"/>
        <w:numPr>
          <w:ilvl w:val="0"/>
          <w:numId w:val="13"/>
        </w:numPr>
        <w:contextualSpacing/>
        <w:spacing w:line="360" w:lineRule="auto"/>
        <w:widowControl/>
        <w:tabs>
          <w:tab w:val="left" w:pos="420" w:leader="none"/>
        </w:tabs>
        <w:rPr>
          <w:rFonts w:ascii="宋体" w:hAnsi="宋体"/>
          <w:color w:val="000000"/>
          <w:sz w:val="28"/>
          <w:szCs w:val="28"/>
          <w:highlight w:val="none"/>
        </w:rPr>
      </w:pPr>
      <w:r>
        <w:rPr>
          <w:rFonts w:hint="eastAsia" w:ascii="宋体" w:hAnsi="宋体"/>
          <w:color w:val="000000"/>
          <w:sz w:val="28"/>
          <w:szCs w:val="28"/>
          <w:highlight w:val="none"/>
        </w:rPr>
        <w:t xml:space="preserve">供货货物名称、型号、规格、数量。</w:t>
      </w:r>
      <w:r>
        <w:rPr>
          <w:rFonts w:ascii="宋体" w:hAnsi="宋体"/>
          <w:color w:val="000000"/>
          <w:sz w:val="28"/>
          <w:szCs w:val="28"/>
          <w:highlight w:val="none"/>
        </w:rPr>
      </w:r>
      <w:r/>
    </w:p>
    <w:tbl>
      <w:tblPr>
        <w:tblW w:w="8287" w:type="dxa"/>
        <w:tblInd w:w="330" w:type="dxa"/>
        <w:tblLayout w:type="fixed"/>
        <w:tblCellMar>
          <w:left w:w="30" w:type="dxa"/>
          <w:top w:w="0" w:type="dxa"/>
          <w:right w:w="30" w:type="dxa"/>
          <w:bottom w:w="0" w:type="dxa"/>
        </w:tblCellMar>
        <w:tblLook w:val="04A0" w:firstRow="1" w:lastRow="0" w:firstColumn="1" w:lastColumn="0" w:noHBand="0" w:noVBand="1"/>
      </w:tblPr>
      <w:tblGrid>
        <w:gridCol w:w="540"/>
        <w:gridCol w:w="1080"/>
        <w:gridCol w:w="1275"/>
        <w:gridCol w:w="945"/>
        <w:gridCol w:w="840"/>
        <w:gridCol w:w="1080"/>
        <w:gridCol w:w="1620"/>
        <w:gridCol w:w="907"/>
      </w:tblGrid>
      <w:tr>
        <w:trPr>
          <w:cantSplit/>
          <w:trHeight w:val="438"/>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名称</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型号规格</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制造商</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单位</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数量</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交货期</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794"/>
              <w:contextualSpacing/>
              <w:jc w:val="center"/>
              <w:spacing w:line="360" w:lineRule="auto"/>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45"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08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c>
          <w:tcPr>
            <w:tcBorders>
              <w:top w:val="single" w:color="000000" w:sz="6" w:space="0"/>
              <w:left w:val="single" w:color="000000" w:sz="6" w:space="0"/>
              <w:bottom w:val="single" w:color="000000" w:sz="6" w:space="0"/>
              <w:right w:val="single" w:color="000000" w:sz="6" w:space="0"/>
            </w:tcBorders>
            <w:tcW w:w="907" w:type="dxa"/>
            <w:vAlign w:val="top"/>
            <w:textDirection w:val="lrTb"/>
            <w:noWrap w:val="false"/>
          </w:tcPr>
          <w:p>
            <w:pPr>
              <w:pStyle w:val="794"/>
              <w:contextualSpacing/>
              <w:jc w:val="center"/>
              <w:spacing w:line="360" w:lineRule="auto"/>
              <w:rPr>
                <w:rFonts w:ascii="宋体" w:hAnsi="宋体"/>
                <w:b/>
                <w:color w:val="000000"/>
                <w:highlight w:val="none"/>
              </w:rPr>
            </w:pPr>
            <w:r>
              <w:rPr>
                <w:rFonts w:ascii="宋体" w:hAnsi="宋体"/>
                <w:b/>
                <w:color w:val="000000"/>
                <w:highlight w:val="none"/>
              </w:rPr>
            </w:r>
            <w:r/>
          </w:p>
        </w:tc>
      </w:tr>
    </w:tbl>
    <w:p>
      <w:pPr>
        <w:pStyle w:val="839"/>
        <w:contextualSpacing/>
        <w:ind w:firstLine="562"/>
        <w:spacing w:before="60" w:line="360" w:lineRule="auto"/>
        <w:rPr>
          <w:rFonts w:ascii="宋体" w:hAnsi="宋体" w:eastAsia="宋体"/>
          <w:b/>
          <w:color w:val="000000"/>
          <w:szCs w:val="28"/>
          <w:highlight w:val="none"/>
        </w:rPr>
      </w:pPr>
      <w:r>
        <w:rPr>
          <w:rFonts w:hint="eastAsia" w:ascii="宋体" w:hAnsi="宋体" w:eastAsia="宋体"/>
          <w:b/>
          <w:color w:val="000000"/>
          <w:szCs w:val="28"/>
          <w:highlight w:val="none"/>
        </w:rPr>
        <w:t xml:space="preserve">注：具体的供货范围、技术规格及技术图纸详见合同附件</w:t>
      </w:r>
      <w:r>
        <w:rPr>
          <w:rFonts w:hint="eastAsia" w:ascii="宋体" w:hAnsi="宋体" w:eastAsia="宋体"/>
          <w:b/>
          <w:color w:val="000000"/>
          <w:szCs w:val="28"/>
          <w:highlight w:val="none"/>
          <w:u w:val="single"/>
        </w:rPr>
        <w:t xml:space="preserve">               </w:t>
      </w:r>
      <w:r>
        <w:rPr>
          <w:rFonts w:hint="eastAsia" w:ascii="宋体" w:hAnsi="宋体" w:eastAsia="宋体"/>
          <w:b/>
          <w:color w:val="000000"/>
          <w:szCs w:val="28"/>
          <w:highlight w:val="none"/>
        </w:rPr>
        <w:t xml:space="preserve">。</w:t>
      </w:r>
      <w:r>
        <w:rPr>
          <w:rFonts w:ascii="宋体" w:hAnsi="宋体" w:eastAsia="宋体"/>
          <w:b/>
          <w:color w:val="000000"/>
          <w:szCs w:val="28"/>
          <w:highlight w:val="none"/>
        </w:rPr>
      </w:r>
      <w:r/>
    </w:p>
    <w:p>
      <w:pPr>
        <w:pStyle w:val="794"/>
        <w:numPr>
          <w:ilvl w:val="0"/>
          <w:numId w:val="13"/>
        </w:numPr>
        <w:contextualSpacing/>
        <w:spacing w:line="360" w:lineRule="auto"/>
        <w:widowControl/>
        <w:tabs>
          <w:tab w:val="left" w:pos="42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乙方应对本合同项下其承担的全部工作实施有效管理，以确保实施进度符合合同附件</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的要求。</w:t>
      </w:r>
      <w:r>
        <w:rPr>
          <w:rFonts w:ascii="宋体" w:hAnsi="宋体"/>
          <w:color w:val="000000"/>
          <w:sz w:val="28"/>
          <w:szCs w:val="28"/>
          <w:highlight w:val="none"/>
        </w:rPr>
      </w:r>
      <w:r/>
    </w:p>
    <w:p>
      <w:pPr>
        <w:pStyle w:val="794"/>
        <w:numPr>
          <w:ilvl w:val="0"/>
          <w:numId w:val="13"/>
        </w:numPr>
        <w:contextualSpacing/>
        <w:spacing w:line="360" w:lineRule="auto"/>
        <w:widowControl/>
        <w:tabs>
          <w:tab w:val="left" w:pos="420" w:leader="none"/>
        </w:tabs>
        <w:rPr>
          <w:rFonts w:ascii="宋体" w:hAnsi="宋体"/>
          <w:color w:val="000000"/>
          <w:sz w:val="28"/>
          <w:szCs w:val="28"/>
          <w:highlight w:val="none"/>
        </w:rPr>
      </w:pPr>
      <w:r>
        <w:rPr>
          <w:rFonts w:hint="eastAsia" w:ascii="宋体" w:hAnsi="宋体"/>
          <w:color w:val="000000"/>
          <w:sz w:val="28"/>
          <w:szCs w:val="28"/>
          <w:highlight w:val="none"/>
        </w:rPr>
        <w:t xml:space="preserve">完成货物安装调试及通过验收交付使用时间为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二、价格</w:t>
      </w:r>
      <w:r>
        <w:rPr>
          <w:rFonts w:ascii="宋体" w:hAnsi="宋体"/>
          <w:b/>
          <w:color w:val="000000"/>
          <w:sz w:val="28"/>
          <w:szCs w:val="28"/>
          <w:highlight w:val="none"/>
        </w:rPr>
      </w:r>
      <w:r/>
    </w:p>
    <w:p>
      <w:pPr>
        <w:pStyle w:val="794"/>
        <w:numPr>
          <w:ilvl w:val="1"/>
          <w:numId w:val="14"/>
        </w:numPr>
        <w:contextualSpacing/>
        <w:ind w:left="720" w:hanging="720"/>
        <w:spacing w:line="360" w:lineRule="auto"/>
        <w:widowControl/>
        <w:tabs>
          <w:tab w:val="left" w:pos="72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合同总价：人民币（大写）</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）。（价格明细清单见合同附件）</w:t>
      </w:r>
      <w:r>
        <w:rPr>
          <w:rFonts w:ascii="宋体" w:hAnsi="宋体"/>
          <w:color w:val="000000"/>
          <w:sz w:val="28"/>
          <w:szCs w:val="28"/>
          <w:highlight w:val="none"/>
        </w:rPr>
      </w:r>
      <w:r/>
    </w:p>
    <w:p>
      <w:pPr>
        <w:pStyle w:val="834"/>
        <w:numPr>
          <w:ilvl w:val="0"/>
          <w:numId w:val="15"/>
        </w:numPr>
        <w:contextualSpacing/>
        <w:spacing w:line="360" w:lineRule="auto"/>
        <w:tabs>
          <w:tab w:val="left" w:pos="0" w:leader="none"/>
        </w:tabs>
        <w:rPr>
          <w:rFonts w:hAnsi="宋体"/>
          <w:color w:val="000000"/>
          <w:sz w:val="28"/>
          <w:szCs w:val="28"/>
          <w:highlight w:val="none"/>
        </w:rPr>
      </w:pPr>
      <w:r>
        <w:rPr>
          <w:rFonts w:hint="eastAsia" w:hAnsi="宋体"/>
          <w:color w:val="000000"/>
          <w:sz w:val="28"/>
          <w:szCs w:val="28"/>
          <w:highlight w:val="none"/>
        </w:rPr>
        <w:t xml:space="preserve">合同总价包括了货物的设计、制造、包装、仓储、运输、保险以及乙方进行的安装、调试、试运行、验收、培训、技术服务（包括技术资料、图纸的提供）、质保期保障服务等的全部含税费用。</w:t>
      </w:r>
      <w:r>
        <w:rPr>
          <w:rFonts w:hAnsi="宋体"/>
          <w:color w:val="000000"/>
          <w:sz w:val="28"/>
          <w:szCs w:val="28"/>
          <w:highlight w:val="none"/>
        </w:rPr>
      </w:r>
      <w:r/>
    </w:p>
    <w:p>
      <w:pPr>
        <w:pStyle w:val="794"/>
        <w:numPr>
          <w:ilvl w:val="0"/>
          <w:numId w:val="15"/>
        </w:numPr>
        <w:contextualSpacing/>
        <w:spacing w:line="360" w:lineRule="auto"/>
        <w:widowControl/>
        <w:tabs>
          <w:tab w:val="left" w:pos="0" w:leader="none"/>
        </w:tabs>
        <w:rPr>
          <w:rFonts w:ascii="宋体" w:hAnsi="宋体"/>
          <w:color w:val="000000"/>
          <w:sz w:val="28"/>
          <w:szCs w:val="28"/>
          <w:highlight w:val="none"/>
        </w:rPr>
      </w:pPr>
      <w:r>
        <w:rPr>
          <w:rFonts w:hint="eastAsia" w:ascii="宋体" w:hAnsi="宋体"/>
          <w:color w:val="000000"/>
          <w:sz w:val="28"/>
          <w:szCs w:val="28"/>
          <w:highlight w:val="none"/>
        </w:rPr>
        <w:t xml:space="preserve">合同总价中包括用户需求书中列明所需的备品备件。</w:t>
      </w:r>
      <w:r>
        <w:rPr>
          <w:rFonts w:ascii="宋体" w:hAnsi="宋体"/>
          <w:color w:val="000000"/>
          <w:sz w:val="28"/>
          <w:szCs w:val="28"/>
          <w:highlight w:val="none"/>
        </w:rPr>
      </w:r>
      <w:r/>
    </w:p>
    <w:p>
      <w:pPr>
        <w:pStyle w:val="794"/>
        <w:numPr>
          <w:ilvl w:val="0"/>
          <w:numId w:val="15"/>
        </w:numPr>
        <w:contextualSpacing/>
        <w:spacing w:line="360" w:lineRule="auto"/>
        <w:widowControl/>
        <w:tabs>
          <w:tab w:val="left" w:pos="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本合同价格为固定不变价。</w:t>
      </w:r>
      <w:r>
        <w:rPr>
          <w:rFonts w:ascii="宋体" w:hAnsi="宋体"/>
          <w:color w:val="000000"/>
          <w:sz w:val="28"/>
          <w:szCs w:val="28"/>
          <w:highlight w:val="none"/>
        </w:rPr>
      </w:r>
      <w:r/>
    </w:p>
    <w:p>
      <w:pPr>
        <w:pStyle w:val="794"/>
        <w:numPr>
          <w:ilvl w:val="0"/>
          <w:numId w:val="15"/>
        </w:numPr>
        <w:contextualSpacing/>
        <w:spacing w:line="360" w:lineRule="auto"/>
        <w:widowControl/>
        <w:tabs>
          <w:tab w:val="left" w:pos="0" w:leader="none"/>
        </w:tabs>
        <w:rPr>
          <w:rFonts w:ascii="宋体" w:hAnsi="宋体"/>
          <w:color w:val="000000"/>
          <w:sz w:val="28"/>
          <w:szCs w:val="28"/>
          <w:highlight w:val="none"/>
        </w:rPr>
      </w:pPr>
      <w:r>
        <w:rPr>
          <w:rFonts w:hint="eastAsia" w:ascii="宋体" w:hAnsi="宋体"/>
          <w:color w:val="000000"/>
          <w:sz w:val="28"/>
          <w:szCs w:val="28"/>
          <w:highlight w:val="none"/>
        </w:rPr>
        <w:t xml:space="preserve">如果单价和数量的乘积与总价不一致时，以单价为准并修正总价。</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三、货物产地及标准</w:t>
      </w:r>
      <w:r>
        <w:rPr>
          <w:rFonts w:ascii="宋体" w:hAnsi="宋体"/>
          <w:b/>
          <w:color w:val="000000"/>
          <w:sz w:val="28"/>
          <w:szCs w:val="28"/>
          <w:highlight w:val="none"/>
        </w:rPr>
      </w:r>
      <w:r/>
    </w:p>
    <w:p>
      <w:pPr>
        <w:pStyle w:val="794"/>
        <w:numPr>
          <w:ilvl w:val="1"/>
          <w:numId w:val="16"/>
        </w:numPr>
        <w:contextualSpacing/>
        <w:ind w:left="360" w:hanging="360"/>
        <w:spacing w:line="360" w:lineRule="auto"/>
        <w:widowControl/>
        <w:tabs>
          <w:tab w:val="left" w:pos="36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货物为</w:t>
      </w:r>
      <w:r>
        <w:rPr>
          <w:rFonts w:hint="eastAsia" w:ascii="宋体" w:hAnsi="宋体"/>
          <w:i/>
          <w:color w:val="000000"/>
          <w:sz w:val="28"/>
          <w:szCs w:val="28"/>
          <w:highlight w:val="none"/>
          <w:u w:val="single"/>
        </w:rPr>
        <w:t xml:space="preserve">（制造厂商名称）</w:t>
      </w:r>
      <w:r>
        <w:rPr>
          <w:rFonts w:hint="eastAsia" w:ascii="宋体" w:hAnsi="宋体"/>
          <w:color w:val="000000"/>
          <w:sz w:val="28"/>
          <w:szCs w:val="28"/>
          <w:highlight w:val="none"/>
        </w:rPr>
        <w:t xml:space="preserve">全新的（原装）产品。</w:t>
      </w:r>
      <w:r>
        <w:rPr>
          <w:rFonts w:ascii="宋体" w:hAnsi="宋体"/>
          <w:color w:val="000000"/>
          <w:sz w:val="28"/>
          <w:szCs w:val="28"/>
          <w:highlight w:val="none"/>
        </w:rPr>
      </w:r>
      <w:r/>
    </w:p>
    <w:p>
      <w:pPr>
        <w:pStyle w:val="794"/>
        <w:numPr>
          <w:ilvl w:val="1"/>
          <w:numId w:val="16"/>
        </w:numPr>
        <w:contextualSpacing/>
        <w:ind w:left="360" w:hanging="360"/>
        <w:spacing w:line="360" w:lineRule="auto"/>
        <w:widowControl/>
        <w:tabs>
          <w:tab w:val="left" w:pos="36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标准。</w:t>
      </w:r>
      <w:r>
        <w:rPr>
          <w:rFonts w:ascii="宋体" w:hAnsi="宋体"/>
          <w:color w:val="000000"/>
          <w:sz w:val="28"/>
          <w:szCs w:val="28"/>
          <w:highlight w:val="none"/>
        </w:rPr>
      </w:r>
      <w:r/>
    </w:p>
    <w:p>
      <w:pPr>
        <w:pStyle w:val="794"/>
        <w:contextualSpacing/>
        <w:ind w:left="360" w:firstLine="540"/>
        <w:spacing w:line="360" w:lineRule="auto"/>
        <w:tabs>
          <w:tab w:val="left" w:pos="36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所指的货物及服务应符合合同附件的技术规格所述的标准：如果没有提及适用标准，则应符合中华人民共和国国家标准或行业标准；如果中华人民共和国没有相关标准的，则采用货物来源国适用的官方标准。这些标准必须是有关机构发布的最新版本的标准。</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四、到货、安装的时间、地点</w:t>
      </w:r>
      <w:r>
        <w:rPr>
          <w:rFonts w:ascii="宋体" w:hAnsi="宋体"/>
          <w:b/>
          <w:color w:val="000000"/>
          <w:sz w:val="28"/>
          <w:szCs w:val="28"/>
          <w:highlight w:val="none"/>
        </w:rPr>
      </w:r>
      <w:r/>
    </w:p>
    <w:p>
      <w:pPr>
        <w:pStyle w:val="794"/>
        <w:numPr>
          <w:ilvl w:val="0"/>
          <w:numId w:val="17"/>
        </w:numPr>
        <w:contextualSpacing/>
        <w:ind w:left="360" w:hanging="360"/>
        <w:spacing w:line="360" w:lineRule="auto"/>
        <w:widowControl/>
        <w:tabs>
          <w:tab w:val="left" w:pos="360" w:leader="none"/>
          <w:tab w:val="left" w:pos="1470" w:leader="none"/>
        </w:tabs>
        <w:rPr>
          <w:rFonts w:ascii="宋体" w:hAnsi="宋体"/>
          <w:color w:val="000000"/>
          <w:sz w:val="28"/>
          <w:szCs w:val="28"/>
          <w:highlight w:val="none"/>
        </w:rPr>
      </w:pPr>
      <w:r>
        <w:rPr>
          <w:rFonts w:hint="eastAsia" w:ascii="宋体" w:hAnsi="宋体"/>
          <w:color w:val="000000"/>
          <w:sz w:val="28"/>
          <w:szCs w:val="28"/>
          <w:highlight w:val="none"/>
        </w:rPr>
        <w:t xml:space="preserve">到货及安装地点：</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94"/>
        <w:numPr>
          <w:ilvl w:val="0"/>
          <w:numId w:val="17"/>
        </w:numPr>
        <w:contextualSpacing/>
        <w:ind w:left="360" w:hanging="360"/>
        <w:spacing w:line="360" w:lineRule="auto"/>
        <w:widowControl/>
        <w:tabs>
          <w:tab w:val="left" w:pos="360" w:leader="none"/>
          <w:tab w:val="left" w:pos="1470" w:leader="none"/>
        </w:tabs>
        <w:rPr>
          <w:rFonts w:ascii="宋体" w:hAnsi="宋体"/>
          <w:color w:val="000000"/>
          <w:sz w:val="28"/>
          <w:szCs w:val="28"/>
          <w:highlight w:val="none"/>
          <w:u w:val="single"/>
        </w:rPr>
      </w:pPr>
      <w:r>
        <w:rPr>
          <w:rFonts w:hint="eastAsia" w:ascii="宋体" w:hAnsi="宋体"/>
          <w:color w:val="000000"/>
          <w:sz w:val="28"/>
          <w:szCs w:val="28"/>
          <w:highlight w:val="none"/>
        </w:rPr>
        <w:t xml:space="preserve">安装时间安排如下：</w:t>
      </w:r>
      <w:r>
        <w:rPr>
          <w:rFonts w:ascii="宋体" w:hAnsi="宋体"/>
          <w:color w:val="000000"/>
          <w:sz w:val="28"/>
          <w:szCs w:val="28"/>
          <w:highlight w:val="none"/>
          <w:u w:val="single"/>
        </w:rPr>
      </w:r>
      <w:r/>
    </w:p>
    <w:p>
      <w:pPr>
        <w:pStyle w:val="794"/>
        <w:contextualSpacing/>
        <w:ind w:left="525"/>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日开始安装；</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日安装完毕。</w:t>
      </w:r>
      <w:r>
        <w:rPr>
          <w:rFonts w:ascii="宋体" w:hAnsi="宋体"/>
          <w:color w:val="000000"/>
          <w:sz w:val="28"/>
          <w:szCs w:val="28"/>
          <w:highlight w:val="none"/>
        </w:rPr>
      </w:r>
      <w:r/>
    </w:p>
    <w:p>
      <w:pPr>
        <w:pStyle w:val="794"/>
        <w:contextualSpacing/>
        <w:ind w:left="525" w:firstLine="15"/>
        <w:spacing w:line="360" w:lineRule="auto"/>
        <w:tabs>
          <w:tab w:val="left" w:pos="824" w:leader="none"/>
        </w:tabs>
        <w:rPr>
          <w:rFonts w:ascii="宋体" w:hAnsi="宋体"/>
          <w:color w:val="000000"/>
          <w:sz w:val="28"/>
          <w:szCs w:val="28"/>
          <w:highlight w:val="none"/>
        </w:rPr>
      </w:pPr>
      <w:r>
        <w:rPr>
          <w:rFonts w:hint="eastAsia" w:ascii="宋体" w:hAnsi="宋体"/>
          <w:color w:val="000000"/>
          <w:sz w:val="28"/>
          <w:szCs w:val="28"/>
          <w:highlight w:val="none"/>
        </w:rPr>
        <w:t xml:space="preserve">2）验收时间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日至</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日。</w:t>
      </w:r>
      <w:r>
        <w:rPr>
          <w:rFonts w:ascii="宋体" w:hAnsi="宋体"/>
          <w:color w:val="000000"/>
          <w:sz w:val="28"/>
          <w:szCs w:val="28"/>
          <w:highlight w:val="none"/>
        </w:rPr>
      </w:r>
      <w:r/>
    </w:p>
    <w:p>
      <w:pPr>
        <w:pStyle w:val="794"/>
        <w:numPr>
          <w:ilvl w:val="0"/>
          <w:numId w:val="17"/>
        </w:numPr>
        <w:contextualSpacing/>
        <w:ind w:left="360" w:hanging="360"/>
        <w:spacing w:line="360" w:lineRule="auto"/>
        <w:widowControl/>
        <w:tabs>
          <w:tab w:val="left" w:pos="360" w:leader="none"/>
          <w:tab w:val="left" w:pos="1470" w:leader="none"/>
        </w:tabs>
        <w:rPr>
          <w:rFonts w:ascii="宋体" w:hAnsi="宋体"/>
          <w:color w:val="000000"/>
          <w:sz w:val="28"/>
          <w:szCs w:val="28"/>
          <w:highlight w:val="none"/>
        </w:rPr>
      </w:pPr>
      <w:r>
        <w:rPr>
          <w:rFonts w:hint="eastAsia" w:ascii="宋体" w:hAnsi="宋体"/>
          <w:color w:val="000000"/>
          <w:sz w:val="28"/>
          <w:szCs w:val="28"/>
          <w:highlight w:val="none"/>
        </w:rPr>
        <w:t xml:space="preserve">合同生效，甲方按合同规定履行付款（如果合同约定是分期付款）等义务后，乙方应按本合同要求的交付使用时间将货物运至上款指定到货地点卸货、安装，并按规定将到货时间提前通报甲方。</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五、保密</w:t>
      </w:r>
      <w:r>
        <w:rPr>
          <w:rFonts w:ascii="宋体" w:hAnsi="宋体"/>
          <w:b/>
          <w:color w:val="000000"/>
          <w:sz w:val="28"/>
          <w:szCs w:val="28"/>
          <w:highlight w:val="none"/>
        </w:rPr>
      </w:r>
      <w:r/>
    </w:p>
    <w:p>
      <w:pPr>
        <w:pStyle w:val="794"/>
        <w:numPr>
          <w:ilvl w:val="0"/>
          <w:numId w:val="18"/>
        </w:numPr>
        <w:contextualSpacing/>
        <w:spacing w:line="360" w:lineRule="auto"/>
        <w:widowControl/>
        <w:tabs>
          <w:tab w:val="left" w:pos="425" w:leader="none"/>
          <w:tab w:val="left" w:pos="824" w:leader="none"/>
        </w:tabs>
        <w:rPr>
          <w:rFonts w:ascii="宋体" w:hAnsi="宋体"/>
          <w:color w:val="000000"/>
          <w:sz w:val="28"/>
          <w:szCs w:val="28"/>
          <w:highlight w:val="none"/>
        </w:rPr>
      </w:pPr>
      <w:r>
        <w:rPr>
          <w:rFonts w:hint="eastAsia" w:ascii="宋体" w:hAnsi="宋体"/>
          <w:color w:val="000000"/>
          <w:sz w:val="28"/>
          <w:szCs w:val="28"/>
          <w:highlight w:val="none"/>
        </w:rPr>
        <w:t xml:space="preserve">未经甲方事先书面同意，乙方不得将由甲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r>
        <w:rPr>
          <w:rFonts w:ascii="宋体" w:hAnsi="宋体"/>
          <w:color w:val="000000"/>
          <w:sz w:val="28"/>
          <w:szCs w:val="28"/>
          <w:highlight w:val="none"/>
        </w:rPr>
      </w:r>
      <w:r/>
    </w:p>
    <w:p>
      <w:pPr>
        <w:pStyle w:val="794"/>
        <w:numPr>
          <w:ilvl w:val="0"/>
          <w:numId w:val="18"/>
        </w:numPr>
        <w:contextualSpacing/>
        <w:spacing w:line="360" w:lineRule="auto"/>
        <w:widowControl/>
        <w:tabs>
          <w:tab w:val="left" w:pos="425" w:leader="none"/>
          <w:tab w:val="left" w:pos="824" w:leader="none"/>
        </w:tabs>
        <w:rPr>
          <w:rFonts w:ascii="宋体" w:hAnsi="宋体"/>
          <w:color w:val="000000"/>
          <w:sz w:val="28"/>
          <w:szCs w:val="28"/>
          <w:highlight w:val="none"/>
        </w:rPr>
      </w:pPr>
      <w:r>
        <w:rPr>
          <w:rFonts w:hint="eastAsia" w:ascii="宋体" w:hAnsi="宋体"/>
          <w:color w:val="000000"/>
          <w:sz w:val="28"/>
          <w:szCs w:val="28"/>
          <w:highlight w:val="none"/>
        </w:rPr>
        <w:t xml:space="preserve">除了合同本身之外，上款所列举的任何物件均是甲方的财产。如果甲方有要求，乙方在完成合同后应将这些物件及全部复制件还给甲方。</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六、技术文件</w:t>
      </w:r>
      <w:r>
        <w:rPr>
          <w:rFonts w:ascii="宋体" w:hAnsi="宋体"/>
          <w:b/>
          <w:color w:val="000000"/>
          <w:sz w:val="28"/>
          <w:szCs w:val="28"/>
          <w:highlight w:val="none"/>
        </w:rPr>
      </w:r>
      <w:r/>
    </w:p>
    <w:p>
      <w:pPr>
        <w:pStyle w:val="794"/>
        <w:numPr>
          <w:ilvl w:val="1"/>
          <w:numId w:val="19"/>
        </w:numPr>
        <w:contextualSpacing/>
        <w:ind w:left="540" w:hanging="540"/>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乙方应在供货同时向甲方提供所有有关本合同执行的技术文件。如果项目必需但合同又未作规定的要乙方才能提供的技术文件，乙方也应及时向甲方提供。技术文件可以是手册、图纸或其他形式的文件资料。</w:t>
      </w:r>
      <w:r>
        <w:rPr>
          <w:rFonts w:ascii="宋体" w:hAnsi="宋体"/>
          <w:color w:val="000000"/>
          <w:sz w:val="28"/>
          <w:szCs w:val="28"/>
          <w:highlight w:val="none"/>
        </w:rPr>
      </w:r>
      <w:r/>
    </w:p>
    <w:p>
      <w:pPr>
        <w:pStyle w:val="794"/>
        <w:numPr>
          <w:ilvl w:val="1"/>
          <w:numId w:val="19"/>
        </w:numPr>
        <w:contextualSpacing/>
        <w:ind w:left="540" w:hanging="540"/>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上述技术文件应包含保证甲方能够正确进行安装、操作、检查、维修、维护、测试、调试、验收和运作的需要的所有内容。</w:t>
      </w:r>
      <w:r>
        <w:rPr>
          <w:rFonts w:ascii="宋体" w:hAnsi="宋体"/>
          <w:color w:val="000000"/>
          <w:sz w:val="28"/>
          <w:szCs w:val="28"/>
          <w:highlight w:val="none"/>
        </w:rPr>
      </w:r>
      <w:r/>
    </w:p>
    <w:p>
      <w:pPr>
        <w:pStyle w:val="794"/>
        <w:numPr>
          <w:ilvl w:val="1"/>
          <w:numId w:val="19"/>
        </w:numPr>
        <w:contextualSpacing/>
        <w:ind w:left="540" w:hanging="540"/>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甲方完全按照技术文件的指导进行的任何安装、操作、检查维修、维护、测试、调试、验收所引起的系统和</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或货物或其部件的损坏由乙方承担责任。</w:t>
      </w:r>
      <w:r>
        <w:rPr>
          <w:rFonts w:ascii="宋体" w:hAnsi="宋体"/>
          <w:color w:val="000000"/>
          <w:sz w:val="28"/>
          <w:szCs w:val="28"/>
          <w:highlight w:val="none"/>
        </w:rPr>
      </w:r>
      <w:r/>
    </w:p>
    <w:p>
      <w:pPr>
        <w:pStyle w:val="794"/>
        <w:numPr>
          <w:ilvl w:val="1"/>
          <w:numId w:val="19"/>
        </w:numPr>
        <w:contextualSpacing/>
        <w:ind w:left="540" w:hanging="540"/>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乙方应按照甲方的要求提供上述技术文件一式两套给甲方。</w:t>
      </w:r>
      <w:r>
        <w:rPr>
          <w:rFonts w:ascii="宋体" w:hAnsi="宋体"/>
          <w:color w:val="000000"/>
          <w:sz w:val="28"/>
          <w:szCs w:val="28"/>
          <w:highlight w:val="none"/>
        </w:rPr>
      </w:r>
      <w:r/>
    </w:p>
    <w:p>
      <w:pPr>
        <w:pStyle w:val="794"/>
        <w:numPr>
          <w:ilvl w:val="1"/>
          <w:numId w:val="19"/>
        </w:numPr>
        <w:contextualSpacing/>
        <w:ind w:left="540" w:hanging="540"/>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所有乙方提供的技术文件的全部费用已包含在合同货物价格中。</w:t>
      </w:r>
      <w:r>
        <w:rPr>
          <w:rFonts w:ascii="宋体" w:hAnsi="宋体"/>
          <w:color w:val="000000"/>
          <w:sz w:val="28"/>
          <w:szCs w:val="28"/>
          <w:highlight w:val="none"/>
        </w:rPr>
      </w:r>
      <w:r/>
    </w:p>
    <w:p>
      <w:pPr>
        <w:pStyle w:val="794"/>
        <w:numPr>
          <w:ilvl w:val="1"/>
          <w:numId w:val="19"/>
        </w:numPr>
        <w:contextualSpacing/>
        <w:ind w:left="540" w:hanging="540"/>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所有未列明交付时间的乙方应提供的技术文件，必须单独包装伴随货物按货物交付时间交付给甲方。</w:t>
      </w:r>
      <w:r>
        <w:rPr>
          <w:rFonts w:ascii="宋体" w:hAnsi="宋体"/>
          <w:color w:val="000000"/>
          <w:sz w:val="28"/>
          <w:szCs w:val="28"/>
          <w:highlight w:val="none"/>
        </w:rPr>
      </w:r>
      <w:r/>
    </w:p>
    <w:p>
      <w:pPr>
        <w:pStyle w:val="794"/>
        <w:numPr>
          <w:ilvl w:val="1"/>
          <w:numId w:val="19"/>
        </w:numPr>
        <w:contextualSpacing/>
        <w:ind w:left="540" w:hanging="540"/>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到货后甲方如发现乙方未提供有关文件，可以推迟付款，直至乙方补齐有关文件。</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七、知识产权</w:t>
      </w:r>
      <w:r>
        <w:rPr>
          <w:rFonts w:ascii="宋体" w:hAnsi="宋体"/>
          <w:b/>
          <w:color w:val="000000"/>
          <w:sz w:val="28"/>
          <w:szCs w:val="28"/>
          <w:highlight w:val="none"/>
        </w:rPr>
      </w:r>
      <w:r/>
    </w:p>
    <w:p>
      <w:pPr>
        <w:pStyle w:val="794"/>
        <w:numPr>
          <w:ilvl w:val="1"/>
          <w:numId w:val="20"/>
        </w:numPr>
        <w:contextualSpacing/>
        <w:ind w:left="540" w:hanging="540"/>
        <w:spacing w:line="360" w:lineRule="auto"/>
        <w:widowControl/>
        <w:tabs>
          <w:tab w:val="left" w:pos="54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乙方应保证，甲方在中华人民共和国使用该货物或货物的任何一部分时，免受第三方提出的侵犯其专利权、商标权或其他知识产权的起诉。如发生此类纠纷，由乙方承担一切责任。</w:t>
      </w:r>
      <w:r>
        <w:rPr>
          <w:rFonts w:ascii="宋体" w:hAnsi="宋体"/>
          <w:color w:val="000000"/>
          <w:sz w:val="28"/>
          <w:szCs w:val="28"/>
          <w:highlight w:val="none"/>
        </w:rPr>
      </w:r>
      <w:r/>
    </w:p>
    <w:p>
      <w:pPr>
        <w:pStyle w:val="794"/>
        <w:numPr>
          <w:ilvl w:val="1"/>
          <w:numId w:val="20"/>
        </w:numPr>
        <w:contextualSpacing/>
        <w:ind w:left="540" w:hanging="540"/>
        <w:spacing w:line="360" w:lineRule="auto"/>
        <w:widowControl/>
        <w:tabs>
          <w:tab w:val="left" w:pos="54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乙方为执行本合同而提供的技术资料、软件的使用权归甲方所有。</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八、包装、装卸和运输</w:t>
      </w:r>
      <w:r>
        <w:rPr>
          <w:rFonts w:ascii="宋体" w:hAnsi="宋体"/>
          <w:b/>
          <w:color w:val="000000"/>
          <w:sz w:val="28"/>
          <w:szCs w:val="28"/>
          <w:highlight w:val="none"/>
        </w:rPr>
      </w:r>
      <w:r/>
    </w:p>
    <w:p>
      <w:pPr>
        <w:pStyle w:val="794"/>
        <w:numPr>
          <w:ilvl w:val="0"/>
          <w:numId w:val="21"/>
        </w:numPr>
        <w:contextualSpacing/>
        <w:spacing w:line="360" w:lineRule="auto"/>
        <w:widowControl/>
        <w:tabs>
          <w:tab w:val="left" w:pos="525" w:leader="none"/>
        </w:tabs>
        <w:rPr>
          <w:rFonts w:ascii="宋体" w:hAnsi="宋体"/>
          <w:color w:val="000000"/>
          <w:sz w:val="28"/>
          <w:szCs w:val="28"/>
          <w:highlight w:val="none"/>
        </w:rPr>
      </w:pPr>
      <w:r>
        <w:rPr>
          <w:rFonts w:hint="eastAsia" w:ascii="宋体" w:hAnsi="宋体"/>
          <w:color w:val="000000"/>
          <w:sz w:val="28"/>
          <w:szCs w:val="28"/>
          <w:highlight w:val="none"/>
        </w:rPr>
        <w:t xml:space="preserve">包装必须与运输方式相适应，包装方式的确定及包装费用均由乙方负责；由于不适当的包装而造成货物在运输过程中有任何损坏、丢失由乙方负责。</w:t>
      </w:r>
      <w:r>
        <w:rPr>
          <w:rFonts w:ascii="宋体" w:hAnsi="宋体"/>
          <w:color w:val="000000"/>
          <w:sz w:val="28"/>
          <w:szCs w:val="28"/>
          <w:highlight w:val="none"/>
        </w:rPr>
      </w:r>
      <w:r/>
    </w:p>
    <w:p>
      <w:pPr>
        <w:pStyle w:val="794"/>
        <w:numPr>
          <w:ilvl w:val="0"/>
          <w:numId w:val="21"/>
        </w:numPr>
        <w:contextualSpacing/>
        <w:spacing w:line="360" w:lineRule="auto"/>
        <w:widowControl/>
        <w:tabs>
          <w:tab w:val="left" w:pos="525" w:leader="none"/>
        </w:tabs>
        <w:rPr>
          <w:rFonts w:ascii="宋体" w:hAnsi="宋体"/>
          <w:color w:val="000000"/>
          <w:sz w:val="28"/>
          <w:szCs w:val="28"/>
          <w:highlight w:val="none"/>
        </w:rPr>
      </w:pPr>
      <w:r>
        <w:rPr>
          <w:rFonts w:hint="eastAsia" w:ascii="宋体" w:hAnsi="宋体"/>
          <w:color w:val="000000"/>
          <w:sz w:val="28"/>
          <w:szCs w:val="28"/>
          <w:highlight w:val="none"/>
        </w:rPr>
        <w:t xml:space="preserve">包装应足以承受整个过程中的运输、转运、装卸、储存等，充分考虑到运输途中的各种情况（如暴露于恶劣气候等）和南通地区的气候特点，以及露天存放的需要。</w:t>
      </w:r>
      <w:r>
        <w:rPr>
          <w:rFonts w:ascii="宋体" w:hAnsi="宋体"/>
          <w:color w:val="000000"/>
          <w:sz w:val="28"/>
          <w:szCs w:val="28"/>
          <w:highlight w:val="none"/>
        </w:rPr>
      </w:r>
      <w:r/>
    </w:p>
    <w:p>
      <w:pPr>
        <w:pStyle w:val="794"/>
        <w:numPr>
          <w:ilvl w:val="0"/>
          <w:numId w:val="21"/>
        </w:numPr>
        <w:contextualSpacing/>
        <w:spacing w:line="360" w:lineRule="auto"/>
        <w:widowControl/>
        <w:tabs>
          <w:tab w:val="left" w:pos="525" w:leader="none"/>
        </w:tabs>
        <w:rPr>
          <w:rFonts w:ascii="宋体" w:hAnsi="宋体"/>
          <w:color w:val="000000"/>
          <w:sz w:val="28"/>
          <w:szCs w:val="28"/>
          <w:highlight w:val="none"/>
        </w:rPr>
      </w:pPr>
      <w:r>
        <w:rPr>
          <w:rFonts w:hint="eastAsia" w:ascii="宋体" w:hAnsi="宋体"/>
          <w:color w:val="000000"/>
          <w:sz w:val="28"/>
          <w:szCs w:val="28"/>
          <w:highlight w:val="none"/>
        </w:rPr>
        <w:t xml:space="preserve">专用工具及备品备件应分别包装，并在包装箱外加以注明其用处。</w:t>
      </w:r>
      <w:r>
        <w:rPr>
          <w:rFonts w:ascii="宋体" w:hAnsi="宋体"/>
          <w:color w:val="000000"/>
          <w:sz w:val="28"/>
          <w:szCs w:val="28"/>
          <w:highlight w:val="none"/>
        </w:rPr>
      </w:r>
      <w:r/>
    </w:p>
    <w:p>
      <w:pPr>
        <w:pStyle w:val="794"/>
        <w:numPr>
          <w:ilvl w:val="0"/>
          <w:numId w:val="21"/>
        </w:numPr>
        <w:contextualSpacing/>
        <w:spacing w:line="360" w:lineRule="auto"/>
        <w:widowControl/>
        <w:tabs>
          <w:tab w:val="left" w:pos="525" w:leader="none"/>
        </w:tabs>
        <w:rPr>
          <w:rFonts w:ascii="宋体" w:hAnsi="宋体"/>
          <w:color w:val="000000"/>
          <w:sz w:val="28"/>
          <w:szCs w:val="28"/>
          <w:highlight w:val="none"/>
        </w:rPr>
      </w:pPr>
      <w:r>
        <w:rPr>
          <w:rFonts w:hint="eastAsia" w:ascii="宋体" w:hAnsi="宋体"/>
          <w:color w:val="000000"/>
          <w:sz w:val="28"/>
          <w:szCs w:val="28"/>
          <w:highlight w:val="none"/>
        </w:rPr>
        <w:t xml:space="preserve">每一包装箱两个侧面用不褪色的油漆和明显易见的中文字样做出标记。</w:t>
      </w:r>
      <w:r>
        <w:rPr>
          <w:rFonts w:ascii="宋体" w:hAnsi="宋体"/>
          <w:color w:val="000000"/>
          <w:sz w:val="28"/>
          <w:szCs w:val="28"/>
          <w:highlight w:val="none"/>
        </w:rPr>
      </w:r>
      <w:r/>
    </w:p>
    <w:p>
      <w:pPr>
        <w:pStyle w:val="794"/>
        <w:contextualSpacing/>
        <w:ind w:left="5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标记内容包括：箱（件）号、装运标志（唛头）、毛重（kg）、尺码（长×宽×高，用mm表示）、净重（kg）、到货地址、收货人名称、货物名称、合同编号以及“勿近潮湿”、“小心轻放”、“此边向上”等。</w:t>
      </w:r>
      <w:r>
        <w:rPr>
          <w:rFonts w:ascii="宋体" w:hAnsi="宋体"/>
          <w:color w:val="000000"/>
          <w:sz w:val="28"/>
          <w:szCs w:val="28"/>
          <w:highlight w:val="none"/>
        </w:rPr>
      </w:r>
      <w:r/>
    </w:p>
    <w:p>
      <w:pPr>
        <w:pStyle w:val="794"/>
        <w:numPr>
          <w:ilvl w:val="0"/>
          <w:numId w:val="21"/>
        </w:numPr>
        <w:contextualSpacing/>
        <w:spacing w:line="360" w:lineRule="auto"/>
        <w:widowControl/>
        <w:tabs>
          <w:tab w:val="left" w:pos="525" w:leader="none"/>
        </w:tabs>
        <w:rPr>
          <w:rFonts w:ascii="宋体" w:hAnsi="宋体"/>
          <w:color w:val="000000"/>
          <w:sz w:val="28"/>
          <w:szCs w:val="28"/>
          <w:highlight w:val="none"/>
        </w:rPr>
      </w:pPr>
      <w:r>
        <w:rPr>
          <w:rFonts w:hint="eastAsia" w:ascii="宋体" w:hAnsi="宋体"/>
          <w:color w:val="000000"/>
          <w:sz w:val="28"/>
          <w:szCs w:val="28"/>
          <w:highlight w:val="none"/>
        </w:rPr>
        <w:t xml:space="preserve">包装费、运费已包含在合同价内。</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九、装运单证</w:t>
      </w:r>
      <w:r>
        <w:rPr>
          <w:rFonts w:ascii="宋体" w:hAnsi="宋体"/>
          <w:b/>
          <w:color w:val="000000"/>
          <w:sz w:val="28"/>
          <w:szCs w:val="28"/>
          <w:highlight w:val="none"/>
        </w:rPr>
      </w:r>
      <w:r/>
    </w:p>
    <w:p>
      <w:pPr>
        <w:pStyle w:val="794"/>
        <w:contextualSpacing/>
        <w:ind w:left="360" w:firstLine="3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采用铁路运输、船运或空运的以下单证原件在到货同时交给甲方，其单证副本（或复印件）则应在到货前三天交给甲方：</w:t>
      </w:r>
      <w:r>
        <w:rPr>
          <w:rFonts w:ascii="宋体" w:hAnsi="宋体"/>
          <w:color w:val="000000"/>
          <w:sz w:val="28"/>
          <w:szCs w:val="28"/>
          <w:highlight w:val="none"/>
        </w:rPr>
      </w:r>
      <w:r/>
    </w:p>
    <w:p>
      <w:pPr>
        <w:pStyle w:val="794"/>
        <w:contextualSpacing/>
        <w:ind w:left="630" w:hanging="63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1、装箱单一式三份，注明合同号、装运标志、货物内容、每件包装尺码及重量；</w:t>
      </w:r>
      <w:r>
        <w:rPr>
          <w:rFonts w:ascii="宋体" w:hAnsi="宋体"/>
          <w:color w:val="000000"/>
          <w:sz w:val="28"/>
          <w:szCs w:val="28"/>
          <w:highlight w:val="none"/>
        </w:rPr>
      </w:r>
      <w:r/>
    </w:p>
    <w:p>
      <w:pPr>
        <w:pStyle w:val="794"/>
        <w:contextualSpacing/>
        <w:ind w:left="630" w:hanging="63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2、制造厂出具的出厂质量及数量检验证明书各一式一份；</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十、付款</w:t>
      </w:r>
      <w:r>
        <w:rPr>
          <w:rFonts w:ascii="宋体" w:hAnsi="宋体"/>
          <w:b/>
          <w:color w:val="000000"/>
          <w:sz w:val="28"/>
          <w:szCs w:val="28"/>
          <w:highlight w:val="none"/>
        </w:rPr>
      </w:r>
      <w:r/>
    </w:p>
    <w:p>
      <w:pPr>
        <w:pStyle w:val="794"/>
        <w:numPr>
          <w:ilvl w:val="0"/>
          <w:numId w:val="22"/>
        </w:numPr>
        <w:contextualSpacing/>
        <w:spacing w:line="360" w:lineRule="auto"/>
        <w:widowControl/>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本合同按      的付款方式付款。</w:t>
      </w:r>
      <w:r>
        <w:rPr>
          <w:rFonts w:ascii="宋体" w:hAnsi="宋体"/>
          <w:color w:val="000000"/>
          <w:sz w:val="28"/>
          <w:szCs w:val="28"/>
          <w:highlight w:val="none"/>
        </w:rPr>
      </w:r>
      <w:r/>
    </w:p>
    <w:p>
      <w:pPr>
        <w:pStyle w:val="794"/>
        <w:numPr>
          <w:ilvl w:val="0"/>
          <w:numId w:val="22"/>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付款方式：采用银行汇付（含电汇）等形式。每笔款项支付时，乙方同时向甲方提供相应金额的正式发票（含货物款发票、货物安装费发票及有关服务发票）。</w:t>
      </w:r>
      <w:r>
        <w:rPr>
          <w:rFonts w:ascii="宋体" w:hAnsi="宋体"/>
          <w:color w:val="000000"/>
          <w:sz w:val="28"/>
          <w:szCs w:val="28"/>
          <w:highlight w:val="none"/>
        </w:rPr>
      </w:r>
      <w:r/>
    </w:p>
    <w:p>
      <w:pPr>
        <w:pStyle w:val="794"/>
        <w:numPr>
          <w:ilvl w:val="0"/>
          <w:numId w:val="22"/>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本合同的付款时间为甲方向政府采购支付部门提出支付申请的时间（不含政府财政支付部门审查的时间）。</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十一、产权与风险转移</w:t>
      </w:r>
      <w:r>
        <w:rPr>
          <w:rFonts w:ascii="宋体" w:hAnsi="宋体"/>
          <w:b/>
          <w:color w:val="000000"/>
          <w:sz w:val="28"/>
          <w:szCs w:val="28"/>
          <w:highlight w:val="none"/>
        </w:rPr>
      </w:r>
      <w:r/>
    </w:p>
    <w:p>
      <w:pPr>
        <w:pStyle w:val="794"/>
        <w:contextualSpacing/>
        <w:ind w:firstLine="5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除非另有规定，合同标的产权与风险转移遵守如下约定：</w:t>
      </w:r>
      <w:r>
        <w:rPr>
          <w:rFonts w:ascii="宋体" w:hAnsi="宋体"/>
          <w:color w:val="000000"/>
          <w:sz w:val="28"/>
          <w:szCs w:val="28"/>
          <w:highlight w:val="none"/>
        </w:rPr>
      </w:r>
      <w:r/>
    </w:p>
    <w:p>
      <w:pPr>
        <w:pStyle w:val="794"/>
        <w:numPr>
          <w:ilvl w:val="0"/>
          <w:numId w:val="23"/>
        </w:numPr>
        <w:contextualSpacing/>
        <w:spacing w:line="360" w:lineRule="auto"/>
        <w:widowControl/>
        <w:tabs>
          <w:tab w:val="left" w:pos="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乙方交由承运人运输的在途货物，毁损、灭失的风险由乙方承担。</w:t>
      </w:r>
      <w:r>
        <w:rPr>
          <w:rFonts w:ascii="宋体" w:hAnsi="宋体"/>
          <w:color w:val="000000"/>
          <w:sz w:val="28"/>
          <w:szCs w:val="28"/>
          <w:highlight w:val="none"/>
        </w:rPr>
      </w:r>
      <w:r/>
    </w:p>
    <w:p>
      <w:pPr>
        <w:pStyle w:val="794"/>
        <w:numPr>
          <w:ilvl w:val="0"/>
          <w:numId w:val="23"/>
        </w:numPr>
        <w:contextualSpacing/>
        <w:spacing w:line="360" w:lineRule="auto"/>
        <w:widowControl/>
        <w:tabs>
          <w:tab w:val="left" w:pos="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货物的产权，损坏、灭失的风险，在货物通过验收交付使用时起由乙方转移至甲方。</w:t>
      </w:r>
      <w:r>
        <w:rPr>
          <w:rFonts w:ascii="宋体" w:hAnsi="宋体"/>
          <w:color w:val="000000"/>
          <w:sz w:val="28"/>
          <w:szCs w:val="28"/>
          <w:highlight w:val="none"/>
        </w:rPr>
      </w:r>
      <w:r/>
    </w:p>
    <w:p>
      <w:pPr>
        <w:pStyle w:val="794"/>
        <w:numPr>
          <w:ilvl w:val="0"/>
          <w:numId w:val="23"/>
        </w:numPr>
        <w:contextualSpacing/>
        <w:spacing w:line="360" w:lineRule="auto"/>
        <w:widowControl/>
        <w:tabs>
          <w:tab w:val="left" w:pos="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因货物验收不合格甲方拒收，或双方已解除合同，货物毁损、灭失的风险由乙方承担。</w:t>
      </w:r>
      <w:r>
        <w:rPr>
          <w:rFonts w:ascii="宋体" w:hAnsi="宋体"/>
          <w:color w:val="000000"/>
          <w:sz w:val="28"/>
          <w:szCs w:val="28"/>
          <w:highlight w:val="none"/>
        </w:rPr>
      </w:r>
      <w:r/>
    </w:p>
    <w:p>
      <w:pPr>
        <w:pStyle w:val="794"/>
        <w:numPr>
          <w:ilvl w:val="0"/>
          <w:numId w:val="23"/>
        </w:numPr>
        <w:contextualSpacing/>
        <w:spacing w:line="360" w:lineRule="auto"/>
        <w:widowControl/>
        <w:tabs>
          <w:tab w:val="left" w:pos="0" w:leader="none"/>
          <w:tab w:val="left" w:pos="540" w:leader="none"/>
        </w:tabs>
        <w:rPr>
          <w:rFonts w:ascii="宋体" w:hAnsi="宋体"/>
          <w:color w:val="000000"/>
          <w:spacing w:val="-4"/>
          <w:sz w:val="28"/>
          <w:szCs w:val="28"/>
          <w:highlight w:val="none"/>
        </w:rPr>
      </w:pPr>
      <w:r>
        <w:rPr>
          <w:rFonts w:hint="eastAsia" w:ascii="宋体" w:hAnsi="宋体"/>
          <w:color w:val="000000"/>
          <w:spacing w:val="-4"/>
          <w:sz w:val="28"/>
          <w:szCs w:val="28"/>
          <w:highlight w:val="none"/>
        </w:rPr>
        <w:t xml:space="preserve">产权和风险的转移，不影响因乙方履行义务不符合约定，甲方要求其承担违约责任的权利。</w:t>
      </w:r>
      <w:r>
        <w:rPr>
          <w:rFonts w:ascii="宋体" w:hAnsi="宋体"/>
          <w:color w:val="000000"/>
          <w:spacing w:val="-4"/>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十二、保险</w:t>
      </w:r>
      <w:r>
        <w:rPr>
          <w:rFonts w:ascii="宋体" w:hAnsi="宋体"/>
          <w:b/>
          <w:color w:val="000000"/>
          <w:sz w:val="28"/>
          <w:szCs w:val="28"/>
          <w:highlight w:val="none"/>
        </w:rPr>
      </w:r>
      <w:r/>
    </w:p>
    <w:p>
      <w:pPr>
        <w:pStyle w:val="794"/>
        <w:contextualSpacing/>
        <w:ind w:left="540" w:firstLine="540"/>
        <w:spacing w:line="360" w:lineRule="auto"/>
        <w:rPr>
          <w:rFonts w:ascii="宋体" w:hAnsi="宋体"/>
          <w:b/>
          <w:color w:val="000000"/>
          <w:sz w:val="28"/>
          <w:szCs w:val="28"/>
          <w:highlight w:val="none"/>
        </w:rPr>
      </w:pPr>
      <w:r>
        <w:rPr>
          <w:rFonts w:hint="eastAsia" w:ascii="宋体" w:hAnsi="宋体"/>
          <w:color w:val="000000"/>
          <w:sz w:val="28"/>
          <w:szCs w:val="28"/>
          <w:highlight w:val="none"/>
        </w:rPr>
        <w:t xml:space="preserve">根据本合同关于产权与风险转移条款规定，乙方承担货物到达交货地点并安装、验收合格交付使用之前的所有风险。因此，乙方应按货物总价的110％价值为货物投保一切险、为派往甲方服务的人员投保人身险、为货物交付前有关本项目活动可能涉及的第三方投保相关险种，保险费用均由乙方负责。</w:t>
      </w:r>
      <w:r>
        <w:rPr>
          <w:rFonts w:ascii="宋体" w:hAnsi="宋体"/>
          <w:b/>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十三、检验与测试</w:t>
      </w:r>
      <w:r>
        <w:rPr>
          <w:rFonts w:ascii="宋体" w:hAnsi="宋体"/>
          <w:b/>
          <w:color w:val="000000"/>
          <w:sz w:val="28"/>
          <w:szCs w:val="28"/>
          <w:highlight w:val="none"/>
        </w:rPr>
      </w:r>
      <w:r/>
    </w:p>
    <w:p>
      <w:pPr>
        <w:pStyle w:val="794"/>
        <w:numPr>
          <w:ilvl w:val="0"/>
          <w:numId w:val="24"/>
        </w:numPr>
        <w:contextualSpacing/>
        <w:ind w:left="540" w:hanging="540"/>
        <w:spacing w:line="360" w:lineRule="auto"/>
        <w:widowControl/>
        <w:tabs>
          <w:tab w:val="left" w:pos="540" w:leader="none"/>
          <w:tab w:val="left" w:pos="840" w:leader="none"/>
        </w:tabs>
        <w:rPr>
          <w:rFonts w:ascii="宋体" w:hAnsi="宋体"/>
          <w:color w:val="000000"/>
          <w:spacing w:val="-2"/>
          <w:sz w:val="28"/>
          <w:szCs w:val="28"/>
          <w:highlight w:val="none"/>
        </w:rPr>
      </w:pPr>
      <w:r>
        <w:rPr>
          <w:rFonts w:hint="eastAsia" w:ascii="宋体" w:hAnsi="宋体"/>
          <w:color w:val="000000"/>
          <w:spacing w:val="-2"/>
          <w:sz w:val="28"/>
          <w:szCs w:val="28"/>
          <w:highlight w:val="none"/>
        </w:rPr>
        <w:t xml:space="preserve">甲方或其代表有权检验和/或测试货物，以确认货物是否符合合同规格的要求，并且不承担额外的费用。合同条款的技术规格将说明甲方要求进行的检验和测试，以及在何处进行这些检验和测试。甲方将及时以书面形式把进行检验和/或甲方测试代表的身份通知乙方。</w:t>
      </w:r>
      <w:r>
        <w:rPr>
          <w:rFonts w:ascii="宋体" w:hAnsi="宋体"/>
          <w:color w:val="000000"/>
          <w:spacing w:val="-2"/>
          <w:sz w:val="28"/>
          <w:szCs w:val="28"/>
          <w:highlight w:val="none"/>
        </w:rPr>
      </w:r>
      <w:r/>
    </w:p>
    <w:p>
      <w:pPr>
        <w:pStyle w:val="794"/>
        <w:numPr>
          <w:ilvl w:val="0"/>
          <w:numId w:val="24"/>
        </w:numPr>
        <w:contextualSpacing/>
        <w:ind w:left="540" w:hanging="540"/>
        <w:spacing w:line="360" w:lineRule="auto"/>
        <w:widowControl/>
        <w:tabs>
          <w:tab w:val="left" w:pos="540" w:leader="none"/>
          <w:tab w:val="left" w:pos="840" w:leader="none"/>
        </w:tabs>
        <w:rPr>
          <w:rFonts w:ascii="宋体" w:hAnsi="宋体"/>
          <w:color w:val="000000"/>
          <w:spacing w:val="-2"/>
          <w:sz w:val="28"/>
          <w:szCs w:val="28"/>
          <w:highlight w:val="none"/>
        </w:rPr>
      </w:pPr>
      <w:r>
        <w:rPr>
          <w:rFonts w:hint="eastAsia" w:ascii="宋体" w:hAnsi="宋体"/>
          <w:color w:val="000000"/>
          <w:spacing w:val="-2"/>
          <w:sz w:val="28"/>
          <w:szCs w:val="28"/>
          <w:highlight w:val="none"/>
        </w:rPr>
        <w:t xml:space="preserve">检验和测试可以在乙方或其分包人的驻地、交货地和/或货物的最终目的地进行。如果在乙方或其分包人的驻地进行，检测人员应能得全部合理的设施和协助，甲方不应承担费用。</w:t>
      </w:r>
      <w:r>
        <w:rPr>
          <w:rFonts w:ascii="宋体" w:hAnsi="宋体"/>
          <w:color w:val="000000"/>
          <w:spacing w:val="-2"/>
          <w:sz w:val="28"/>
          <w:szCs w:val="28"/>
          <w:highlight w:val="none"/>
        </w:rPr>
      </w:r>
      <w:r/>
    </w:p>
    <w:p>
      <w:pPr>
        <w:pStyle w:val="794"/>
        <w:numPr>
          <w:ilvl w:val="0"/>
          <w:numId w:val="24"/>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如果任何被检验或测试的货物不能满足规格的要求，甲方可以拒绝接受该货物，乙方应更换被拒绝的货物，或者免费进行必要的修改以满足规格的要求。</w:t>
      </w:r>
      <w:r>
        <w:rPr>
          <w:rFonts w:ascii="宋体" w:hAnsi="宋体"/>
          <w:color w:val="000000"/>
          <w:sz w:val="28"/>
          <w:szCs w:val="28"/>
          <w:highlight w:val="none"/>
        </w:rPr>
      </w:r>
      <w:r/>
    </w:p>
    <w:p>
      <w:pPr>
        <w:pStyle w:val="794"/>
        <w:numPr>
          <w:ilvl w:val="0"/>
          <w:numId w:val="24"/>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甲方在货物到达的目的地后对货物进行检验、测试及必要时拒绝接受货物的权力将不会因为货物在乙方或其分包人的驻地已通过了甲方或其代表的检验、测试和认可而受到限制或放弃。</w:t>
      </w:r>
      <w:r>
        <w:rPr>
          <w:rFonts w:ascii="宋体" w:hAnsi="宋体"/>
          <w:color w:val="000000"/>
          <w:sz w:val="28"/>
          <w:szCs w:val="28"/>
          <w:highlight w:val="none"/>
        </w:rPr>
      </w:r>
      <w:r/>
    </w:p>
    <w:p>
      <w:pPr>
        <w:pStyle w:val="794"/>
        <w:numPr>
          <w:ilvl w:val="0"/>
          <w:numId w:val="24"/>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交货时，乙方应将制造商对货物的质量、规格、性能、数量和重量等进行详细而全面检验、并出具证明货物符合合同规定的检验证书提交甲方。检验证书是付款的文件依据之一，但不能作为有关质量、规格、性能、数量或重量的最终检验。制造商检验的结果和细节应附在质量检验证书后面。</w:t>
      </w:r>
      <w:r>
        <w:rPr>
          <w:rFonts w:ascii="宋体" w:hAnsi="宋体"/>
          <w:color w:val="000000"/>
          <w:sz w:val="28"/>
          <w:szCs w:val="28"/>
          <w:highlight w:val="none"/>
        </w:rPr>
      </w:r>
      <w:r/>
    </w:p>
    <w:p>
      <w:pPr>
        <w:pStyle w:val="794"/>
        <w:numPr>
          <w:ilvl w:val="0"/>
          <w:numId w:val="24"/>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如果货物是进口产品，且属于强制检验商品，乙方应附上经中国国家商检部门对货物的质量、规格、数量和重量进行检验并合格的检验证书。</w:t>
      </w:r>
      <w:r>
        <w:rPr>
          <w:rFonts w:ascii="宋体" w:hAnsi="宋体"/>
          <w:color w:val="000000"/>
          <w:sz w:val="28"/>
          <w:szCs w:val="28"/>
          <w:highlight w:val="none"/>
        </w:rPr>
      </w:r>
      <w:r/>
    </w:p>
    <w:p>
      <w:pPr>
        <w:pStyle w:val="794"/>
        <w:numPr>
          <w:ilvl w:val="0"/>
          <w:numId w:val="24"/>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本“检验与测试”的有关条款不能免除乙方在本合同项下的保证义务或其它义务。</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十四、伴随服务</w:t>
      </w:r>
      <w:r>
        <w:rPr>
          <w:rFonts w:ascii="宋体" w:hAnsi="宋体"/>
          <w:b/>
          <w:color w:val="000000"/>
          <w:sz w:val="28"/>
          <w:szCs w:val="28"/>
          <w:highlight w:val="none"/>
        </w:rPr>
      </w:r>
      <w:r/>
    </w:p>
    <w:p>
      <w:pPr>
        <w:pStyle w:val="794"/>
        <w:contextualSpacing/>
        <w:ind w:left="718" w:firstLine="536"/>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应甲方要求，乙方应提供下列服务的一项或各项，以及用户需求书规定的附加服务（如果有的话）。除非另有约定，所有服务费用已包含在合同总价中。</w:t>
      </w:r>
      <w:r>
        <w:rPr>
          <w:rFonts w:ascii="宋体" w:hAnsi="宋体"/>
          <w:color w:val="000000"/>
          <w:sz w:val="28"/>
          <w:szCs w:val="28"/>
          <w:highlight w:val="none"/>
        </w:rPr>
      </w:r>
      <w:r/>
    </w:p>
    <w:p>
      <w:pPr>
        <w:pStyle w:val="794"/>
        <w:numPr>
          <w:ilvl w:val="0"/>
          <w:numId w:val="25"/>
        </w:numPr>
        <w:contextualSpacing/>
        <w:spacing w:line="360" w:lineRule="auto"/>
        <w:tabs>
          <w:tab w:val="left" w:pos="630" w:leader="none"/>
        </w:tabs>
        <w:rPr>
          <w:rFonts w:ascii="宋体" w:hAnsi="宋体"/>
          <w:b/>
          <w:color w:val="000000"/>
          <w:sz w:val="28"/>
          <w:szCs w:val="28"/>
          <w:highlight w:val="none"/>
        </w:rPr>
      </w:pPr>
      <w:r>
        <w:rPr>
          <w:rFonts w:hint="eastAsia" w:ascii="宋体" w:hAnsi="宋体"/>
          <w:b/>
          <w:color w:val="000000"/>
          <w:sz w:val="28"/>
          <w:szCs w:val="28"/>
          <w:highlight w:val="none"/>
        </w:rPr>
        <w:t xml:space="preserve">安装、调试与试运行</w:t>
      </w:r>
      <w:r>
        <w:rPr>
          <w:rFonts w:ascii="宋体" w:hAnsi="宋体"/>
          <w:b/>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乙方必须向甲方提供合同货物安装所需的材料及技术资料以及组装/维修所需工具。</w:t>
      </w:r>
      <w:r>
        <w:rPr>
          <w:rFonts w:ascii="宋体" w:hAnsi="宋体"/>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pacing w:val="-4"/>
          <w:sz w:val="28"/>
          <w:szCs w:val="28"/>
          <w:highlight w:val="none"/>
        </w:rPr>
      </w:pPr>
      <w:r>
        <w:rPr>
          <w:rFonts w:hint="eastAsia" w:ascii="宋体" w:hAnsi="宋体"/>
          <w:color w:val="000000"/>
          <w:spacing w:val="-4"/>
          <w:sz w:val="28"/>
          <w:szCs w:val="28"/>
          <w:highlight w:val="none"/>
        </w:rPr>
        <w:t xml:space="preserve">乙方在接到甲方要求开始安装的通知后</w:t>
      </w:r>
      <w:r>
        <w:rPr>
          <w:rFonts w:hint="eastAsia" w:ascii="宋体" w:hAnsi="宋体"/>
          <w:color w:val="000000"/>
          <w:spacing w:val="-4"/>
          <w:sz w:val="28"/>
          <w:szCs w:val="28"/>
          <w:highlight w:val="none"/>
          <w:u w:val="single"/>
        </w:rPr>
        <w:t xml:space="preserve">   </w:t>
      </w:r>
      <w:r>
        <w:rPr>
          <w:rFonts w:hint="eastAsia" w:ascii="宋体" w:hAnsi="宋体"/>
          <w:color w:val="000000"/>
          <w:spacing w:val="-4"/>
          <w:sz w:val="28"/>
          <w:szCs w:val="28"/>
          <w:highlight w:val="none"/>
        </w:rPr>
        <w:t xml:space="preserve">天内必须派合适的人员到现场进行安装和调试。</w:t>
      </w:r>
      <w:r>
        <w:rPr>
          <w:rFonts w:ascii="宋体" w:hAnsi="宋体"/>
          <w:color w:val="000000"/>
          <w:spacing w:val="-4"/>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乙方派出的安装人员应具备相关的专业知识、技术水平、相应资质和能力，熟悉本合同所述货物的规格、技术指标及安装工艺，有足够能力安装、调试本合同的货物并使之达到本合同要求；</w:t>
      </w:r>
      <w:r>
        <w:rPr>
          <w:rFonts w:ascii="宋体" w:hAnsi="宋体"/>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乙方已对甲方现场进行详细考察，完全了解现场的状况及环境要求，并承诺不因上述原因对甲方索赔；</w:t>
      </w:r>
      <w:r>
        <w:rPr>
          <w:rFonts w:ascii="宋体" w:hAnsi="宋体"/>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乙方人员实施及监督所供货物的试运行，并在双方商定的一定期限内对所供货物运行、维护实施监督指导，但监督指导并不能免除乙方在质量保证期内所承担的义务。</w:t>
      </w:r>
      <w:r>
        <w:rPr>
          <w:rFonts w:ascii="宋体" w:hAnsi="宋体"/>
          <w:color w:val="000000"/>
          <w:sz w:val="28"/>
          <w:szCs w:val="28"/>
          <w:highlight w:val="none"/>
        </w:rPr>
      </w:r>
      <w:r/>
    </w:p>
    <w:p>
      <w:pPr>
        <w:pStyle w:val="794"/>
        <w:numPr>
          <w:ilvl w:val="0"/>
          <w:numId w:val="25"/>
        </w:numPr>
        <w:contextualSpacing/>
        <w:spacing w:line="360" w:lineRule="auto"/>
        <w:tabs>
          <w:tab w:val="left" w:pos="630" w:leader="none"/>
        </w:tabs>
        <w:rPr>
          <w:rFonts w:ascii="宋体" w:hAnsi="宋体"/>
          <w:b/>
          <w:color w:val="000000"/>
          <w:sz w:val="28"/>
          <w:szCs w:val="28"/>
          <w:highlight w:val="none"/>
        </w:rPr>
      </w:pPr>
      <w:r>
        <w:rPr>
          <w:rFonts w:hint="eastAsia" w:ascii="宋体" w:hAnsi="宋体"/>
          <w:b/>
          <w:color w:val="000000"/>
          <w:sz w:val="28"/>
          <w:szCs w:val="28"/>
          <w:highlight w:val="none"/>
        </w:rPr>
        <w:t xml:space="preserve">测试与验收</w:t>
      </w:r>
      <w:r>
        <w:rPr>
          <w:rFonts w:ascii="宋体" w:hAnsi="宋体"/>
          <w:b/>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乙方必须在测试与验收前，向甲方提供按本合同的技术规格、技术规范的要求进行的测试与验收方案。</w:t>
      </w:r>
      <w:r>
        <w:rPr>
          <w:rFonts w:ascii="宋体" w:hAnsi="宋体"/>
          <w:color w:val="000000"/>
          <w:sz w:val="28"/>
          <w:szCs w:val="28"/>
          <w:highlight w:val="none"/>
        </w:rPr>
      </w:r>
      <w:r/>
    </w:p>
    <w:p>
      <w:pPr>
        <w:pStyle w:val="794"/>
        <w:numPr>
          <w:ilvl w:val="1"/>
          <w:numId w:val="25"/>
        </w:numPr>
        <w:contextualSpacing/>
        <w:spacing w:line="360" w:lineRule="auto"/>
        <w:widowControl/>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乙方提供的货物不符合合同的质量要求，致使货物未达到甲方要求的设计性能，甲方可拒收货物或解除合同。</w:t>
      </w:r>
      <w:r>
        <w:rPr>
          <w:rFonts w:ascii="宋体" w:hAnsi="宋体"/>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测试及验收工作由甲方和/或乙方组织，验收合格后，甲乙双方签署验收合格证书。</w:t>
      </w:r>
      <w:r>
        <w:rPr>
          <w:rFonts w:ascii="宋体" w:hAnsi="宋体"/>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如果乙方没有按以上要求，按甲方安排的时间进行有关工作，甲方有权在相应的付款时间段推迟付款，直至乙方完成此时间段的工作。</w:t>
      </w:r>
      <w:r>
        <w:rPr>
          <w:rFonts w:ascii="宋体" w:hAnsi="宋体"/>
          <w:color w:val="000000"/>
          <w:sz w:val="28"/>
          <w:szCs w:val="28"/>
          <w:highlight w:val="none"/>
        </w:rPr>
      </w:r>
      <w:r/>
    </w:p>
    <w:p>
      <w:pPr>
        <w:pStyle w:val="794"/>
        <w:numPr>
          <w:ilvl w:val="0"/>
          <w:numId w:val="25"/>
        </w:numPr>
        <w:contextualSpacing/>
        <w:spacing w:line="360" w:lineRule="auto"/>
        <w:tabs>
          <w:tab w:val="left" w:pos="630" w:leader="none"/>
        </w:tabs>
        <w:rPr>
          <w:rFonts w:ascii="宋体" w:hAnsi="宋体"/>
          <w:b/>
          <w:color w:val="000000"/>
          <w:sz w:val="28"/>
          <w:szCs w:val="28"/>
          <w:highlight w:val="none"/>
        </w:rPr>
      </w:pPr>
      <w:r>
        <w:rPr>
          <w:rFonts w:hint="eastAsia" w:ascii="宋体" w:hAnsi="宋体"/>
          <w:b/>
          <w:color w:val="000000"/>
          <w:sz w:val="28"/>
          <w:szCs w:val="28"/>
          <w:highlight w:val="none"/>
        </w:rPr>
        <w:t xml:space="preserve">培训</w:t>
      </w:r>
      <w:r>
        <w:rPr>
          <w:rFonts w:ascii="宋体" w:hAnsi="宋体"/>
          <w:b/>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乙方负责提供现场操作、运行、维护、修理的培训方案及必需的培训资料。</w:t>
      </w:r>
      <w:r>
        <w:rPr>
          <w:rFonts w:ascii="宋体" w:hAnsi="宋体"/>
          <w:color w:val="000000"/>
          <w:sz w:val="28"/>
          <w:szCs w:val="28"/>
          <w:highlight w:val="none"/>
        </w:rPr>
      </w:r>
      <w:r/>
    </w:p>
    <w:p>
      <w:pPr>
        <w:pStyle w:val="794"/>
        <w:numPr>
          <w:ilvl w:val="1"/>
          <w:numId w:val="25"/>
        </w:numPr>
        <w:contextualSpacing/>
        <w:spacing w:line="360" w:lineRule="auto"/>
        <w:tabs>
          <w:tab w:val="left" w:pos="630" w:leader="none"/>
        </w:tabs>
        <w:rPr>
          <w:rFonts w:ascii="宋体" w:hAnsi="宋体"/>
          <w:color w:val="000000"/>
          <w:sz w:val="28"/>
          <w:szCs w:val="28"/>
          <w:highlight w:val="none"/>
        </w:rPr>
      </w:pPr>
      <w:r>
        <w:rPr>
          <w:rFonts w:hint="eastAsia" w:ascii="宋体" w:hAnsi="宋体"/>
          <w:color w:val="000000"/>
          <w:sz w:val="28"/>
          <w:szCs w:val="28"/>
          <w:highlight w:val="none"/>
        </w:rPr>
        <w:t xml:space="preserve">乙方负责对甲方受训人员进行操作培训、维修培训。</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十五、合同转让与分包</w:t>
      </w:r>
      <w:r>
        <w:rPr>
          <w:rFonts w:ascii="宋体" w:hAnsi="宋体"/>
          <w:b/>
          <w:color w:val="000000"/>
          <w:sz w:val="28"/>
          <w:szCs w:val="28"/>
          <w:highlight w:val="none"/>
        </w:rPr>
      </w:r>
      <w:r/>
    </w:p>
    <w:p>
      <w:pPr>
        <w:pStyle w:val="794"/>
        <w:numPr>
          <w:ilvl w:val="0"/>
          <w:numId w:val="26"/>
        </w:numPr>
        <w:contextualSpacing/>
        <w:spacing w:line="360" w:lineRule="auto"/>
        <w:widowControl/>
        <w:tabs>
          <w:tab w:val="left" w:pos="425"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本合同乙方在任何情况下都不得全部或部分转让其应履行的合同义务。</w:t>
      </w:r>
      <w:r>
        <w:rPr>
          <w:rFonts w:ascii="宋体" w:hAnsi="宋体"/>
          <w:color w:val="000000"/>
          <w:sz w:val="28"/>
          <w:szCs w:val="28"/>
          <w:highlight w:val="none"/>
        </w:rPr>
      </w:r>
      <w:r/>
    </w:p>
    <w:p>
      <w:pPr>
        <w:pStyle w:val="794"/>
        <w:numPr>
          <w:ilvl w:val="0"/>
          <w:numId w:val="26"/>
        </w:numPr>
        <w:contextualSpacing/>
        <w:spacing w:line="360" w:lineRule="auto"/>
        <w:widowControl/>
        <w:tabs>
          <w:tab w:val="left" w:pos="425" w:leader="none"/>
        </w:tabs>
        <w:rPr>
          <w:rFonts w:ascii="宋体" w:hAnsi="宋体"/>
          <w:color w:val="000000"/>
          <w:sz w:val="28"/>
          <w:szCs w:val="28"/>
          <w:highlight w:val="none"/>
        </w:rPr>
      </w:pPr>
      <w:r>
        <w:rPr>
          <w:rFonts w:hint="eastAsia" w:ascii="宋体" w:hAnsi="宋体"/>
          <w:color w:val="000000"/>
          <w:sz w:val="28"/>
          <w:szCs w:val="28"/>
          <w:highlight w:val="none"/>
        </w:rPr>
        <w:t xml:space="preserve">乙方拟将本合同的非主体、非关键性工作交由他人完成（分包，或更换分包人的），应事先征得甲方同意，并提交证明拟分包人合格的文件，及乙方与分包人签订的分包合同予甲方，且分包人不得再分包。</w:t>
      </w:r>
      <w:r>
        <w:rPr>
          <w:rFonts w:ascii="宋体" w:hAnsi="宋体"/>
          <w:color w:val="000000"/>
          <w:sz w:val="28"/>
          <w:szCs w:val="28"/>
          <w:highlight w:val="none"/>
        </w:rPr>
      </w:r>
      <w:r/>
    </w:p>
    <w:p>
      <w:pPr>
        <w:pStyle w:val="794"/>
        <w:numPr>
          <w:ilvl w:val="0"/>
          <w:numId w:val="26"/>
        </w:numPr>
        <w:contextualSpacing/>
        <w:spacing w:line="360" w:lineRule="auto"/>
        <w:widowControl/>
        <w:tabs>
          <w:tab w:val="left" w:pos="425" w:leader="none"/>
        </w:tabs>
        <w:rPr>
          <w:rFonts w:ascii="宋体" w:hAnsi="宋体"/>
          <w:color w:val="000000"/>
          <w:sz w:val="28"/>
          <w:szCs w:val="28"/>
          <w:highlight w:val="none"/>
        </w:rPr>
      </w:pPr>
      <w:r>
        <w:rPr>
          <w:rFonts w:hint="eastAsia" w:ascii="宋体" w:hAnsi="宋体"/>
          <w:color w:val="000000"/>
          <w:sz w:val="28"/>
          <w:szCs w:val="28"/>
          <w:highlight w:val="none"/>
        </w:rPr>
        <w:t xml:space="preserve">乙方将本合同分包的，其就分包部分向甲方负责，分包人就分包部分承担连带责任。</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十六、质量保证及售后服务</w:t>
      </w:r>
      <w:r>
        <w:rPr>
          <w:rFonts w:ascii="宋体" w:hAnsi="宋体"/>
          <w:b/>
          <w:color w:val="000000"/>
          <w:sz w:val="28"/>
          <w:szCs w:val="28"/>
          <w:highlight w:val="none"/>
        </w:rPr>
      </w:r>
      <w:r/>
    </w:p>
    <w:p>
      <w:pPr>
        <w:pStyle w:val="794"/>
        <w:numPr>
          <w:ilvl w:val="0"/>
          <w:numId w:val="27"/>
        </w:numPr>
        <w:contextualSpacing/>
        <w:spacing w:line="360" w:lineRule="auto"/>
        <w:widowControl/>
        <w:tabs>
          <w:tab w:val="left" w:pos="425" w:leader="none"/>
        </w:tabs>
        <w:rPr>
          <w:rFonts w:ascii="宋体" w:hAnsi="宋体"/>
          <w:b/>
          <w:color w:val="000000"/>
          <w:sz w:val="28"/>
          <w:szCs w:val="28"/>
          <w:highlight w:val="none"/>
        </w:rPr>
      </w:pPr>
      <w:r>
        <w:rPr>
          <w:rFonts w:hint="eastAsia" w:ascii="宋体" w:hAnsi="宋体"/>
          <w:b/>
          <w:color w:val="000000"/>
          <w:sz w:val="28"/>
          <w:szCs w:val="28"/>
          <w:highlight w:val="none"/>
        </w:rPr>
        <w:t xml:space="preserve">质量保证</w:t>
      </w:r>
      <w:r>
        <w:rPr>
          <w:rFonts w:ascii="宋体" w:hAnsi="宋体"/>
          <w:b/>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乙方应保证合同项下所供货物是全新的、未使用过的，是目前的型号。乙方进一步保证，合同项下提供的全部货物没有设计、材料或工艺上的缺陷（由于按甲方的要求设计或按甲方的规格提供的材料所产生的缺陷除外），或者没有因乙方的行为或疏忽而产生的缺陷，这些缺陷是所供货物在我国现行条件下正常使用可能产生的。</w:t>
      </w:r>
      <w:r>
        <w:rPr>
          <w:rFonts w:ascii="宋体" w:hAnsi="宋体"/>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上述保证在货物验收合格交付甲方使用之日起的    质量保证期内有效，在质保期内乙方免费提供货物正常使用情况下发生故障的维修服务。</w:t>
      </w:r>
      <w:r>
        <w:rPr>
          <w:rFonts w:ascii="宋体" w:hAnsi="宋体"/>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甲方在质量保证期内发现缺陷应尽快以书面形式通知乙方。对质保期内的故障报修，乙方应按用户需求书设置服务热线，保证在接到报障后    小时内到达甲方现场，并于   日内更换有缺陷的货物或部件、排除故障。乙方不能按时排除故障时，应提供备用设备给甲方维持工作。</w:t>
      </w:r>
      <w:r>
        <w:rPr>
          <w:rFonts w:ascii="宋体" w:hAnsi="宋体"/>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rPr>
          <w:rFonts w:ascii="宋体" w:hAnsi="宋体"/>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质保期内因用户使用、管理不当所造成的损失由甲方承担，乙方提供有偿服务。</w:t>
      </w:r>
      <w:r>
        <w:rPr>
          <w:rFonts w:ascii="宋体" w:hAnsi="宋体"/>
          <w:color w:val="000000"/>
          <w:sz w:val="28"/>
          <w:szCs w:val="28"/>
          <w:highlight w:val="none"/>
        </w:rPr>
      </w:r>
      <w:r/>
    </w:p>
    <w:p>
      <w:pPr>
        <w:pStyle w:val="794"/>
        <w:numPr>
          <w:ilvl w:val="0"/>
          <w:numId w:val="27"/>
        </w:numPr>
        <w:contextualSpacing/>
        <w:spacing w:line="360" w:lineRule="auto"/>
        <w:widowControl/>
        <w:tabs>
          <w:tab w:val="left" w:pos="425" w:leader="none"/>
        </w:tabs>
        <w:rPr>
          <w:rFonts w:ascii="宋体" w:hAnsi="宋体"/>
          <w:b/>
          <w:color w:val="000000"/>
          <w:sz w:val="28"/>
          <w:szCs w:val="28"/>
          <w:highlight w:val="none"/>
        </w:rPr>
      </w:pPr>
      <w:r>
        <w:rPr>
          <w:rFonts w:hint="eastAsia" w:ascii="宋体" w:hAnsi="宋体"/>
          <w:b/>
          <w:color w:val="000000"/>
          <w:sz w:val="28"/>
          <w:szCs w:val="28"/>
          <w:highlight w:val="none"/>
        </w:rPr>
        <w:t xml:space="preserve">质量保证期后服务</w:t>
      </w:r>
      <w:r>
        <w:rPr>
          <w:rFonts w:ascii="宋体" w:hAnsi="宋体"/>
          <w:b/>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质保期满后，若有零部件出现故障，经权威部门鉴定属于寿命异常问题（明显短于该零部件正常寿命）时，则由乙方负责免费更换及维修。</w:t>
      </w:r>
      <w:r>
        <w:rPr>
          <w:rFonts w:ascii="宋体" w:hAnsi="宋体"/>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质保期满后，应甲方要求，乙方应（参考当时的市场价格）按优惠价格与甲方签订定期维修保养合同及提供甲方所需零配件。</w:t>
      </w:r>
      <w:r>
        <w:rPr>
          <w:rFonts w:ascii="宋体" w:hAnsi="宋体"/>
          <w:color w:val="000000"/>
          <w:sz w:val="28"/>
          <w:szCs w:val="28"/>
          <w:highlight w:val="none"/>
        </w:rPr>
      </w:r>
      <w:r/>
    </w:p>
    <w:p>
      <w:pPr>
        <w:pStyle w:val="794"/>
        <w:numPr>
          <w:ilvl w:val="1"/>
          <w:numId w:val="27"/>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在备件停止生产的情况下，乙方应事先将要停止生产的计划通知甲方，使甲方有足够的时间采购所需备件；在备件停止生产后，乙方应免费向甲方提供备件的图纸、资料。</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十七、索赔</w:t>
      </w:r>
      <w:r>
        <w:rPr>
          <w:rFonts w:ascii="宋体" w:hAnsi="宋体"/>
          <w:b/>
          <w:color w:val="000000"/>
          <w:sz w:val="28"/>
          <w:szCs w:val="28"/>
          <w:highlight w:val="none"/>
        </w:rPr>
      </w:r>
      <w:r/>
    </w:p>
    <w:p>
      <w:pPr>
        <w:pStyle w:val="794"/>
        <w:contextualSpacing/>
        <w:ind w:left="540" w:firstLine="5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乙方对所供货物与合同要求不符负有责任，如经检验证实不符或缺陷存在的，包括潜在的缺陷或使用不合适的材料，甲方可根据本合同有关质量保证或检验、安装、调试的规定，在质量保证期内及时提出索赔，乙方同意甲方选择下述一种或多种结合的方法解决索赔事宜：</w:t>
      </w:r>
      <w:r>
        <w:rPr>
          <w:rFonts w:ascii="宋体" w:hAnsi="宋体"/>
          <w:color w:val="000000"/>
          <w:sz w:val="28"/>
          <w:szCs w:val="28"/>
          <w:highlight w:val="none"/>
        </w:rPr>
      </w:r>
      <w:r/>
    </w:p>
    <w:p>
      <w:pPr>
        <w:pStyle w:val="794"/>
        <w:numPr>
          <w:ilvl w:val="1"/>
          <w:numId w:val="28"/>
        </w:numPr>
        <w:contextualSpacing/>
        <w:ind w:left="540" w:hanging="540"/>
        <w:spacing w:line="360" w:lineRule="auto"/>
        <w:widowControl/>
        <w:tabs>
          <w:tab w:val="left" w:pos="54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乙方同意甲方退货，并将货物被拒收前甲方已付的所有款项退还甲方，乙方承担由此发生的一切损失和费用，包括利息、银行手续费、运费、保险费、检验费、仓储费、装卸费以及为保管、维护和退回被拒收货物所发生的其它必要费用。</w:t>
      </w:r>
      <w:r>
        <w:rPr>
          <w:rFonts w:ascii="宋体" w:hAnsi="宋体"/>
          <w:color w:val="000000"/>
          <w:sz w:val="28"/>
          <w:szCs w:val="28"/>
          <w:highlight w:val="none"/>
        </w:rPr>
      </w:r>
      <w:r/>
    </w:p>
    <w:p>
      <w:pPr>
        <w:pStyle w:val="794"/>
        <w:numPr>
          <w:ilvl w:val="1"/>
          <w:numId w:val="28"/>
        </w:numPr>
        <w:contextualSpacing/>
        <w:ind w:left="540" w:hanging="540"/>
        <w:spacing w:line="360" w:lineRule="auto"/>
        <w:widowControl/>
        <w:tabs>
          <w:tab w:val="left" w:pos="54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根据货物的疵劣和受损程度以及甲方因此遭受损失的金额，经甲乙双方商定，降低货物成交价格。</w:t>
      </w:r>
      <w:r>
        <w:rPr>
          <w:rFonts w:ascii="宋体" w:hAnsi="宋体"/>
          <w:color w:val="000000"/>
          <w:sz w:val="28"/>
          <w:szCs w:val="28"/>
          <w:highlight w:val="none"/>
        </w:rPr>
      </w:r>
      <w:r/>
    </w:p>
    <w:p>
      <w:pPr>
        <w:pStyle w:val="794"/>
        <w:numPr>
          <w:ilvl w:val="1"/>
          <w:numId w:val="28"/>
        </w:numPr>
        <w:contextualSpacing/>
        <w:ind w:left="540" w:hanging="540"/>
        <w:spacing w:line="360" w:lineRule="auto"/>
        <w:widowControl/>
        <w:tabs>
          <w:tab w:val="left" w:pos="540" w:leader="none"/>
          <w:tab w:val="left" w:pos="1050" w:leader="none"/>
        </w:tabs>
        <w:rPr>
          <w:rFonts w:ascii="宋体" w:hAnsi="宋体"/>
          <w:color w:val="000000"/>
          <w:sz w:val="28"/>
          <w:szCs w:val="28"/>
          <w:highlight w:val="none"/>
        </w:rPr>
      </w:pPr>
      <w:r>
        <w:rPr>
          <w:rFonts w:hint="eastAsia" w:ascii="宋体" w:hAnsi="宋体"/>
          <w:color w:val="000000"/>
          <w:sz w:val="28"/>
          <w:szCs w:val="28"/>
          <w:highlight w:val="none"/>
        </w:rPr>
        <w:t xml:space="preserve">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rPr>
          <w:rFonts w:ascii="宋体" w:hAnsi="宋体"/>
          <w:color w:val="000000"/>
          <w:sz w:val="28"/>
          <w:szCs w:val="28"/>
          <w:highlight w:val="none"/>
        </w:rPr>
      </w:r>
      <w:r/>
    </w:p>
    <w:p>
      <w:pPr>
        <w:pStyle w:val="794"/>
        <w:contextualSpacing/>
        <w:ind w:left="5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十八、不可抗力</w:t>
      </w:r>
      <w:r>
        <w:rPr>
          <w:rFonts w:ascii="宋体" w:hAnsi="宋体"/>
          <w:b/>
          <w:color w:val="000000"/>
          <w:sz w:val="28"/>
          <w:szCs w:val="28"/>
          <w:highlight w:val="none"/>
        </w:rPr>
      </w:r>
      <w:r/>
    </w:p>
    <w:p>
      <w:pPr>
        <w:pStyle w:val="794"/>
        <w:numPr>
          <w:ilvl w:val="0"/>
          <w:numId w:val="29"/>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诸如战争、严重水灾、洪水、台风、地震等。</w:t>
      </w:r>
      <w:r>
        <w:rPr>
          <w:rFonts w:ascii="宋体" w:hAnsi="宋体"/>
          <w:color w:val="000000"/>
          <w:sz w:val="28"/>
          <w:szCs w:val="28"/>
          <w:highlight w:val="none"/>
        </w:rPr>
      </w:r>
      <w:r/>
    </w:p>
    <w:p>
      <w:pPr>
        <w:pStyle w:val="794"/>
        <w:numPr>
          <w:ilvl w:val="0"/>
          <w:numId w:val="29"/>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受阻一方应在不可抗力事件发生后，尽快用电报、传真或电传通知对方，并于事件发生后14天内将有关部门出具的证明文件用特快专递或挂号信寄给对方审阅确认。一旦不可抗力事件的影响持续60天以上，双方应通过友好协商在合理的时间内达成进一步履行合同的协议或解除合同。</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十九、逾期交货及逾期付款的赔偿</w:t>
      </w:r>
      <w:r>
        <w:rPr>
          <w:rFonts w:ascii="宋体" w:hAnsi="宋体"/>
          <w:b/>
          <w:color w:val="000000"/>
          <w:sz w:val="28"/>
          <w:szCs w:val="28"/>
          <w:highlight w:val="none"/>
        </w:rPr>
      </w:r>
      <w:r/>
    </w:p>
    <w:p>
      <w:pPr>
        <w:pStyle w:val="794"/>
        <w:numPr>
          <w:ilvl w:val="0"/>
          <w:numId w:val="30"/>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除不可抗力因素外，如果乙方不能按</w:t>
      </w:r>
      <w:r>
        <w:rPr>
          <w:rFonts w:hint="eastAsia" w:ascii="宋体" w:hAnsi="宋体"/>
          <w:color w:val="000000"/>
          <w:sz w:val="28"/>
          <w:szCs w:val="28"/>
          <w:highlight w:val="none"/>
        </w:rPr>
        <w:t xml:space="preserve">照合同规定的时间交货和提供服务，应及时以书面形式将延迟的事实、可能延迟的时间和原因通知甲方。甲方收到乙方通知后，将尽快作出评价，决定是否同意延长交货期及收取误期赔偿费。甲方在不影响合同项下的其它补救措施情况下，可从合同未付款中扣除误期违约金。违约金按      的规定计算，且误期不能超出    的期限。一旦达此限期，甲方有权解除合同。此时如果甲方按合同支付了预付款的，甲方有权选择要求乙方按双倍于预付款金额立即支付违约金。如按上述办法计算的违约金仍不足以补偿因乙方违约造成的损失，甲方有权进一步向乙方提出索赔。</w:t>
      </w:r>
      <w:r>
        <w:rPr>
          <w:rFonts w:ascii="宋体" w:hAnsi="宋体"/>
          <w:color w:val="000000"/>
          <w:sz w:val="28"/>
          <w:szCs w:val="28"/>
          <w:highlight w:val="none"/>
        </w:rPr>
      </w:r>
      <w:r/>
    </w:p>
    <w:p>
      <w:pPr>
        <w:pStyle w:val="794"/>
        <w:numPr>
          <w:ilvl w:val="0"/>
          <w:numId w:val="30"/>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如果甲方不能按合同约定支付预付款，则乙方有权延期交货；迟付期限按上一条规定，一旦达此限期，乙方有权解除合同，并要求甲方按合同总金额的10％计付违约金。甲方未按合同约定期限支付货款的，也应支付违约金。违约金按规定计算。超过合同付款期限30天甲方仍不付款，且造成乙方损失的，甲方应支付赔偿予乙方。</w:t>
      </w:r>
      <w:r>
        <w:rPr>
          <w:rFonts w:ascii="宋体" w:hAnsi="宋体"/>
          <w:color w:val="000000"/>
          <w:sz w:val="28"/>
          <w:szCs w:val="28"/>
          <w:highlight w:val="none"/>
        </w:rPr>
      </w:r>
      <w:r/>
    </w:p>
    <w:p>
      <w:pPr>
        <w:pStyle w:val="794"/>
        <w:numPr>
          <w:ilvl w:val="0"/>
          <w:numId w:val="30"/>
        </w:numPr>
        <w:contextualSpacing/>
        <w:ind w:left="540" w:hanging="540"/>
        <w:spacing w:line="360" w:lineRule="auto"/>
        <w:widowControl/>
        <w:tabs>
          <w:tab w:val="left" w:pos="540" w:leader="none"/>
          <w:tab w:val="left" w:pos="84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本合同中对于甲方付款和乙方交付使用有先决条件约定的，按约定执行。</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二十、合同变更</w:t>
      </w:r>
      <w:r>
        <w:rPr>
          <w:rFonts w:ascii="宋体" w:hAnsi="宋体"/>
          <w:b/>
          <w:color w:val="000000"/>
          <w:sz w:val="28"/>
          <w:szCs w:val="28"/>
          <w:highlight w:val="none"/>
        </w:rPr>
      </w:r>
      <w:r/>
    </w:p>
    <w:p>
      <w:pPr>
        <w:pStyle w:val="794"/>
        <w:numPr>
          <w:ilvl w:val="0"/>
          <w:numId w:val="31"/>
        </w:numPr>
        <w:contextualSpacing/>
        <w:spacing w:line="360" w:lineRule="auto"/>
        <w:widowControl/>
        <w:tabs>
          <w:tab w:val="left" w:pos="0" w:leader="none"/>
        </w:tabs>
        <w:rPr>
          <w:rFonts w:ascii="宋体" w:hAnsi="宋体"/>
          <w:b/>
          <w:color w:val="000000"/>
          <w:sz w:val="28"/>
          <w:szCs w:val="28"/>
          <w:highlight w:val="none"/>
        </w:rPr>
      </w:pPr>
      <w:r>
        <w:rPr>
          <w:rFonts w:hint="eastAsia" w:ascii="宋体" w:hAnsi="宋体"/>
          <w:color w:val="000000"/>
          <w:sz w:val="28"/>
          <w:szCs w:val="28"/>
          <w:highlight w:val="none"/>
        </w:rPr>
        <w:t xml:space="preserve">乙方根据现场实际或施工情况，发现合同原计划或方案不尽合理，确实需变更原合同约定的货物的，应及时通知甲方，并提出变更理由、修正方案、及变更清单，经双方协商并签署有关文件（作为合同附件）后实施。</w:t>
      </w:r>
      <w:r>
        <w:rPr>
          <w:rFonts w:ascii="宋体" w:hAnsi="宋体"/>
          <w:b/>
          <w:color w:val="000000"/>
          <w:sz w:val="28"/>
          <w:szCs w:val="28"/>
          <w:highlight w:val="none"/>
        </w:rPr>
      </w:r>
      <w:r/>
    </w:p>
    <w:p>
      <w:pPr>
        <w:pStyle w:val="794"/>
        <w:numPr>
          <w:ilvl w:val="0"/>
          <w:numId w:val="31"/>
        </w:numPr>
        <w:contextualSpacing/>
        <w:spacing w:line="360" w:lineRule="auto"/>
        <w:widowControl/>
        <w:tabs>
          <w:tab w:val="left" w:pos="0" w:leader="none"/>
        </w:tabs>
        <w:rPr>
          <w:rFonts w:ascii="宋体" w:hAnsi="宋体"/>
          <w:color w:val="000000"/>
          <w:sz w:val="28"/>
          <w:szCs w:val="28"/>
          <w:highlight w:val="none"/>
        </w:rPr>
      </w:pPr>
      <w:r>
        <w:rPr>
          <w:rFonts w:hint="eastAsia" w:ascii="宋体" w:hAnsi="宋体"/>
          <w:color w:val="000000"/>
          <w:sz w:val="28"/>
          <w:szCs w:val="28"/>
          <w:highlight w:val="none"/>
        </w:rPr>
        <w:t xml:space="preserve">因甲方的原因变更合同货物的，甲方应以书面形式通知乙方，并经双方协商一致签署有关变更文件。如因此造成乙方履行合同义务的价格或时间增减，将对合同价、交货时间进行公平调整。乙方据此要求的调整必须在收到甲方通知后30天内提出。</w:t>
      </w:r>
      <w:r>
        <w:rPr>
          <w:rFonts w:ascii="宋体" w:hAnsi="宋体"/>
          <w:color w:val="000000"/>
          <w:sz w:val="28"/>
          <w:szCs w:val="28"/>
          <w:highlight w:val="none"/>
        </w:rPr>
      </w:r>
      <w:r/>
    </w:p>
    <w:p>
      <w:pPr>
        <w:pStyle w:val="794"/>
        <w:numPr>
          <w:ilvl w:val="0"/>
          <w:numId w:val="31"/>
        </w:numPr>
        <w:contextualSpacing/>
        <w:spacing w:line="360" w:lineRule="auto"/>
        <w:widowControl/>
        <w:tabs>
          <w:tab w:val="left" w:pos="0" w:leader="none"/>
        </w:tabs>
        <w:rPr>
          <w:rFonts w:ascii="宋体" w:hAnsi="宋体"/>
          <w:color w:val="000000"/>
          <w:sz w:val="28"/>
          <w:szCs w:val="28"/>
          <w:highlight w:val="none"/>
        </w:rPr>
      </w:pPr>
      <w:r>
        <w:rPr>
          <w:rFonts w:hint="eastAsia" w:ascii="宋体" w:hAnsi="宋体"/>
          <w:color w:val="000000"/>
          <w:sz w:val="28"/>
          <w:szCs w:val="28"/>
          <w:highlight w:val="none"/>
        </w:rPr>
        <w:t xml:space="preserve">无论是按原合同要求，或是根据现场实际情况作出变更提供货物，乙方都不能免除其对货物应承担的责任。</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二十一、合同解除和终止</w:t>
      </w:r>
      <w:r>
        <w:rPr>
          <w:rFonts w:ascii="宋体" w:hAnsi="宋体"/>
          <w:b/>
          <w:color w:val="000000"/>
          <w:sz w:val="28"/>
          <w:szCs w:val="28"/>
          <w:highlight w:val="none"/>
        </w:rPr>
      </w:r>
      <w:r/>
    </w:p>
    <w:p>
      <w:pPr>
        <w:pStyle w:val="794"/>
        <w:numPr>
          <w:ilvl w:val="0"/>
          <w:numId w:val="32"/>
        </w:numPr>
        <w:contextualSpacing/>
        <w:spacing w:line="360" w:lineRule="auto"/>
        <w:widowControl/>
        <w:tabs>
          <w:tab w:val="left" w:pos="425" w:leader="none"/>
        </w:tabs>
        <w:rPr>
          <w:rFonts w:ascii="宋体" w:hAnsi="宋体"/>
          <w:color w:val="000000"/>
          <w:sz w:val="28"/>
          <w:szCs w:val="28"/>
          <w:highlight w:val="none"/>
        </w:rPr>
      </w:pPr>
      <w:r>
        <w:rPr>
          <w:rFonts w:hint="eastAsia" w:ascii="宋体" w:hAnsi="宋体"/>
          <w:color w:val="000000"/>
          <w:sz w:val="28"/>
          <w:szCs w:val="28"/>
          <w:highlight w:val="none"/>
        </w:rPr>
        <w:t xml:space="preserve">合同自然终止</w:t>
      </w:r>
      <w:r>
        <w:rPr>
          <w:rFonts w:ascii="宋体" w:hAnsi="宋体"/>
          <w:color w:val="000000"/>
          <w:sz w:val="28"/>
          <w:szCs w:val="28"/>
          <w:highlight w:val="none"/>
        </w:rPr>
      </w:r>
      <w:r/>
    </w:p>
    <w:p>
      <w:pPr>
        <w:pStyle w:val="794"/>
        <w:contextualSpacing/>
        <w:ind w:firstLine="90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甲乙双方各自完成合同规定的责任和义务，合同自然终止。</w:t>
      </w:r>
      <w:r>
        <w:rPr>
          <w:rFonts w:ascii="宋体" w:hAnsi="宋体"/>
          <w:color w:val="000000"/>
          <w:sz w:val="28"/>
          <w:szCs w:val="28"/>
          <w:highlight w:val="none"/>
        </w:rPr>
      </w:r>
      <w:r/>
    </w:p>
    <w:p>
      <w:pPr>
        <w:pStyle w:val="794"/>
        <w:numPr>
          <w:ilvl w:val="0"/>
          <w:numId w:val="32"/>
        </w:numPr>
        <w:contextualSpacing/>
        <w:spacing w:line="360" w:lineRule="auto"/>
        <w:widowControl/>
        <w:tabs>
          <w:tab w:val="left" w:pos="425" w:leader="none"/>
        </w:tabs>
        <w:rPr>
          <w:rFonts w:ascii="宋体" w:hAnsi="宋体"/>
          <w:color w:val="000000"/>
          <w:sz w:val="28"/>
          <w:szCs w:val="28"/>
          <w:highlight w:val="none"/>
        </w:rPr>
      </w:pPr>
      <w:r>
        <w:rPr>
          <w:rFonts w:hint="eastAsia" w:ascii="宋体" w:hAnsi="宋体"/>
          <w:color w:val="000000"/>
          <w:sz w:val="28"/>
          <w:szCs w:val="28"/>
          <w:highlight w:val="none"/>
        </w:rPr>
        <w:t xml:space="preserve">合同因甲方便利而解除或终止。</w:t>
      </w:r>
      <w:r>
        <w:rPr>
          <w:rFonts w:ascii="宋体" w:hAnsi="宋体"/>
          <w:color w:val="000000"/>
          <w:sz w:val="28"/>
          <w:szCs w:val="28"/>
          <w:highlight w:val="none"/>
        </w:rPr>
      </w:r>
      <w:r/>
    </w:p>
    <w:p>
      <w:pPr>
        <w:pStyle w:val="794"/>
        <w:numPr>
          <w:ilvl w:val="1"/>
          <w:numId w:val="32"/>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甲方可在任何时候出于自身的便利向乙方发出书面通知终止或部分终止合同，终止通知应明确该终止合同是出于甲方的便利，并明确合同终止的程度，以及终止的生效日期。</w:t>
      </w:r>
      <w:r>
        <w:rPr>
          <w:rFonts w:ascii="宋体" w:hAnsi="宋体"/>
          <w:color w:val="000000"/>
          <w:sz w:val="28"/>
          <w:szCs w:val="28"/>
          <w:highlight w:val="none"/>
        </w:rPr>
      </w:r>
      <w:r/>
    </w:p>
    <w:p>
      <w:pPr>
        <w:pStyle w:val="794"/>
        <w:numPr>
          <w:ilvl w:val="1"/>
          <w:numId w:val="32"/>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对乙方在收到终止通知后30天内已完成并准备装运的货物，甲方应按合同价格和条款予以接收，对于剩下的货物，甲方可：</w:t>
      </w:r>
      <w:r>
        <w:rPr>
          <w:rFonts w:ascii="宋体" w:hAnsi="宋体"/>
          <w:color w:val="000000"/>
          <w:sz w:val="28"/>
          <w:szCs w:val="28"/>
          <w:highlight w:val="none"/>
        </w:rPr>
      </w:r>
      <w:r/>
    </w:p>
    <w:p>
      <w:pPr>
        <w:pStyle w:val="794"/>
        <w:numPr>
          <w:ilvl w:val="2"/>
          <w:numId w:val="32"/>
        </w:numPr>
        <w:contextualSpacing/>
        <w:spacing w:line="360" w:lineRule="auto"/>
        <w:widowControl/>
        <w:tabs>
          <w:tab w:val="left" w:pos="709" w:leader="none"/>
        </w:tabs>
        <w:rPr>
          <w:rFonts w:ascii="宋体" w:hAnsi="宋体"/>
          <w:color w:val="000000"/>
          <w:sz w:val="28"/>
          <w:szCs w:val="28"/>
          <w:highlight w:val="none"/>
        </w:rPr>
      </w:pPr>
      <w:r>
        <w:rPr>
          <w:rFonts w:hint="eastAsia" w:ascii="宋体" w:hAnsi="宋体"/>
          <w:color w:val="000000"/>
          <w:sz w:val="28"/>
          <w:szCs w:val="28"/>
          <w:highlight w:val="none"/>
        </w:rPr>
        <w:t xml:space="preserve">仅对部分货物按照原来合同价格和条款予以接受；或</w:t>
      </w:r>
      <w:r>
        <w:rPr>
          <w:rFonts w:ascii="宋体" w:hAnsi="宋体"/>
          <w:color w:val="000000"/>
          <w:sz w:val="28"/>
          <w:szCs w:val="28"/>
          <w:highlight w:val="none"/>
        </w:rPr>
      </w:r>
      <w:r/>
    </w:p>
    <w:p>
      <w:pPr>
        <w:pStyle w:val="794"/>
        <w:numPr>
          <w:ilvl w:val="2"/>
          <w:numId w:val="32"/>
        </w:numPr>
        <w:contextualSpacing/>
        <w:spacing w:line="360" w:lineRule="auto"/>
        <w:widowControl/>
        <w:tabs>
          <w:tab w:val="left" w:pos="709" w:leader="none"/>
        </w:tabs>
        <w:rPr>
          <w:rFonts w:ascii="宋体" w:hAnsi="宋体"/>
          <w:color w:val="000000"/>
          <w:sz w:val="28"/>
          <w:szCs w:val="28"/>
          <w:highlight w:val="none"/>
        </w:rPr>
      </w:pPr>
      <w:r>
        <w:rPr>
          <w:rFonts w:hint="eastAsia" w:ascii="宋体" w:hAnsi="宋体"/>
          <w:color w:val="000000"/>
          <w:sz w:val="28"/>
          <w:szCs w:val="28"/>
          <w:highlight w:val="none"/>
        </w:rPr>
        <w:t xml:space="preserve">取消对所剩货物的采购，并按双方商定的金额向乙方支付部分完成的货物和服务以及乙以前已采购的材料和部件的费用。</w:t>
      </w:r>
      <w:r>
        <w:rPr>
          <w:rFonts w:ascii="宋体" w:hAnsi="宋体"/>
          <w:color w:val="000000"/>
          <w:sz w:val="28"/>
          <w:szCs w:val="28"/>
          <w:highlight w:val="none"/>
        </w:rPr>
      </w:r>
      <w:r/>
    </w:p>
    <w:p>
      <w:pPr>
        <w:pStyle w:val="794"/>
        <w:numPr>
          <w:ilvl w:val="0"/>
          <w:numId w:val="32"/>
        </w:numPr>
        <w:contextualSpacing/>
        <w:spacing w:line="360" w:lineRule="auto"/>
        <w:widowControl/>
        <w:tabs>
          <w:tab w:val="left" w:pos="425" w:leader="none"/>
        </w:tabs>
        <w:rPr>
          <w:rFonts w:ascii="宋体" w:hAnsi="宋体"/>
          <w:color w:val="000000"/>
          <w:sz w:val="28"/>
          <w:szCs w:val="28"/>
          <w:highlight w:val="none"/>
        </w:rPr>
      </w:pPr>
      <w:r>
        <w:rPr>
          <w:rFonts w:hint="eastAsia" w:ascii="宋体" w:hAnsi="宋体"/>
          <w:color w:val="000000"/>
          <w:sz w:val="28"/>
          <w:szCs w:val="28"/>
          <w:highlight w:val="none"/>
        </w:rPr>
        <w:t xml:space="preserve">违约违规终止合同</w:t>
      </w:r>
      <w:r>
        <w:rPr>
          <w:rFonts w:ascii="宋体" w:hAnsi="宋体"/>
          <w:color w:val="000000"/>
          <w:sz w:val="28"/>
          <w:szCs w:val="28"/>
          <w:highlight w:val="none"/>
        </w:rPr>
      </w:r>
      <w:r/>
    </w:p>
    <w:p>
      <w:pPr>
        <w:pStyle w:val="794"/>
        <w:contextualSpacing/>
        <w:ind w:left="5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在甲方对乙方违约违规而采取的任何补救措施不受影响的情况下，甲方可向乙方发出书面的违约通知书，提出终止部分或全部合同：</w:t>
      </w:r>
      <w:r>
        <w:rPr>
          <w:rFonts w:ascii="宋体" w:hAnsi="宋体"/>
          <w:color w:val="000000"/>
          <w:sz w:val="28"/>
          <w:szCs w:val="28"/>
          <w:highlight w:val="none"/>
        </w:rPr>
      </w:r>
      <w:r/>
    </w:p>
    <w:p>
      <w:pPr>
        <w:pStyle w:val="794"/>
        <w:numPr>
          <w:ilvl w:val="1"/>
          <w:numId w:val="32"/>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如果乙方未能在合同规定的期限内提供货物（参见本合同有关逾期交货的条款）；</w:t>
      </w:r>
      <w:r>
        <w:rPr>
          <w:rFonts w:ascii="宋体" w:hAnsi="宋体"/>
          <w:color w:val="000000"/>
          <w:sz w:val="28"/>
          <w:szCs w:val="28"/>
          <w:highlight w:val="none"/>
        </w:rPr>
      </w:r>
      <w:r/>
    </w:p>
    <w:p>
      <w:pPr>
        <w:pStyle w:val="794"/>
        <w:numPr>
          <w:ilvl w:val="1"/>
          <w:numId w:val="32"/>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如果乙方未能履行合同规定的其它任何义务；</w:t>
      </w:r>
      <w:r>
        <w:rPr>
          <w:rFonts w:ascii="宋体" w:hAnsi="宋体"/>
          <w:color w:val="000000"/>
          <w:sz w:val="28"/>
          <w:szCs w:val="28"/>
          <w:highlight w:val="none"/>
        </w:rPr>
      </w:r>
      <w:r/>
    </w:p>
    <w:p>
      <w:pPr>
        <w:pStyle w:val="794"/>
        <w:numPr>
          <w:ilvl w:val="1"/>
          <w:numId w:val="32"/>
        </w:numPr>
        <w:contextualSpacing/>
        <w:spacing w:line="360" w:lineRule="auto"/>
        <w:widowControl/>
        <w:tabs>
          <w:tab w:val="left" w:pos="567" w:leader="none"/>
        </w:tabs>
        <w:rPr>
          <w:rFonts w:ascii="宋体" w:hAnsi="宋体"/>
          <w:color w:val="000000"/>
          <w:sz w:val="28"/>
          <w:szCs w:val="28"/>
          <w:highlight w:val="none"/>
        </w:rPr>
      </w:pPr>
      <w:r>
        <w:rPr>
          <w:rFonts w:hint="eastAsia" w:ascii="宋体" w:hAnsi="宋体"/>
          <w:color w:val="000000"/>
          <w:sz w:val="28"/>
          <w:szCs w:val="28"/>
          <w:highlight w:val="none"/>
        </w:rPr>
        <w:t xml:space="preserve">如果甲方认为乙方在本合同的投标竞争和实施过程中有违反有关政府采购的法律、法规，涉嫌用不正当手段影响甲方采购过程，包括谎报或隐瞒事实、损害甲方利益、干扰甲方、评委、采购代理机构的招标、评标等行为。</w:t>
      </w:r>
      <w:r>
        <w:rPr>
          <w:rFonts w:ascii="宋体" w:hAnsi="宋体"/>
          <w:color w:val="000000"/>
          <w:sz w:val="28"/>
          <w:szCs w:val="28"/>
          <w:highlight w:val="none"/>
        </w:rPr>
      </w:r>
      <w:r/>
    </w:p>
    <w:p>
      <w:pPr>
        <w:pStyle w:val="794"/>
        <w:contextualSpacing/>
        <w:ind w:left="540" w:firstLine="618"/>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如果甲方根据本条的规定，终止了全部或部分合同，甲方可以依其认为适当的条件和方法购甲与未交货物类似的货物或服务，乙方应承担甲方因购甲类似货物或服务而产生的额外支出。但是，乙方应继续执行合同中未终止的部分。</w:t>
      </w:r>
      <w:r>
        <w:rPr>
          <w:rFonts w:ascii="宋体" w:hAnsi="宋体"/>
          <w:color w:val="000000"/>
          <w:sz w:val="28"/>
          <w:szCs w:val="28"/>
          <w:highlight w:val="none"/>
        </w:rPr>
      </w:r>
      <w:r/>
    </w:p>
    <w:p>
      <w:pPr>
        <w:pStyle w:val="794"/>
        <w:numPr>
          <w:ilvl w:val="0"/>
          <w:numId w:val="32"/>
        </w:numPr>
        <w:contextualSpacing/>
        <w:spacing w:line="360" w:lineRule="auto"/>
        <w:widowControl/>
        <w:tabs>
          <w:tab w:val="left" w:pos="425" w:leader="none"/>
        </w:tabs>
        <w:rPr>
          <w:rFonts w:ascii="宋体" w:hAnsi="宋体"/>
          <w:color w:val="000000"/>
          <w:sz w:val="28"/>
          <w:szCs w:val="28"/>
          <w:highlight w:val="none"/>
        </w:rPr>
      </w:pPr>
      <w:r>
        <w:rPr>
          <w:rFonts w:hint="eastAsia" w:ascii="宋体" w:hAnsi="宋体"/>
          <w:color w:val="000000"/>
          <w:sz w:val="28"/>
          <w:szCs w:val="28"/>
          <w:highlight w:val="none"/>
        </w:rPr>
        <w:t xml:space="preserve">因乙方破产而终止合同</w:t>
      </w:r>
      <w:r>
        <w:rPr>
          <w:rFonts w:ascii="宋体" w:hAnsi="宋体"/>
          <w:color w:val="000000"/>
          <w:sz w:val="28"/>
          <w:szCs w:val="28"/>
          <w:highlight w:val="none"/>
        </w:rPr>
      </w:r>
      <w:r/>
    </w:p>
    <w:p>
      <w:pPr>
        <w:pStyle w:val="794"/>
        <w:contextualSpacing/>
        <w:ind w:left="540" w:firstLine="3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如果乙方破产或无清偿能力，甲方可在任何时候以书面形式通知乙方，提出终止合同面不给乙方补偿。该合同的终止将不损害或影响甲方已经采取或将要采取的任何行动或补救措施的权力。</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二十二、争端的解决</w:t>
      </w:r>
      <w:r>
        <w:rPr>
          <w:rFonts w:ascii="宋体" w:hAnsi="宋体"/>
          <w:b/>
          <w:color w:val="000000"/>
          <w:sz w:val="28"/>
          <w:szCs w:val="28"/>
          <w:highlight w:val="none"/>
        </w:rPr>
      </w:r>
      <w:r/>
    </w:p>
    <w:p>
      <w:pPr>
        <w:pStyle w:val="794"/>
        <w:numPr>
          <w:ilvl w:val="0"/>
          <w:numId w:val="33"/>
        </w:numPr>
        <w:contextualSpacing/>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凡与本合同有关的一切争议，甲乙双方应首先通过友好协商解决，如经协商后仍不能达成协议时，任何一方可以向法院提出诉讼。</w:t>
      </w:r>
      <w:r>
        <w:rPr>
          <w:rFonts w:ascii="宋体" w:hAnsi="宋体"/>
          <w:color w:val="000000"/>
          <w:sz w:val="28"/>
          <w:szCs w:val="28"/>
          <w:highlight w:val="none"/>
        </w:rPr>
      </w:r>
      <w:r/>
    </w:p>
    <w:p>
      <w:pPr>
        <w:pStyle w:val="794"/>
        <w:numPr>
          <w:ilvl w:val="0"/>
          <w:numId w:val="33"/>
        </w:numPr>
        <w:contextualSpacing/>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本合同的诉讼管辖为交货地法院或被告所在地（合同未实际履行时）法院。</w:t>
      </w:r>
      <w:r>
        <w:rPr>
          <w:rFonts w:ascii="宋体" w:hAnsi="宋体"/>
          <w:color w:val="000000"/>
          <w:sz w:val="28"/>
          <w:szCs w:val="28"/>
          <w:highlight w:val="none"/>
        </w:rPr>
      </w:r>
      <w:r/>
    </w:p>
    <w:p>
      <w:pPr>
        <w:pStyle w:val="794"/>
        <w:numPr>
          <w:ilvl w:val="0"/>
          <w:numId w:val="33"/>
        </w:numPr>
        <w:contextualSpacing/>
        <w:spacing w:line="360" w:lineRule="auto"/>
        <w:widowControl/>
        <w:tabs>
          <w:tab w:val="left" w:pos="420" w:leader="none"/>
          <w:tab w:val="left" w:pos="540" w:leader="none"/>
        </w:tabs>
        <w:rPr>
          <w:rFonts w:ascii="宋体" w:hAnsi="宋体"/>
          <w:color w:val="000000"/>
          <w:sz w:val="28"/>
          <w:szCs w:val="28"/>
          <w:highlight w:val="none"/>
        </w:rPr>
      </w:pPr>
      <w:r>
        <w:rPr>
          <w:rFonts w:hint="eastAsia" w:ascii="宋体" w:hAnsi="宋体"/>
          <w:color w:val="000000"/>
          <w:sz w:val="28"/>
          <w:szCs w:val="28"/>
          <w:highlight w:val="none"/>
        </w:rPr>
        <w:t xml:space="preserve">在法院审理期间，除提交法院审理的事项外，合同其他部分仍应继续履行。</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二十三、适用法律</w:t>
      </w:r>
      <w:r>
        <w:rPr>
          <w:rFonts w:ascii="宋体" w:hAnsi="宋体"/>
          <w:b/>
          <w:color w:val="000000"/>
          <w:sz w:val="28"/>
          <w:szCs w:val="28"/>
          <w:highlight w:val="none"/>
        </w:rPr>
      </w:r>
      <w:r/>
    </w:p>
    <w:p>
      <w:pPr>
        <w:pStyle w:val="794"/>
        <w:numPr>
          <w:ilvl w:val="0"/>
          <w:numId w:val="34"/>
        </w:numPr>
        <w:contextualSpacing/>
        <w:ind w:hanging="1680"/>
        <w:spacing w:line="360" w:lineRule="auto"/>
        <w:widowControl/>
        <w:tabs>
          <w:tab w:val="left" w:pos="540" w:leader="none"/>
          <w:tab w:val="left" w:pos="168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本合同按照中华人民共和国的法律进行解释。</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二十四、通知</w:t>
      </w:r>
      <w:r>
        <w:rPr>
          <w:rFonts w:ascii="宋体" w:hAnsi="宋体"/>
          <w:b/>
          <w:color w:val="000000"/>
          <w:sz w:val="28"/>
          <w:szCs w:val="28"/>
          <w:highlight w:val="none"/>
        </w:rPr>
      </w:r>
      <w:r/>
    </w:p>
    <w:p>
      <w:pPr>
        <w:pStyle w:val="794"/>
        <w:numPr>
          <w:ilvl w:val="6"/>
          <w:numId w:val="33"/>
        </w:numPr>
        <w:contextualSpacing/>
        <w:ind w:left="540" w:hanging="540"/>
        <w:spacing w:line="360" w:lineRule="auto"/>
        <w:widowControl/>
        <w:tabs>
          <w:tab w:val="left" w:pos="540" w:leader="none"/>
          <w:tab w:val="left" w:pos="2940" w:leader="none"/>
        </w:tabs>
        <w:rPr>
          <w:rFonts w:ascii="宋体" w:hAnsi="宋体"/>
          <w:color w:val="000000"/>
          <w:sz w:val="28"/>
          <w:szCs w:val="28"/>
          <w:highlight w:val="none"/>
        </w:rPr>
      </w:pPr>
      <w:r>
        <w:rPr>
          <w:rFonts w:hint="eastAsia" w:ascii="宋体" w:hAnsi="宋体"/>
          <w:color w:val="000000"/>
          <w:sz w:val="28"/>
          <w:szCs w:val="28"/>
          <w:highlight w:val="none"/>
        </w:rPr>
        <w:t xml:space="preserve">本合同一方给对方的通知应用书面形式送达对方的地址，电传或传真要经对方的书面形式确认，以电报形式通知的，以邮电局发出电报的第二天视为送达。</w:t>
      </w:r>
      <w:r>
        <w:rPr>
          <w:rFonts w:ascii="宋体" w:hAnsi="宋体"/>
          <w:color w:val="000000"/>
          <w:sz w:val="28"/>
          <w:szCs w:val="28"/>
          <w:highlight w:val="none"/>
        </w:rPr>
      </w:r>
      <w:r/>
    </w:p>
    <w:p>
      <w:pPr>
        <w:pStyle w:val="794"/>
        <w:numPr>
          <w:ilvl w:val="6"/>
          <w:numId w:val="33"/>
        </w:numPr>
        <w:contextualSpacing/>
        <w:ind w:left="540" w:hanging="540"/>
        <w:spacing w:line="360" w:lineRule="auto"/>
        <w:widowControl/>
        <w:tabs>
          <w:tab w:val="left" w:pos="540" w:leader="none"/>
          <w:tab w:val="left" w:pos="2940" w:leader="none"/>
        </w:tabs>
        <w:rPr>
          <w:rFonts w:ascii="宋体" w:hAnsi="宋体"/>
          <w:color w:val="000000"/>
          <w:sz w:val="28"/>
          <w:szCs w:val="28"/>
          <w:highlight w:val="none"/>
        </w:rPr>
      </w:pPr>
      <w:r>
        <w:rPr>
          <w:rFonts w:hint="eastAsia" w:ascii="宋体" w:hAnsi="宋体"/>
          <w:color w:val="000000"/>
          <w:sz w:val="28"/>
          <w:szCs w:val="28"/>
          <w:highlight w:val="none"/>
        </w:rPr>
        <w:t xml:space="preserve">通知以送到日期或通知书的生效日期为生效日期，两者中以较迟的日期为准。</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二十五、税和关税</w:t>
      </w:r>
      <w:r>
        <w:rPr>
          <w:rFonts w:ascii="宋体" w:hAnsi="宋体"/>
          <w:b/>
          <w:color w:val="000000"/>
          <w:sz w:val="28"/>
          <w:szCs w:val="28"/>
          <w:highlight w:val="none"/>
        </w:rPr>
      </w:r>
      <w:r/>
    </w:p>
    <w:p>
      <w:pPr>
        <w:pStyle w:val="794"/>
        <w:numPr>
          <w:ilvl w:val="0"/>
          <w:numId w:val="35"/>
        </w:numPr>
        <w:contextualSpacing/>
        <w:spacing w:line="360" w:lineRule="auto"/>
        <w:widowControl/>
        <w:tabs>
          <w:tab w:val="left" w:pos="420" w:leader="none"/>
        </w:tabs>
        <w:rPr>
          <w:rFonts w:ascii="宋体" w:hAnsi="宋体"/>
          <w:color w:val="000000"/>
          <w:sz w:val="28"/>
          <w:szCs w:val="28"/>
          <w:highlight w:val="none"/>
        </w:rPr>
      </w:pPr>
      <w:r>
        <w:rPr>
          <w:rFonts w:hint="eastAsia" w:ascii="宋体" w:hAnsi="宋体"/>
          <w:color w:val="000000"/>
          <w:sz w:val="28"/>
          <w:szCs w:val="28"/>
          <w:highlight w:val="none"/>
        </w:rPr>
        <w:t xml:space="preserve">根据中华人民共和国现行税法的有关规定执行。</w:t>
      </w:r>
      <w:r>
        <w:rPr>
          <w:rFonts w:ascii="宋体" w:hAnsi="宋体"/>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二十六、合同生效</w:t>
      </w:r>
      <w:r>
        <w:rPr>
          <w:rFonts w:ascii="宋体" w:hAnsi="宋体"/>
          <w:b/>
          <w:color w:val="000000"/>
          <w:sz w:val="28"/>
          <w:szCs w:val="28"/>
          <w:highlight w:val="none"/>
        </w:rPr>
      </w:r>
      <w:r/>
    </w:p>
    <w:p>
      <w:pPr>
        <w:pStyle w:val="794"/>
        <w:contextualSpacing/>
        <w:ind w:left="357" w:hanging="357"/>
        <w:spacing w:line="360" w:lineRule="auto"/>
        <w:rPr>
          <w:rFonts w:ascii="宋体" w:hAnsi="宋体"/>
          <w:b/>
          <w:color w:val="000000"/>
          <w:sz w:val="28"/>
          <w:szCs w:val="28"/>
          <w:highlight w:val="none"/>
        </w:rPr>
      </w:pPr>
      <w:r>
        <w:rPr>
          <w:rFonts w:hint="eastAsia" w:ascii="宋体" w:hAnsi="宋体"/>
          <w:color w:val="000000"/>
          <w:sz w:val="28"/>
          <w:szCs w:val="28"/>
          <w:highlight w:val="none"/>
        </w:rPr>
        <w:t xml:space="preserve">1．合同经双方授权代表签字盖章后生效，合同签署日期以较迟签注的日期为准。</w:t>
      </w:r>
      <w:r>
        <w:rPr>
          <w:rFonts w:ascii="宋体" w:hAnsi="宋体"/>
          <w:b/>
          <w:color w:val="000000"/>
          <w:sz w:val="28"/>
          <w:szCs w:val="28"/>
          <w:highlight w:val="none"/>
        </w:rPr>
      </w:r>
      <w:r/>
    </w:p>
    <w:p>
      <w:pPr>
        <w:pStyle w:val="794"/>
        <w:contextualSpacing/>
        <w:spacing w:before="18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二十七、其它</w:t>
      </w:r>
      <w:r>
        <w:rPr>
          <w:rFonts w:ascii="宋体" w:hAnsi="宋体"/>
          <w:b/>
          <w:color w:val="000000"/>
          <w:sz w:val="28"/>
          <w:szCs w:val="28"/>
          <w:highlight w:val="none"/>
        </w:rPr>
      </w:r>
      <w:r/>
    </w:p>
    <w:p>
      <w:pPr>
        <w:pStyle w:val="794"/>
        <w:numPr>
          <w:ilvl w:val="0"/>
          <w:numId w:val="36"/>
        </w:numPr>
        <w:contextualSpacing/>
        <w:spacing w:line="360" w:lineRule="auto"/>
        <w:widowControl/>
        <w:tabs>
          <w:tab w:val="left" w:pos="0" w:leader="none"/>
        </w:tabs>
        <w:rPr>
          <w:rFonts w:ascii="宋体" w:hAnsi="宋体"/>
          <w:b/>
          <w:color w:val="000000"/>
          <w:sz w:val="28"/>
          <w:szCs w:val="28"/>
          <w:highlight w:val="none"/>
        </w:rPr>
      </w:pPr>
      <w:r>
        <w:rPr>
          <w:rFonts w:hint="eastAsia" w:ascii="宋体" w:hAnsi="宋体"/>
          <w:color w:val="000000"/>
          <w:sz w:val="28"/>
          <w:szCs w:val="28"/>
          <w:highlight w:val="none"/>
        </w:rPr>
        <w:t xml:space="preserve">中标通知书、投标文件、招标文件及本合同之所有附件均为本合同的有效组成部分，与本合同具有同样法律效力，解释的顺序以文件生成时间在后的为准。</w:t>
      </w:r>
      <w:r>
        <w:rPr>
          <w:rFonts w:ascii="宋体" w:hAnsi="宋体"/>
          <w:b/>
          <w:color w:val="000000"/>
          <w:sz w:val="28"/>
          <w:szCs w:val="28"/>
          <w:highlight w:val="none"/>
        </w:rPr>
      </w:r>
      <w:r/>
    </w:p>
    <w:p>
      <w:pPr>
        <w:pStyle w:val="794"/>
        <w:numPr>
          <w:ilvl w:val="0"/>
          <w:numId w:val="36"/>
        </w:numPr>
        <w:contextualSpacing/>
        <w:spacing w:line="360" w:lineRule="auto"/>
        <w:widowControl/>
        <w:tabs>
          <w:tab w:val="left" w:pos="0" w:leader="none"/>
        </w:tabs>
        <w:rPr>
          <w:rFonts w:ascii="宋体" w:hAnsi="宋体"/>
          <w:b/>
          <w:color w:val="000000"/>
          <w:sz w:val="28"/>
          <w:szCs w:val="28"/>
          <w:highlight w:val="none"/>
        </w:rPr>
      </w:pPr>
      <w:r>
        <w:rPr>
          <w:rFonts w:hint="eastAsia" w:ascii="宋体" w:hAnsi="宋体"/>
          <w:color w:val="000000"/>
          <w:sz w:val="28"/>
          <w:szCs w:val="28"/>
          <w:highlight w:val="none"/>
        </w:rPr>
        <w:t xml:space="preserve">在执行本合同的过程中，所有经甲乙双方签署确认的文件（包括会议纪要、补充协议、合同修改书、往来信函等）均为本合同的有效组成部分，其生效日期为双方均签字盖章或确认之日期。</w:t>
      </w:r>
      <w:r>
        <w:rPr>
          <w:rFonts w:ascii="宋体" w:hAnsi="宋体"/>
          <w:b/>
          <w:color w:val="000000"/>
          <w:sz w:val="28"/>
          <w:szCs w:val="28"/>
          <w:highlight w:val="none"/>
        </w:rPr>
      </w:r>
      <w:r/>
    </w:p>
    <w:p>
      <w:pPr>
        <w:pStyle w:val="794"/>
        <w:numPr>
          <w:ilvl w:val="0"/>
          <w:numId w:val="36"/>
        </w:numPr>
        <w:contextualSpacing/>
        <w:spacing w:line="360" w:lineRule="auto"/>
        <w:widowControl/>
        <w:tabs>
          <w:tab w:val="left" w:pos="0" w:leader="none"/>
        </w:tabs>
        <w:rPr>
          <w:rFonts w:ascii="宋体" w:hAnsi="宋体"/>
          <w:b/>
          <w:color w:val="000000"/>
          <w:spacing w:val="-4"/>
          <w:sz w:val="28"/>
          <w:szCs w:val="28"/>
          <w:highlight w:val="none"/>
        </w:rPr>
      </w:pPr>
      <w:r>
        <w:rPr>
          <w:rFonts w:hint="eastAsia" w:ascii="宋体" w:hAnsi="宋体"/>
          <w:color w:val="000000"/>
          <w:spacing w:val="-4"/>
          <w:sz w:val="28"/>
          <w:szCs w:val="28"/>
          <w:highlight w:val="none"/>
        </w:rPr>
        <w:t xml:space="preserve">除甲方事先以书面形式确认同意外，乙方不得部分或全部转让其应履行的合同项下的义务。</w:t>
      </w:r>
      <w:r>
        <w:rPr>
          <w:rFonts w:ascii="宋体" w:hAnsi="宋体"/>
          <w:b/>
          <w:color w:val="000000"/>
          <w:spacing w:val="-4"/>
          <w:sz w:val="28"/>
          <w:szCs w:val="28"/>
          <w:highlight w:val="none"/>
        </w:rPr>
      </w:r>
      <w:r/>
    </w:p>
    <w:p>
      <w:pPr>
        <w:pStyle w:val="794"/>
        <w:numPr>
          <w:ilvl w:val="0"/>
          <w:numId w:val="36"/>
        </w:numPr>
        <w:contextualSpacing/>
        <w:spacing w:line="360" w:lineRule="auto"/>
        <w:widowControl/>
        <w:tabs>
          <w:tab w:val="left" w:pos="0" w:leader="none"/>
        </w:tabs>
        <w:rPr>
          <w:rFonts w:ascii="宋体" w:hAnsi="宋体"/>
          <w:b/>
          <w:color w:val="000000"/>
          <w:sz w:val="28"/>
          <w:szCs w:val="28"/>
          <w:highlight w:val="none"/>
        </w:rPr>
      </w:pPr>
      <w:r>
        <w:rPr>
          <w:rFonts w:hint="eastAsia" w:ascii="宋体" w:hAnsi="宋体"/>
          <w:color w:val="000000"/>
          <w:sz w:val="28"/>
          <w:szCs w:val="28"/>
          <w:highlight w:val="none"/>
        </w:rPr>
        <w:t xml:space="preserve">本合同一式    份。</w:t>
      </w:r>
      <w:r>
        <w:rPr>
          <w:rFonts w:ascii="宋体" w:hAnsi="宋体"/>
          <w:b/>
          <w:color w:val="000000"/>
          <w:sz w:val="28"/>
          <w:szCs w:val="28"/>
          <w:highlight w:val="none"/>
        </w:rPr>
      </w:r>
      <w:r/>
    </w:p>
    <w:p>
      <w:pPr>
        <w:pStyle w:val="794"/>
        <w:contextualSpacing/>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94"/>
        <w:contextualSpacing/>
        <w:spacing w:line="360" w:lineRule="auto"/>
        <w:tabs>
          <w:tab w:val="left" w:pos="4500" w:leader="none"/>
        </w:tabs>
        <w:rPr>
          <w:rFonts w:ascii="宋体" w:hAnsi="宋体"/>
          <w:color w:val="000000"/>
          <w:sz w:val="28"/>
          <w:szCs w:val="28"/>
          <w:highlight w:val="none"/>
        </w:rPr>
      </w:pPr>
      <w:r>
        <w:rPr>
          <w:rFonts w:hint="eastAsia" w:ascii="宋体" w:hAnsi="宋体"/>
          <w:color w:val="000000"/>
          <w:sz w:val="28"/>
          <w:szCs w:val="28"/>
          <w:highlight w:val="none"/>
        </w:rPr>
        <w:t xml:space="preserve">甲方（盖章）：</w:t>
      </w:r>
      <w:r>
        <w:rPr>
          <w:rFonts w:hint="eastAsia" w:ascii="宋体" w:hAnsi="宋体"/>
          <w:color w:val="000000"/>
          <w:sz w:val="28"/>
          <w:szCs w:val="28"/>
          <w:highlight w:val="none"/>
        </w:rPr>
        <w:tab/>
      </w:r>
      <w:r>
        <w:rPr>
          <w:rFonts w:hint="eastAsia" w:ascii="宋体" w:hAnsi="宋体"/>
          <w:color w:val="000000"/>
          <w:sz w:val="28"/>
          <w:szCs w:val="28"/>
          <w:highlight w:val="none"/>
        </w:rPr>
        <w:t xml:space="preserve">乙方（盖章）：</w:t>
      </w:r>
      <w:r>
        <w:rPr>
          <w:rFonts w:ascii="宋体" w:hAnsi="宋体"/>
          <w:color w:val="000000"/>
          <w:sz w:val="28"/>
          <w:szCs w:val="28"/>
          <w:highlight w:val="none"/>
        </w:rPr>
      </w:r>
      <w:r/>
    </w:p>
    <w:p>
      <w:pPr>
        <w:pStyle w:val="794"/>
        <w:contextualSpacing/>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94"/>
        <w:contextualSpacing/>
        <w:spacing w:line="360" w:lineRule="auto"/>
        <w:tabs>
          <w:tab w:val="left" w:pos="4500" w:leader="none"/>
        </w:tabs>
        <w:rPr>
          <w:rFonts w:ascii="宋体" w:hAnsi="宋体"/>
          <w:color w:val="000000"/>
          <w:sz w:val="28"/>
          <w:szCs w:val="28"/>
          <w:highlight w:val="none"/>
        </w:rPr>
      </w:pPr>
      <w:r>
        <w:rPr>
          <w:rFonts w:hint="eastAsia" w:ascii="宋体" w:hAnsi="宋体"/>
          <w:color w:val="000000"/>
          <w:sz w:val="28"/>
          <w:szCs w:val="28"/>
          <w:highlight w:val="none"/>
        </w:rPr>
        <w:t xml:space="preserve">甲方法定代表（签字）：</w:t>
      </w:r>
      <w:r>
        <w:rPr>
          <w:rFonts w:hint="eastAsia" w:ascii="宋体" w:hAnsi="宋体"/>
          <w:color w:val="000000"/>
          <w:sz w:val="28"/>
          <w:szCs w:val="28"/>
          <w:highlight w:val="none"/>
        </w:rPr>
        <w:tab/>
      </w:r>
      <w:r>
        <w:rPr>
          <w:rFonts w:hint="eastAsia" w:ascii="宋体" w:hAnsi="宋体"/>
          <w:color w:val="000000"/>
          <w:sz w:val="28"/>
          <w:szCs w:val="28"/>
          <w:highlight w:val="none"/>
        </w:rPr>
        <w:t xml:space="preserve">乙方法定代表（签字）：</w:t>
      </w:r>
      <w:r>
        <w:rPr>
          <w:rFonts w:ascii="宋体" w:hAnsi="宋体"/>
          <w:color w:val="000000"/>
          <w:sz w:val="28"/>
          <w:szCs w:val="28"/>
          <w:highlight w:val="none"/>
        </w:rPr>
      </w:r>
      <w:r/>
    </w:p>
    <w:p>
      <w:pPr>
        <w:pStyle w:val="794"/>
        <w:contextualSpacing/>
        <w:spacing w:line="360" w:lineRule="auto"/>
        <w:tabs>
          <w:tab w:val="left" w:pos="4500" w:leader="none"/>
        </w:tabs>
        <w:rPr>
          <w:rFonts w:ascii="宋体" w:hAnsi="宋体"/>
          <w:color w:val="000000"/>
          <w:sz w:val="28"/>
          <w:szCs w:val="28"/>
          <w:highlight w:val="none"/>
        </w:rPr>
      </w:pPr>
      <w:r>
        <w:rPr>
          <w:rFonts w:ascii="宋体" w:hAnsi="宋体"/>
          <w:color w:val="000000"/>
          <w:sz w:val="28"/>
          <w:szCs w:val="28"/>
          <w:highlight w:val="none"/>
        </w:rPr>
      </w:r>
      <w:r/>
    </w:p>
    <w:p>
      <w:pPr>
        <w:pStyle w:val="794"/>
        <w:contextualSpacing/>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94"/>
        <w:contextualSpacing/>
        <w:ind w:firstLine="42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二0   年   月   日                   二0   年   月   日</w:t>
      </w:r>
      <w:r>
        <w:rPr>
          <w:rFonts w:ascii="宋体" w:hAnsi="宋体"/>
          <w:color w:val="000000"/>
          <w:sz w:val="28"/>
          <w:szCs w:val="28"/>
          <w:highlight w:val="none"/>
        </w:rPr>
      </w:r>
      <w:r/>
    </w:p>
    <w:p>
      <w:pPr>
        <w:pStyle w:val="794"/>
        <w:contextualSpacing/>
        <w:jc w:val="center"/>
        <w:spacing w:line="360" w:lineRule="auto"/>
        <w:rPr>
          <w:rFonts w:ascii="宋体" w:hAnsi="宋体"/>
          <w:b/>
          <w:color w:val="000000"/>
          <w:sz w:val="24"/>
          <w:highlight w:val="none"/>
        </w:rPr>
      </w:pPr>
      <w:r>
        <w:rPr>
          <w:rFonts w:ascii="宋体" w:hAnsi="宋体"/>
          <w:color w:val="000000"/>
          <w:sz w:val="28"/>
          <w:szCs w:val="28"/>
          <w:highlight w:val="none"/>
        </w:rPr>
        <w:br w:type="page" w:clear="all"/>
      </w:r>
      <w:r>
        <w:rPr>
          <w:rFonts w:hint="eastAsia" w:ascii="宋体" w:hAnsi="宋体"/>
          <w:b/>
          <w:color w:val="000000"/>
          <w:sz w:val="24"/>
          <w:highlight w:val="none"/>
        </w:rPr>
        <w:t xml:space="preserve"> </w:t>
      </w:r>
      <w:r>
        <w:rPr>
          <w:rFonts w:ascii="宋体" w:hAnsi="宋体"/>
          <w:b/>
          <w:color w:val="000000"/>
          <w:sz w:val="24"/>
          <w:highlight w:val="none"/>
        </w:rPr>
      </w:r>
      <w:r/>
    </w:p>
    <w:p>
      <w:pPr>
        <w:pStyle w:val="794"/>
        <w:spacing w:line="360" w:lineRule="auto"/>
        <w:rPr>
          <w:rFonts w:ascii="宋体" w:hAnsi="宋体"/>
          <w:b/>
          <w:color w:val="000000"/>
          <w:sz w:val="24"/>
          <w:highlight w:val="none"/>
        </w:rPr>
      </w:pPr>
      <w:r>
        <w:rPr>
          <w:rFonts w:ascii="宋体" w:hAnsi="宋体"/>
          <w:b/>
          <w:color w:val="000000"/>
          <w:sz w:val="24"/>
          <w:highlight w:val="none"/>
        </w:rPr>
      </w:r>
      <w:r/>
    </w:p>
    <w:p>
      <w:pPr>
        <w:pStyle w:val="794"/>
        <w:jc w:val="center"/>
        <w:spacing w:line="360" w:lineRule="auto"/>
        <w:rPr>
          <w:rFonts w:ascii="宋体" w:hAnsi="宋体"/>
          <w:b/>
          <w:color w:val="000000"/>
          <w:spacing w:val="20"/>
          <w:sz w:val="84"/>
          <w:szCs w:val="84"/>
          <w:highlight w:val="none"/>
        </w:rPr>
      </w:pPr>
      <w:r>
        <w:rPr>
          <w:rFonts w:hint="eastAsia" w:ascii="宋体" w:hAnsi="宋体"/>
          <w:b/>
          <w:color w:val="000000"/>
          <w:spacing w:val="20"/>
          <w:sz w:val="84"/>
          <w:szCs w:val="84"/>
          <w:highlight w:val="none"/>
        </w:rPr>
        <w:t xml:space="preserve">南通市政府采购项目</w:t>
      </w:r>
      <w:r>
        <w:rPr>
          <w:rFonts w:ascii="宋体" w:hAnsi="宋体"/>
          <w:b/>
          <w:color w:val="000000"/>
          <w:spacing w:val="20"/>
          <w:sz w:val="84"/>
          <w:szCs w:val="84"/>
          <w:highlight w:val="none"/>
        </w:rPr>
      </w:r>
      <w:r/>
    </w:p>
    <w:p>
      <w:pPr>
        <w:pStyle w:val="794"/>
        <w:jc w:val="center"/>
        <w:spacing w:line="360" w:lineRule="auto"/>
        <w:rPr>
          <w:rFonts w:ascii="宋体" w:hAnsi="宋体"/>
          <w:b/>
          <w:bCs/>
          <w:color w:val="000000"/>
          <w:sz w:val="44"/>
          <w:highlight w:val="none"/>
        </w:rPr>
      </w:pPr>
      <w:r>
        <w:rPr>
          <w:rFonts w:hint="eastAsia" w:ascii="宋体" w:hAnsi="宋体"/>
          <w:b/>
          <w:bCs/>
          <w:color w:val="000000"/>
          <w:sz w:val="72"/>
          <w:szCs w:val="72"/>
          <w:highlight w:val="none"/>
        </w:rPr>
        <w:t xml:space="preserve">合同书</w:t>
      </w:r>
      <w:r>
        <w:rPr>
          <w:rFonts w:hint="eastAsia" w:ascii="宋体" w:hAnsi="宋体"/>
          <w:b/>
          <w:bCs/>
          <w:color w:val="000000"/>
          <w:sz w:val="32"/>
          <w:szCs w:val="32"/>
          <w:highlight w:val="none"/>
        </w:rPr>
        <w:t xml:space="preserve">（简化版，仅供参考）</w:t>
      </w:r>
      <w:r>
        <w:rPr>
          <w:rFonts w:ascii="宋体" w:hAnsi="宋体"/>
          <w:b/>
          <w:bCs/>
          <w:color w:val="000000"/>
          <w:sz w:val="44"/>
          <w:highlight w:val="none"/>
        </w:rPr>
      </w:r>
      <w:r/>
    </w:p>
    <w:p>
      <w:pPr>
        <w:pStyle w:val="794"/>
        <w:jc w:val="center"/>
        <w:spacing w:after="60" w:line="360" w:lineRule="auto"/>
        <w:rPr>
          <w:rFonts w:ascii="宋体" w:hAnsi="宋体"/>
          <w:b/>
          <w:color w:val="000000"/>
          <w:sz w:val="36"/>
          <w:szCs w:val="36"/>
          <w:highlight w:val="none"/>
        </w:rPr>
      </w:pPr>
      <w:r>
        <w:rPr>
          <w:rFonts w:ascii="宋体" w:hAnsi="宋体"/>
          <w:b/>
          <w:color w:val="000000"/>
          <w:sz w:val="36"/>
          <w:szCs w:val="36"/>
          <w:highlight w:val="none"/>
        </w:rPr>
      </w:r>
      <w:r/>
    </w:p>
    <w:p>
      <w:pPr>
        <w:pStyle w:val="794"/>
        <w:spacing w:after="60" w:line="360" w:lineRule="auto"/>
        <w:rPr>
          <w:rFonts w:ascii="宋体" w:hAnsi="宋体"/>
          <w:color w:val="000000"/>
          <w:highlight w:val="none"/>
        </w:rPr>
      </w:pPr>
      <w:r>
        <w:rPr>
          <w:rFonts w:ascii="宋体" w:hAnsi="宋体"/>
          <w:color w:val="000000"/>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采购单位（或称甲方）：</w:t>
      </w:r>
      <w:r>
        <w:rPr>
          <w:rFonts w:hint="eastAsia" w:ascii="宋体" w:hAnsi="宋体"/>
          <w:color w:val="000000"/>
          <w:sz w:val="32"/>
          <w:szCs w:val="32"/>
          <w:highlight w:val="none"/>
          <w:u w:val="single"/>
        </w:rPr>
        <w:t xml:space="preserve">                      </w:t>
      </w:r>
      <w:r>
        <w:rPr>
          <w:rFonts w:ascii="宋体" w:hAnsi="宋体"/>
          <w:color w:val="000000"/>
          <w:sz w:val="32"/>
          <w:szCs w:val="32"/>
          <w:highlight w:val="none"/>
        </w:rPr>
      </w:r>
      <w:r/>
    </w:p>
    <w:p>
      <w:pPr>
        <w:pStyle w:val="794"/>
        <w:spacing w:after="60" w:line="360" w:lineRule="auto"/>
        <w:rPr>
          <w:rFonts w:ascii="宋体" w:hAnsi="宋体"/>
          <w:bCs/>
          <w:color w:val="000000"/>
          <w:sz w:val="32"/>
          <w:szCs w:val="32"/>
          <w:highlight w:val="none"/>
        </w:rPr>
      </w:pPr>
      <w:r>
        <w:rPr>
          <w:rFonts w:hint="eastAsia" w:ascii="宋体" w:hAnsi="宋体"/>
          <w:color w:val="000000"/>
          <w:sz w:val="32"/>
          <w:szCs w:val="32"/>
          <w:highlight w:val="none"/>
        </w:rPr>
        <w:t xml:space="preserve">成交供应商（或称乙方）：</w:t>
      </w:r>
      <w:r>
        <w:rPr>
          <w:rFonts w:hint="eastAsia" w:ascii="宋体" w:hAnsi="宋体"/>
          <w:color w:val="000000"/>
          <w:sz w:val="32"/>
          <w:szCs w:val="32"/>
          <w:highlight w:val="none"/>
          <w:u w:val="single"/>
        </w:rPr>
        <w:t xml:space="preserve">                      </w:t>
      </w:r>
      <w:r>
        <w:rPr>
          <w:rFonts w:ascii="宋体" w:hAnsi="宋体"/>
          <w:bCs/>
          <w:color w:val="000000"/>
          <w:sz w:val="32"/>
          <w:szCs w:val="32"/>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签订时间：</w:t>
      </w:r>
      <w:r>
        <w:rPr>
          <w:rFonts w:hint="eastAsia" w:ascii="宋体" w:hAnsi="宋体"/>
          <w:color w:val="000000"/>
          <w:sz w:val="32"/>
          <w:szCs w:val="32"/>
          <w:highlight w:val="none"/>
          <w:u w:val="single"/>
        </w:rPr>
        <w:t xml:space="preserve">     年   月   日</w:t>
      </w: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签订地点：</w:t>
      </w:r>
      <w:r>
        <w:rPr>
          <w:rFonts w:hint="eastAsia" w:ascii="宋体" w:hAnsi="宋体"/>
          <w:color w:val="000000"/>
          <w:sz w:val="32"/>
          <w:szCs w:val="32"/>
          <w:highlight w:val="none"/>
          <w:u w:val="single"/>
        </w:rPr>
        <w:t xml:space="preserve">                 </w:t>
      </w:r>
      <w:r>
        <w:rPr>
          <w:rFonts w:ascii="宋体" w:hAnsi="宋体"/>
          <w:color w:val="000000"/>
          <w:sz w:val="32"/>
          <w:szCs w:val="32"/>
          <w:highlight w:val="none"/>
        </w:rPr>
      </w:r>
      <w:r/>
    </w:p>
    <w:p>
      <w:pPr>
        <w:pStyle w:val="794"/>
        <w:ind w:firstLine="736"/>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根据《政府采购法》、《经济合同法》及      年   月   日</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项目(采购编号：</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)的采购结果、采购文件及竞谈文件，经双方协商一致，签订本合同。</w:t>
      </w:r>
      <w:bookmarkStart w:id="131" w:name="_Toc81879411"/>
      <w:r>
        <w:rPr>
          <w:rFonts w:ascii="宋体" w:hAnsi="宋体"/>
          <w:color w:val="000000"/>
          <w:sz w:val="32"/>
          <w:szCs w:val="32"/>
          <w:highlight w:val="none"/>
        </w:rPr>
      </w:r>
      <w:r/>
    </w:p>
    <w:p>
      <w:pPr>
        <w:pStyle w:val="794"/>
        <w:spacing w:after="60"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1.货物及服务：</w:t>
      </w:r>
      <w:bookmarkEnd w:id="131"/>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1.1乙方向甲方提供以下货物以及运输、装卸、检验、技术服务、质保期服务等相关服务</w:t>
      </w:r>
      <w:r>
        <w:rPr>
          <w:rFonts w:ascii="宋体" w:hAnsi="宋体"/>
          <w:color w:val="000000"/>
          <w:sz w:val="32"/>
          <w:szCs w:val="32"/>
          <w:highlight w:val="none"/>
        </w:rPr>
      </w:r>
      <w:r/>
    </w:p>
    <w:tbl>
      <w:tblPr>
        <w:tblW w:w="908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8"/>
        <w:gridCol w:w="1260"/>
        <w:gridCol w:w="2216"/>
        <w:gridCol w:w="844"/>
        <w:gridCol w:w="900"/>
        <w:gridCol w:w="843"/>
        <w:gridCol w:w="1576"/>
      </w:tblGrid>
      <w:tr>
        <w:trPr>
          <w:cantSplit/>
        </w:trPr>
        <w:tc>
          <w:tcPr>
            <w:tcBorders>
              <w:top w:val="single" w:color="000000" w:sz="6" w:space="0"/>
              <w:left w:val="single" w:color="000000" w:sz="6" w:space="0"/>
              <w:bottom w:val="single" w:color="000000" w:sz="6" w:space="0"/>
              <w:right w:val="single" w:color="000000" w:sz="6" w:space="0"/>
            </w:tcBorders>
            <w:tcW w:w="1448" w:type="dxa"/>
            <w:vAlign w:val="top"/>
            <w:textDirection w:val="lrTb"/>
            <w:noWrap w:val="false"/>
          </w:tcPr>
          <w:p>
            <w:pPr>
              <w:pStyle w:val="794"/>
              <w:jc w:val="center"/>
              <w:spacing w:after="60" w:line="360" w:lineRule="auto"/>
              <w:rPr>
                <w:rFonts w:ascii="宋体" w:hAnsi="宋体"/>
                <w:color w:val="000000"/>
                <w:highlight w:val="none"/>
              </w:rPr>
            </w:pPr>
            <w:r>
              <w:rPr>
                <w:rFonts w:hint="eastAsia" w:ascii="宋体" w:hAnsi="宋体"/>
                <w:color w:val="000000"/>
                <w:highlight w:val="none"/>
              </w:rPr>
              <w:t xml:space="preserve">货物名称</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794"/>
              <w:jc w:val="center"/>
              <w:spacing w:after="60" w:line="360" w:lineRule="auto"/>
              <w:rPr>
                <w:rFonts w:ascii="宋体" w:hAnsi="宋体"/>
                <w:color w:val="000000"/>
                <w:highlight w:val="none"/>
              </w:rPr>
            </w:pPr>
            <w:r>
              <w:rPr>
                <w:rFonts w:hint="eastAsia" w:ascii="宋体" w:hAnsi="宋体"/>
                <w:color w:val="000000"/>
                <w:highlight w:val="none"/>
              </w:rPr>
              <w:t xml:space="preserve">货物标准</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2216" w:type="dxa"/>
            <w:vAlign w:val="top"/>
            <w:textDirection w:val="lrTb"/>
            <w:noWrap w:val="false"/>
          </w:tcPr>
          <w:p>
            <w:pPr>
              <w:pStyle w:val="794"/>
              <w:jc w:val="center"/>
              <w:spacing w:after="60" w:line="360" w:lineRule="auto"/>
              <w:rPr>
                <w:rFonts w:ascii="宋体" w:hAnsi="宋体"/>
                <w:color w:val="000000"/>
                <w:highlight w:val="none"/>
              </w:rPr>
            </w:pPr>
            <w:r>
              <w:rPr>
                <w:rFonts w:hint="eastAsia" w:ascii="宋体" w:hAnsi="宋体"/>
                <w:color w:val="000000"/>
                <w:highlight w:val="none"/>
              </w:rPr>
              <w:t xml:space="preserve">生产厂家/产地</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794"/>
              <w:jc w:val="center"/>
              <w:spacing w:after="60" w:line="360" w:lineRule="auto"/>
              <w:rPr>
                <w:rFonts w:ascii="宋体" w:hAnsi="宋体"/>
                <w:color w:val="000000"/>
                <w:highlight w:val="none"/>
              </w:rPr>
            </w:pPr>
            <w:r>
              <w:rPr>
                <w:rFonts w:hint="eastAsia" w:ascii="宋体" w:hAnsi="宋体"/>
                <w:color w:val="000000"/>
                <w:highlight w:val="none"/>
              </w:rPr>
              <w:t xml:space="preserve">数量</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794"/>
              <w:jc w:val="center"/>
              <w:spacing w:after="60" w:line="360" w:lineRule="auto"/>
              <w:rPr>
                <w:rFonts w:ascii="宋体" w:hAnsi="宋体"/>
                <w:color w:val="000000"/>
                <w:highlight w:val="none"/>
              </w:rPr>
            </w:pPr>
            <w:r>
              <w:rPr>
                <w:rFonts w:hint="eastAsia" w:ascii="宋体" w:hAnsi="宋体"/>
                <w:color w:val="000000"/>
                <w:highlight w:val="none"/>
              </w:rPr>
              <w:t xml:space="preserve">单位</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pStyle w:val="794"/>
              <w:jc w:val="center"/>
              <w:spacing w:after="60" w:line="360" w:lineRule="auto"/>
              <w:rPr>
                <w:rFonts w:ascii="宋体" w:hAnsi="宋体"/>
                <w:color w:val="000000"/>
                <w:highlight w:val="none"/>
              </w:rPr>
            </w:pPr>
            <w:r>
              <w:rPr>
                <w:rFonts w:hint="eastAsia" w:ascii="宋体" w:hAnsi="宋体"/>
                <w:color w:val="000000"/>
                <w:highlight w:val="none"/>
              </w:rPr>
              <w:t xml:space="preserve">单价</w:t>
            </w: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576" w:type="dxa"/>
            <w:vAlign w:val="top"/>
            <w:textDirection w:val="lrTb"/>
            <w:noWrap w:val="false"/>
          </w:tcPr>
          <w:p>
            <w:pPr>
              <w:pStyle w:val="794"/>
              <w:jc w:val="center"/>
              <w:spacing w:after="60" w:line="360" w:lineRule="auto"/>
              <w:rPr>
                <w:rFonts w:ascii="宋体" w:hAnsi="宋体"/>
                <w:color w:val="000000"/>
                <w:highlight w:val="none"/>
              </w:rPr>
            </w:pPr>
            <w:r>
              <w:rPr>
                <w:rFonts w:hint="eastAsia" w:ascii="宋体" w:hAnsi="宋体"/>
                <w:color w:val="000000"/>
                <w:highlight w:val="none"/>
              </w:rPr>
              <w:t xml:space="preserve">总价</w:t>
            </w:r>
            <w:r>
              <w:rPr>
                <w:rFonts w:ascii="宋体" w:hAnsi="宋体"/>
                <w:color w:val="000000"/>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pStyle w:val="794"/>
              <w:jc w:val="center"/>
              <w:spacing w:after="60"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794"/>
              <w:jc w:val="center"/>
              <w:spacing w:after="60"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2216" w:type="dxa"/>
            <w:vAlign w:val="center"/>
            <w:textDirection w:val="lrTb"/>
            <w:noWrap w:val="false"/>
          </w:tcPr>
          <w:p>
            <w:pPr>
              <w:pStyle w:val="794"/>
              <w:jc w:val="center"/>
              <w:spacing w:after="60"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794"/>
              <w:jc w:val="center"/>
              <w:spacing w:after="60"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94"/>
              <w:jc w:val="center"/>
              <w:spacing w:after="60"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pStyle w:val="794"/>
              <w:jc w:val="center"/>
              <w:spacing w:after="60" w:line="360" w:lineRule="auto"/>
              <w:rPr>
                <w:rFonts w:ascii="宋体" w:hAnsi="宋体"/>
                <w:color w:val="000000"/>
                <w:highlight w:val="none"/>
              </w:rPr>
            </w:pPr>
            <w:r>
              <w:rPr>
                <w:rFonts w:ascii="宋体"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576" w:type="dxa"/>
            <w:vAlign w:val="center"/>
            <w:textDirection w:val="lrTb"/>
            <w:noWrap w:val="false"/>
          </w:tcPr>
          <w:p>
            <w:pPr>
              <w:pStyle w:val="794"/>
              <w:jc w:val="center"/>
              <w:spacing w:after="60" w:line="360" w:lineRule="auto"/>
              <w:rPr>
                <w:rFonts w:ascii="宋体" w:hAnsi="宋体"/>
                <w:color w:val="000000"/>
                <w:highlight w:val="none"/>
              </w:rPr>
            </w:pPr>
            <w:r>
              <w:rPr>
                <w:rFonts w:ascii="宋体" w:hAnsi="宋体"/>
                <w:color w:val="000000"/>
                <w:highlight w:val="none"/>
              </w:rPr>
            </w:r>
            <w:r/>
          </w:p>
        </w:tc>
      </w:tr>
      <w:tr>
        <w:trPr>
          <w:cantSplit/>
          <w:trHeight w:val="429"/>
        </w:trPr>
        <w:tc>
          <w:tcPr>
            <w:gridSpan w:val="7"/>
            <w:tcBorders>
              <w:top w:val="single" w:color="000000" w:sz="6" w:space="0"/>
              <w:left w:val="single" w:color="000000" w:sz="6" w:space="0"/>
              <w:bottom w:val="single" w:color="000000" w:sz="6" w:space="0"/>
              <w:right w:val="single" w:color="000000" w:sz="6" w:space="0"/>
            </w:tcBorders>
            <w:tcW w:w="9087" w:type="dxa"/>
            <w:vAlign w:val="top"/>
            <w:textDirection w:val="lrTb"/>
            <w:noWrap w:val="false"/>
          </w:tcPr>
          <w:p>
            <w:pPr>
              <w:pStyle w:val="794"/>
              <w:spacing w:after="60" w:line="360" w:lineRule="auto"/>
              <w:rPr>
                <w:rFonts w:ascii="宋体" w:hAnsi="宋体"/>
                <w:color w:val="000000"/>
                <w:highlight w:val="none"/>
              </w:rPr>
            </w:pPr>
            <w:r>
              <w:rPr>
                <w:rFonts w:hint="eastAsia" w:ascii="宋体" w:hAnsi="宋体"/>
                <w:color w:val="000000"/>
                <w:highlight w:val="none"/>
              </w:rPr>
              <w:t xml:space="preserve">总金额</w:t>
            </w:r>
            <w:r>
              <w:rPr>
                <w:rFonts w:ascii="宋体" w:hAnsi="宋体"/>
                <w:color w:val="000000"/>
                <w:highlight w:val="none"/>
              </w:rPr>
              <w:t xml:space="preserve">(</w:t>
            </w:r>
            <w:r>
              <w:rPr>
                <w:rFonts w:hint="eastAsia" w:ascii="宋体" w:hAnsi="宋体"/>
                <w:color w:val="000000"/>
                <w:highlight w:val="none"/>
              </w:rPr>
              <w:t xml:space="preserve">人民币</w:t>
            </w:r>
            <w:r>
              <w:rPr>
                <w:rFonts w:ascii="宋体" w:hAnsi="宋体"/>
                <w:color w:val="000000"/>
                <w:highlight w:val="none"/>
              </w:rPr>
              <w:t xml:space="preserve">): </w:t>
            </w:r>
            <w:r>
              <w:rPr>
                <w:rFonts w:ascii="宋体" w:hAnsi="宋体"/>
                <w:color w:val="000000"/>
                <w:highlight w:val="none"/>
              </w:rPr>
            </w:r>
            <w:r/>
          </w:p>
        </w:tc>
      </w:tr>
    </w:tbl>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1.2乙方按其竞谈文件提供的货物及服务必须满足采购文件的各项要求。货物清单见合同附件。</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1.3乙方提供的运输、装卸、检验、技术服务、质保期等服务不得低于采购文件的要求及竞谈文件承诺的标准。</w:t>
      </w:r>
      <w:bookmarkStart w:id="132" w:name="_Toc81879412"/>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1.4前述采购货物总数量甲方根据生产需要进行调整。</w:t>
      </w:r>
      <w:r>
        <w:rPr>
          <w:rFonts w:ascii="宋体" w:hAnsi="宋体"/>
          <w:color w:val="000000"/>
          <w:sz w:val="32"/>
          <w:szCs w:val="32"/>
          <w:highlight w:val="none"/>
        </w:rPr>
      </w:r>
      <w:r/>
    </w:p>
    <w:p>
      <w:pPr>
        <w:pStyle w:val="830"/>
        <w:spacing w:after="60" w:line="360" w:lineRule="auto"/>
        <w:rPr>
          <w:rFonts w:ascii="宋体" w:hAnsi="宋体" w:eastAsia="宋体"/>
          <w:color w:val="000000"/>
          <w:sz w:val="32"/>
          <w:szCs w:val="32"/>
          <w:highlight w:val="none"/>
        </w:rPr>
      </w:pPr>
      <w:r>
        <w:rPr>
          <w:rFonts w:hint="eastAsia" w:ascii="宋体" w:hAnsi="宋体" w:eastAsia="宋体"/>
          <w:color w:val="000000"/>
          <w:sz w:val="32"/>
          <w:szCs w:val="32"/>
          <w:highlight w:val="none"/>
        </w:rPr>
        <w:t xml:space="preserve">2.价格：</w:t>
      </w:r>
      <w:bookmarkEnd w:id="132"/>
      <w:r>
        <w:rPr>
          <w:rFonts w:ascii="宋体" w:hAnsi="宋体" w:eastAsia="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2.1按照乙方的成交价，本合同价款总额为：大写人民币</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元（RMB</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元）。</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2.2合同价格为：指定地点交货价，投标报价包括：货物价、运至合同指定地点的运输费、装卸费、检验费、技术服务费、质保期及采购标文件所要求的相关服务等全过程产生的所有成本和费用以及一切税费。</w:t>
      </w:r>
      <w:bookmarkStart w:id="133" w:name="_Toc81879413"/>
      <w:r>
        <w:rPr>
          <w:rFonts w:hint="eastAsia" w:ascii="宋体" w:hAnsi="宋体"/>
          <w:color w:val="000000"/>
          <w:sz w:val="32"/>
          <w:szCs w:val="32"/>
          <w:highlight w:val="none"/>
        </w:rPr>
        <w:t xml:space="preserve">在本合同履行期间,该价格不受市场任何因素影响.</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2.3 合同价款含甲方到乙方生产场地、原材料产地考察及监督生产全过程的费用总计         （RMB      元），该费用在合同供货完成后按实结算，如果甲方放弃考察、监督，该费用将全部扣除，不予支付。</w:t>
      </w:r>
      <w:r>
        <w:rPr>
          <w:rFonts w:ascii="宋体" w:hAnsi="宋体"/>
          <w:color w:val="000000"/>
          <w:sz w:val="32"/>
          <w:szCs w:val="32"/>
          <w:highlight w:val="none"/>
        </w:rPr>
      </w:r>
      <w:r/>
    </w:p>
    <w:p>
      <w:pPr>
        <w:pStyle w:val="830"/>
        <w:spacing w:after="60" w:line="360" w:lineRule="auto"/>
        <w:rPr>
          <w:rFonts w:ascii="宋体" w:hAnsi="宋体" w:eastAsia="宋体"/>
          <w:color w:val="000000"/>
          <w:sz w:val="32"/>
          <w:szCs w:val="32"/>
          <w:highlight w:val="none"/>
        </w:rPr>
      </w:pPr>
      <w:r>
        <w:rPr>
          <w:rFonts w:hint="eastAsia" w:ascii="宋体" w:hAnsi="宋体" w:eastAsia="宋体"/>
          <w:color w:val="000000"/>
          <w:sz w:val="32"/>
          <w:szCs w:val="32"/>
          <w:highlight w:val="none"/>
        </w:rPr>
        <w:t xml:space="preserve">3.货物质量要求及乙方对质量负责条件和期限：</w:t>
      </w:r>
      <w:bookmarkEnd w:id="133"/>
      <w:r>
        <w:rPr>
          <w:rFonts w:ascii="宋体" w:hAnsi="宋体" w:eastAsia="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3.1乙方提供的货品必须达到或优于采购文件“货物需求一览表”技术需求中各项指标参数。</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3.2乙方竞谈时提供的产品样品，委托        ，双方在其样品化验单上签字确认存档，作为每批货物的验收依据。样品技术指标优于“货物需求一览表”技术需求的指标项，按样品其技术指标验收。</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3.3乙方提供的货物必须符合中华人民共和国国家及行业有关标准。</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3.4乙方提供的货物必须是正品。</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3.5因货物的质量问题发生争议，由    市质量监督部门进行质量鉴定。货物符合质量标准的，鉴定费由甲方承担；货物不符合质量标准的，鉴定费由乙方承担，则该批货物无条件退货，由此所造成的直接经济损失，由乙方承担。</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3.6货物非因甲方的人为原因而出现的质量问题由乙方负责包换或包退，并承担调换或退货的实际费用。乙方不给予调换的，均按不能交货处理。</w:t>
      </w:r>
      <w:r>
        <w:rPr>
          <w:rFonts w:ascii="宋体" w:hAnsi="宋体"/>
          <w:color w:val="000000"/>
          <w:sz w:val="32"/>
          <w:szCs w:val="32"/>
          <w:highlight w:val="none"/>
        </w:rPr>
      </w:r>
      <w:r/>
    </w:p>
    <w:p>
      <w:pPr>
        <w:pStyle w:val="794"/>
        <w:spacing w:after="60" w:line="360" w:lineRule="auto"/>
        <w:tabs>
          <w:tab w:val="left" w:pos="360" w:leader="none"/>
        </w:tabs>
        <w:rPr>
          <w:rFonts w:ascii="宋体" w:hAnsi="宋体"/>
          <w:b/>
          <w:bCs/>
          <w:color w:val="000000"/>
          <w:sz w:val="32"/>
          <w:szCs w:val="32"/>
          <w:highlight w:val="none"/>
        </w:rPr>
      </w:pPr>
      <w:r/>
      <w:bookmarkStart w:id="134" w:name="_Toc81879414"/>
      <w:r>
        <w:rPr>
          <w:rFonts w:hint="eastAsia" w:ascii="宋体" w:hAnsi="宋体"/>
          <w:b/>
          <w:bCs/>
          <w:color w:val="000000"/>
          <w:sz w:val="32"/>
          <w:szCs w:val="32"/>
          <w:highlight w:val="none"/>
        </w:rPr>
        <w:t xml:space="preserve">4.包装及运输：</w:t>
      </w:r>
      <w:bookmarkEnd w:id="134"/>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4.1由乙方提供符合本合同项下货物运输的必要包装方式，符合采购文件“货物需求一览表”的要求。</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4.2如果甲方要求箱外加刷其他标志，应于合同签订时通知乙方，包装物不予回收。</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4.3包装物材料及包装方式必须同时符合国家有关强制性要求，否则可能导致的延误由乙方承担责任。</w:t>
      </w:r>
      <w:r>
        <w:rPr>
          <w:rFonts w:ascii="宋体" w:hAnsi="宋体"/>
          <w:color w:val="000000"/>
          <w:sz w:val="32"/>
          <w:szCs w:val="32"/>
          <w:highlight w:val="none"/>
        </w:rPr>
      </w:r>
      <w:r/>
    </w:p>
    <w:p>
      <w:pPr>
        <w:pStyle w:val="794"/>
        <w:spacing w:after="60" w:line="360" w:lineRule="auto"/>
        <w:tabs>
          <w:tab w:val="left" w:pos="360" w:leader="none"/>
        </w:tabs>
        <w:rPr>
          <w:rFonts w:ascii="宋体" w:hAnsi="宋体"/>
          <w:b/>
          <w:bCs/>
          <w:color w:val="000000"/>
          <w:sz w:val="32"/>
          <w:szCs w:val="32"/>
          <w:highlight w:val="none"/>
        </w:rPr>
      </w:pPr>
      <w:r/>
      <w:bookmarkStart w:id="135" w:name="_Toc81879415"/>
      <w:r>
        <w:rPr>
          <w:rFonts w:hint="eastAsia" w:ascii="宋体" w:hAnsi="宋体"/>
          <w:b/>
          <w:bCs/>
          <w:color w:val="000000"/>
          <w:sz w:val="32"/>
          <w:szCs w:val="32"/>
          <w:highlight w:val="none"/>
        </w:rPr>
        <w:t xml:space="preserve">5.交货及验收：</w:t>
      </w:r>
      <w:bookmarkEnd w:id="135"/>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5.1交货地点：指定地点。</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5.2交货时间：合同签定后</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天内交第一批货物，所送货物数量以甲方通告数量为准。</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5.3交货形式：其余货品乙方在接到甲方的供货通知后</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小时内将货物送至甲方指定地点。</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5.4交货周期：供货间隔时间及每批供货量由甲方按实际使用量提前通知乙方，如有特殊情况，甲方提前</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小时通知乙方。</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5.5每批货物须经甲方抽样检验，初验合格后方可收货，初验不合格者作退货并警告处理，如发现所供货物化验结果与样品化验单有明显差别（甲方要求的不在此列），甲方提出意见后乙方产品没有明显改善，甲方有权向南通市政府采购中心反映，必要时可提前终止合同。</w:t>
      </w: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bookmarkStart w:id="136" w:name="_Toc81879416"/>
      <w:r>
        <w:rPr>
          <w:rFonts w:hint="eastAsia" w:ascii="宋体" w:hAnsi="宋体"/>
          <w:color w:val="000000"/>
          <w:sz w:val="32"/>
          <w:szCs w:val="32"/>
          <w:highlight w:val="none"/>
        </w:rPr>
        <w:t xml:space="preserve">5．6乙方必须提供每批货物的生产厂家出厂合格证书及有关供货说明文件。</w:t>
      </w:r>
      <w:r>
        <w:rPr>
          <w:rFonts w:ascii="宋体" w:hAnsi="宋体"/>
          <w:color w:val="000000"/>
          <w:sz w:val="32"/>
          <w:szCs w:val="32"/>
          <w:highlight w:val="none"/>
        </w:rPr>
      </w:r>
      <w:r/>
    </w:p>
    <w:p>
      <w:pPr>
        <w:pStyle w:val="794"/>
        <w:spacing w:after="60"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6.</w:t>
      </w:r>
      <w:bookmarkEnd w:id="136"/>
      <w:r/>
      <w:bookmarkStart w:id="137" w:name="_Toc81879417"/>
      <w:r>
        <w:rPr>
          <w:rFonts w:hint="eastAsia" w:ascii="宋体" w:hAnsi="宋体"/>
          <w:b/>
          <w:bCs/>
          <w:color w:val="000000"/>
          <w:sz w:val="32"/>
          <w:szCs w:val="32"/>
          <w:highlight w:val="none"/>
        </w:rPr>
        <w:t xml:space="preserve">结算及付款方式：</w:t>
      </w:r>
      <w:bookmarkEnd w:id="137"/>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6.1 合同乙方即采购项目的成交供应商，结算价格为竞谈文件所报价格。</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6.2在收到乙方货物并验收合格后，甲乙双方两个星期结算一次，乙方根据结算金额开出国家合法的商品发票，交甲方办理付款手续。</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6.3货物发票由乙方按国家有关财税规定开具给甲方。</w:t>
      </w:r>
      <w:bookmarkStart w:id="138" w:name="_Toc81879418"/>
      <w:r>
        <w:rPr>
          <w:rFonts w:ascii="宋体" w:hAnsi="宋体"/>
          <w:color w:val="000000"/>
          <w:sz w:val="32"/>
          <w:szCs w:val="32"/>
          <w:highlight w:val="none"/>
        </w:rPr>
      </w:r>
      <w:r/>
    </w:p>
    <w:p>
      <w:pPr>
        <w:pStyle w:val="794"/>
        <w:spacing w:after="60" w:line="360" w:lineRule="auto"/>
        <w:tabs>
          <w:tab w:val="left" w:pos="360" w:leader="none"/>
          <w:tab w:val="left" w:pos="540" w:leader="none"/>
        </w:tabs>
        <w:rPr>
          <w:rFonts w:ascii="宋体" w:hAnsi="宋体"/>
          <w:b/>
          <w:bCs/>
          <w:color w:val="000000"/>
          <w:sz w:val="32"/>
          <w:szCs w:val="32"/>
          <w:highlight w:val="none"/>
        </w:rPr>
      </w:pPr>
      <w:r>
        <w:rPr>
          <w:rFonts w:hint="eastAsia" w:ascii="宋体" w:hAnsi="宋体"/>
          <w:b/>
          <w:bCs/>
          <w:color w:val="000000"/>
          <w:sz w:val="32"/>
          <w:szCs w:val="32"/>
          <w:highlight w:val="none"/>
        </w:rPr>
        <w:t xml:space="preserve">7.违约责任：</w:t>
      </w:r>
      <w:bookmarkEnd w:id="138"/>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7.1乙方未能准时交付货物，则向甲方支付该批货物总额10%的违约金。</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7.2乙方交付的货物不符合合同规定的，甲方有权拒收，乙方在本合同第5条规定之外另应向甲方支付该批货物总额10%的违约金。</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7.3甲方无正当理由拒收货物，拒付货款的，甲方向乙方偿付该批货物总额10%的违约金。</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7.4甲方无正当理由逾期付款的，则每日按该批货物总额3‰向乙方偿付违约金。</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7.5因乙方不能按期交货，甲方有权购甲其他产品替代该批货物，由此产生的差价损失由乙方支付。</w:t>
      </w:r>
      <w:bookmarkStart w:id="139" w:name="_Toc81879419"/>
      <w:r>
        <w:rPr>
          <w:rFonts w:ascii="宋体" w:hAnsi="宋体"/>
          <w:color w:val="000000"/>
          <w:sz w:val="32"/>
          <w:szCs w:val="32"/>
          <w:highlight w:val="none"/>
        </w:rPr>
      </w:r>
      <w:r/>
    </w:p>
    <w:p>
      <w:pPr>
        <w:pStyle w:val="794"/>
        <w:numPr>
          <w:ilvl w:val="1"/>
          <w:numId w:val="0"/>
        </w:numPr>
        <w:spacing w:after="60" w:line="360" w:lineRule="auto"/>
        <w:tabs>
          <w:tab w:val="left" w:pos="360" w:leader="none"/>
          <w:tab w:val="left" w:pos="540" w:leader="none"/>
        </w:tabs>
        <w:rPr>
          <w:rFonts w:ascii="宋体" w:hAnsi="宋体"/>
          <w:b/>
          <w:bCs/>
          <w:color w:val="000000"/>
          <w:sz w:val="32"/>
          <w:szCs w:val="32"/>
          <w:highlight w:val="none"/>
        </w:rPr>
      </w:pPr>
      <w:r>
        <w:rPr>
          <w:rFonts w:hint="eastAsia" w:ascii="宋体" w:hAnsi="宋体"/>
          <w:b/>
          <w:bCs/>
          <w:color w:val="000000"/>
          <w:sz w:val="32"/>
          <w:szCs w:val="32"/>
          <w:highlight w:val="none"/>
        </w:rPr>
        <w:t xml:space="preserve">8.不可抗力：</w:t>
      </w:r>
      <w:bookmarkEnd w:id="139"/>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8.1由于不可抗力因素（指火灾、地震、洪水、战争等）使乙方不能在合同规定的期限内交货时，乙方必须立即以书面形式通知甲方，并以书面形式向甲方提供有关政府机关所出具的不可抗力因素证明。</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8.2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bookmarkStart w:id="140" w:name="_Toc81879420"/>
      <w:r>
        <w:rPr>
          <w:rFonts w:ascii="宋体" w:hAnsi="宋体"/>
          <w:color w:val="000000"/>
          <w:sz w:val="32"/>
          <w:szCs w:val="32"/>
          <w:highlight w:val="none"/>
        </w:rPr>
      </w:r>
      <w:r/>
    </w:p>
    <w:p>
      <w:pPr>
        <w:pStyle w:val="794"/>
        <w:numPr>
          <w:ilvl w:val="1"/>
          <w:numId w:val="0"/>
        </w:numPr>
        <w:spacing w:after="60" w:line="360" w:lineRule="auto"/>
        <w:tabs>
          <w:tab w:val="left" w:pos="360" w:leader="none"/>
          <w:tab w:val="left" w:pos="540" w:leader="none"/>
        </w:tabs>
        <w:rPr>
          <w:rFonts w:ascii="宋体" w:hAnsi="宋体"/>
          <w:b/>
          <w:bCs/>
          <w:color w:val="000000"/>
          <w:sz w:val="32"/>
          <w:szCs w:val="32"/>
          <w:highlight w:val="none"/>
        </w:rPr>
      </w:pPr>
      <w:r>
        <w:rPr>
          <w:rFonts w:hint="eastAsia" w:ascii="宋体" w:hAnsi="宋体"/>
          <w:b/>
          <w:bCs/>
          <w:color w:val="000000"/>
          <w:sz w:val="32"/>
          <w:szCs w:val="32"/>
          <w:highlight w:val="none"/>
        </w:rPr>
        <w:t xml:space="preserve">9.其他约定条款：</w:t>
      </w:r>
      <w:bookmarkEnd w:id="140"/>
      <w:r>
        <w:rPr>
          <w:rFonts w:ascii="宋体" w:hAnsi="宋体"/>
          <w:b/>
          <w:bCs/>
          <w:color w:val="000000"/>
          <w:sz w:val="32"/>
          <w:szCs w:val="32"/>
          <w:highlight w:val="none"/>
        </w:rPr>
      </w:r>
      <w:r/>
    </w:p>
    <w:p>
      <w:pPr>
        <w:pStyle w:val="794"/>
        <w:ind w:left="643" w:hanging="643"/>
        <w:spacing w:after="60" w:line="360" w:lineRule="auto"/>
        <w:rPr>
          <w:rFonts w:ascii="宋体" w:hAnsi="宋体"/>
          <w:b/>
          <w:bCs/>
          <w:color w:val="000000"/>
          <w:sz w:val="32"/>
          <w:szCs w:val="32"/>
          <w:highlight w:val="none"/>
        </w:rPr>
      </w:pPr>
      <w:r/>
      <w:bookmarkStart w:id="141" w:name="_Toc81879421"/>
      <w:r>
        <w:rPr>
          <w:rFonts w:hint="eastAsia" w:ascii="宋体" w:hAnsi="宋体"/>
          <w:b/>
          <w:bCs/>
          <w:color w:val="000000"/>
          <w:sz w:val="32"/>
          <w:szCs w:val="32"/>
          <w:highlight w:val="none"/>
        </w:rPr>
        <w:t xml:space="preserve">10.争议解决：</w:t>
      </w:r>
      <w:bookmarkEnd w:id="141"/>
      <w:r>
        <w:rPr>
          <w:rFonts w:ascii="宋体" w:hAnsi="宋体"/>
          <w:b/>
          <w:bCs/>
          <w:color w:val="000000"/>
          <w:sz w:val="32"/>
          <w:szCs w:val="32"/>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11.1本合同发生争议，由双方协商或调解解决，协商或调解不成时可以向人民法院起诉。</w:t>
      </w:r>
      <w:bookmarkStart w:id="142" w:name="_Toc81879422"/>
      <w:r>
        <w:rPr>
          <w:rFonts w:ascii="宋体" w:hAnsi="宋体"/>
          <w:color w:val="000000"/>
          <w:sz w:val="32"/>
          <w:szCs w:val="32"/>
          <w:highlight w:val="none"/>
        </w:rPr>
      </w:r>
      <w:r/>
    </w:p>
    <w:p>
      <w:pPr>
        <w:pStyle w:val="794"/>
        <w:spacing w:after="60"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11.合同构成：</w:t>
      </w:r>
      <w:bookmarkEnd w:id="142"/>
      <w:r>
        <w:rPr>
          <w:rFonts w:ascii="宋体" w:hAnsi="宋体"/>
          <w:b/>
          <w:bCs/>
          <w:color w:val="000000"/>
          <w:sz w:val="32"/>
          <w:szCs w:val="32"/>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11.1下述文件是构成合同不可分割的部分，具有同等的法律效力，应一并阅读和理解。</w:t>
      </w:r>
      <w:r>
        <w:rPr>
          <w:rFonts w:ascii="宋体" w:hAnsi="宋体"/>
          <w:color w:val="000000"/>
          <w:sz w:val="32"/>
          <w:szCs w:val="32"/>
          <w:highlight w:val="none"/>
        </w:rPr>
      </w:r>
      <w:r/>
    </w:p>
    <w:p>
      <w:pPr>
        <w:pStyle w:val="794"/>
        <w:numPr>
          <w:ilvl w:val="0"/>
          <w:numId w:val="37"/>
        </w:numPr>
        <w:spacing w:after="60" w:line="360" w:lineRule="auto"/>
        <w:tabs>
          <w:tab w:val="left" w:pos="840" w:leader="none"/>
        </w:tabs>
        <w:rPr>
          <w:rFonts w:ascii="宋体" w:hAnsi="宋体"/>
          <w:color w:val="000000"/>
          <w:sz w:val="32"/>
          <w:szCs w:val="32"/>
          <w:highlight w:val="none"/>
        </w:rPr>
      </w:pPr>
      <w:r>
        <w:rPr>
          <w:rFonts w:hint="eastAsia" w:ascii="宋体" w:hAnsi="宋体"/>
          <w:color w:val="000000"/>
          <w:sz w:val="32"/>
          <w:szCs w:val="32"/>
          <w:highlight w:val="none"/>
        </w:rPr>
        <w:t xml:space="preserve">本合同协议书；</w:t>
      </w:r>
      <w:r>
        <w:rPr>
          <w:rFonts w:ascii="宋体" w:hAnsi="宋体"/>
          <w:color w:val="000000"/>
          <w:sz w:val="32"/>
          <w:szCs w:val="32"/>
          <w:highlight w:val="none"/>
        </w:rPr>
      </w:r>
      <w:r/>
    </w:p>
    <w:p>
      <w:pPr>
        <w:pStyle w:val="794"/>
        <w:numPr>
          <w:ilvl w:val="0"/>
          <w:numId w:val="37"/>
        </w:numPr>
        <w:spacing w:after="60" w:line="360" w:lineRule="auto"/>
        <w:tabs>
          <w:tab w:val="left" w:pos="840" w:leader="none"/>
        </w:tabs>
        <w:rPr>
          <w:rFonts w:ascii="宋体" w:hAnsi="宋体"/>
          <w:color w:val="000000"/>
          <w:sz w:val="32"/>
          <w:szCs w:val="32"/>
          <w:highlight w:val="none"/>
        </w:rPr>
      </w:pPr>
      <w:r>
        <w:rPr>
          <w:rFonts w:hint="eastAsia" w:ascii="宋体" w:hAnsi="宋体"/>
          <w:color w:val="000000"/>
          <w:sz w:val="32"/>
          <w:szCs w:val="32"/>
          <w:highlight w:val="none"/>
        </w:rPr>
        <w:t xml:space="preserve">成交通知书；</w:t>
      </w:r>
      <w:r>
        <w:rPr>
          <w:rFonts w:ascii="宋体" w:hAnsi="宋体"/>
          <w:color w:val="000000"/>
          <w:sz w:val="32"/>
          <w:szCs w:val="32"/>
          <w:highlight w:val="none"/>
        </w:rPr>
      </w:r>
      <w:r/>
    </w:p>
    <w:p>
      <w:pPr>
        <w:pStyle w:val="794"/>
        <w:numPr>
          <w:ilvl w:val="0"/>
          <w:numId w:val="37"/>
        </w:numPr>
        <w:spacing w:after="60" w:line="360" w:lineRule="auto"/>
        <w:tabs>
          <w:tab w:val="left" w:pos="840" w:leader="none"/>
        </w:tabs>
        <w:rPr>
          <w:rFonts w:ascii="宋体" w:hAnsi="宋体"/>
          <w:color w:val="000000"/>
          <w:sz w:val="32"/>
          <w:szCs w:val="32"/>
          <w:highlight w:val="none"/>
        </w:rPr>
      </w:pPr>
      <w:r>
        <w:rPr>
          <w:rFonts w:hint="eastAsia" w:ascii="宋体" w:hAnsi="宋体"/>
          <w:color w:val="000000"/>
          <w:sz w:val="32"/>
          <w:szCs w:val="32"/>
          <w:highlight w:val="none"/>
        </w:rPr>
        <w:t xml:space="preserve">采购文件及附件；</w:t>
      </w:r>
      <w:r>
        <w:rPr>
          <w:rFonts w:ascii="宋体" w:hAnsi="宋体"/>
          <w:color w:val="000000"/>
          <w:sz w:val="32"/>
          <w:szCs w:val="32"/>
          <w:highlight w:val="none"/>
        </w:rPr>
      </w:r>
      <w:r/>
    </w:p>
    <w:p>
      <w:pPr>
        <w:pStyle w:val="794"/>
        <w:numPr>
          <w:ilvl w:val="0"/>
          <w:numId w:val="37"/>
        </w:numPr>
        <w:spacing w:after="60" w:line="360" w:lineRule="auto"/>
        <w:tabs>
          <w:tab w:val="left" w:pos="840" w:leader="none"/>
        </w:tabs>
        <w:rPr>
          <w:rFonts w:ascii="宋体" w:hAnsi="宋体"/>
          <w:color w:val="000000"/>
          <w:sz w:val="32"/>
          <w:szCs w:val="32"/>
          <w:highlight w:val="none"/>
        </w:rPr>
      </w:pPr>
      <w:r>
        <w:rPr>
          <w:rFonts w:hint="eastAsia" w:ascii="宋体" w:hAnsi="宋体"/>
          <w:color w:val="000000"/>
          <w:sz w:val="32"/>
          <w:szCs w:val="32"/>
          <w:highlight w:val="none"/>
        </w:rPr>
        <w:t xml:space="preserve">竞谈文件及附件；</w:t>
      </w:r>
      <w:r>
        <w:rPr>
          <w:rFonts w:ascii="宋体" w:hAnsi="宋体"/>
          <w:color w:val="000000"/>
          <w:sz w:val="32"/>
          <w:szCs w:val="32"/>
          <w:highlight w:val="none"/>
        </w:rPr>
      </w:r>
      <w:r/>
    </w:p>
    <w:p>
      <w:pPr>
        <w:pStyle w:val="794"/>
        <w:numPr>
          <w:ilvl w:val="0"/>
          <w:numId w:val="37"/>
        </w:numPr>
        <w:spacing w:after="60" w:line="360" w:lineRule="auto"/>
        <w:tabs>
          <w:tab w:val="left" w:pos="840" w:leader="none"/>
        </w:tabs>
        <w:rPr>
          <w:rFonts w:ascii="宋体" w:hAnsi="宋体"/>
          <w:color w:val="000000"/>
          <w:sz w:val="32"/>
          <w:szCs w:val="32"/>
          <w:highlight w:val="none"/>
        </w:rPr>
      </w:pPr>
      <w:r>
        <w:rPr>
          <w:rFonts w:hint="eastAsia" w:ascii="宋体" w:hAnsi="宋体"/>
          <w:color w:val="000000"/>
          <w:sz w:val="32"/>
          <w:szCs w:val="32"/>
          <w:highlight w:val="none"/>
        </w:rPr>
        <w:t xml:space="preserve">经双方协商一致达成的补充协议。</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11.2上述文件应认为是互为补充和解释的，若有不明确及不一致之处，以上面所列顺序在前及时间在后者为准。</w:t>
      </w:r>
      <w:bookmarkStart w:id="143" w:name="_Toc81879423"/>
      <w:r>
        <w:rPr>
          <w:rFonts w:ascii="宋体" w:hAnsi="宋体"/>
          <w:color w:val="000000"/>
          <w:sz w:val="32"/>
          <w:szCs w:val="32"/>
          <w:highlight w:val="none"/>
        </w:rPr>
      </w:r>
      <w:r/>
    </w:p>
    <w:p>
      <w:pPr>
        <w:pStyle w:val="794"/>
        <w:spacing w:after="60" w:line="360" w:lineRule="auto"/>
        <w:tabs>
          <w:tab w:val="left" w:pos="360" w:leader="none"/>
        </w:tabs>
        <w:rPr>
          <w:rFonts w:ascii="宋体" w:hAnsi="宋体"/>
          <w:b/>
          <w:bCs/>
          <w:color w:val="000000"/>
          <w:sz w:val="32"/>
          <w:szCs w:val="32"/>
          <w:highlight w:val="none"/>
        </w:rPr>
      </w:pPr>
      <w:r>
        <w:rPr>
          <w:rFonts w:hint="eastAsia" w:ascii="宋体" w:hAnsi="宋体"/>
          <w:b/>
          <w:bCs/>
          <w:color w:val="000000"/>
          <w:sz w:val="32"/>
          <w:szCs w:val="32"/>
          <w:highlight w:val="none"/>
        </w:rPr>
        <w:t xml:space="preserve">12.合同期限与数量：</w:t>
      </w:r>
      <w:bookmarkEnd w:id="143"/>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12.1本合同期限为    年，自</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开始至</w:t>
      </w:r>
      <w:r>
        <w:rPr>
          <w:rFonts w:hint="eastAsia" w:ascii="宋体" w:hAnsi="宋体"/>
          <w:color w:val="000000"/>
          <w:sz w:val="32"/>
          <w:szCs w:val="32"/>
          <w:highlight w:val="none"/>
          <w:u w:val="single"/>
        </w:rPr>
        <w:t xml:space="preserve">           </w:t>
      </w:r>
      <w:r>
        <w:rPr>
          <w:rFonts w:hint="eastAsia" w:ascii="宋体" w:hAnsi="宋体"/>
          <w:color w:val="000000"/>
          <w:sz w:val="32"/>
          <w:szCs w:val="32"/>
          <w:highlight w:val="none"/>
        </w:rPr>
        <w:t xml:space="preserve">止。</w:t>
      </w:r>
      <w:r>
        <w:rPr>
          <w:rFonts w:ascii="宋体" w:hAnsi="宋体"/>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12.2本合同一式    份。</w:t>
      </w:r>
      <w:bookmarkStart w:id="144" w:name="_Toc81879424"/>
      <w:r>
        <w:rPr>
          <w:rFonts w:ascii="宋体" w:hAnsi="宋体"/>
          <w:color w:val="000000"/>
          <w:sz w:val="32"/>
          <w:szCs w:val="32"/>
          <w:highlight w:val="none"/>
        </w:rPr>
      </w:r>
      <w:r/>
    </w:p>
    <w:p>
      <w:pPr>
        <w:pStyle w:val="794"/>
        <w:spacing w:after="60" w:line="360" w:lineRule="auto"/>
        <w:tabs>
          <w:tab w:val="left" w:pos="360" w:leader="none"/>
        </w:tabs>
        <w:rPr>
          <w:rFonts w:ascii="宋体" w:hAnsi="宋体"/>
          <w:b/>
          <w:bCs/>
          <w:color w:val="000000"/>
          <w:sz w:val="32"/>
          <w:szCs w:val="32"/>
          <w:highlight w:val="none"/>
        </w:rPr>
      </w:pPr>
      <w:r>
        <w:rPr>
          <w:rFonts w:hint="eastAsia" w:ascii="宋体" w:hAnsi="宋体"/>
          <w:b/>
          <w:bCs/>
          <w:color w:val="000000"/>
          <w:sz w:val="32"/>
          <w:szCs w:val="32"/>
          <w:highlight w:val="none"/>
        </w:rPr>
        <w:t xml:space="preserve">13.合同未尽事宜：</w:t>
      </w:r>
      <w:bookmarkEnd w:id="144"/>
      <w:r>
        <w:rPr>
          <w:rFonts w:ascii="宋体" w:hAnsi="宋体"/>
          <w:b/>
          <w:bCs/>
          <w:color w:val="000000"/>
          <w:sz w:val="32"/>
          <w:szCs w:val="32"/>
          <w:highlight w:val="none"/>
        </w:rPr>
      </w:r>
      <w:r/>
    </w:p>
    <w:p>
      <w:pPr>
        <w:pStyle w:val="794"/>
        <w:spacing w:after="60" w:line="360" w:lineRule="auto"/>
        <w:tabs>
          <w:tab w:val="left" w:pos="360" w:leader="none"/>
        </w:tabs>
        <w:rPr>
          <w:rFonts w:ascii="宋体" w:hAnsi="宋体"/>
          <w:color w:val="000000"/>
          <w:sz w:val="32"/>
          <w:szCs w:val="32"/>
          <w:highlight w:val="none"/>
        </w:rPr>
      </w:pPr>
      <w:r>
        <w:rPr>
          <w:rFonts w:hint="eastAsia" w:ascii="宋体" w:hAnsi="宋体"/>
          <w:color w:val="000000"/>
          <w:sz w:val="32"/>
          <w:szCs w:val="32"/>
          <w:highlight w:val="none"/>
        </w:rPr>
        <w:t xml:space="preserve">13.1合同中未尽事宜，甲乙双方应友好协商，按国家有关法律、法规执行。</w:t>
      </w:r>
      <w:r>
        <w:rPr>
          <w:rFonts w:ascii="宋体" w:hAnsi="宋体"/>
          <w:color w:val="000000"/>
          <w:sz w:val="32"/>
          <w:szCs w:val="32"/>
          <w:highlight w:val="none"/>
        </w:rPr>
      </w:r>
      <w:r/>
    </w:p>
    <w:p>
      <w:pPr>
        <w:pStyle w:val="794"/>
        <w:ind w:left="640" w:hanging="640"/>
        <w:spacing w:after="60" w:line="360" w:lineRule="auto"/>
        <w:rPr>
          <w:rFonts w:ascii="宋体" w:hAnsi="宋体"/>
          <w:color w:val="000000"/>
          <w:sz w:val="32"/>
          <w:szCs w:val="32"/>
          <w:highlight w:val="none"/>
        </w:rPr>
      </w:pP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甲方（盖章）：</w:t>
      </w:r>
      <w:r>
        <w:rPr>
          <w:rFonts w:hint="eastAsia" w:ascii="宋体" w:hAnsi="宋体"/>
          <w:color w:val="000000"/>
          <w:sz w:val="32"/>
          <w:szCs w:val="32"/>
          <w:highlight w:val="none"/>
        </w:rPr>
        <w:tab/>
      </w:r>
      <w:r>
        <w:rPr>
          <w:rFonts w:hint="eastAsia" w:ascii="宋体" w:hAnsi="宋体"/>
          <w:color w:val="000000"/>
          <w:sz w:val="32"/>
          <w:szCs w:val="32"/>
          <w:highlight w:val="none"/>
        </w:rPr>
        <w:t xml:space="preserve">                乙方（盖章）：</w:t>
      </w: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甲方法定代表（签字）：</w:t>
      </w:r>
      <w:r>
        <w:rPr>
          <w:rFonts w:hint="eastAsia" w:ascii="宋体" w:hAnsi="宋体"/>
          <w:color w:val="000000"/>
          <w:sz w:val="32"/>
          <w:szCs w:val="32"/>
          <w:highlight w:val="none"/>
        </w:rPr>
        <w:tab/>
      </w:r>
      <w:r>
        <w:rPr>
          <w:rFonts w:hint="eastAsia" w:ascii="宋体" w:hAnsi="宋体"/>
          <w:color w:val="000000"/>
          <w:sz w:val="32"/>
          <w:szCs w:val="32"/>
          <w:highlight w:val="none"/>
        </w:rPr>
        <w:t xml:space="preserve">        乙方法定代表（签字）：</w:t>
      </w: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ascii="宋体" w:hAnsi="宋体"/>
          <w:color w:val="000000"/>
          <w:sz w:val="32"/>
          <w:szCs w:val="32"/>
          <w:highlight w:val="none"/>
        </w:rPr>
      </w:r>
      <w:r/>
    </w:p>
    <w:p>
      <w:pPr>
        <w:pStyle w:val="794"/>
        <w:spacing w:after="60" w:line="360" w:lineRule="auto"/>
        <w:rPr>
          <w:rFonts w:ascii="宋体" w:hAnsi="宋体"/>
          <w:color w:val="000000"/>
          <w:sz w:val="32"/>
          <w:szCs w:val="32"/>
          <w:highlight w:val="none"/>
        </w:rPr>
      </w:pPr>
      <w:r>
        <w:rPr>
          <w:rFonts w:hint="eastAsia" w:ascii="宋体" w:hAnsi="宋体"/>
          <w:color w:val="000000"/>
          <w:sz w:val="32"/>
          <w:szCs w:val="32"/>
          <w:highlight w:val="none"/>
        </w:rPr>
        <w:t xml:space="preserve">二0   年   月   日               二0   年   月   日</w:t>
      </w:r>
      <w:r>
        <w:rPr>
          <w:rFonts w:ascii="宋体" w:hAnsi="宋体"/>
          <w:color w:val="000000"/>
          <w:sz w:val="32"/>
          <w:szCs w:val="32"/>
          <w:highlight w:val="none"/>
        </w:rPr>
      </w:r>
      <w:r/>
    </w:p>
    <w:p>
      <w:pPr>
        <w:pStyle w:val="794"/>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4"/>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4"/>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4"/>
        <w:spacing w:line="360" w:lineRule="auto"/>
        <w:rPr>
          <w:rFonts w:ascii="宋体" w:hAnsi="宋体"/>
          <w:color w:val="000000"/>
          <w:szCs w:val="30"/>
          <w:highlight w:val="none"/>
        </w:rPr>
      </w:pPr>
      <w:r>
        <w:rPr>
          <w:rFonts w:ascii="宋体" w:hAnsi="宋体"/>
          <w:color w:val="000000"/>
          <w:szCs w:val="30"/>
          <w:highlight w:val="none"/>
        </w:rPr>
      </w:r>
      <w:r/>
    </w:p>
    <w:p>
      <w:pPr>
        <w:pStyle w:val="1030"/>
        <w:rPr>
          <w:rFonts w:ascii="宋体" w:hAnsi="宋体" w:eastAsia="宋体" w:cs="宋体"/>
          <w:b/>
          <w:color w:val="000000"/>
          <w:szCs w:val="28"/>
          <w:highlight w:val="none"/>
          <w:lang w:val="zh-CN"/>
        </w:rPr>
      </w:pPr>
      <w:r>
        <w:rPr>
          <w:rFonts w:ascii="宋体" w:hAnsi="宋体" w:eastAsia="宋体" w:cs="宋体"/>
          <w:b/>
          <w:color w:val="000000"/>
          <w:szCs w:val="28"/>
          <w:highlight w:val="none"/>
          <w:lang w:val="zh-CN"/>
        </w:rPr>
      </w:r>
      <w:r/>
    </w:p>
    <w:p>
      <w:pPr>
        <w:pStyle w:val="1030"/>
        <w:rPr>
          <w:rFonts w:ascii="宋体" w:hAnsi="宋体" w:eastAsia="宋体" w:cs="宋体"/>
          <w:b/>
          <w:color w:val="000000"/>
          <w:szCs w:val="28"/>
          <w:highlight w:val="none"/>
          <w:lang w:val="zh-CN"/>
        </w:rPr>
      </w:pPr>
      <w:r>
        <w:rPr>
          <w:rFonts w:ascii="宋体" w:hAnsi="宋体" w:eastAsia="宋体" w:cs="宋体"/>
          <w:b/>
          <w:color w:val="000000"/>
          <w:szCs w:val="28"/>
          <w:highlight w:val="none"/>
          <w:lang w:val="zh-CN"/>
        </w:rPr>
      </w:r>
      <w:r/>
    </w:p>
    <w:p>
      <w:pPr>
        <w:pStyle w:val="794"/>
        <w:jc w:val="center"/>
        <w:spacing w:line="360" w:lineRule="auto"/>
        <w:rPr>
          <w:rFonts w:ascii="宋体" w:hAnsi="宋体"/>
          <w:bCs/>
          <w:color w:val="000000"/>
          <w:sz w:val="36"/>
          <w:szCs w:val="36"/>
          <w:highlight w:val="none"/>
        </w:rPr>
        <w:outlineLvl w:val="0"/>
      </w:pPr>
      <w:r>
        <w:rPr>
          <w:rFonts w:ascii="宋体" w:hAnsi="宋体"/>
          <w:color w:val="000000"/>
          <w:sz w:val="32"/>
          <w:szCs w:val="32"/>
          <w:highlight w:val="none"/>
          <w:lang w:val="zh-CN"/>
        </w:rPr>
        <w:br w:type="page" w:clear="all"/>
      </w:r>
      <w:r>
        <w:rPr>
          <w:rFonts w:ascii="宋体" w:hAnsi="宋体"/>
          <w:bCs/>
          <w:color w:val="000000"/>
          <w:sz w:val="36"/>
          <w:szCs w:val="36"/>
          <w:highlight w:val="none"/>
        </w:rPr>
        <w:t xml:space="preserve">附件</w:t>
      </w:r>
      <w:r>
        <w:rPr>
          <w:rFonts w:ascii="宋体" w:hAnsi="宋体"/>
          <w:bCs/>
          <w:color w:val="000000"/>
          <w:sz w:val="36"/>
          <w:szCs w:val="36"/>
          <w:highlight w:val="none"/>
        </w:rPr>
      </w:r>
      <w:r/>
    </w:p>
    <w:p>
      <w:pPr>
        <w:pStyle w:val="794"/>
        <w:spacing w:line="360" w:lineRule="auto"/>
        <w:rPr>
          <w:rFonts w:ascii="宋体" w:hAnsi="宋体"/>
          <w:i/>
          <w:color w:val="000000"/>
          <w:sz w:val="32"/>
          <w:szCs w:val="32"/>
          <w:highlight w:val="none"/>
          <w:u w:val="single"/>
        </w:rPr>
      </w:pPr>
      <w:r>
        <w:rPr>
          <w:rFonts w:hint="eastAsia" w:ascii="宋体" w:hAnsi="宋体"/>
          <w:i/>
          <w:color w:val="000000"/>
          <w:sz w:val="32"/>
          <w:szCs w:val="32"/>
          <w:highlight w:val="none"/>
          <w:u w:val="single"/>
        </w:rPr>
        <w:t xml:space="preserve">一、法人或者其他组织的营业执照等证明文件，自然人的身份证明</w:t>
      </w:r>
      <w:r>
        <w:rPr>
          <w:rFonts w:ascii="宋体" w:hAnsi="宋体"/>
          <w:i/>
          <w:color w:val="000000"/>
          <w:sz w:val="32"/>
          <w:szCs w:val="32"/>
          <w:highlight w:val="none"/>
          <w:u w:val="single"/>
        </w:rPr>
      </w:r>
      <w:r/>
    </w:p>
    <w:p>
      <w:pPr>
        <w:pStyle w:val="79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794"/>
        <w:spacing w:line="360" w:lineRule="auto"/>
        <w:rPr>
          <w:rFonts w:ascii="宋体" w:hAnsi="宋体"/>
          <w:i/>
          <w:color w:val="000000"/>
          <w:sz w:val="32"/>
          <w:szCs w:val="32"/>
          <w:highlight w:val="none"/>
          <w:u w:val="single"/>
        </w:rPr>
      </w:pPr>
      <w:r>
        <w:rPr>
          <w:rFonts w:hint="eastAsia" w:ascii="宋体" w:hAnsi="宋体"/>
          <w:i/>
          <w:color w:val="000000"/>
          <w:sz w:val="32"/>
          <w:szCs w:val="32"/>
          <w:highlight w:val="none"/>
          <w:u w:val="single"/>
        </w:rPr>
        <w:t xml:space="preserve">二、上一年度的财务状况报告</w:t>
      </w:r>
      <w:r>
        <w:rPr>
          <w:rFonts w:ascii="宋体" w:hAnsi="宋体"/>
          <w:i/>
          <w:color w:val="000000"/>
          <w:sz w:val="32"/>
          <w:szCs w:val="32"/>
          <w:highlight w:val="none"/>
          <w:u w:val="single"/>
        </w:rPr>
      </w:r>
      <w:r/>
    </w:p>
    <w:p>
      <w:pPr>
        <w:pStyle w:val="794"/>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794"/>
        <w:spacing w:line="360" w:lineRule="auto"/>
        <w:rPr>
          <w:rFonts w:ascii="宋体" w:hAnsi="宋体"/>
          <w:i/>
          <w:color w:val="000000"/>
          <w:sz w:val="32"/>
          <w:szCs w:val="32"/>
          <w:highlight w:val="none"/>
          <w:u w:val="single"/>
        </w:rPr>
      </w:pPr>
      <w:r>
        <w:rPr>
          <w:rFonts w:ascii="宋体" w:hAnsi="宋体"/>
          <w:i/>
          <w:color w:val="000000"/>
          <w:sz w:val="32"/>
          <w:szCs w:val="32"/>
          <w:highlight w:val="none"/>
          <w:u w:val="single"/>
        </w:rPr>
      </w:r>
      <w:r/>
    </w:p>
    <w:p>
      <w:pPr>
        <w:pStyle w:val="794"/>
        <w:spacing w:line="360" w:lineRule="auto"/>
        <w:rPr>
          <w:rFonts w:ascii="宋体" w:hAnsi="宋体"/>
          <w:i/>
          <w:color w:val="000000"/>
          <w:sz w:val="32"/>
          <w:szCs w:val="32"/>
          <w:highlight w:val="none"/>
          <w:u w:val="single"/>
        </w:rPr>
      </w:pPr>
      <w:r>
        <w:rPr>
          <w:rFonts w:hint="eastAsia" w:ascii="宋体" w:hAnsi="宋体"/>
          <w:i/>
          <w:color w:val="000000"/>
          <w:sz w:val="32"/>
          <w:szCs w:val="32"/>
          <w:highlight w:val="none"/>
          <w:u w:val="single"/>
        </w:rPr>
        <w:t xml:space="preserve">三、依法缴纳税收和社会保障资金的相关材料</w:t>
      </w:r>
      <w:r>
        <w:rPr>
          <w:rFonts w:ascii="宋体" w:hAnsi="宋体"/>
          <w:i/>
          <w:color w:val="000000"/>
          <w:sz w:val="32"/>
          <w:szCs w:val="32"/>
          <w:highlight w:val="none"/>
          <w:u w:val="single"/>
        </w:rPr>
      </w:r>
      <w:r/>
    </w:p>
    <w:p>
      <w:pPr>
        <w:pStyle w:val="794"/>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color w:val="000000"/>
          <w:sz w:val="24"/>
          <w:szCs w:val="21"/>
          <w:highlight w:val="none"/>
        </w:rPr>
      </w:r>
      <w:r/>
    </w:p>
    <w:p>
      <w:pPr>
        <w:pStyle w:val="794"/>
        <w:spacing w:line="360" w:lineRule="auto"/>
        <w:rPr>
          <w:rFonts w:ascii="宋体" w:hAnsi="宋体"/>
          <w:i/>
          <w:color w:val="000000"/>
          <w:sz w:val="32"/>
          <w:szCs w:val="32"/>
          <w:highlight w:val="none"/>
          <w:u w:val="single"/>
        </w:rPr>
      </w:pPr>
      <w:r>
        <w:rPr>
          <w:rFonts w:ascii="宋体" w:hAnsi="宋体"/>
          <w:i/>
          <w:color w:val="000000"/>
          <w:sz w:val="32"/>
          <w:szCs w:val="32"/>
          <w:highlight w:val="none"/>
          <w:u w:val="single"/>
        </w:rPr>
      </w:r>
      <w:r/>
    </w:p>
    <w:p>
      <w:pPr>
        <w:pStyle w:val="794"/>
        <w:spacing w:line="360" w:lineRule="auto"/>
        <w:rPr>
          <w:rFonts w:ascii="宋体" w:hAnsi="宋体"/>
          <w:i/>
          <w:color w:val="000000"/>
          <w:sz w:val="32"/>
          <w:szCs w:val="32"/>
          <w:highlight w:val="none"/>
          <w:u w:val="single"/>
        </w:rPr>
      </w:pPr>
      <w:r>
        <w:rPr>
          <w:rFonts w:hint="eastAsia" w:ascii="宋体" w:hAnsi="宋体"/>
          <w:i/>
          <w:color w:val="000000"/>
          <w:sz w:val="32"/>
          <w:szCs w:val="32"/>
          <w:highlight w:val="none"/>
          <w:u w:val="single"/>
        </w:rPr>
        <w:t xml:space="preserve">四、具备履行合同所必需的设备和专业技术能力的书面声明</w:t>
      </w:r>
      <w:r>
        <w:rPr>
          <w:rFonts w:ascii="宋体" w:hAnsi="宋体"/>
          <w:i/>
          <w:color w:val="000000"/>
          <w:sz w:val="32"/>
          <w:szCs w:val="32"/>
          <w:highlight w:val="none"/>
          <w:u w:val="single"/>
        </w:rPr>
      </w:r>
      <w:r/>
    </w:p>
    <w:p>
      <w:pPr>
        <w:pStyle w:val="794"/>
        <w:ind w:firstLine="492"/>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 w:val="24"/>
          <w:szCs w:val="21"/>
          <w:highlight w:val="none"/>
        </w:rPr>
      </w:r>
      <w:r/>
    </w:p>
    <w:p>
      <w:pPr>
        <w:pStyle w:val="794"/>
        <w:ind w:firstLine="492"/>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ascii="宋体" w:hAnsi="宋体"/>
          <w:bCs/>
          <w:color w:val="000000"/>
          <w:sz w:val="24"/>
          <w:szCs w:val="21"/>
          <w:highlight w:val="none"/>
        </w:rPr>
      </w:r>
      <w:r/>
    </w:p>
    <w:p>
      <w:pPr>
        <w:pStyle w:val="794"/>
        <w:ind w:firstLine="492"/>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ascii="宋体" w:hAnsi="宋体"/>
          <w:bCs/>
          <w:color w:val="000000"/>
          <w:sz w:val="24"/>
          <w:szCs w:val="21"/>
          <w:highlight w:val="none"/>
        </w:rPr>
      </w:r>
      <w:r/>
    </w:p>
    <w:p>
      <w:pPr>
        <w:pStyle w:val="794"/>
        <w:ind w:firstLine="492"/>
        <w:jc w:val="cente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  </w:t>
      </w:r>
      <w:r>
        <w:rPr>
          <w:rFonts w:ascii="宋体" w:hAnsi="宋体"/>
          <w:bCs/>
          <w:color w:val="000000"/>
          <w:sz w:val="24"/>
          <w:szCs w:val="21"/>
          <w:highlight w:val="none"/>
        </w:rPr>
      </w:r>
      <w:r/>
    </w:p>
    <w:p>
      <w:pPr>
        <w:pStyle w:val="794"/>
        <w:ind w:firstLine="4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794"/>
        <w:ind w:firstLine="492"/>
        <w:spacing w:line="360" w:lineRule="auto"/>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794"/>
        <w:ind w:firstLine="492"/>
        <w:spacing w:line="360" w:lineRule="auto"/>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794"/>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spacing w:line="360" w:lineRule="auto"/>
        <w:rPr>
          <w:rFonts w:ascii="宋体" w:hAnsi="宋体"/>
          <w:color w:val="000000"/>
          <w:szCs w:val="21"/>
          <w:highlight w:val="none"/>
        </w:rPr>
      </w:pPr>
      <w:r>
        <w:rPr>
          <w:rFonts w:ascii="宋体" w:hAnsi="宋体"/>
          <w:color w:val="000000"/>
          <w:szCs w:val="21"/>
          <w:highlight w:val="none"/>
        </w:rPr>
      </w:r>
      <w:r/>
    </w:p>
    <w:p>
      <w:pPr>
        <w:pStyle w:val="794"/>
        <w:spacing w:line="360" w:lineRule="auto"/>
        <w:rPr>
          <w:rFonts w:ascii="宋体" w:hAnsi="宋体"/>
          <w:i/>
          <w:color w:val="000000"/>
          <w:sz w:val="32"/>
          <w:szCs w:val="32"/>
          <w:highlight w:val="none"/>
          <w:u w:val="single"/>
        </w:rPr>
      </w:pPr>
      <w:r>
        <w:rPr>
          <w:rFonts w:hint="eastAsia" w:ascii="宋体" w:hAnsi="宋体"/>
          <w:i/>
          <w:color w:val="000000"/>
          <w:sz w:val="32"/>
          <w:szCs w:val="32"/>
          <w:highlight w:val="none"/>
          <w:u w:val="single"/>
        </w:rPr>
        <w:t xml:space="preserve">五、参加政府采购活动前 3 年内在经营活动中没有重大违法记录的书面声明</w:t>
      </w:r>
      <w:r>
        <w:rPr>
          <w:rFonts w:ascii="宋体" w:hAnsi="宋体"/>
          <w:i/>
          <w:color w:val="000000"/>
          <w:sz w:val="32"/>
          <w:szCs w:val="32"/>
          <w:highlight w:val="none"/>
          <w:u w:val="single"/>
        </w:rPr>
      </w:r>
      <w:r/>
    </w:p>
    <w:p>
      <w:pPr>
        <w:pStyle w:val="794"/>
        <w:spacing w:line="360" w:lineRule="auto"/>
        <w:rPr>
          <w:rFonts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ascii="宋体" w:hAnsi="宋体"/>
          <w:b/>
          <w:bCs/>
          <w:color w:val="000000"/>
          <w:sz w:val="44"/>
          <w:szCs w:val="44"/>
          <w:highlight w:val="none"/>
        </w:rPr>
      </w:r>
      <w:r/>
    </w:p>
    <w:p>
      <w:pPr>
        <w:pStyle w:val="794"/>
        <w:spacing w:line="360" w:lineRule="auto"/>
        <w:rPr>
          <w:rFonts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szCs w:val="21"/>
          <w:highlight w:val="none"/>
        </w:rPr>
      </w:r>
      <w:r/>
    </w:p>
    <w:p>
      <w:pPr>
        <w:pStyle w:val="794"/>
        <w:ind w:firstLine="4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794"/>
        <w:ind w:firstLine="492"/>
        <w:spacing w:line="360" w:lineRule="auto"/>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794"/>
        <w:ind w:firstLine="492"/>
        <w:spacing w:line="360" w:lineRule="auto"/>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794"/>
        <w:spacing w:line="360" w:lineRule="auto"/>
        <w:rPr>
          <w:rFonts w:ascii="宋体" w:hAnsi="宋体"/>
          <w:i/>
          <w:color w:val="000000"/>
          <w:sz w:val="32"/>
          <w:szCs w:val="32"/>
          <w:highlight w:val="none"/>
          <w:u w:val="single"/>
        </w:rPr>
      </w:pPr>
      <w:r>
        <w:rPr>
          <w:rFonts w:ascii="宋体" w:hAnsi="宋体"/>
          <w:i/>
          <w:color w:val="000000"/>
          <w:sz w:val="32"/>
          <w:szCs w:val="32"/>
          <w:highlight w:val="none"/>
          <w:u w:val="single"/>
        </w:rPr>
      </w:r>
      <w:r/>
    </w:p>
    <w:p>
      <w:pPr>
        <w:pStyle w:val="794"/>
        <w:spacing w:line="360" w:lineRule="auto"/>
        <w:rPr>
          <w:rFonts w:ascii="宋体" w:hAnsi="宋体"/>
          <w:i/>
          <w:color w:val="000000"/>
          <w:sz w:val="32"/>
          <w:szCs w:val="32"/>
          <w:highlight w:val="none"/>
          <w:u w:val="single"/>
        </w:rPr>
      </w:pPr>
      <w:r>
        <w:rPr>
          <w:rFonts w:hint="eastAsia" w:ascii="宋体" w:hAnsi="宋体"/>
          <w:i/>
          <w:color w:val="000000"/>
          <w:sz w:val="32"/>
          <w:szCs w:val="32"/>
          <w:highlight w:val="none"/>
          <w:u w:val="single"/>
        </w:rPr>
        <w:t xml:space="preserve">六、特定资格要求的证明文件</w:t>
      </w:r>
      <w:r>
        <w:rPr>
          <w:rFonts w:ascii="宋体" w:hAnsi="宋体"/>
          <w:i/>
          <w:color w:val="000000"/>
          <w:sz w:val="32"/>
          <w:szCs w:val="32"/>
          <w:highlight w:val="none"/>
          <w:u w:val="single"/>
        </w:rPr>
      </w:r>
      <w:r/>
    </w:p>
    <w:p>
      <w:pPr>
        <w:pStyle w:val="794"/>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ascii="宋体" w:hAnsi="宋体"/>
          <w:bCs/>
          <w:color w:val="000000"/>
          <w:sz w:val="24"/>
          <w:szCs w:val="21"/>
          <w:highlight w:val="none"/>
        </w:rPr>
      </w:r>
      <w:r/>
    </w:p>
    <w:p>
      <w:pPr>
        <w:pStyle w:val="794"/>
        <w:spacing w:line="360" w:lineRule="auto"/>
        <w:rPr>
          <w:rFonts w:ascii="宋体" w:hAnsi="宋体"/>
          <w:bCs/>
          <w:color w:val="000000"/>
          <w:sz w:val="24"/>
          <w:szCs w:val="21"/>
          <w:highlight w:val="none"/>
        </w:rPr>
      </w:pPr>
      <w:r/>
      <w:bookmarkStart w:id="145" w:name="_Toc120614284"/>
      <w:r>
        <w:rPr>
          <w:rFonts w:ascii="宋体" w:hAnsi="宋体"/>
          <w:bCs/>
          <w:color w:val="000000"/>
          <w:sz w:val="24"/>
          <w:szCs w:val="21"/>
          <w:highlight w:val="none"/>
        </w:rPr>
      </w:r>
      <w:r/>
    </w:p>
    <w:p>
      <w:pPr>
        <w:pStyle w:val="794"/>
        <w:jc w:val="center"/>
        <w:spacing w:line="360" w:lineRule="auto"/>
        <w:rPr>
          <w:rFonts w:ascii="宋体" w:hAnsi="宋体"/>
          <w:i/>
          <w:color w:val="000000"/>
          <w:sz w:val="32"/>
          <w:szCs w:val="32"/>
          <w:highlight w:val="none"/>
          <w:u w:val="single"/>
        </w:rPr>
      </w:pPr>
      <w:r>
        <w:rPr>
          <w:rFonts w:hint="eastAsia" w:ascii="宋体" w:hAnsi="宋体"/>
          <w:i/>
          <w:color w:val="000000"/>
          <w:sz w:val="32"/>
          <w:szCs w:val="32"/>
          <w:highlight w:val="none"/>
          <w:u w:val="single"/>
        </w:rPr>
        <w:t xml:space="preserve">七、法人授权书</w:t>
      </w:r>
      <w:r>
        <w:rPr>
          <w:rFonts w:ascii="宋体" w:hAnsi="宋体"/>
          <w:i/>
          <w:color w:val="000000"/>
          <w:sz w:val="32"/>
          <w:szCs w:val="32"/>
          <w:highlight w:val="none"/>
          <w:u w:val="single"/>
        </w:rPr>
      </w:r>
      <w:r/>
    </w:p>
    <w:p>
      <w:pPr>
        <w:pStyle w:val="794"/>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本授权书声明：____________（投标人名称）授权________________（被授权人的姓名）为我方就JSZC-</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号项目采购活动的合法代理人，以本单位名义全权处理一切与该项目采购有关的事务，其法律后果由我方承担。</w:t>
      </w:r>
      <w:r>
        <w:rPr>
          <w:rFonts w:ascii="宋体" w:hAnsi="宋体"/>
          <w:color w:val="000000"/>
          <w:sz w:val="24"/>
          <w:highlight w:val="none"/>
        </w:rPr>
      </w:r>
      <w:r/>
    </w:p>
    <w:p>
      <w:pPr>
        <w:pStyle w:val="794"/>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本授权书于______年____月____日起生效，特此声明。代理人无转委托权。</w:t>
      </w:r>
      <w:r>
        <w:rPr>
          <w:rFonts w:ascii="宋体" w:hAnsi="宋体"/>
          <w:color w:val="000000"/>
          <w:sz w:val="24"/>
          <w:highlight w:val="none"/>
        </w:rPr>
      </w:r>
      <w:r/>
    </w:p>
    <w:p>
      <w:pPr>
        <w:pStyle w:val="794"/>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          被授权人身份证号码：</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94"/>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          被授权人联系电话：（手机）</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94"/>
        <w:ind w:firstLine="120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授权单位名称：</w:t>
      </w:r>
      <w:r>
        <w:rPr>
          <w:rFonts w:hint="eastAsia" w:ascii="宋体" w:hAnsi="宋体"/>
          <w:color w:val="000000"/>
          <w:sz w:val="24"/>
          <w:highlight w:val="none"/>
          <w:u w:val="single"/>
        </w:rPr>
        <w:t xml:space="preserve">（加盖CA电子公章）</w:t>
      </w:r>
      <w:r>
        <w:rPr>
          <w:rFonts w:ascii="宋体" w:hAnsi="宋体"/>
          <w:color w:val="000000"/>
          <w:sz w:val="24"/>
          <w:highlight w:val="none"/>
        </w:rPr>
      </w:r>
      <w:r/>
    </w:p>
    <w:p>
      <w:pPr>
        <w:pStyle w:val="794"/>
        <w:ind w:firstLine="480"/>
        <w:spacing w:line="360" w:lineRule="auto"/>
        <w:tabs>
          <w:tab w:val="left" w:pos="360" w:leader="none"/>
        </w:tabs>
        <w:rPr>
          <w:rFonts w:ascii="宋体" w:hAnsi="宋体"/>
          <w:color w:val="000000"/>
          <w:sz w:val="24"/>
          <w:highlight w:val="none"/>
          <w:u w:val="single"/>
        </w:rPr>
      </w:pPr>
      <w:r>
        <w:rPr>
          <w:rFonts w:hint="eastAsia" w:ascii="宋体" w:hAnsi="宋体"/>
          <w:color w:val="000000"/>
          <w:sz w:val="24"/>
          <w:highlight w:val="none"/>
        </w:rPr>
        <w:t xml:space="preserve">      单位地址：</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94"/>
        <w:ind w:firstLine="480"/>
        <w:spacing w:line="360" w:lineRule="auto"/>
        <w:tabs>
          <w:tab w:val="left" w:pos="360" w:leader="none"/>
        </w:tabs>
        <w:rPr>
          <w:rFonts w:ascii="宋体" w:hAnsi="宋体"/>
          <w:color w:val="000000"/>
          <w:sz w:val="24"/>
          <w:highlight w:val="none"/>
        </w:rPr>
      </w:pPr>
      <w:r>
        <w:rPr>
          <w:rFonts w:hint="eastAsia" w:ascii="宋体" w:hAnsi="宋体"/>
          <w:color w:val="000000"/>
          <w:sz w:val="24"/>
          <w:highlight w:val="none"/>
        </w:rPr>
        <w:t xml:space="preserve">      日期：</w:t>
      </w:r>
      <w:bookmarkStart w:id="146" w:name="_Hlt26671380"/>
      <w:r/>
      <w:bookmarkEnd w:id="146"/>
      <w:r/>
      <w:bookmarkStart w:id="147" w:name="_格式3__银行出具的资信证明"/>
      <w:r/>
      <w:bookmarkEnd w:id="147"/>
      <w:r/>
      <w:bookmarkStart w:id="148" w:name="_Hlt26955070"/>
      <w:r/>
      <w:bookmarkEnd w:id="148"/>
      <w:r>
        <w:rPr>
          <w:rFonts w:hint="eastAsia" w:ascii="宋体" w:hAnsi="宋体"/>
          <w:color w:val="000000"/>
          <w:sz w:val="24"/>
          <w:highlight w:val="none"/>
          <w:u w:val="single"/>
        </w:rPr>
        <w:t xml:space="preserve">                                         </w:t>
      </w:r>
      <w:r>
        <w:rPr>
          <w:rFonts w:ascii="宋体" w:hAnsi="宋体"/>
          <w:color w:val="000000"/>
          <w:sz w:val="24"/>
          <w:highlight w:val="none"/>
        </w:rPr>
      </w:r>
      <w:r/>
    </w:p>
    <w:p>
      <w:pPr>
        <w:pStyle w:val="794"/>
        <w:ind w:firstLine="420"/>
        <w:spacing w:line="360" w:lineRule="auto"/>
        <w:rPr>
          <w:rFonts w:ascii="宋体" w:hAnsi="宋体"/>
          <w:i/>
          <w:color w:val="000000"/>
          <w:sz w:val="24"/>
          <w:highlight w:val="none"/>
          <w:u w:val="single"/>
        </w:rPr>
      </w:pPr>
      <w:r>
        <w:rPr>
          <w:rFonts w:ascii="宋体" w:hAnsi="宋体"/>
          <w:i/>
          <w:color w:val="000000"/>
          <w:sz w:val="24"/>
          <w:highlight w:val="none"/>
          <w:u w:val="single"/>
        </w:rPr>
      </w:r>
      <w:r/>
    </w:p>
    <w:p>
      <w:pPr>
        <w:pStyle w:val="794"/>
        <w:contextualSpacing/>
        <w:ind w:firstLine="540"/>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ascii="宋体" w:hAnsi="宋体" w:cs="宋体"/>
          <w:b/>
          <w:color w:val="000000"/>
          <w:sz w:val="28"/>
          <w:szCs w:val="28"/>
          <w:highlight w:val="none"/>
        </w:rPr>
      </w:r>
      <w:r/>
    </w:p>
    <w:p>
      <w:pPr>
        <w:pStyle w:val="794"/>
        <w:contextualSpacing/>
        <w:ind w:firstLine="540"/>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94"/>
        <w:contextualSpacing/>
        <w:ind w:firstLine="540"/>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94"/>
        <w:ind w:firstLine="562"/>
        <w:spacing w:line="360" w:lineRule="auto"/>
        <w:rPr>
          <w:rFonts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color w:val="000000"/>
          <w:sz w:val="28"/>
          <w:szCs w:val="28"/>
          <w:highlight w:val="none"/>
        </w:rPr>
        <w:t xml:space="preserve">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ascii="宋体" w:hAnsi="宋体" w:cs="宋体"/>
          <w:b/>
          <w:color w:val="000000"/>
          <w:sz w:val="28"/>
          <w:szCs w:val="28"/>
          <w:highlight w:val="none"/>
        </w:rPr>
      </w:r>
      <w:r/>
    </w:p>
    <w:p>
      <w:pPr>
        <w:pStyle w:val="794"/>
        <w:spacing w:line="360" w:lineRule="auto"/>
        <w:rPr>
          <w:rFonts w:ascii="宋体" w:hAnsi="宋体"/>
          <w:color w:val="000000"/>
          <w:szCs w:val="21"/>
          <w:highlight w:val="none"/>
        </w:rPr>
      </w:pPr>
      <w:r>
        <w:rPr>
          <w:rFonts w:ascii="宋体" w:hAnsi="宋体"/>
          <w:color w:val="000000"/>
          <w:szCs w:val="21"/>
          <w:highlight w:val="none"/>
        </w:rPr>
      </w:r>
      <w:r/>
    </w:p>
    <w:p>
      <w:pPr>
        <w:pStyle w:val="794"/>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ind w:firstLine="3390"/>
        <w:keepLines/>
        <w:keepNext/>
        <w:spacing w:before="260" w:after="260" w:line="360" w:lineRule="auto"/>
        <w:rPr>
          <w:rFonts w:ascii="宋体" w:hAnsi="宋体"/>
          <w:b/>
          <w:i/>
          <w:color w:val="000000"/>
          <w:sz w:val="32"/>
          <w:szCs w:val="32"/>
          <w:highlight w:val="none"/>
          <w:u w:val="single"/>
        </w:rPr>
        <w:outlineLvl w:val="1"/>
      </w:pPr>
      <w:r>
        <w:rPr>
          <w:rFonts w:ascii="宋体" w:hAnsi="宋体" w:cs="Arial"/>
          <w:b/>
          <w:color w:val="000000"/>
          <w:sz w:val="24"/>
          <w:szCs w:val="44"/>
          <w:highlight w:val="none"/>
        </w:rPr>
        <w:br w:type="page" w:clear="all"/>
      </w:r>
      <w:r>
        <w:rPr>
          <w:rFonts w:hint="eastAsia" w:ascii="宋体" w:hAnsi="宋体" w:cs="Arial"/>
          <w:b/>
          <w:i/>
          <w:color w:val="000000"/>
          <w:sz w:val="32"/>
          <w:szCs w:val="32"/>
          <w:highlight w:val="none"/>
          <w:u w:val="single"/>
        </w:rPr>
        <w:t xml:space="preserve">八、</w:t>
      </w:r>
      <w:r>
        <w:rPr>
          <w:rFonts w:hint="eastAsia" w:ascii="宋体" w:hAnsi="宋体"/>
          <w:b/>
          <w:i/>
          <w:color w:val="000000"/>
          <w:sz w:val="32"/>
          <w:szCs w:val="32"/>
          <w:highlight w:val="none"/>
          <w:u w:val="single"/>
        </w:rPr>
        <w:t xml:space="preserve">投标函</w:t>
      </w:r>
      <w:r>
        <w:rPr>
          <w:rFonts w:ascii="宋体" w:hAnsi="宋体"/>
          <w:b/>
          <w:i/>
          <w:color w:val="000000"/>
          <w:sz w:val="32"/>
          <w:szCs w:val="32"/>
          <w:highlight w:val="none"/>
          <w:u w:val="single"/>
        </w:rPr>
      </w:r>
      <w:r/>
    </w:p>
    <w:p>
      <w:pPr>
        <w:pStyle w:val="794"/>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致：如皋市公共资源交易中心</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 w:val="24"/>
          <w:szCs w:val="21"/>
          <w:highlight w:val="none"/>
        </w:rPr>
      </w:r>
      <w:r/>
    </w:p>
    <w:p>
      <w:pPr>
        <w:pStyle w:val="794"/>
        <w:ind w:firstLine="480"/>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highlight w:val="none"/>
        </w:rPr>
      </w:r>
      <w:r/>
    </w:p>
    <w:p>
      <w:pPr>
        <w:pStyle w:val="794"/>
        <w:ind w:left="425"/>
        <w:jc w:val="left"/>
        <w:spacing w:line="360" w:lineRule="auto"/>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ascii="宋体" w:hAnsi="宋体"/>
          <w:color w:val="000000"/>
          <w:sz w:val="24"/>
          <w:szCs w:val="21"/>
          <w:highlight w:val="none"/>
        </w:rPr>
      </w:r>
      <w:r/>
    </w:p>
    <w:p>
      <w:pPr>
        <w:pStyle w:val="794"/>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地          址：</w:t>
      </w:r>
      <w:r>
        <w:rPr>
          <w:rFonts w:ascii="宋体" w:hAnsi="宋体"/>
          <w:color w:val="000000"/>
          <w:sz w:val="24"/>
          <w:szCs w:val="21"/>
          <w:highlight w:val="none"/>
        </w:rPr>
      </w:r>
      <w:r/>
    </w:p>
    <w:p>
      <w:pPr>
        <w:pStyle w:val="794"/>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邮          编：</w:t>
      </w:r>
      <w:r>
        <w:rPr>
          <w:rFonts w:ascii="宋体" w:hAnsi="宋体"/>
          <w:color w:val="000000"/>
          <w:sz w:val="24"/>
          <w:szCs w:val="21"/>
          <w:highlight w:val="none"/>
        </w:rPr>
      </w:r>
      <w:r/>
    </w:p>
    <w:p>
      <w:pPr>
        <w:pStyle w:val="794"/>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电          话：</w:t>
      </w:r>
      <w:r>
        <w:rPr>
          <w:rFonts w:ascii="宋体" w:hAnsi="宋体"/>
          <w:color w:val="000000"/>
          <w:sz w:val="24"/>
          <w:szCs w:val="21"/>
          <w:highlight w:val="none"/>
        </w:rPr>
      </w:r>
      <w:r/>
    </w:p>
    <w:p>
      <w:pPr>
        <w:pStyle w:val="794"/>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传          真：</w:t>
      </w:r>
      <w:r>
        <w:rPr>
          <w:rFonts w:ascii="宋体" w:hAnsi="宋体"/>
          <w:color w:val="000000"/>
          <w:sz w:val="24"/>
          <w:szCs w:val="21"/>
          <w:highlight w:val="none"/>
        </w:rPr>
      </w:r>
      <w:r/>
    </w:p>
    <w:p>
      <w:pPr>
        <w:pStyle w:val="794"/>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ascii="宋体" w:hAnsi="宋体"/>
          <w:color w:val="000000"/>
          <w:sz w:val="24"/>
          <w:szCs w:val="21"/>
          <w:highlight w:val="none"/>
        </w:rPr>
      </w:r>
      <w:r/>
    </w:p>
    <w:p>
      <w:pPr>
        <w:pStyle w:val="794"/>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794"/>
        <w:ind w:left="420" w:firstLine="480"/>
        <w:jc w:val="lef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ascii="宋体" w:hAnsi="宋体"/>
          <w:color w:val="000000"/>
          <w:sz w:val="24"/>
          <w:szCs w:val="21"/>
          <w:highlight w:val="none"/>
        </w:rPr>
      </w:r>
      <w:r/>
    </w:p>
    <w:p>
      <w:pPr>
        <w:pStyle w:val="794"/>
        <w:ind w:firstLine="240"/>
        <w:jc w:val="center"/>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ind w:firstLine="240"/>
        <w:jc w:val="center"/>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ind w:firstLine="240"/>
        <w:jc w:val="center"/>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ind w:firstLine="240"/>
        <w:jc w:val="center"/>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ind w:firstLine="321"/>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九、中小企业声明函</w:t>
      </w:r>
      <w:r>
        <w:rPr>
          <w:rFonts w:ascii="宋体" w:hAnsi="宋体"/>
          <w:b/>
          <w:color w:val="000000"/>
          <w:sz w:val="32"/>
          <w:szCs w:val="32"/>
          <w:highlight w:val="none"/>
        </w:rPr>
      </w:r>
      <w:r/>
    </w:p>
    <w:p>
      <w:pPr>
        <w:pStyle w:val="1085"/>
        <w:ind w:firstLine="0"/>
        <w:spacing w:before="46" w:after="93"/>
        <w:rPr>
          <w:rFonts w:hAnsi="宋体"/>
          <w:color w:val="000000"/>
          <w:highlight w:val="none"/>
          <w:lang w:bidi="zh-CN"/>
        </w:rPr>
      </w:pPr>
      <w:r>
        <w:rPr>
          <w:rFonts w:hAnsi="宋体"/>
          <w:color w:val="000000"/>
          <w:highlight w:val="none"/>
          <w:lang w:bidi="zh-CN"/>
        </w:rPr>
      </w:r>
      <w:r/>
    </w:p>
    <w:p>
      <w:pPr>
        <w:pStyle w:val="794"/>
        <w:jc w:val="center"/>
        <w:spacing w:line="36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中小企业声明函（货物）</w:t>
      </w:r>
      <w:r>
        <w:rPr>
          <w:rFonts w:ascii="宋体" w:hAnsi="宋体"/>
          <w:b/>
          <w:bCs/>
          <w:color w:val="000000"/>
          <w:sz w:val="28"/>
          <w:szCs w:val="28"/>
          <w:highlight w:val="none"/>
          <w:lang w:bidi="zh-CN"/>
        </w:rPr>
      </w:r>
      <w:r/>
    </w:p>
    <w:p>
      <w:pPr>
        <w:pStyle w:val="794"/>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olor w:val="000000"/>
          <w:sz w:val="28"/>
          <w:szCs w:val="28"/>
          <w:highlight w:val="none"/>
          <w:lang w:bidi="zh-CN"/>
        </w:rPr>
      </w:r>
      <w:r/>
    </w:p>
    <w:p>
      <w:pPr>
        <w:pStyle w:val="794"/>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 （标的名称）</w:t>
      </w:r>
      <w:r>
        <w:rPr>
          <w:rFonts w:ascii="宋体" w:hAnsi="宋体"/>
          <w:color w:val="000000"/>
          <w:sz w:val="28"/>
          <w:szCs w:val="28"/>
          <w:highlight w:val="none"/>
          <w:lang w:bidi="zh-CN"/>
        </w:rPr>
        <w:t xml:space="preserve"> ，属于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94"/>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i/>
          <w:color w:val="000000"/>
          <w:sz w:val="28"/>
          <w:szCs w:val="28"/>
          <w:highlight w:val="none"/>
          <w:u w:val="single"/>
          <w:lang w:bidi="zh-CN"/>
        </w:rPr>
        <w:t xml:space="preserve"> </w:t>
      </w:r>
      <w:r>
        <w:rPr>
          <w:rFonts w:ascii="宋体" w:hAnsi="宋体"/>
          <w:color w:val="000000"/>
          <w:sz w:val="28"/>
          <w:szCs w:val="28"/>
          <w:highlight w:val="none"/>
          <w:u w:val="single"/>
          <w:lang w:bidi="zh-CN"/>
        </w:rPr>
        <w:t xml:space="preserve">（标的名称） </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94"/>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94"/>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794"/>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794"/>
        <w:jc w:val="center"/>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企业名称（盖章）：</w:t>
      </w:r>
      <w:r>
        <w:rPr>
          <w:rFonts w:ascii="宋体" w:hAnsi="宋体"/>
          <w:color w:val="000000"/>
          <w:sz w:val="28"/>
          <w:szCs w:val="28"/>
          <w:highlight w:val="none"/>
          <w:lang w:bidi="zh-CN"/>
        </w:rPr>
      </w:r>
      <w:r/>
    </w:p>
    <w:p>
      <w:pPr>
        <w:pStyle w:val="794"/>
        <w:jc w:val="center"/>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794"/>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注：1.如项目类型为“货物”，请按本表填写。</w:t>
      </w:r>
      <w:r>
        <w:rPr>
          <w:rFonts w:ascii="宋体" w:hAnsi="宋体" w:cs="宋体"/>
          <w:color w:val="000000"/>
          <w:szCs w:val="21"/>
          <w:highlight w:val="none"/>
          <w:lang w:bidi="zh-CN"/>
        </w:rPr>
      </w:r>
      <w:r/>
    </w:p>
    <w:p>
      <w:pPr>
        <w:pStyle w:val="794"/>
        <w:ind w:firstLine="420"/>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ascii="宋体" w:hAnsi="宋体" w:cs="宋体"/>
          <w:color w:val="000000"/>
          <w:szCs w:val="21"/>
          <w:highlight w:val="none"/>
          <w:lang w:bidi="zh-CN"/>
        </w:rPr>
      </w:r>
      <w:r/>
    </w:p>
    <w:p>
      <w:pPr>
        <w:pStyle w:val="794"/>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ascii="宋体" w:hAnsi="宋体" w:cs="宋体"/>
          <w:color w:val="000000"/>
          <w:szCs w:val="21"/>
          <w:highlight w:val="none"/>
          <w:lang w:bidi="zh-CN"/>
        </w:rPr>
      </w:r>
      <w:r/>
    </w:p>
    <w:p>
      <w:pPr>
        <w:pStyle w:val="794"/>
        <w:ind w:firstLine="420"/>
        <w:spacing w:line="360" w:lineRule="auto"/>
        <w:rPr>
          <w:rFonts w:ascii="宋体" w:hAnsi="宋体"/>
          <w:color w:val="000000"/>
          <w:sz w:val="28"/>
          <w:szCs w:val="28"/>
          <w:highlight w:val="none"/>
          <w:lang w:bidi="zh-CN"/>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color w:val="000000"/>
          <w:sz w:val="28"/>
          <w:szCs w:val="28"/>
          <w:highlight w:val="none"/>
          <w:lang w:bidi="zh-CN"/>
        </w:rPr>
      </w:r>
      <w:r/>
    </w:p>
    <w:p>
      <w:pPr>
        <w:pStyle w:val="794"/>
        <w:jc w:val="center"/>
        <w:spacing w:line="36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br w:type="page" w:clear="all"/>
      </w: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794"/>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794"/>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94"/>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94"/>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94"/>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794"/>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1085"/>
        <w:ind w:firstLine="420"/>
        <w:spacing w:before="46" w:after="93"/>
        <w:rPr>
          <w:rFonts w:hAnsi="宋体"/>
          <w:color w:val="000000"/>
          <w:highlight w:val="none"/>
          <w:lang w:bidi="zh-CN"/>
        </w:rPr>
      </w:pPr>
      <w:r>
        <w:rPr>
          <w:rFonts w:hAnsi="宋体"/>
          <w:color w:val="000000"/>
          <w:highlight w:val="none"/>
          <w:lang w:bidi="zh-CN"/>
        </w:rPr>
      </w:r>
      <w:r/>
    </w:p>
    <w:p>
      <w:pPr>
        <w:pStyle w:val="794"/>
        <w:ind w:firstLine="490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ascii="宋体" w:hAnsi="宋体"/>
          <w:color w:val="000000"/>
          <w:sz w:val="28"/>
          <w:szCs w:val="28"/>
          <w:highlight w:val="none"/>
          <w:lang w:bidi="zh-CN"/>
        </w:rPr>
      </w:r>
      <w:r/>
    </w:p>
    <w:p>
      <w:pPr>
        <w:pStyle w:val="794"/>
        <w:ind w:firstLine="490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794"/>
        <w:spacing w:line="360" w:lineRule="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794"/>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注：1.如项目类型为“服务”或“工程”，请按本表填写。</w:t>
      </w:r>
      <w:r>
        <w:rPr>
          <w:rFonts w:ascii="宋体" w:hAnsi="宋体" w:cs="宋体"/>
          <w:color w:val="000000"/>
          <w:szCs w:val="21"/>
          <w:highlight w:val="none"/>
          <w:lang w:bidi="zh-CN"/>
        </w:rPr>
      </w:r>
      <w:r/>
    </w:p>
    <w:p>
      <w:pPr>
        <w:pStyle w:val="794"/>
        <w:ind w:firstLine="420"/>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ascii="宋体" w:hAnsi="宋体" w:cs="宋体"/>
          <w:color w:val="000000"/>
          <w:szCs w:val="21"/>
          <w:highlight w:val="none"/>
          <w:lang w:bidi="zh-CN"/>
        </w:rPr>
      </w:r>
      <w:r/>
    </w:p>
    <w:p>
      <w:pPr>
        <w:pStyle w:val="794"/>
        <w:ind w:firstLine="420"/>
        <w:spacing w:line="360" w:lineRule="auto"/>
        <w:rPr>
          <w:rFonts w:ascii="宋体" w:hAnsi="宋体"/>
          <w:color w:val="000000"/>
          <w:sz w:val="28"/>
          <w:szCs w:val="28"/>
          <w:highlight w:val="none"/>
        </w:rPr>
        <w:outlineLvl w:val="0"/>
      </w:pPr>
      <w:r>
        <w:rPr>
          <w:rFonts w:hint="eastAsia" w:ascii="宋体" w:hAnsi="宋体" w:cs="宋体"/>
          <w:color w:val="000000"/>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color w:val="000000"/>
          <w:sz w:val="28"/>
          <w:szCs w:val="28"/>
          <w:highlight w:val="none"/>
        </w:rPr>
      </w:r>
      <w:r/>
    </w:p>
    <w:p>
      <w:pPr>
        <w:pStyle w:val="794"/>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十、残疾人福利性单位声明函或监狱和戒毒企业证明材料</w:t>
      </w:r>
      <w:r>
        <w:rPr>
          <w:rFonts w:ascii="宋体" w:hAnsi="宋体"/>
          <w:b/>
          <w:color w:val="000000"/>
          <w:sz w:val="32"/>
          <w:szCs w:val="32"/>
          <w:highlight w:val="none"/>
        </w:rPr>
      </w:r>
      <w:r/>
    </w:p>
    <w:p>
      <w:pPr>
        <w:pStyle w:val="794"/>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ascii="宋体" w:hAnsi="宋体"/>
          <w:b/>
          <w:color w:val="000000"/>
          <w:sz w:val="32"/>
          <w:szCs w:val="32"/>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8"/>
          <w:szCs w:val="28"/>
          <w:highlight w:val="none"/>
        </w:rPr>
      </w:r>
      <w:r/>
    </w:p>
    <w:p>
      <w:pPr>
        <w:pStyle w:val="7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ascii="宋体" w:hAnsi="宋体"/>
          <w:color w:val="000000"/>
          <w:sz w:val="28"/>
          <w:szCs w:val="28"/>
          <w:highlight w:val="none"/>
        </w:rPr>
      </w:r>
      <w:r/>
    </w:p>
    <w:p>
      <w:pPr>
        <w:pStyle w:val="794"/>
        <w:ind w:firstLine="584"/>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94"/>
        <w:ind w:firstLine="584"/>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94"/>
        <w:ind w:firstLine="584"/>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94"/>
        <w:ind w:firstLine="584"/>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94"/>
        <w:ind w:right="1560" w:firstLine="584"/>
        <w:jc w:val="center"/>
        <w:spacing w:line="360" w:lineRule="auto"/>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794"/>
        <w:ind w:right="1560" w:firstLine="560"/>
        <w:jc w:val="center"/>
        <w:spacing w:line="360" w:lineRule="auto"/>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794"/>
        <w:ind w:firstLine="42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94"/>
        <w:spacing w:line="360" w:lineRule="auto"/>
        <w:rPr>
          <w:rFonts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ascii="宋体" w:hAnsi="宋体" w:cs="宋体"/>
          <w:color w:val="000000"/>
          <w:sz w:val="28"/>
          <w:szCs w:val="28"/>
          <w:highlight w:val="none"/>
          <w:lang w:bidi="zh-CN"/>
        </w:rPr>
      </w:r>
      <w:r/>
    </w:p>
    <w:p>
      <w:pPr>
        <w:pStyle w:val="794"/>
        <w:ind w:firstLine="560"/>
        <w:spacing w:line="360" w:lineRule="auto"/>
        <w:rPr>
          <w:rFonts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ascii="宋体" w:hAnsi="宋体"/>
          <w:color w:val="000000"/>
          <w:sz w:val="28"/>
          <w:szCs w:val="28"/>
          <w:highlight w:val="none"/>
        </w:rPr>
      </w:r>
      <w:r/>
    </w:p>
    <w:p>
      <w:pPr>
        <w:pStyle w:val="794"/>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085"/>
        <w:ind w:firstLine="420"/>
        <w:spacing w:before="46" w:after="93"/>
        <w:rPr>
          <w:rFonts w:hAnsi="宋体"/>
          <w:color w:val="000000"/>
          <w:highlight w:val="none"/>
        </w:rPr>
      </w:pPr>
      <w:r>
        <w:rPr>
          <w:rFonts w:hAnsi="宋体"/>
          <w:color w:val="000000"/>
          <w:highlight w:val="none"/>
        </w:rPr>
      </w:r>
      <w:r/>
    </w:p>
    <w:p>
      <w:pPr>
        <w:pStyle w:val="1085"/>
        <w:ind w:firstLine="420"/>
        <w:spacing w:before="46" w:after="93"/>
        <w:rPr>
          <w:rFonts w:hAnsi="宋体"/>
          <w:color w:val="000000"/>
          <w:highlight w:val="none"/>
        </w:rPr>
      </w:pPr>
      <w:r>
        <w:rPr>
          <w:rFonts w:hAnsi="宋体"/>
          <w:color w:val="000000"/>
          <w:highlight w:val="none"/>
        </w:rPr>
      </w:r>
      <w:r/>
    </w:p>
    <w:p>
      <w:pPr>
        <w:pStyle w:val="794"/>
        <w:jc w:val="center"/>
        <w:spacing w:line="360" w:lineRule="auto"/>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794"/>
        <w:ind w:firstLine="495"/>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94"/>
        <w:ind w:firstLine="498"/>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ascii="宋体" w:hAnsi="宋体" w:cs="宋体"/>
          <w:b/>
          <w:color w:val="000000"/>
          <w:sz w:val="28"/>
          <w:szCs w:val="28"/>
          <w:highlight w:val="none"/>
        </w:rPr>
      </w:r>
      <w:r/>
    </w:p>
    <w:p>
      <w:pPr>
        <w:pStyle w:val="794"/>
        <w:ind w:firstLine="495"/>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94"/>
        <w:ind w:firstLine="6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1085"/>
        <w:ind w:firstLine="420"/>
        <w:spacing w:before="46" w:after="93"/>
        <w:rPr>
          <w:rFonts w:hAnsi="宋体"/>
          <w:color w:val="000000"/>
          <w:highlight w:val="none"/>
        </w:rPr>
      </w:pPr>
      <w:r>
        <w:rPr>
          <w:rFonts w:hAnsi="宋体"/>
          <w:color w:val="000000"/>
          <w:highlight w:val="none"/>
        </w:rPr>
      </w:r>
      <w:r/>
    </w:p>
    <w:p>
      <w:pPr>
        <w:pStyle w:val="794"/>
        <w:spacing w:line="360" w:lineRule="auto"/>
        <w:rPr>
          <w:rFonts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ascii="宋体" w:hAnsi="宋体" w:cs="宋体"/>
          <w:color w:val="000000"/>
          <w:sz w:val="28"/>
          <w:szCs w:val="28"/>
          <w:highlight w:val="none"/>
          <w:lang w:bidi="zh-CN"/>
        </w:rPr>
      </w:r>
      <w:r/>
    </w:p>
    <w:p>
      <w:pPr>
        <w:pStyle w:val="794"/>
        <w:ind w:firstLine="560"/>
        <w:spacing w:line="360" w:lineRule="auto"/>
        <w:rPr>
          <w:rFonts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ascii="宋体" w:hAnsi="宋体"/>
          <w:color w:val="000000"/>
          <w:sz w:val="28"/>
          <w:szCs w:val="28"/>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十一、联合体协议（参考格式）（分包号：**）</w:t>
      </w:r>
      <w:r>
        <w:rPr>
          <w:rFonts w:ascii="宋体" w:hAnsi="宋体"/>
          <w:b/>
          <w:color w:val="000000"/>
          <w:sz w:val="32"/>
          <w:szCs w:val="32"/>
          <w:highlight w:val="none"/>
        </w:rPr>
      </w:r>
      <w:r/>
    </w:p>
    <w:p>
      <w:pPr>
        <w:pStyle w:val="794"/>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r>
      <w:r/>
    </w:p>
    <w:p>
      <w:pPr>
        <w:pStyle w:val="794"/>
        <w:ind w:firstLine="645"/>
        <w:jc w:val="right"/>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794"/>
        <w:ind w:firstLine="645"/>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794"/>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spacing w:line="360" w:lineRule="auto"/>
        <w:rPr>
          <w:rFonts w:ascii="宋体" w:hAnsi="宋体"/>
          <w:bCs/>
          <w:color w:val="000000"/>
          <w:sz w:val="24"/>
          <w:szCs w:val="21"/>
          <w:highlight w:val="none"/>
        </w:rPr>
      </w:pPr>
      <w:r>
        <w:rPr>
          <w:rFonts w:ascii="宋体" w:hAnsi="宋体"/>
          <w:bCs/>
          <w:color w:val="000000"/>
          <w:sz w:val="24"/>
          <w:szCs w:val="21"/>
          <w:highlight w:val="none"/>
        </w:rPr>
      </w:r>
      <w:r/>
    </w:p>
    <w:p>
      <w:pPr>
        <w:pStyle w:val="794"/>
        <w:spacing w:line="360" w:lineRule="auto"/>
        <w:rPr>
          <w:rFonts w:ascii="宋体" w:hAnsi="宋体"/>
          <w:color w:val="000000"/>
          <w:szCs w:val="21"/>
          <w:highlight w:val="none"/>
        </w:rPr>
      </w:pPr>
      <w:r>
        <w:rPr>
          <w:rFonts w:ascii="宋体" w:hAnsi="宋体"/>
          <w:color w:val="000000"/>
          <w:szCs w:val="21"/>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十二、投标分项报价表（分包号：***）</w:t>
      </w:r>
      <w:r>
        <w:rPr>
          <w:rFonts w:ascii="宋体" w:hAnsi="宋体"/>
          <w:b/>
          <w:color w:val="000000"/>
          <w:sz w:val="32"/>
          <w:szCs w:val="32"/>
          <w:highlight w:val="none"/>
        </w:rPr>
      </w:r>
      <w:r/>
    </w:p>
    <w:tbl>
      <w:tblPr>
        <w:tblW w:w="90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96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41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78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980"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727"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372"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24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r>
      <w:tr>
        <w:trPr>
          <w:cantSplit/>
          <w:trHeight w:val="294"/>
        </w:trPr>
        <w:tc>
          <w:tcPr>
            <w:tcW w:w="55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78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980"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交付期</w:t>
            </w:r>
            <w:r>
              <w:rPr>
                <w:rFonts w:ascii="宋体" w:hAnsi="宋体"/>
                <w:color w:val="000000"/>
                <w:sz w:val="24"/>
                <w:highlight w:val="none"/>
              </w:rPr>
            </w:r>
            <w:r/>
          </w:p>
        </w:tc>
        <w:tc>
          <w:tcPr>
            <w:tcW w:w="727"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372"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分项单价</w:t>
            </w:r>
            <w:r>
              <w:rPr>
                <w:rFonts w:ascii="宋体" w:hAnsi="宋体"/>
                <w:color w:val="000000"/>
                <w:sz w:val="24"/>
                <w:highlight w:val="none"/>
              </w:rPr>
            </w:r>
            <w:r/>
          </w:p>
        </w:tc>
        <w:tc>
          <w:tcPr>
            <w:tcW w:w="124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分项总价</w:t>
            </w:r>
            <w:r>
              <w:rPr>
                <w:rFonts w:ascii="宋体" w:hAnsi="宋体"/>
                <w:color w:val="000000"/>
                <w:sz w:val="24"/>
                <w:highlight w:val="none"/>
              </w:rPr>
            </w:r>
            <w:r/>
          </w:p>
        </w:tc>
      </w:tr>
      <w:tr>
        <w:trPr>
          <w:cantSplit/>
          <w:trHeight w:val="696"/>
        </w:trPr>
        <w:tc>
          <w:tcPr>
            <w:tcW w:w="55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8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372"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8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372"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8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372"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84"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372"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r>
      <w:tr>
        <w:trPr>
          <w:cantSplit/>
          <w:trHeight w:val="1030"/>
        </w:trPr>
        <w:tc>
          <w:tcPr>
            <w:gridSpan w:val="8"/>
            <w:tcW w:w="7835"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top"/>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r>
    </w:tbl>
    <w:p>
      <w:pPr>
        <w:pStyle w:val="794"/>
        <w:spacing w:line="360" w:lineRule="auto"/>
        <w:rPr>
          <w:rFonts w:ascii="宋体" w:hAnsi="宋体"/>
          <w:color w:val="000000"/>
          <w:sz w:val="24"/>
          <w:szCs w:val="21"/>
          <w:highlight w:val="none"/>
        </w:rPr>
      </w:pPr>
      <w:r>
        <w:rPr>
          <w:rFonts w:hint="eastAsia" w:ascii="宋体" w:hAnsi="宋体"/>
          <w:color w:val="000000"/>
          <w:sz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ascii="宋体" w:hAnsi="宋体"/>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ascii="宋体" w:hAnsi="宋体"/>
          <w:color w:val="000000"/>
          <w:sz w:val="24"/>
          <w:szCs w:val="21"/>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备注：该表适用于货物类项目。</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jc w:val="center"/>
        <w:spacing w:line="360" w:lineRule="auto"/>
        <w:rPr>
          <w:rFonts w:ascii="宋体" w:hAnsi="宋体"/>
          <w:color w:val="000000"/>
          <w:sz w:val="24"/>
          <w:highlight w:val="none"/>
        </w:rPr>
      </w:pPr>
      <w:r>
        <w:rPr>
          <w:rFonts w:hint="eastAsia" w:ascii="宋体" w:hAnsi="宋体"/>
          <w:b/>
          <w:color w:val="000000"/>
          <w:sz w:val="32"/>
          <w:szCs w:val="32"/>
          <w:highlight w:val="none"/>
        </w:rPr>
        <w:t xml:space="preserve">投标分项报价表（分包号：**）</w:t>
      </w:r>
      <w:r>
        <w:rPr>
          <w:rFonts w:ascii="宋体" w:hAnsi="宋体"/>
          <w:color w:val="000000"/>
          <w:sz w:val="24"/>
          <w:highlight w:val="none"/>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27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28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92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203"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61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79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r>
      <w:tr>
        <w:trPr>
          <w:cantSplit/>
          <w:trHeight w:val="294"/>
        </w:trPr>
        <w:tc>
          <w:tcPr>
            <w:tcW w:w="948" w:type="dxa"/>
            <w:vAlign w:val="center"/>
            <w:vMerge w:val="continue"/>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7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分项服务名称</w:t>
            </w:r>
            <w:r>
              <w:rPr>
                <w:rFonts w:ascii="宋体" w:hAnsi="宋体"/>
                <w:color w:val="000000"/>
                <w:sz w:val="24"/>
                <w:highlight w:val="none"/>
              </w:rPr>
            </w:r>
            <w:r/>
          </w:p>
        </w:tc>
        <w:tc>
          <w:tcPr>
            <w:tcW w:w="128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交付期</w:t>
            </w:r>
            <w:r>
              <w:rPr>
                <w:rFonts w:ascii="宋体" w:hAnsi="宋体"/>
                <w:color w:val="000000"/>
                <w:sz w:val="24"/>
                <w:highlight w:val="none"/>
              </w:rPr>
            </w:r>
            <w:r/>
          </w:p>
        </w:tc>
        <w:tc>
          <w:tcPr>
            <w:tcW w:w="924"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分项单位</w:t>
            </w:r>
            <w:r>
              <w:rPr>
                <w:rFonts w:ascii="宋体" w:hAnsi="宋体"/>
                <w:color w:val="000000"/>
                <w:sz w:val="24"/>
                <w:highlight w:val="none"/>
              </w:rPr>
            </w:r>
            <w:r/>
          </w:p>
        </w:tc>
        <w:tc>
          <w:tcPr>
            <w:tcW w:w="1203"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61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分项</w:t>
            </w:r>
            <w:r>
              <w:rPr>
                <w:rFonts w:ascii="宋体" w:hAnsi="宋体"/>
                <w:color w:val="000000"/>
                <w:sz w:val="24"/>
                <w:highlight w:val="none"/>
              </w:rPr>
            </w:r>
            <w:r/>
          </w:p>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79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分项</w:t>
            </w:r>
            <w:r>
              <w:rPr>
                <w:rFonts w:ascii="宋体" w:hAnsi="宋体"/>
                <w:color w:val="000000"/>
                <w:sz w:val="24"/>
                <w:highlight w:val="none"/>
              </w:rPr>
            </w:r>
            <w:r/>
          </w:p>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654"/>
        </w:trPr>
        <w:tc>
          <w:tcPr>
            <w:tcW w:w="94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27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8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03"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61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79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54"/>
        </w:trPr>
        <w:tc>
          <w:tcPr>
            <w:tcW w:w="94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27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8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03"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61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79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54"/>
        </w:trPr>
        <w:tc>
          <w:tcPr>
            <w:tcW w:w="94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27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8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03"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61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79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54"/>
        </w:trPr>
        <w:tc>
          <w:tcPr>
            <w:tcW w:w="94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27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28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924"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203"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61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798" w:type="dxa"/>
            <w:vAlign w:val="center"/>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487"/>
        </w:trPr>
        <w:tc>
          <w:tcPr>
            <w:gridSpan w:val="6"/>
            <w:tcW w:w="7255"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798" w:type="dxa"/>
            <w:vAlign w:val="top"/>
            <w:textDirection w:val="lrTb"/>
            <w:noWrap w:val="false"/>
          </w:tcPr>
          <w:p>
            <w:pPr>
              <w:pStyle w:val="794"/>
              <w:spacing w:line="360" w:lineRule="auto"/>
              <w:rPr>
                <w:rFonts w:ascii="宋体" w:hAnsi="宋体"/>
                <w:color w:val="000000"/>
                <w:sz w:val="24"/>
                <w:highlight w:val="none"/>
              </w:rPr>
            </w:pPr>
            <w:r>
              <w:rPr>
                <w:rFonts w:ascii="宋体" w:hAnsi="宋体"/>
                <w:color w:val="000000"/>
                <w:sz w:val="24"/>
                <w:highlight w:val="none"/>
              </w:rPr>
            </w:r>
            <w:r/>
          </w:p>
        </w:tc>
      </w:tr>
    </w:tbl>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备注：该表适用于服务类项目。</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十三、技术要求响应及偏离表（分包号：**）</w:t>
      </w:r>
      <w:r>
        <w:rPr>
          <w:rFonts w:ascii="宋体" w:hAnsi="宋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79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9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9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94"/>
        <w:spacing w:line="360" w:lineRule="auto"/>
        <w:rPr>
          <w:rFonts w:ascii="宋体" w:hAnsi="宋体"/>
          <w:color w:val="000000"/>
          <w:sz w:val="32"/>
          <w:szCs w:val="21"/>
          <w:highlight w:val="none"/>
        </w:rPr>
      </w:pPr>
      <w:r>
        <w:rPr>
          <w:rFonts w:ascii="宋体" w:hAnsi="宋体"/>
          <w:color w:val="000000"/>
          <w:sz w:val="32"/>
          <w:szCs w:val="21"/>
          <w:highlight w:val="none"/>
        </w:rPr>
      </w:r>
      <w:r/>
    </w:p>
    <w:p>
      <w:pPr>
        <w:pStyle w:val="794"/>
        <w:jc w:val="center"/>
        <w:spacing w:line="360" w:lineRule="auto"/>
        <w:rPr>
          <w:rFonts w:ascii="宋体" w:hAnsi="宋体"/>
          <w:b/>
          <w:color w:val="000000"/>
          <w:sz w:val="32"/>
          <w:szCs w:val="32"/>
          <w:highlight w:val="none"/>
        </w:rPr>
      </w:pPr>
      <w:r/>
      <w:bookmarkEnd w:id="145"/>
      <w:r/>
      <w:bookmarkStart w:id="149" w:name="_Hlt26955054"/>
      <w:r/>
      <w:bookmarkEnd w:id="149"/>
      <w:r>
        <w:rPr>
          <w:rFonts w:hint="eastAsia" w:ascii="宋体" w:hAnsi="宋体"/>
          <w:b/>
          <w:color w:val="000000"/>
          <w:sz w:val="32"/>
          <w:szCs w:val="32"/>
          <w:highlight w:val="none"/>
        </w:rPr>
        <w:t xml:space="preserve">十四、商务要求响应及偏离表（分包号：**）</w:t>
      </w:r>
      <w:r>
        <w:rPr>
          <w:rFonts w:ascii="宋体" w:hAnsi="宋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94"/>
              <w:jc w:val="center"/>
              <w:spacing w:line="360" w:lineRule="auto"/>
              <w:rPr>
                <w:rFonts w:ascii="宋体" w:hAnsi="宋体"/>
                <w:color w:val="000000"/>
                <w:sz w:val="24"/>
                <w:highlight w:val="none"/>
              </w:rPr>
            </w:pPr>
            <w:r/>
            <w:bookmarkStart w:id="150" w:name="_Hlt26671343"/>
            <w:r/>
            <w:bookmarkEnd w:id="150"/>
            <w:r/>
            <w:bookmarkStart w:id="151" w:name="_Hlt24879081"/>
            <w:r/>
            <w:bookmarkEnd w:id="151"/>
            <w:r/>
            <w:bookmarkStart w:id="152" w:name="_Hlt26782999"/>
            <w:r/>
            <w:bookmarkEnd w:id="152"/>
            <w:r/>
            <w:bookmarkStart w:id="153" w:name="_Hlt26955056"/>
            <w:r/>
            <w:bookmarkEnd w:id="153"/>
            <w:r/>
            <w:bookmarkStart w:id="154" w:name="_Hlt26671372"/>
            <w:r/>
            <w:bookmarkEnd w:id="154"/>
            <w:r/>
            <w:bookmarkStart w:id="155" w:name="_Hlt26580838"/>
            <w:r/>
            <w:bookmarkEnd w:id="155"/>
            <w:r/>
            <w:bookmarkStart w:id="156" w:name="_Hlt26955064"/>
            <w:r/>
            <w:bookmarkEnd w:id="156"/>
            <w:r/>
            <w:bookmarkStart w:id="157" w:name="_Hlt26609391"/>
            <w:r/>
            <w:bookmarkEnd w:id="157"/>
            <w:r>
              <w:rPr>
                <w:rFonts w:hint="eastAsia" w:ascii="宋体" w:hAnsi="宋体"/>
                <w:color w:val="000000"/>
                <w:sz w:val="24"/>
                <w:highlight w:val="none"/>
              </w:rPr>
              <w:t xml:space="preserve">序号</w:t>
            </w:r>
            <w:r>
              <w:rPr>
                <w:rFonts w:ascii="宋体" w:hAnsi="宋体"/>
                <w:color w:val="000000"/>
                <w:sz w:val="24"/>
                <w:highlight w:val="none"/>
              </w:rPr>
            </w:r>
            <w:r/>
          </w:p>
        </w:tc>
        <w:tc>
          <w:tcPr>
            <w:tcW w:w="3291"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招标文件要求</w:t>
            </w:r>
            <w:r>
              <w:rPr>
                <w:rFonts w:ascii="宋体" w:hAnsi="宋体"/>
                <w:color w:val="000000"/>
                <w:sz w:val="24"/>
                <w:highlight w:val="none"/>
              </w:rPr>
            </w:r>
            <w:r/>
          </w:p>
        </w:tc>
        <w:tc>
          <w:tcPr>
            <w:tcW w:w="2852"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投标响应情况</w:t>
            </w:r>
            <w:r>
              <w:rPr>
                <w:rFonts w:ascii="宋体" w:hAnsi="宋体"/>
                <w:color w:val="000000"/>
                <w:sz w:val="24"/>
                <w:highlight w:val="none"/>
              </w:rPr>
            </w:r>
            <w:r/>
          </w:p>
        </w:tc>
        <w:tc>
          <w:tcPr>
            <w:tcW w:w="1308"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超出、符合或偏离</w:t>
            </w:r>
            <w:r>
              <w:rPr>
                <w:rFonts w:ascii="宋体" w:hAnsi="宋体"/>
                <w:color w:val="000000"/>
                <w:sz w:val="24"/>
                <w:highlight w:val="none"/>
              </w:rPr>
            </w:r>
            <w:r/>
          </w:p>
        </w:tc>
        <w:tc>
          <w:tcPr>
            <w:tcW w:w="1173" w:type="dxa"/>
            <w:vAlign w:val="center"/>
            <w:textDirection w:val="lrTb"/>
            <w:noWrap w:val="false"/>
          </w:tcPr>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r>
            <w:r/>
          </w:p>
          <w:p>
            <w:pPr>
              <w:pStyle w:val="794"/>
              <w:jc w:val="center"/>
              <w:spacing w:line="360" w:lineRule="auto"/>
              <w:rPr>
                <w:rFonts w:ascii="宋体" w:hAnsi="宋体"/>
                <w:color w:val="000000"/>
                <w:sz w:val="24"/>
                <w:highlight w:val="none"/>
              </w:rPr>
            </w:pPr>
            <w:r>
              <w:rPr>
                <w:rFonts w:hint="eastAsia" w:ascii="宋体" w:hAnsi="宋体"/>
                <w:color w:val="000000"/>
                <w:sz w:val="24"/>
                <w:highlight w:val="none"/>
              </w:rPr>
              <w:t xml:space="preserve">材料</w:t>
            </w: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3291"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2852"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308"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c>
          <w:tcPr>
            <w:tcW w:w="1173" w:type="dxa"/>
            <w:vAlign w:val="top"/>
            <w:textDirection w:val="lrTb"/>
            <w:noWrap w:val="false"/>
          </w:tcPr>
          <w:p>
            <w:pPr>
              <w:pStyle w:val="794"/>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注： 行数不够，可自行添加。</w:t>
      </w:r>
      <w:r>
        <w:rPr>
          <w:rFonts w:ascii="宋体" w:hAnsi="宋体"/>
          <w:color w:val="000000"/>
          <w:sz w:val="24"/>
          <w:highlight w:val="none"/>
        </w:rPr>
      </w:r>
      <w:r/>
    </w:p>
    <w:p>
      <w:pPr>
        <w:pStyle w:val="794"/>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794"/>
        <w:spacing w:line="360" w:lineRule="auto"/>
        <w:rPr>
          <w:rFonts w:ascii="宋体" w:hAnsi="宋体"/>
          <w:color w:val="000000"/>
          <w:sz w:val="30"/>
          <w:szCs w:val="21"/>
          <w:highlight w:val="none"/>
        </w:rPr>
      </w:pPr>
      <w:r>
        <w:rPr>
          <w:rFonts w:ascii="宋体" w:hAnsi="宋体"/>
          <w:color w:val="000000"/>
          <w:sz w:val="30"/>
          <w:szCs w:val="21"/>
          <w:highlight w:val="none"/>
        </w:rPr>
      </w:r>
      <w:r/>
    </w:p>
    <w:p>
      <w:pPr>
        <w:pStyle w:val="794"/>
        <w:spacing w:line="360" w:lineRule="auto"/>
        <w:rPr>
          <w:rFonts w:ascii="宋体" w:hAnsi="宋体"/>
          <w:color w:val="000000"/>
          <w:sz w:val="24"/>
          <w:szCs w:val="21"/>
          <w:highlight w:val="none"/>
        </w:rPr>
      </w:pPr>
      <w:r/>
      <w:bookmarkStart w:id="158" w:name="_Hlt26671374"/>
      <w:r/>
      <w:bookmarkEnd w:id="158"/>
      <w:r/>
      <w:bookmarkStart w:id="159" w:name="_Hlt26609389"/>
      <w:r/>
      <w:bookmarkEnd w:id="159"/>
      <w:r/>
      <w:bookmarkStart w:id="160" w:name="_Hlt26955066"/>
      <w:r/>
      <w:bookmarkEnd w:id="160"/>
      <w:r/>
      <w:bookmarkStart w:id="161" w:name="_Toc462564146"/>
      <w:r>
        <w:rPr>
          <w:rFonts w:ascii="宋体" w:hAnsi="宋体"/>
          <w:color w:val="000000"/>
          <w:sz w:val="24"/>
          <w:szCs w:val="21"/>
          <w:highlight w:val="none"/>
        </w:rPr>
      </w:r>
      <w:r/>
    </w:p>
    <w:p>
      <w:pPr>
        <w:pStyle w:val="794"/>
        <w:spacing w:line="360" w:lineRule="auto"/>
        <w:rPr>
          <w:rFonts w:ascii="宋体" w:hAnsi="宋体"/>
          <w:color w:val="000000"/>
          <w:sz w:val="24"/>
          <w:szCs w:val="20"/>
          <w:highlight w:val="none"/>
        </w:rPr>
      </w:pPr>
      <w:r/>
      <w:bookmarkEnd w:id="161"/>
      <w:r/>
      <w:bookmarkStart w:id="162" w:name="_格式2__法定代表人授权书"/>
      <w:r/>
      <w:bookmarkEnd w:id="162"/>
      <w:r>
        <w:rPr>
          <w:rFonts w:hint="eastAsia" w:ascii="宋体" w:hAnsi="宋体"/>
          <w:b/>
          <w:i/>
          <w:color w:val="000000"/>
          <w:sz w:val="32"/>
          <w:szCs w:val="32"/>
          <w:highlight w:val="none"/>
          <w:u w:val="single"/>
        </w:rPr>
        <w:t xml:space="preserve">十五、开标一览表</w:t>
      </w:r>
      <w:r>
        <w:rPr>
          <w:rFonts w:ascii="宋体" w:hAnsi="宋体"/>
          <w:color w:val="000000"/>
          <w:sz w:val="24"/>
          <w:szCs w:val="20"/>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投标人全称（加盖CA电子签章）：</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招标编号：                                   分包号：</w:t>
      </w: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94"/>
              <w:spacing w:line="360" w:lineRule="auto"/>
              <w:rPr>
                <w:rFonts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投标总报价</w:t>
            </w:r>
            <w:r>
              <w:rPr>
                <w:rFonts w:ascii="宋体" w:hAnsi="宋体"/>
                <w:color w:val="000000"/>
                <w:sz w:val="24"/>
                <w:highlight w:val="none"/>
              </w:rPr>
            </w:r>
            <w:r/>
          </w:p>
        </w:tc>
      </w:tr>
      <w:tr>
        <w:trPr>
          <w:cantSplit/>
          <w:trHeight w:val="612"/>
        </w:trPr>
        <w:tc>
          <w:tcPr>
            <w:gridSpan w:val="2"/>
            <w:tcW w:w="8886" w:type="dxa"/>
            <w:vAlign w:val="center"/>
            <w:textDirection w:val="lrTb"/>
            <w:noWrap w:val="false"/>
          </w:tcPr>
          <w:p>
            <w:pPr>
              <w:pStyle w:val="794"/>
              <w:jc w:val="left"/>
              <w:spacing w:line="360" w:lineRule="auto"/>
              <w:rPr>
                <w:rFonts w:ascii="宋体" w:hAnsi="宋体"/>
                <w:color w:val="000000"/>
                <w:sz w:val="24"/>
                <w:szCs w:val="21"/>
                <w:highlight w:val="none"/>
              </w:rPr>
            </w:pPr>
            <w:r>
              <w:rPr>
                <w:rFonts w:hint="eastAsia" w:ascii="宋体" w:hAnsi="宋体" w:cs="宋体"/>
                <w:color w:val="000000"/>
                <w:sz w:val="24"/>
                <w:highlight w:val="none"/>
              </w:rPr>
              <w:t xml:space="preserve">小写：                             （人民币：元）</w:t>
            </w:r>
            <w:r>
              <w:rPr>
                <w:rFonts w:ascii="宋体" w:hAnsi="宋体"/>
                <w:color w:val="000000"/>
                <w:sz w:val="24"/>
                <w:szCs w:val="21"/>
                <w:highlight w:val="none"/>
              </w:rPr>
            </w:r>
            <w:r/>
          </w:p>
        </w:tc>
      </w:tr>
      <w:tr>
        <w:trPr>
          <w:cantSplit/>
          <w:trHeight w:val="612"/>
        </w:trPr>
        <w:tc>
          <w:tcPr>
            <w:tcW w:w="2481" w:type="dxa"/>
            <w:vAlign w:val="center"/>
            <w:textDirection w:val="lrTb"/>
            <w:noWrap w:val="false"/>
          </w:tcPr>
          <w:p>
            <w:pPr>
              <w:pStyle w:val="7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核心产品品牌（如有）</w:t>
            </w:r>
            <w:r>
              <w:rPr>
                <w:rFonts w:ascii="宋体" w:hAnsi="宋体" w:cs="宋体"/>
                <w:color w:val="000000"/>
                <w:sz w:val="24"/>
                <w:highlight w:val="none"/>
              </w:rPr>
            </w:r>
            <w:r/>
          </w:p>
        </w:tc>
        <w:tc>
          <w:tcPr>
            <w:tcW w:w="6405" w:type="dxa"/>
            <w:vAlign w:val="center"/>
            <w:textDirection w:val="lrTb"/>
            <w:noWrap w:val="false"/>
          </w:tcPr>
          <w:p>
            <w:pPr>
              <w:pStyle w:val="794"/>
              <w:jc w:val="left"/>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794"/>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b/>
          <w:i/>
          <w:color w:val="000000"/>
          <w:sz w:val="32"/>
          <w:szCs w:val="32"/>
          <w:highlight w:val="none"/>
          <w:u w:val="single"/>
        </w:rPr>
        <w:t xml:space="preserve">十五、开标一览表</w:t>
      </w:r>
      <w:r>
        <w:rPr>
          <w:rFonts w:hint="eastAsia" w:ascii="宋体" w:hAnsi="宋体"/>
          <w:color w:val="000000"/>
          <w:szCs w:val="21"/>
          <w:highlight w:val="none"/>
        </w:rPr>
        <w:t xml:space="preserve">（注：采用折扣率报价时选用）</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投标人全称（加盖CA电子签章）：</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招标编号：                                   分包号：</w:t>
      </w: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94"/>
              <w:spacing w:line="360" w:lineRule="auto"/>
              <w:rPr>
                <w:rFonts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投标折扣率</w:t>
            </w:r>
            <w:r>
              <w:rPr>
                <w:rFonts w:ascii="宋体" w:hAnsi="宋体"/>
                <w:color w:val="000000"/>
                <w:sz w:val="24"/>
                <w:highlight w:val="none"/>
              </w:rPr>
            </w:r>
            <w:r/>
          </w:p>
        </w:tc>
      </w:tr>
      <w:tr>
        <w:trPr>
          <w:cantSplit/>
          <w:trHeight w:val="612"/>
        </w:trPr>
        <w:tc>
          <w:tcPr>
            <w:gridSpan w:val="2"/>
            <w:tcW w:w="8886" w:type="dxa"/>
            <w:vAlign w:val="center"/>
            <w:textDirection w:val="lrTb"/>
            <w:noWrap w:val="false"/>
          </w:tcPr>
          <w:p>
            <w:pPr>
              <w:pStyle w:val="794"/>
              <w:jc w:val="left"/>
              <w:spacing w:line="360" w:lineRule="auto"/>
              <w:rPr>
                <w:rFonts w:ascii="宋体" w:hAnsi="宋体"/>
                <w:color w:val="000000"/>
                <w:sz w:val="24"/>
                <w:szCs w:val="21"/>
                <w:highlight w:val="none"/>
              </w:rPr>
            </w:pPr>
            <w:r>
              <w:rPr>
                <w:rFonts w:hint="eastAsia" w:ascii="宋体" w:hAnsi="宋体" w:cs="宋体"/>
                <w:color w:val="000000"/>
                <w:sz w:val="24"/>
                <w:highlight w:val="none"/>
              </w:rPr>
              <w:t xml:space="preserve">小写：                             （%）</w:t>
            </w:r>
            <w:r>
              <w:rPr>
                <w:rFonts w:ascii="宋体" w:hAnsi="宋体"/>
                <w:color w:val="000000"/>
                <w:sz w:val="24"/>
                <w:szCs w:val="21"/>
                <w:highlight w:val="none"/>
              </w:rPr>
            </w:r>
            <w:r/>
          </w:p>
        </w:tc>
      </w:tr>
      <w:tr>
        <w:trPr>
          <w:cantSplit/>
          <w:trHeight w:val="612"/>
        </w:trPr>
        <w:tc>
          <w:tcPr>
            <w:tcW w:w="2481" w:type="dxa"/>
            <w:vAlign w:val="center"/>
            <w:textDirection w:val="lrTb"/>
            <w:noWrap w:val="false"/>
          </w:tcPr>
          <w:p>
            <w:pPr>
              <w:pStyle w:val="79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核心产品品牌（如有）</w:t>
            </w:r>
            <w:r>
              <w:rPr>
                <w:rFonts w:ascii="宋体" w:hAnsi="宋体" w:cs="宋体"/>
                <w:color w:val="000000"/>
                <w:sz w:val="24"/>
                <w:highlight w:val="none"/>
              </w:rPr>
            </w:r>
            <w:r/>
          </w:p>
        </w:tc>
        <w:tc>
          <w:tcPr>
            <w:tcW w:w="6405" w:type="dxa"/>
            <w:vAlign w:val="center"/>
            <w:textDirection w:val="lrTb"/>
            <w:noWrap w:val="false"/>
          </w:tcPr>
          <w:p>
            <w:pPr>
              <w:pStyle w:val="794"/>
              <w:jc w:val="left"/>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794"/>
        <w:spacing w:line="360" w:lineRule="auto"/>
        <w:rPr>
          <w:rFonts w:ascii="宋体" w:hAnsi="宋体"/>
          <w:color w:val="000000"/>
          <w:sz w:val="24"/>
          <w:highlight w:val="none"/>
        </w:rPr>
      </w:pP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ind w:firstLine="480"/>
        <w:spacing w:line="360" w:lineRule="auto"/>
        <w:rPr>
          <w:rFonts w:ascii="宋体" w:hAnsi="宋体"/>
          <w:color w:val="000000"/>
          <w:sz w:val="24"/>
          <w:highlight w:val="none"/>
        </w:rPr>
      </w:pPr>
      <w:r>
        <w:rPr>
          <w:rFonts w:ascii="宋体" w:hAnsi="宋体"/>
          <w:color w:val="000000"/>
          <w:sz w:val="24"/>
          <w:highlight w:val="none"/>
        </w:rPr>
      </w:r>
      <w:r/>
    </w:p>
    <w:p>
      <w:pPr>
        <w:pStyle w:val="794"/>
        <w:spacing w:line="360" w:lineRule="auto"/>
        <w:rPr>
          <w:rFonts w:ascii="宋体" w:hAnsi="宋体"/>
          <w:b/>
          <w:i/>
          <w:color w:val="000000"/>
          <w:sz w:val="32"/>
          <w:szCs w:val="32"/>
          <w:highlight w:val="none"/>
          <w:u w:val="single"/>
        </w:rPr>
      </w:pPr>
      <w:r>
        <w:rPr>
          <w:rFonts w:hint="eastAsia" w:ascii="宋体" w:hAnsi="宋体"/>
          <w:b/>
          <w:i/>
          <w:color w:val="000000"/>
          <w:sz w:val="32"/>
          <w:szCs w:val="32"/>
          <w:highlight w:val="none"/>
          <w:u w:val="single"/>
          <w:lang w:val="zh-CN"/>
        </w:rPr>
        <w:t xml:space="preserve">十六、商务技术评分标准中须提供的相关得分佐证材料</w:t>
      </w:r>
      <w:r>
        <w:rPr>
          <w:rFonts w:ascii="宋体" w:hAnsi="宋体"/>
          <w:b/>
          <w:i/>
          <w:color w:val="000000"/>
          <w:sz w:val="32"/>
          <w:szCs w:val="32"/>
          <w:highlight w:val="none"/>
          <w:u w:val="single"/>
        </w:rPr>
      </w:r>
      <w:r/>
    </w:p>
    <w:p>
      <w:pPr>
        <w:pStyle w:val="794"/>
        <w:jc w:val="center"/>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p>
    <w:p>
      <w:pPr>
        <w:pStyle w:val="794"/>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p>
    <w:p>
      <w:pPr>
        <w:pStyle w:val="794"/>
        <w:jc w:val="center"/>
        <w:spacing w:line="360" w:lineRule="auto"/>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94"/>
        <w:spacing w:before="312"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rPr>
          <w:rFonts w:ascii="宋体" w:hAnsi="宋体" w:cs="仿宋"/>
          <w:bCs/>
          <w:color w:val="000000"/>
          <w:sz w:val="24"/>
          <w:highlight w:val="non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rPr>
          <w:rFonts w:ascii="宋体" w:hAnsi="宋体" w:cs="仿宋"/>
          <w:bCs/>
          <w:color w:val="000000"/>
          <w:sz w:val="24"/>
          <w:highlight w:val="non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rPr>
          <w:rFonts w:ascii="宋体" w:hAnsi="宋体" w:cs="仿宋"/>
          <w:bCs/>
          <w:color w:val="000000"/>
          <w:sz w:val="24"/>
          <w:highlight w:val="non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794"/>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794"/>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rPr>
          <w:rFonts w:ascii="宋体" w:hAnsi="宋体" w:cs="仿宋"/>
          <w:bCs/>
          <w:color w:val="000000"/>
          <w:sz w:val="24"/>
          <w:highlight w:val="none"/>
        </w:rPr>
      </w:r>
      <w:r/>
    </w:p>
    <w:p>
      <w:pPr>
        <w:pStyle w:val="794"/>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签字(签章)：                   公章：                      </w:t>
      </w:r>
      <w:r>
        <w:rPr>
          <w:rFonts w:ascii="宋体" w:hAnsi="宋体"/>
          <w:color w:val="000000"/>
          <w:sz w:val="24"/>
          <w:highlight w:val="none"/>
        </w:rPr>
      </w:r>
      <w:r/>
    </w:p>
    <w:p>
      <w:pPr>
        <w:pStyle w:val="794"/>
        <w:spacing w:line="360" w:lineRule="auto"/>
        <w:rPr>
          <w:rFonts w:ascii="宋体" w:hAnsi="宋体"/>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r>
      <w:r/>
    </w:p>
    <w:p>
      <w:pPr>
        <w:pStyle w:val="794"/>
        <w:spacing w:line="360" w:lineRule="auto"/>
        <w:rPr>
          <w:rFonts w:ascii="宋体" w:hAnsi="宋体"/>
          <w:b/>
          <w:color w:val="000000"/>
          <w:sz w:val="24"/>
          <w:highlight w:val="none"/>
        </w:rPr>
      </w:pPr>
      <w:r>
        <w:rPr>
          <w:rFonts w:hint="eastAsia" w:ascii="宋体" w:hAnsi="宋体"/>
          <w:b/>
          <w:color w:val="000000"/>
          <w:sz w:val="24"/>
          <w:highlight w:val="none"/>
        </w:rPr>
        <w:t xml:space="preserve">质疑函制作说明：</w:t>
      </w:r>
      <w:r>
        <w:rPr>
          <w:rFonts w:ascii="宋体" w:hAnsi="宋体"/>
          <w:b/>
          <w:color w:val="000000"/>
          <w:sz w:val="24"/>
          <w:highlight w:val="none"/>
        </w:rPr>
      </w:r>
      <w:r/>
    </w:p>
    <w:p>
      <w:pPr>
        <w:pStyle w:val="79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rFonts w:ascii="宋体" w:hAnsi="宋体"/>
          <w:color w:val="000000"/>
          <w:sz w:val="24"/>
          <w:highlight w:val="none"/>
        </w:rPr>
      </w:r>
      <w:r/>
    </w:p>
    <w:p>
      <w:pPr>
        <w:pStyle w:val="79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rFonts w:ascii="宋体" w:hAnsi="宋体"/>
          <w:color w:val="000000"/>
          <w:sz w:val="24"/>
          <w:highlight w:val="none"/>
        </w:rPr>
      </w:r>
      <w:r/>
    </w:p>
    <w:p>
      <w:pPr>
        <w:pStyle w:val="79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rPr>
          <w:rFonts w:ascii="宋体" w:hAnsi="宋体"/>
          <w:color w:val="000000"/>
          <w:sz w:val="24"/>
          <w:highlight w:val="none"/>
        </w:rPr>
      </w:r>
      <w:r/>
    </w:p>
    <w:p>
      <w:pPr>
        <w:pStyle w:val="79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rFonts w:ascii="宋体" w:hAnsi="宋体"/>
          <w:color w:val="000000"/>
          <w:sz w:val="24"/>
          <w:highlight w:val="none"/>
        </w:rPr>
      </w:r>
      <w:r/>
    </w:p>
    <w:p>
      <w:pPr>
        <w:pStyle w:val="79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rFonts w:ascii="宋体" w:hAnsi="宋体"/>
          <w:color w:val="000000"/>
          <w:sz w:val="24"/>
          <w:highlight w:val="none"/>
        </w:rPr>
      </w:r>
      <w:r/>
    </w:p>
    <w:p>
      <w:pPr>
        <w:pStyle w:val="794"/>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highlight w:val="none"/>
        </w:rPr>
      </w:r>
      <w:r/>
    </w:p>
    <w:p>
      <w:pPr>
        <w:pStyle w:val="1030"/>
        <w:rPr>
          <w:rFonts w:ascii="宋体" w:hAnsi="宋体" w:eastAsia="宋体"/>
          <w:color w:val="000000"/>
          <w:sz w:val="32"/>
          <w:szCs w:val="32"/>
          <w:highlight w:val="none"/>
          <w:lang w:val="zh-CN"/>
        </w:rPr>
      </w:pPr>
      <w:r>
        <w:rPr>
          <w:rFonts w:ascii="宋体" w:hAnsi="宋体" w:eastAsia="宋体"/>
          <w:color w:val="000000"/>
          <w:sz w:val="32"/>
          <w:szCs w:val="32"/>
          <w:highlight w:val="none"/>
          <w:lang w:val="zh-CN"/>
        </w:rPr>
      </w:r>
      <w:r/>
    </w:p>
    <w:p>
      <w:pPr>
        <w:pStyle w:val="1030"/>
        <w:rPr>
          <w:rFonts w:ascii="宋体" w:hAnsi="宋体" w:eastAsia="宋体"/>
          <w:color w:val="000000"/>
          <w:sz w:val="32"/>
          <w:szCs w:val="32"/>
          <w:highlight w:val="none"/>
          <w:lang w:val="zh-CN"/>
        </w:rPr>
      </w:pPr>
      <w:r>
        <w:rPr>
          <w:rFonts w:ascii="宋体" w:hAnsi="宋体" w:eastAsia="宋体"/>
          <w:color w:val="000000"/>
          <w:sz w:val="32"/>
          <w:szCs w:val="32"/>
          <w:highlight w:val="none"/>
          <w:lang w:val="zh-CN"/>
        </w:rPr>
      </w:r>
      <w:r/>
    </w:p>
    <w:p>
      <w:pPr>
        <w:pStyle w:val="1030"/>
        <w:rPr>
          <w:rFonts w:ascii="宋体" w:hAnsi="宋体" w:eastAsia="宋体"/>
          <w:color w:val="000000"/>
          <w:sz w:val="32"/>
          <w:szCs w:val="32"/>
          <w:highlight w:val="none"/>
          <w:lang w:val="zh-CN"/>
        </w:rPr>
      </w:pPr>
      <w:r>
        <w:rPr>
          <w:rFonts w:ascii="宋体" w:hAnsi="宋体" w:eastAsia="宋体"/>
          <w:color w:val="000000"/>
          <w:sz w:val="32"/>
          <w:szCs w:val="32"/>
          <w:highlight w:val="none"/>
          <w:lang w:val="zh-CN"/>
        </w:rPr>
      </w:r>
      <w:r/>
    </w:p>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仿宋">
    <w:panose1 w:val="02010609060101010101"/>
  </w:font>
  <w:font w:name="等线">
    <w:panose1 w:val="02010600030101010101"/>
  </w:font>
  <w:font w:name="华文细黑">
    <w:panose1 w:val="02010600040101010101"/>
  </w:font>
  <w:font w:name="Tahoma">
    <w:panose1 w:val="020B0604030504040204"/>
  </w:font>
  <w:font w:name="楷体_GB2312">
    <w:panose1 w:val="02010609060101010101"/>
  </w:font>
  <w:font w:name="ˎ̥">
    <w:panose1 w:val="020B0503020202020204"/>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tabs>
        <w:tab w:val="center" w:pos="4153" w:leader="none"/>
        <w:tab w:val="right" w:pos="8306"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125</w:t>
    </w:r>
    <w:r>
      <w:rPr>
        <w:sz w:val="28"/>
        <w:szCs w:val="28"/>
      </w:rPr>
      <w:fldChar w:fldCharType="end"/>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794"/>
        <w:ind w:left="420" w:hanging="420"/>
      </w:pPr>
      <w:rPr>
        <w:rFonts w:ascii="Wingdings" w:hAnsi="Wingdings"/>
      </w:rPr>
    </w:lvl>
    <w:lvl w:ilvl="1">
      <w:start w:val="1"/>
      <w:numFmt w:val="bullet"/>
      <w:isLgl w:val="false"/>
      <w:suff w:val="tab"/>
      <w:lvlText w:val=""/>
      <w:lvlJc w:val="left"/>
      <w:pPr>
        <w:pStyle w:val="794"/>
        <w:ind w:left="840" w:hanging="420"/>
      </w:pPr>
      <w:rPr>
        <w:rFonts w:ascii="Wingdings" w:hAnsi="Wingdings"/>
      </w:rPr>
    </w:lvl>
    <w:lvl w:ilvl="2">
      <w:start w:val="1"/>
      <w:numFmt w:val="bullet"/>
      <w:isLgl w:val="false"/>
      <w:suff w:val="tab"/>
      <w:lvlText w:val=""/>
      <w:lvlJc w:val="left"/>
      <w:pPr>
        <w:pStyle w:val="794"/>
        <w:ind w:left="1260" w:hanging="420"/>
      </w:pPr>
      <w:rPr>
        <w:rFonts w:ascii="Wingdings" w:hAnsi="Wingdings"/>
      </w:rPr>
    </w:lvl>
    <w:lvl w:ilvl="3">
      <w:start w:val="1"/>
      <w:numFmt w:val="bullet"/>
      <w:isLgl w:val="false"/>
      <w:suff w:val="tab"/>
      <w:lvlText w:val=""/>
      <w:lvlJc w:val="left"/>
      <w:pPr>
        <w:pStyle w:val="794"/>
        <w:ind w:left="1680" w:hanging="420"/>
      </w:pPr>
      <w:rPr>
        <w:rFonts w:ascii="Wingdings" w:hAnsi="Wingdings"/>
      </w:rPr>
    </w:lvl>
    <w:lvl w:ilvl="4">
      <w:start w:val="1"/>
      <w:numFmt w:val="bullet"/>
      <w:isLgl w:val="false"/>
      <w:suff w:val="tab"/>
      <w:lvlText w:val=""/>
      <w:lvlJc w:val="left"/>
      <w:pPr>
        <w:pStyle w:val="794"/>
        <w:ind w:left="2100" w:hanging="420"/>
      </w:pPr>
      <w:rPr>
        <w:rFonts w:ascii="Wingdings" w:hAnsi="Wingdings"/>
      </w:rPr>
    </w:lvl>
    <w:lvl w:ilvl="5">
      <w:start w:val="1"/>
      <w:numFmt w:val="bullet"/>
      <w:isLgl w:val="false"/>
      <w:suff w:val="tab"/>
      <w:lvlText w:val=""/>
      <w:lvlJc w:val="left"/>
      <w:pPr>
        <w:pStyle w:val="794"/>
        <w:ind w:left="2520" w:hanging="420"/>
      </w:pPr>
      <w:rPr>
        <w:rFonts w:ascii="Wingdings" w:hAnsi="Wingdings"/>
      </w:rPr>
    </w:lvl>
    <w:lvl w:ilvl="6">
      <w:start w:val="1"/>
      <w:numFmt w:val="bullet"/>
      <w:isLgl w:val="false"/>
      <w:suff w:val="tab"/>
      <w:lvlText w:val=""/>
      <w:lvlJc w:val="left"/>
      <w:pPr>
        <w:pStyle w:val="794"/>
        <w:ind w:left="2940" w:hanging="420"/>
      </w:pPr>
      <w:rPr>
        <w:rFonts w:ascii="Wingdings" w:hAnsi="Wingdings"/>
      </w:rPr>
    </w:lvl>
    <w:lvl w:ilvl="7">
      <w:start w:val="1"/>
      <w:numFmt w:val="bullet"/>
      <w:isLgl w:val="false"/>
      <w:suff w:val="tab"/>
      <w:lvlText w:val=""/>
      <w:lvlJc w:val="left"/>
      <w:pPr>
        <w:pStyle w:val="794"/>
        <w:ind w:left="3360" w:hanging="420"/>
      </w:pPr>
      <w:rPr>
        <w:rFonts w:ascii="Wingdings" w:hAnsi="Wingdings"/>
      </w:rPr>
    </w:lvl>
    <w:lvl w:ilvl="8">
      <w:start w:val="1"/>
      <w:numFmt w:val="bullet"/>
      <w:isLgl w:val="false"/>
      <w:suff w:val="tab"/>
      <w:lvlText w:val=""/>
      <w:lvlJc w:val="left"/>
      <w:pPr>
        <w:pStyle w:val="794"/>
        <w:ind w:left="3780" w:hanging="420"/>
      </w:pPr>
      <w:rPr>
        <w:rFonts w:ascii="Wingdings" w:hAnsi="Wingdings"/>
      </w:rPr>
    </w:lvl>
  </w:abstractNum>
  <w:abstractNum w:abstractNumId="1">
    <w:multiLevelType w:val="hybridMultilevel"/>
    <w:lvl w:ilvl="0">
      <w:start w:val="1"/>
      <w:numFmt w:val="decimal"/>
      <w:isLgl w:val="false"/>
      <w:suff w:val="tab"/>
      <w:lvlText w:val="（%1）"/>
      <w:lvlJc w:val="left"/>
      <w:pPr>
        <w:pStyle w:val="794"/>
        <w:ind w:left="840" w:hanging="840"/>
        <w:tabs>
          <w:tab w:val="num" w:pos="840" w:leader="none"/>
        </w:tabs>
      </w:pPr>
      <w:rPr>
        <w:rFonts w:hint="eastAsia"/>
      </w:rPr>
    </w:lvl>
    <w:lvl w:ilvl="1">
      <w:start w:val="1"/>
      <w:numFmt w:val="decimal"/>
      <w:isLgl w:val="false"/>
      <w:suff w:val="tab"/>
      <w:lvlText w:val="%2."/>
      <w:lvlJc w:val="left"/>
      <w:pPr>
        <w:pStyle w:val="794"/>
        <w:ind w:left="1050" w:hanging="630"/>
        <w:tabs>
          <w:tab w:val="num" w:pos="1050" w:leader="none"/>
        </w:tabs>
      </w:pPr>
    </w:lvl>
    <w:lvl w:ilvl="2">
      <w:start w:val="1"/>
      <w:numFmt w:val="lowerRoman"/>
      <w:isLgl w:val="false"/>
      <w:suff w:val="tab"/>
      <w:lvlText w:val="%3."/>
      <w:lvlJc w:val="right"/>
      <w:pPr>
        <w:pStyle w:val="794"/>
        <w:ind w:left="1260" w:hanging="420"/>
        <w:tabs>
          <w:tab w:val="num" w:pos="1260" w:leader="none"/>
        </w:tabs>
      </w:pPr>
      <w:rPr>
        <w:rFonts w:hint="eastAsia"/>
      </w:rPr>
    </w:lvl>
    <w:lvl w:ilvl="3">
      <w:start w:val="1"/>
      <w:numFmt w:val="decimal"/>
      <w:isLgl w:val="false"/>
      <w:suff w:val="tab"/>
      <w:lvlText w:val="%4."/>
      <w:lvlJc w:val="left"/>
      <w:pPr>
        <w:pStyle w:val="794"/>
        <w:ind w:left="1680" w:hanging="420"/>
        <w:tabs>
          <w:tab w:val="num" w:pos="1680" w:leader="none"/>
        </w:tabs>
      </w:pPr>
      <w:rPr>
        <w:rFonts w:hint="eastAsia"/>
      </w:rPr>
    </w:lvl>
    <w:lvl w:ilvl="4">
      <w:start w:val="1"/>
      <w:numFmt w:val="lowerLetter"/>
      <w:isLgl w:val="false"/>
      <w:suff w:val="tab"/>
      <w:lvlText w:val="%5)"/>
      <w:lvlJc w:val="left"/>
      <w:pPr>
        <w:pStyle w:val="794"/>
        <w:ind w:left="2100" w:hanging="420"/>
        <w:tabs>
          <w:tab w:val="num" w:pos="2100" w:leader="none"/>
        </w:tabs>
      </w:pPr>
      <w:rPr>
        <w:rFonts w:hint="eastAsia"/>
      </w:rPr>
    </w:lvl>
    <w:lvl w:ilvl="5">
      <w:start w:val="1"/>
      <w:numFmt w:val="lowerRoman"/>
      <w:isLgl w:val="false"/>
      <w:suff w:val="tab"/>
      <w:lvlText w:val="%6."/>
      <w:lvlJc w:val="right"/>
      <w:pPr>
        <w:pStyle w:val="794"/>
        <w:ind w:left="2520" w:hanging="420"/>
        <w:tabs>
          <w:tab w:val="num" w:pos="2520" w:leader="none"/>
        </w:tabs>
      </w:pPr>
      <w:rPr>
        <w:rFonts w:hint="eastAsia"/>
      </w:rPr>
    </w:lvl>
    <w:lvl w:ilvl="6">
      <w:start w:val="1"/>
      <w:numFmt w:val="decimal"/>
      <w:isLgl w:val="false"/>
      <w:suff w:val="tab"/>
      <w:lvlText w:val="%7."/>
      <w:lvlJc w:val="left"/>
      <w:pPr>
        <w:pStyle w:val="794"/>
        <w:ind w:left="2940" w:hanging="420"/>
        <w:tabs>
          <w:tab w:val="num" w:pos="2940" w:leader="none"/>
        </w:tabs>
      </w:pPr>
      <w:rPr>
        <w:rFonts w:hint="eastAsia"/>
      </w:rPr>
    </w:lvl>
    <w:lvl w:ilvl="7">
      <w:start w:val="1"/>
      <w:numFmt w:val="lowerLetter"/>
      <w:isLgl w:val="false"/>
      <w:suff w:val="tab"/>
      <w:lvlText w:val="%8)"/>
      <w:lvlJc w:val="left"/>
      <w:pPr>
        <w:pStyle w:val="794"/>
        <w:ind w:left="3360" w:hanging="420"/>
        <w:tabs>
          <w:tab w:val="num" w:pos="3360" w:leader="none"/>
        </w:tabs>
      </w:pPr>
      <w:rPr>
        <w:rFonts w:hint="eastAsia"/>
      </w:rPr>
    </w:lvl>
    <w:lvl w:ilvl="8">
      <w:start w:val="1"/>
      <w:numFmt w:val="lowerRoman"/>
      <w:isLgl w:val="false"/>
      <w:suff w:val="tab"/>
      <w:lvlText w:val="%9."/>
      <w:lvlJc w:val="right"/>
      <w:pPr>
        <w:pStyle w:val="794"/>
        <w:ind w:left="3780" w:hanging="420"/>
        <w:tabs>
          <w:tab w:val="num" w:pos="3780" w:leader="none"/>
        </w:tabs>
      </w:pPr>
      <w:rPr>
        <w:rFonts w:hint="eastAsia"/>
      </w:rPr>
    </w:lvl>
  </w:abstractNum>
  <w:abstractNum w:abstractNumId="2">
    <w:multiLevelType w:val="hybridMultilevel"/>
    <w:lvl w:ilvl="0">
      <w:start w:val="1"/>
      <w:numFmt w:val="bullet"/>
      <w:pStyle w:val="1075"/>
      <w:isLgl w:val="false"/>
      <w:suff w:val="tab"/>
      <w:lvlText w:val=""/>
      <w:lvlJc w:val="left"/>
      <w:pPr>
        <w:pStyle w:val="79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94"/>
        <w:ind w:left="960" w:hanging="480"/>
        <w:tabs>
          <w:tab w:val="num" w:pos="960" w:leader="none"/>
        </w:tabs>
      </w:pPr>
    </w:lvl>
    <w:lvl w:ilvl="2">
      <w:start w:val="1"/>
      <w:numFmt w:val="lowerRoman"/>
      <w:isLgl w:val="false"/>
      <w:suff w:val="tab"/>
      <w:lvlText w:val="%3."/>
      <w:lvlJc w:val="right"/>
      <w:pPr>
        <w:pStyle w:val="794"/>
        <w:ind w:left="1440" w:hanging="480"/>
        <w:tabs>
          <w:tab w:val="num" w:pos="1440" w:leader="none"/>
        </w:tabs>
      </w:pPr>
    </w:lvl>
    <w:lvl w:ilvl="3">
      <w:start w:val="1"/>
      <w:numFmt w:val="decimal"/>
      <w:isLgl w:val="false"/>
      <w:suff w:val="tab"/>
      <w:lvlText w:val="%4."/>
      <w:lvlJc w:val="left"/>
      <w:pPr>
        <w:pStyle w:val="794"/>
        <w:ind w:left="1920" w:hanging="480"/>
        <w:tabs>
          <w:tab w:val="num" w:pos="1920" w:leader="none"/>
        </w:tabs>
      </w:pPr>
    </w:lvl>
    <w:lvl w:ilvl="4">
      <w:start w:val="1"/>
      <w:numFmt w:val="ideographTraditional"/>
      <w:isLgl w:val="false"/>
      <w:suff w:val="tab"/>
      <w:lvlText w:val="%5、"/>
      <w:lvlJc w:val="left"/>
      <w:pPr>
        <w:pStyle w:val="794"/>
        <w:ind w:left="2400" w:hanging="480"/>
        <w:tabs>
          <w:tab w:val="num" w:pos="2400" w:leader="none"/>
        </w:tabs>
      </w:pPr>
    </w:lvl>
    <w:lvl w:ilvl="5">
      <w:start w:val="1"/>
      <w:numFmt w:val="lowerRoman"/>
      <w:isLgl w:val="false"/>
      <w:suff w:val="tab"/>
      <w:lvlText w:val="%6."/>
      <w:lvlJc w:val="right"/>
      <w:pPr>
        <w:pStyle w:val="794"/>
        <w:ind w:left="2880" w:hanging="480"/>
        <w:tabs>
          <w:tab w:val="num" w:pos="2880" w:leader="none"/>
        </w:tabs>
      </w:pPr>
    </w:lvl>
    <w:lvl w:ilvl="6">
      <w:start w:val="1"/>
      <w:numFmt w:val="decimal"/>
      <w:isLgl w:val="false"/>
      <w:suff w:val="tab"/>
      <w:lvlText w:val="%7."/>
      <w:lvlJc w:val="left"/>
      <w:pPr>
        <w:pStyle w:val="794"/>
        <w:ind w:left="3360" w:hanging="480"/>
        <w:tabs>
          <w:tab w:val="num" w:pos="3360" w:leader="none"/>
        </w:tabs>
      </w:pPr>
    </w:lvl>
    <w:lvl w:ilvl="7">
      <w:start w:val="1"/>
      <w:numFmt w:val="ideographTraditional"/>
      <w:isLgl w:val="false"/>
      <w:suff w:val="tab"/>
      <w:lvlText w:val="%8、"/>
      <w:lvlJc w:val="left"/>
      <w:pPr>
        <w:pStyle w:val="794"/>
        <w:ind w:left="3840" w:hanging="480"/>
        <w:tabs>
          <w:tab w:val="num" w:pos="3840" w:leader="none"/>
        </w:tabs>
      </w:pPr>
    </w:lvl>
    <w:lvl w:ilvl="8">
      <w:start w:val="1"/>
      <w:numFmt w:val="lowerRoman"/>
      <w:isLgl w:val="false"/>
      <w:suff w:val="tab"/>
      <w:lvlText w:val="%9."/>
      <w:lvlJc w:val="right"/>
      <w:pPr>
        <w:pStyle w:val="794"/>
        <w:ind w:left="4320" w:hanging="480"/>
        <w:tabs>
          <w:tab w:val="num" w:pos="4320" w:leader="none"/>
        </w:tabs>
      </w:pPr>
    </w:lvl>
  </w:abstractNum>
  <w:abstractNum w:abstractNumId="3">
    <w:multiLevelType w:val="hybridMultilevel"/>
    <w:lvl w:ilvl="0">
      <w:start w:val="1"/>
      <w:numFmt w:val="decimal"/>
      <w:isLgl w:val="false"/>
      <w:suff w:val="tab"/>
      <w:lvlText w:val="%1."/>
      <w:lvlJc w:val="left"/>
      <w:pPr>
        <w:pStyle w:val="794"/>
        <w:ind w:left="525" w:hanging="420"/>
        <w:tabs>
          <w:tab w:val="num" w:pos="525" w:leader="none"/>
        </w:tabs>
      </w:pPr>
      <w:rPr>
        <w:rFonts w:hint="eastAsia" w:eastAsia="仿宋_GB2312"/>
        <w:sz w:val="24"/>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4">
    <w:multiLevelType w:val="hybridMultilevel"/>
    <w:lvl w:ilvl="0">
      <w:start w:val="1"/>
      <w:numFmt w:val="chineseCounting"/>
      <w:isLgl w:val="false"/>
      <w:suff w:val="space"/>
      <w:lvlText w:val="第%1部分"/>
      <w:lvlJc w:val="left"/>
      <w:pPr>
        <w:pStyle w:val="794"/>
      </w:pPr>
      <w:rPr>
        <w:rFonts w:hint="eastAsia"/>
      </w:r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pStyle w:val="794"/>
        <w:ind w:left="510" w:hanging="510"/>
        <w:tabs>
          <w:tab w:val="num" w:pos="0" w:leader="none"/>
        </w:tabs>
      </w:p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794"/>
        <w:ind w:left="840" w:hanging="360"/>
        <w:tabs>
          <w:tab w:val="num" w:pos="840" w:leader="none"/>
        </w:tabs>
      </w:pPr>
      <w:rPr>
        <w:rFonts w:hint="eastAsia"/>
      </w:rPr>
    </w:lvl>
    <w:lvl w:ilvl="1">
      <w:start w:val="1"/>
      <w:numFmt w:val="lowerLetter"/>
      <w:isLgl w:val="false"/>
      <w:suff w:val="tab"/>
      <w:lvlText w:val="%2)"/>
      <w:lvlJc w:val="left"/>
      <w:pPr>
        <w:pStyle w:val="794"/>
        <w:ind w:left="1320" w:hanging="420"/>
        <w:tabs>
          <w:tab w:val="num" w:pos="1320" w:leader="none"/>
        </w:tabs>
      </w:pPr>
    </w:lvl>
    <w:lvl w:ilvl="2">
      <w:start w:val="1"/>
      <w:numFmt w:val="lowerRoman"/>
      <w:isLgl w:val="false"/>
      <w:suff w:val="tab"/>
      <w:lvlText w:val="%3."/>
      <w:lvlJc w:val="right"/>
      <w:pPr>
        <w:pStyle w:val="794"/>
        <w:ind w:left="1740" w:hanging="420"/>
        <w:tabs>
          <w:tab w:val="num" w:pos="1740" w:leader="none"/>
        </w:tabs>
      </w:pPr>
    </w:lvl>
    <w:lvl w:ilvl="3">
      <w:start w:val="1"/>
      <w:numFmt w:val="decimal"/>
      <w:isLgl w:val="false"/>
      <w:suff w:val="tab"/>
      <w:lvlText w:val="%4."/>
      <w:lvlJc w:val="left"/>
      <w:pPr>
        <w:pStyle w:val="794"/>
        <w:ind w:left="2160" w:hanging="420"/>
        <w:tabs>
          <w:tab w:val="num" w:pos="2160" w:leader="none"/>
        </w:tabs>
      </w:pPr>
    </w:lvl>
    <w:lvl w:ilvl="4">
      <w:start w:val="1"/>
      <w:numFmt w:val="lowerLetter"/>
      <w:isLgl w:val="false"/>
      <w:suff w:val="tab"/>
      <w:lvlText w:val="%5)"/>
      <w:lvlJc w:val="left"/>
      <w:pPr>
        <w:pStyle w:val="794"/>
        <w:ind w:left="2580" w:hanging="420"/>
        <w:tabs>
          <w:tab w:val="num" w:pos="2580" w:leader="none"/>
        </w:tabs>
      </w:pPr>
    </w:lvl>
    <w:lvl w:ilvl="5">
      <w:start w:val="1"/>
      <w:numFmt w:val="lowerRoman"/>
      <w:isLgl w:val="false"/>
      <w:suff w:val="tab"/>
      <w:lvlText w:val="%6."/>
      <w:lvlJc w:val="right"/>
      <w:pPr>
        <w:pStyle w:val="794"/>
        <w:ind w:left="3000" w:hanging="420"/>
        <w:tabs>
          <w:tab w:val="num" w:pos="3000" w:leader="none"/>
        </w:tabs>
      </w:pPr>
    </w:lvl>
    <w:lvl w:ilvl="6">
      <w:start w:val="1"/>
      <w:numFmt w:val="decimal"/>
      <w:isLgl w:val="false"/>
      <w:suff w:val="tab"/>
      <w:lvlText w:val="%7."/>
      <w:lvlJc w:val="left"/>
      <w:pPr>
        <w:pStyle w:val="794"/>
        <w:ind w:left="3420" w:hanging="420"/>
        <w:tabs>
          <w:tab w:val="num" w:pos="3420" w:leader="none"/>
        </w:tabs>
      </w:pPr>
    </w:lvl>
    <w:lvl w:ilvl="7">
      <w:start w:val="1"/>
      <w:numFmt w:val="lowerLetter"/>
      <w:isLgl w:val="false"/>
      <w:suff w:val="tab"/>
      <w:lvlText w:val="%8)"/>
      <w:lvlJc w:val="left"/>
      <w:pPr>
        <w:pStyle w:val="794"/>
        <w:ind w:left="3840" w:hanging="420"/>
        <w:tabs>
          <w:tab w:val="num" w:pos="3840" w:leader="none"/>
        </w:tabs>
      </w:pPr>
    </w:lvl>
    <w:lvl w:ilvl="8">
      <w:start w:val="1"/>
      <w:numFmt w:val="lowerRoman"/>
      <w:isLgl w:val="false"/>
      <w:suff w:val="tab"/>
      <w:lvlText w:val="%9."/>
      <w:lvlJc w:val="right"/>
      <w:pPr>
        <w:pStyle w:val="794"/>
        <w:ind w:left="4260" w:hanging="420"/>
        <w:tabs>
          <w:tab w:val="num" w:pos="4260" w:leader="none"/>
        </w:tabs>
      </w:pPr>
    </w:lvl>
  </w:abstractNum>
  <w:abstractNum w:abstractNumId="7">
    <w:multiLevelType w:val="hybridMultilevel"/>
    <w:lvl w:ilvl="0">
      <w:start w:val="1"/>
      <w:numFmt w:val="decimal"/>
      <w:isLgl w:val="false"/>
      <w:suff w:val="tab"/>
      <w:lvlText w:val="%1."/>
      <w:lvlJc w:val="left"/>
      <w:pPr>
        <w:pStyle w:val="794"/>
        <w:ind w:left="1350" w:hanging="510"/>
        <w:tabs>
          <w:tab w:val="num" w:pos="840" w:leader="none"/>
        </w:tabs>
      </w:pPr>
      <w:rPr>
        <w:rFonts w:hint="eastAsia"/>
        <w:sz w:val="21"/>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8">
    <w:multiLevelType w:val="hybridMultilevel"/>
    <w:lvl w:ilvl="0">
      <w:start w:val="1"/>
      <w:numFmt w:val="bullet"/>
      <w:isLgl w:val="false"/>
      <w:suff w:val="tab"/>
      <w:lvlText w:val=""/>
      <w:lvlJc w:val="left"/>
      <w:pPr>
        <w:pStyle w:val="794"/>
        <w:ind w:left="420" w:hanging="420"/>
      </w:pPr>
      <w:rPr>
        <w:rFonts w:ascii="Wingdings" w:hAnsi="Wingdings"/>
      </w:rPr>
    </w:lvl>
    <w:lvl w:ilvl="1">
      <w:start w:val="1"/>
      <w:numFmt w:val="bullet"/>
      <w:isLgl w:val="false"/>
      <w:suff w:val="tab"/>
      <w:lvlText w:val=""/>
      <w:lvlJc w:val="left"/>
      <w:pPr>
        <w:pStyle w:val="794"/>
        <w:ind w:left="840" w:hanging="420"/>
      </w:pPr>
      <w:rPr>
        <w:rFonts w:ascii="Wingdings" w:hAnsi="Wingdings"/>
      </w:rPr>
    </w:lvl>
    <w:lvl w:ilvl="2">
      <w:start w:val="1"/>
      <w:numFmt w:val="bullet"/>
      <w:isLgl w:val="false"/>
      <w:suff w:val="tab"/>
      <w:lvlText w:val=""/>
      <w:lvlJc w:val="left"/>
      <w:pPr>
        <w:pStyle w:val="794"/>
        <w:ind w:left="1260" w:hanging="420"/>
      </w:pPr>
      <w:rPr>
        <w:rFonts w:ascii="Wingdings" w:hAnsi="Wingdings"/>
      </w:rPr>
    </w:lvl>
    <w:lvl w:ilvl="3">
      <w:start w:val="1"/>
      <w:numFmt w:val="bullet"/>
      <w:isLgl w:val="false"/>
      <w:suff w:val="tab"/>
      <w:lvlText w:val=""/>
      <w:lvlJc w:val="left"/>
      <w:pPr>
        <w:pStyle w:val="794"/>
        <w:ind w:left="1680" w:hanging="420"/>
      </w:pPr>
      <w:rPr>
        <w:rFonts w:ascii="Wingdings" w:hAnsi="Wingdings"/>
      </w:rPr>
    </w:lvl>
    <w:lvl w:ilvl="4">
      <w:start w:val="1"/>
      <w:numFmt w:val="bullet"/>
      <w:isLgl w:val="false"/>
      <w:suff w:val="tab"/>
      <w:lvlText w:val=""/>
      <w:lvlJc w:val="left"/>
      <w:pPr>
        <w:pStyle w:val="794"/>
        <w:ind w:left="2100" w:hanging="420"/>
      </w:pPr>
      <w:rPr>
        <w:rFonts w:ascii="Wingdings" w:hAnsi="Wingdings"/>
      </w:rPr>
    </w:lvl>
    <w:lvl w:ilvl="5">
      <w:start w:val="1"/>
      <w:numFmt w:val="bullet"/>
      <w:isLgl w:val="false"/>
      <w:suff w:val="tab"/>
      <w:lvlText w:val=""/>
      <w:lvlJc w:val="left"/>
      <w:pPr>
        <w:pStyle w:val="794"/>
        <w:ind w:left="2520" w:hanging="420"/>
      </w:pPr>
      <w:rPr>
        <w:rFonts w:ascii="Wingdings" w:hAnsi="Wingdings"/>
      </w:rPr>
    </w:lvl>
    <w:lvl w:ilvl="6">
      <w:start w:val="1"/>
      <w:numFmt w:val="bullet"/>
      <w:isLgl w:val="false"/>
      <w:suff w:val="tab"/>
      <w:lvlText w:val=""/>
      <w:lvlJc w:val="left"/>
      <w:pPr>
        <w:pStyle w:val="794"/>
        <w:ind w:left="2940" w:hanging="420"/>
      </w:pPr>
      <w:rPr>
        <w:rFonts w:ascii="Wingdings" w:hAnsi="Wingdings"/>
      </w:rPr>
    </w:lvl>
    <w:lvl w:ilvl="7">
      <w:start w:val="1"/>
      <w:numFmt w:val="bullet"/>
      <w:isLgl w:val="false"/>
      <w:suff w:val="tab"/>
      <w:lvlText w:val=""/>
      <w:lvlJc w:val="left"/>
      <w:pPr>
        <w:pStyle w:val="794"/>
        <w:ind w:left="3360" w:hanging="420"/>
      </w:pPr>
      <w:rPr>
        <w:rFonts w:ascii="Wingdings" w:hAnsi="Wingdings"/>
      </w:rPr>
    </w:lvl>
    <w:lvl w:ilvl="8">
      <w:start w:val="1"/>
      <w:numFmt w:val="bullet"/>
      <w:isLgl w:val="false"/>
      <w:suff w:val="tab"/>
      <w:lvlText w:val=""/>
      <w:lvlJc w:val="left"/>
      <w:pPr>
        <w:pStyle w:val="794"/>
        <w:ind w:left="3780" w:hanging="420"/>
      </w:pPr>
      <w:rPr>
        <w:rFonts w:ascii="Wingdings" w:hAnsi="Wingdings"/>
      </w:rPr>
    </w:lvl>
  </w:abstractNum>
  <w:abstractNum w:abstractNumId="9">
    <w:multiLevelType w:val="hybridMultilevel"/>
    <w:lvl w:ilvl="0">
      <w:start w:val="1"/>
      <w:numFmt w:val="decimal"/>
      <w:isLgl w:val="false"/>
      <w:suff w:val="tab"/>
      <w:lvlText w:val="%1."/>
      <w:lvlJc w:val="left"/>
      <w:pPr>
        <w:pStyle w:val="794"/>
        <w:ind w:left="630" w:hanging="630"/>
        <w:tabs>
          <w:tab w:val="num" w:pos="630" w:leader="none"/>
        </w:tabs>
      </w:pPr>
      <w:rPr>
        <w:rFonts w:hint="eastAsia"/>
      </w:rPr>
    </w:lvl>
    <w:lvl w:ilvl="1">
      <w:start w:val="1"/>
      <w:numFmt w:val="decimal"/>
      <w:isLgl w:val="false"/>
      <w:suff w:val="tab"/>
      <w:lvlText w:val="%1.%2"/>
      <w:lvlJc w:val="left"/>
      <w:pPr>
        <w:pStyle w:val="794"/>
        <w:ind w:left="630" w:hanging="630"/>
        <w:tabs>
          <w:tab w:val="num" w:pos="630" w:leader="none"/>
        </w:tabs>
      </w:pPr>
      <w:rPr>
        <w:rFonts w:hint="eastAsia"/>
      </w:rPr>
    </w:lvl>
    <w:lvl w:ilvl="2">
      <w:start w:val="1"/>
      <w:numFmt w:val="decimal"/>
      <w:isLgl w:val="false"/>
      <w:suff w:val="tab"/>
      <w:lvlText w:val="%1.%2.%3"/>
      <w:lvlJc w:val="left"/>
      <w:pPr>
        <w:pStyle w:val="794"/>
        <w:ind w:left="630" w:hanging="630"/>
        <w:tabs>
          <w:tab w:val="num" w:pos="630" w:leader="none"/>
        </w:tabs>
      </w:pPr>
      <w:rPr>
        <w:rFonts w:hint="eastAsia"/>
      </w:rPr>
    </w:lvl>
    <w:lvl w:ilvl="3">
      <w:start w:val="1"/>
      <w:numFmt w:val="decimal"/>
      <w:isLgl w:val="false"/>
      <w:suff w:val="tab"/>
      <w:lvlText w:val="%1.%2.%3.%4"/>
      <w:lvlJc w:val="left"/>
      <w:pPr>
        <w:pStyle w:val="794"/>
        <w:ind w:left="630" w:hanging="630"/>
        <w:tabs>
          <w:tab w:val="num" w:pos="630" w:leader="none"/>
        </w:tabs>
      </w:pPr>
      <w:rPr>
        <w:rFonts w:hint="eastAsia"/>
      </w:rPr>
    </w:lvl>
    <w:lvl w:ilvl="4">
      <w:start w:val="1"/>
      <w:numFmt w:val="decimal"/>
      <w:isLgl w:val="false"/>
      <w:suff w:val="tab"/>
      <w:lvlText w:val="%1.%2.%3.%4.%5"/>
      <w:lvlJc w:val="left"/>
      <w:pPr>
        <w:pStyle w:val="794"/>
        <w:ind w:left="630" w:hanging="630"/>
        <w:tabs>
          <w:tab w:val="num" w:pos="630" w:leader="none"/>
        </w:tabs>
      </w:pPr>
      <w:rPr>
        <w:rFonts w:hint="eastAsia"/>
      </w:rPr>
    </w:lvl>
    <w:lvl w:ilvl="5">
      <w:start w:val="1"/>
      <w:numFmt w:val="decimal"/>
      <w:isLgl w:val="false"/>
      <w:suff w:val="tab"/>
      <w:lvlText w:val="%1.%2.%3.%4.%5.%6"/>
      <w:lvlJc w:val="left"/>
      <w:pPr>
        <w:pStyle w:val="794"/>
        <w:ind w:left="630" w:hanging="630"/>
        <w:tabs>
          <w:tab w:val="num" w:pos="630" w:leader="none"/>
        </w:tabs>
      </w:pPr>
      <w:rPr>
        <w:rFonts w:hint="eastAsia"/>
      </w:rPr>
    </w:lvl>
    <w:lvl w:ilvl="6">
      <w:start w:val="1"/>
      <w:numFmt w:val="decimal"/>
      <w:isLgl w:val="false"/>
      <w:suff w:val="tab"/>
      <w:lvlText w:val="%1.%2.%3.%4.%5.%6.%7"/>
      <w:lvlJc w:val="left"/>
      <w:pPr>
        <w:pStyle w:val="794"/>
        <w:ind w:left="630" w:hanging="630"/>
        <w:tabs>
          <w:tab w:val="num" w:pos="630" w:leader="none"/>
        </w:tabs>
      </w:pPr>
      <w:rPr>
        <w:rFonts w:hint="eastAsia"/>
      </w:rPr>
    </w:lvl>
    <w:lvl w:ilvl="7">
      <w:start w:val="1"/>
      <w:numFmt w:val="decimal"/>
      <w:isLgl w:val="false"/>
      <w:suff w:val="tab"/>
      <w:lvlText w:val="%1.%2.%3.%4.%5.%6.%7.%8"/>
      <w:lvlJc w:val="left"/>
      <w:pPr>
        <w:pStyle w:val="794"/>
        <w:ind w:left="630" w:hanging="630"/>
        <w:tabs>
          <w:tab w:val="num" w:pos="630" w:leader="none"/>
        </w:tabs>
      </w:pPr>
      <w:rPr>
        <w:rFonts w:hint="eastAsia"/>
      </w:rPr>
    </w:lvl>
    <w:lvl w:ilvl="8">
      <w:start w:val="1"/>
      <w:numFmt w:val="decimal"/>
      <w:isLgl w:val="false"/>
      <w:suff w:val="tab"/>
      <w:lvlText w:val="%1.%2.%3.%4.%5.%6.%7.%8.%9"/>
      <w:lvlJc w:val="left"/>
      <w:pPr>
        <w:pStyle w:val="794"/>
        <w:ind w:left="630" w:hanging="630"/>
        <w:tabs>
          <w:tab w:val="num" w:pos="630" w:leader="none"/>
        </w:tabs>
      </w:pPr>
      <w:rPr>
        <w:rFonts w:hint="eastAsia"/>
      </w:rPr>
    </w:lvl>
  </w:abstractNum>
  <w:abstractNum w:abstractNumId="10">
    <w:multiLevelType w:val="hybridMultilevel"/>
    <w:lvl w:ilvl="0">
      <w:start w:val="1"/>
      <w:numFmt w:val="bullet"/>
      <w:isLgl w:val="false"/>
      <w:suff w:val="tab"/>
      <w:lvlText w:val=""/>
      <w:lvlJc w:val="left"/>
      <w:pPr>
        <w:pStyle w:val="794"/>
        <w:ind w:left="420" w:hanging="420"/>
      </w:pPr>
      <w:rPr>
        <w:rFonts w:ascii="Wingdings" w:hAnsi="Wingdings"/>
      </w:rPr>
    </w:lvl>
    <w:lvl w:ilvl="1">
      <w:start w:val="1"/>
      <w:numFmt w:val="bullet"/>
      <w:isLgl w:val="false"/>
      <w:suff w:val="tab"/>
      <w:lvlText w:val=""/>
      <w:lvlJc w:val="left"/>
      <w:pPr>
        <w:pStyle w:val="794"/>
        <w:ind w:left="840" w:hanging="420"/>
      </w:pPr>
      <w:rPr>
        <w:rFonts w:ascii="Wingdings" w:hAnsi="Wingdings"/>
      </w:rPr>
    </w:lvl>
    <w:lvl w:ilvl="2">
      <w:start w:val="1"/>
      <w:numFmt w:val="bullet"/>
      <w:isLgl w:val="false"/>
      <w:suff w:val="tab"/>
      <w:lvlText w:val=""/>
      <w:lvlJc w:val="left"/>
      <w:pPr>
        <w:pStyle w:val="794"/>
        <w:ind w:left="1260" w:hanging="420"/>
      </w:pPr>
      <w:rPr>
        <w:rFonts w:ascii="Wingdings" w:hAnsi="Wingdings"/>
      </w:rPr>
    </w:lvl>
    <w:lvl w:ilvl="3">
      <w:start w:val="1"/>
      <w:numFmt w:val="bullet"/>
      <w:isLgl w:val="false"/>
      <w:suff w:val="tab"/>
      <w:lvlText w:val=""/>
      <w:lvlJc w:val="left"/>
      <w:pPr>
        <w:pStyle w:val="794"/>
        <w:ind w:left="1680" w:hanging="420"/>
      </w:pPr>
      <w:rPr>
        <w:rFonts w:ascii="Wingdings" w:hAnsi="Wingdings"/>
      </w:rPr>
    </w:lvl>
    <w:lvl w:ilvl="4">
      <w:start w:val="1"/>
      <w:numFmt w:val="bullet"/>
      <w:isLgl w:val="false"/>
      <w:suff w:val="tab"/>
      <w:lvlText w:val=""/>
      <w:lvlJc w:val="left"/>
      <w:pPr>
        <w:pStyle w:val="794"/>
        <w:ind w:left="2100" w:hanging="420"/>
      </w:pPr>
      <w:rPr>
        <w:rFonts w:ascii="Wingdings" w:hAnsi="Wingdings"/>
      </w:rPr>
    </w:lvl>
    <w:lvl w:ilvl="5">
      <w:start w:val="1"/>
      <w:numFmt w:val="bullet"/>
      <w:isLgl w:val="false"/>
      <w:suff w:val="tab"/>
      <w:lvlText w:val=""/>
      <w:lvlJc w:val="left"/>
      <w:pPr>
        <w:pStyle w:val="794"/>
        <w:ind w:left="2520" w:hanging="420"/>
      </w:pPr>
      <w:rPr>
        <w:rFonts w:ascii="Wingdings" w:hAnsi="Wingdings"/>
      </w:rPr>
    </w:lvl>
    <w:lvl w:ilvl="6">
      <w:start w:val="1"/>
      <w:numFmt w:val="bullet"/>
      <w:isLgl w:val="false"/>
      <w:suff w:val="tab"/>
      <w:lvlText w:val=""/>
      <w:lvlJc w:val="left"/>
      <w:pPr>
        <w:pStyle w:val="794"/>
        <w:ind w:left="2940" w:hanging="420"/>
      </w:pPr>
      <w:rPr>
        <w:rFonts w:ascii="Wingdings" w:hAnsi="Wingdings"/>
      </w:rPr>
    </w:lvl>
    <w:lvl w:ilvl="7">
      <w:start w:val="1"/>
      <w:numFmt w:val="bullet"/>
      <w:isLgl w:val="false"/>
      <w:suff w:val="tab"/>
      <w:lvlText w:val=""/>
      <w:lvlJc w:val="left"/>
      <w:pPr>
        <w:pStyle w:val="794"/>
        <w:ind w:left="3360" w:hanging="420"/>
      </w:pPr>
      <w:rPr>
        <w:rFonts w:ascii="Wingdings" w:hAnsi="Wingdings"/>
      </w:rPr>
    </w:lvl>
    <w:lvl w:ilvl="8">
      <w:start w:val="1"/>
      <w:numFmt w:val="bullet"/>
      <w:isLgl w:val="false"/>
      <w:suff w:val="tab"/>
      <w:lvlText w:val=""/>
      <w:lvlJc w:val="left"/>
      <w:pPr>
        <w:pStyle w:val="794"/>
        <w:ind w:left="3780" w:hanging="420"/>
      </w:pPr>
      <w:rPr>
        <w:rFonts w:ascii="Wingdings" w:hAnsi="Wingdings"/>
      </w:rPr>
    </w:lvl>
  </w:abstractNum>
  <w:abstractNum w:abstractNumId="11">
    <w:multiLevelType w:val="hybridMultilevel"/>
    <w:lvl w:ilvl="0">
      <w:start w:val="1"/>
      <w:numFmt w:val="decimal"/>
      <w:isLgl w:val="false"/>
      <w:suff w:val="tab"/>
      <w:lvlText w:val="%1."/>
      <w:lvlJc w:val="left"/>
      <w:pPr>
        <w:pStyle w:val="794"/>
        <w:ind w:left="425" w:hanging="425"/>
        <w:tabs>
          <w:tab w:val="num" w:pos="425" w:leader="none"/>
        </w:tabs>
      </w:pPr>
      <w:rPr>
        <w:rFonts w:hint="eastAsia"/>
      </w:rPr>
    </w:lvl>
    <w:lvl w:ilvl="1">
      <w:start w:val="1"/>
      <w:numFmt w:val="lowerRoman"/>
      <w:isLgl w:val="false"/>
      <w:suff w:val="tab"/>
      <w:lvlText w:val="%2）"/>
      <w:lvlJc w:val="left"/>
      <w:pPr>
        <w:pStyle w:val="794"/>
        <w:ind w:left="992" w:hanging="567"/>
        <w:tabs>
          <w:tab w:val="num" w:pos="992" w:leader="none"/>
        </w:tabs>
      </w:pPr>
      <w:rPr>
        <w:rFonts w:hint="eastAsia"/>
      </w:rPr>
    </w:lvl>
    <w:lvl w:ilvl="2">
      <w:start w:val="1"/>
      <w:numFmt w:val="upperLetter"/>
      <w:isLgl w:val="false"/>
      <w:suff w:val="tab"/>
      <w:lvlText w:val="%3、"/>
      <w:lvlJc w:val="left"/>
      <w:pPr>
        <w:pStyle w:val="794"/>
        <w:ind w:left="1418" w:hanging="567"/>
        <w:tabs>
          <w:tab w:val="num" w:pos="1931" w:leader="none"/>
        </w:tabs>
      </w:pPr>
      <w:rPr>
        <w:rFonts w:hint="eastAsia"/>
      </w:rPr>
    </w:lvl>
    <w:lvl w:ilvl="3">
      <w:start w:val="1"/>
      <w:numFmt w:val="decimal"/>
      <w:isLgl w:val="false"/>
      <w:suff w:val="tab"/>
      <w:lvlText w:val="%1.%2.%3.%4"/>
      <w:lvlJc w:val="left"/>
      <w:pPr>
        <w:pStyle w:val="794"/>
        <w:ind w:left="1984" w:hanging="708"/>
        <w:tabs>
          <w:tab w:val="num" w:pos="2356" w:leader="none"/>
        </w:tabs>
      </w:pPr>
      <w:rPr>
        <w:rFonts w:hint="eastAsia"/>
      </w:rPr>
    </w:lvl>
    <w:lvl w:ilvl="4">
      <w:start w:val="1"/>
      <w:numFmt w:val="decimal"/>
      <w:isLgl w:val="false"/>
      <w:suff w:val="tab"/>
      <w:lvlText w:val="%1.%2.%3.%4.%5"/>
      <w:lvlJc w:val="left"/>
      <w:pPr>
        <w:pStyle w:val="794"/>
        <w:ind w:left="2551" w:hanging="850"/>
        <w:tabs>
          <w:tab w:val="num" w:pos="3141" w:leader="none"/>
        </w:tabs>
      </w:pPr>
      <w:rPr>
        <w:rFonts w:hint="eastAsia"/>
      </w:rPr>
    </w:lvl>
    <w:lvl w:ilvl="5">
      <w:start w:val="1"/>
      <w:numFmt w:val="decimal"/>
      <w:isLgl w:val="false"/>
      <w:suff w:val="tab"/>
      <w:lvlText w:val="%1.%2.%3.%4.%5.%6"/>
      <w:lvlJc w:val="left"/>
      <w:pPr>
        <w:pStyle w:val="794"/>
        <w:ind w:left="3260" w:hanging="1134"/>
        <w:tabs>
          <w:tab w:val="num" w:pos="3926" w:leader="none"/>
        </w:tabs>
      </w:pPr>
      <w:rPr>
        <w:rFonts w:hint="eastAsia"/>
      </w:rPr>
    </w:lvl>
    <w:lvl w:ilvl="6">
      <w:start w:val="1"/>
      <w:numFmt w:val="decimal"/>
      <w:isLgl w:val="false"/>
      <w:suff w:val="tab"/>
      <w:lvlText w:val="%1.%2.%3.%4.%5.%6.%7"/>
      <w:lvlJc w:val="left"/>
      <w:pPr>
        <w:pStyle w:val="794"/>
        <w:ind w:left="3827" w:hanging="1276"/>
        <w:tabs>
          <w:tab w:val="num" w:pos="4711" w:leader="none"/>
        </w:tabs>
      </w:pPr>
      <w:rPr>
        <w:rFonts w:hint="eastAsia"/>
      </w:rPr>
    </w:lvl>
    <w:lvl w:ilvl="7">
      <w:start w:val="1"/>
      <w:numFmt w:val="decimal"/>
      <w:isLgl w:val="false"/>
      <w:suff w:val="tab"/>
      <w:lvlText w:val="%1.%2.%3.%4.%5.%6.%7.%8"/>
      <w:lvlJc w:val="left"/>
      <w:pPr>
        <w:pStyle w:val="794"/>
        <w:ind w:left="4394" w:hanging="1418"/>
        <w:tabs>
          <w:tab w:val="num" w:pos="5496" w:leader="none"/>
        </w:tabs>
      </w:pPr>
      <w:rPr>
        <w:rFonts w:hint="eastAsia"/>
      </w:rPr>
    </w:lvl>
    <w:lvl w:ilvl="8">
      <w:start w:val="1"/>
      <w:numFmt w:val="decimal"/>
      <w:isLgl w:val="false"/>
      <w:suff w:val="tab"/>
      <w:lvlText w:val="%1.%2.%3.%4.%5.%6.%7.%8.%9"/>
      <w:lvlJc w:val="left"/>
      <w:pPr>
        <w:pStyle w:val="794"/>
        <w:ind w:left="5102" w:hanging="1700"/>
        <w:tabs>
          <w:tab w:val="num" w:pos="6282" w:leader="none"/>
        </w:tabs>
      </w:pPr>
      <w:rPr>
        <w:rFonts w:hint="eastAsia"/>
      </w:rPr>
    </w:lvl>
  </w:abstractNum>
  <w:abstractNum w:abstractNumId="12">
    <w:multiLevelType w:val="hybridMultilevel"/>
    <w:lvl w:ilvl="0">
      <w:start w:val="1"/>
      <w:numFmt w:val="decimal"/>
      <w:isLgl w:val="false"/>
      <w:suff w:val="tab"/>
      <w:lvlText w:val="%1."/>
      <w:lvlJc w:val="left"/>
      <w:pPr>
        <w:pStyle w:val="794"/>
        <w:ind w:left="1680" w:hanging="420"/>
        <w:tabs>
          <w:tab w:val="num" w:pos="1680" w:leader="none"/>
        </w:tabs>
      </w:pPr>
      <w:rPr>
        <w:rFonts w:hint="eastAsia"/>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794"/>
        <w:ind w:left="425" w:hanging="425"/>
        <w:tabs>
          <w:tab w:val="num" w:pos="425" w:leader="none"/>
        </w:tabs>
      </w:pPr>
      <w:rPr>
        <w:rFonts w:hint="eastAsia"/>
      </w:rPr>
    </w:lvl>
    <w:lvl w:ilvl="1">
      <w:start w:val="1"/>
      <w:numFmt w:val="decimal"/>
      <w:isLgl w:val="false"/>
      <w:suff w:val="tab"/>
      <w:lvlText w:val="%1.%2."/>
      <w:lvlJc w:val="left"/>
      <w:pPr>
        <w:pStyle w:val="794"/>
        <w:ind w:left="567" w:hanging="567"/>
        <w:tabs>
          <w:tab w:val="num" w:pos="567" w:leader="none"/>
        </w:tabs>
      </w:pPr>
      <w:rPr>
        <w:rFonts w:hint="eastAsia"/>
      </w:rPr>
    </w:lvl>
    <w:lvl w:ilvl="2">
      <w:start w:val="1"/>
      <w:numFmt w:val="decimal"/>
      <w:isLgl w:val="false"/>
      <w:suff w:val="tab"/>
      <w:lvlText w:val="%1.%2.%3."/>
      <w:lvlJc w:val="left"/>
      <w:pPr>
        <w:pStyle w:val="794"/>
        <w:ind w:left="709" w:hanging="709"/>
        <w:tabs>
          <w:tab w:val="num" w:pos="709" w:leader="none"/>
        </w:tabs>
      </w:pPr>
      <w:rPr>
        <w:rFonts w:hint="eastAsia"/>
      </w:rPr>
    </w:lvl>
    <w:lvl w:ilvl="3">
      <w:start w:val="1"/>
      <w:numFmt w:val="decimal"/>
      <w:isLgl w:val="false"/>
      <w:suff w:val="tab"/>
      <w:lvlText w:val="%1.%2.%3.%4."/>
      <w:lvlJc w:val="left"/>
      <w:pPr>
        <w:pStyle w:val="794"/>
        <w:ind w:left="851" w:hanging="851"/>
        <w:tabs>
          <w:tab w:val="num" w:pos="851" w:leader="none"/>
        </w:tabs>
      </w:pPr>
      <w:rPr>
        <w:rFonts w:hint="eastAsia"/>
      </w:rPr>
    </w:lvl>
    <w:lvl w:ilvl="4">
      <w:start w:val="1"/>
      <w:numFmt w:val="decimal"/>
      <w:isLgl w:val="false"/>
      <w:suff w:val="tab"/>
      <w:lvlText w:val="%1.%2.%3.%4.%5."/>
      <w:lvlJc w:val="left"/>
      <w:pPr>
        <w:pStyle w:val="794"/>
        <w:ind w:left="992" w:hanging="992"/>
        <w:tabs>
          <w:tab w:val="num" w:pos="992" w:leader="none"/>
        </w:tabs>
      </w:pPr>
      <w:rPr>
        <w:rFonts w:hint="eastAsia"/>
      </w:rPr>
    </w:lvl>
    <w:lvl w:ilvl="5">
      <w:start w:val="1"/>
      <w:numFmt w:val="decimal"/>
      <w:isLgl w:val="false"/>
      <w:suff w:val="tab"/>
      <w:lvlText w:val="%1.%2.%3.%4.%5.%6."/>
      <w:lvlJc w:val="left"/>
      <w:pPr>
        <w:pStyle w:val="794"/>
        <w:ind w:left="1134" w:hanging="1134"/>
        <w:tabs>
          <w:tab w:val="num" w:pos="1134" w:leader="none"/>
        </w:tabs>
      </w:pPr>
      <w:rPr>
        <w:rFonts w:hint="eastAsia"/>
      </w:rPr>
    </w:lvl>
    <w:lvl w:ilvl="6">
      <w:start w:val="1"/>
      <w:numFmt w:val="decimal"/>
      <w:isLgl w:val="false"/>
      <w:suff w:val="tab"/>
      <w:lvlText w:val="%1.%2.%3.%4.%5.%6.%7."/>
      <w:lvlJc w:val="left"/>
      <w:pPr>
        <w:pStyle w:val="794"/>
        <w:ind w:left="1276" w:hanging="1276"/>
        <w:tabs>
          <w:tab w:val="num" w:pos="1276" w:leader="none"/>
        </w:tabs>
      </w:pPr>
      <w:rPr>
        <w:rFonts w:hint="eastAsia"/>
      </w:rPr>
    </w:lvl>
    <w:lvl w:ilvl="7">
      <w:start w:val="1"/>
      <w:numFmt w:val="decimal"/>
      <w:isLgl w:val="false"/>
      <w:suff w:val="tab"/>
      <w:lvlText w:val="%1.%2.%3.%4.%5.%6.%7.%8."/>
      <w:lvlJc w:val="left"/>
      <w:pPr>
        <w:pStyle w:val="794"/>
        <w:ind w:left="1418" w:hanging="1418"/>
        <w:tabs>
          <w:tab w:val="num" w:pos="1418" w:leader="none"/>
        </w:tabs>
      </w:pPr>
      <w:rPr>
        <w:rFonts w:hint="eastAsia"/>
      </w:rPr>
    </w:lvl>
    <w:lvl w:ilvl="8">
      <w:start w:val="1"/>
      <w:numFmt w:val="decimal"/>
      <w:isLgl w:val="false"/>
      <w:suff w:val="tab"/>
      <w:lvlText w:val="%1.%2.%3.%4.%5.%6.%7.%8.%9."/>
      <w:lvlJc w:val="left"/>
      <w:pPr>
        <w:pStyle w:val="794"/>
        <w:ind w:left="1559" w:hanging="1559"/>
        <w:tabs>
          <w:tab w:val="num" w:pos="1559" w:leader="none"/>
        </w:tabs>
      </w:pPr>
      <w:rPr>
        <w:rFonts w:hint="eastAsia"/>
      </w:rPr>
    </w:lvl>
  </w:abstractNum>
  <w:abstractNum w:abstractNumId="14">
    <w:multiLevelType w:val="hybridMultilevel"/>
    <w:lvl w:ilvl="0">
      <w:start w:val="1"/>
      <w:numFmt w:val="decimal"/>
      <w:isLgl w:val="false"/>
      <w:suff w:val="tab"/>
      <w:lvlText w:val="%1."/>
      <w:lvlJc w:val="left"/>
      <w:pPr>
        <w:pStyle w:val="794"/>
        <w:ind w:left="420" w:hanging="420"/>
        <w:tabs>
          <w:tab w:val="num" w:pos="420" w:leader="none"/>
        </w:tabs>
      </w:pPr>
      <w:rPr>
        <w:rFonts w:hint="eastAsia" w:eastAsia="仿宋_GB2312"/>
        <w:sz w:val="21"/>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794"/>
        <w:ind w:left="840" w:hanging="840"/>
        <w:tabs>
          <w:tab w:val="num" w:pos="840" w:leader="none"/>
        </w:tabs>
      </w:pPr>
      <w:rPr>
        <w:rFonts w:hint="eastAsia"/>
      </w:rPr>
    </w:lvl>
    <w:lvl w:ilvl="1">
      <w:start w:val="1"/>
      <w:numFmt w:val="decimal"/>
      <w:isLgl w:val="false"/>
      <w:suff w:val="tab"/>
      <w:lvlText w:val="%2."/>
      <w:lvlJc w:val="left"/>
      <w:pPr>
        <w:pStyle w:val="794"/>
        <w:ind w:left="930" w:hanging="510"/>
        <w:tabs>
          <w:tab w:val="num" w:pos="420" w:leader="none"/>
        </w:tabs>
      </w:pPr>
    </w:lvl>
    <w:lvl w:ilvl="2">
      <w:start w:val="1"/>
      <w:numFmt w:val="lowerRoman"/>
      <w:isLgl w:val="false"/>
      <w:suff w:val="tab"/>
      <w:lvlText w:val="%3."/>
      <w:lvlJc w:val="right"/>
      <w:pPr>
        <w:pStyle w:val="794"/>
        <w:ind w:left="1260" w:hanging="420"/>
        <w:tabs>
          <w:tab w:val="num" w:pos="1260" w:leader="none"/>
        </w:tabs>
      </w:pPr>
      <w:rPr>
        <w:rFonts w:hint="eastAsia"/>
      </w:rPr>
    </w:lvl>
    <w:lvl w:ilvl="3">
      <w:start w:val="1"/>
      <w:numFmt w:val="decimal"/>
      <w:isLgl w:val="false"/>
      <w:suff w:val="tab"/>
      <w:lvlText w:val="%4."/>
      <w:lvlJc w:val="left"/>
      <w:pPr>
        <w:pStyle w:val="794"/>
        <w:ind w:left="1680" w:hanging="420"/>
        <w:tabs>
          <w:tab w:val="num" w:pos="1680" w:leader="none"/>
        </w:tabs>
      </w:pPr>
      <w:rPr>
        <w:rFonts w:hint="eastAsia"/>
      </w:rPr>
    </w:lvl>
    <w:lvl w:ilvl="4">
      <w:start w:val="1"/>
      <w:numFmt w:val="lowerLetter"/>
      <w:isLgl w:val="false"/>
      <w:suff w:val="tab"/>
      <w:lvlText w:val="%5)"/>
      <w:lvlJc w:val="left"/>
      <w:pPr>
        <w:pStyle w:val="794"/>
        <w:ind w:left="2100" w:hanging="420"/>
        <w:tabs>
          <w:tab w:val="num" w:pos="2100" w:leader="none"/>
        </w:tabs>
      </w:pPr>
      <w:rPr>
        <w:rFonts w:hint="eastAsia"/>
      </w:rPr>
    </w:lvl>
    <w:lvl w:ilvl="5">
      <w:start w:val="1"/>
      <w:numFmt w:val="lowerRoman"/>
      <w:isLgl w:val="false"/>
      <w:suff w:val="tab"/>
      <w:lvlText w:val="%6."/>
      <w:lvlJc w:val="right"/>
      <w:pPr>
        <w:pStyle w:val="794"/>
        <w:ind w:left="2520" w:hanging="420"/>
        <w:tabs>
          <w:tab w:val="num" w:pos="2520" w:leader="none"/>
        </w:tabs>
      </w:pPr>
      <w:rPr>
        <w:rFonts w:hint="eastAsia"/>
      </w:rPr>
    </w:lvl>
    <w:lvl w:ilvl="6">
      <w:start w:val="1"/>
      <w:numFmt w:val="decimal"/>
      <w:isLgl w:val="false"/>
      <w:suff w:val="tab"/>
      <w:lvlText w:val="%7."/>
      <w:lvlJc w:val="left"/>
      <w:pPr>
        <w:pStyle w:val="794"/>
        <w:ind w:left="2940" w:hanging="420"/>
        <w:tabs>
          <w:tab w:val="num" w:pos="2940" w:leader="none"/>
        </w:tabs>
      </w:pPr>
      <w:rPr>
        <w:rFonts w:hint="eastAsia"/>
      </w:rPr>
    </w:lvl>
    <w:lvl w:ilvl="7">
      <w:start w:val="1"/>
      <w:numFmt w:val="lowerLetter"/>
      <w:isLgl w:val="false"/>
      <w:suff w:val="tab"/>
      <w:lvlText w:val="%8)"/>
      <w:lvlJc w:val="left"/>
      <w:pPr>
        <w:pStyle w:val="794"/>
        <w:ind w:left="3360" w:hanging="420"/>
        <w:tabs>
          <w:tab w:val="num" w:pos="3360" w:leader="none"/>
        </w:tabs>
      </w:pPr>
      <w:rPr>
        <w:rFonts w:hint="eastAsia"/>
      </w:rPr>
    </w:lvl>
    <w:lvl w:ilvl="8">
      <w:start w:val="1"/>
      <w:numFmt w:val="lowerRoman"/>
      <w:isLgl w:val="false"/>
      <w:suff w:val="tab"/>
      <w:lvlText w:val="%9."/>
      <w:lvlJc w:val="right"/>
      <w:pPr>
        <w:pStyle w:val="794"/>
        <w:ind w:left="3780" w:hanging="420"/>
        <w:tabs>
          <w:tab w:val="num" w:pos="3780" w:leader="none"/>
        </w:tabs>
      </w:pPr>
      <w:rPr>
        <w:rFonts w:hint="eastAsia"/>
      </w:rPr>
    </w:lvl>
  </w:abstractNum>
  <w:abstractNum w:abstractNumId="16">
    <w:multiLevelType w:val="hybridMultilevel"/>
    <w:lvl w:ilvl="0">
      <w:start w:val="1"/>
      <w:numFmt w:val="decimal"/>
      <w:isLgl w:val="false"/>
      <w:suff w:val="tab"/>
      <w:lvlText w:val="%1."/>
      <w:lvlJc w:val="left"/>
      <w:pPr>
        <w:pStyle w:val="794"/>
        <w:ind w:left="1350" w:hanging="510"/>
        <w:tabs>
          <w:tab w:val="num" w:pos="840" w:leader="none"/>
        </w:tabs>
      </w:pPr>
      <w:rPr>
        <w:rFonts w:hint="eastAsia"/>
        <w:sz w:val="21"/>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17">
    <w:multiLevelType w:val="hybridMultilevel"/>
    <w:lvl w:ilvl="0">
      <w:start w:val="1"/>
      <w:numFmt w:val="chineseCountingThousand"/>
      <w:isLgl w:val="false"/>
      <w:suff w:val="nothing"/>
      <w:lvlText w:val="第%1部分 "/>
      <w:lvlJc w:val="center"/>
      <w:pPr>
        <w:pStyle w:val="794"/>
        <w:ind w:left="0" w:firstLine="0"/>
      </w:pPr>
      <w:rPr>
        <w:rFonts w:ascii="Arial" w:hAnsi="Arial" w:eastAsia="黑体"/>
        <w:b/>
        <w:bCs w:val="0"/>
        <w:i w:val="0"/>
        <w:iCs w:val="0"/>
        <w:caps w:val="0"/>
        <w:strike w:val="0"/>
        <w:vanish w:val="0"/>
        <w:color w:val="000000"/>
        <w:spacing w:val="0"/>
        <w:position w:val="0"/>
        <w:sz w:val="44"/>
        <w:szCs w:val="44"/>
        <w:u w:val="none"/>
        <w:vertAlign w:val="baseline"/>
      </w:rPr>
    </w:lvl>
    <w:lvl w:ilvl="1">
      <w:start w:val="1"/>
      <w:numFmt w:val="decimal"/>
      <w:isLgl w:val="false"/>
      <w:suff w:val="space"/>
      <w:lvlText w:val="第%2章 "/>
      <w:lvlJc w:val="center"/>
      <w:pPr>
        <w:pStyle w:val="794"/>
        <w:ind w:left="0" w:firstLine="0"/>
      </w:pPr>
      <w:rPr>
        <w:rFonts w:ascii="Arial" w:hAnsi="Arial" w:eastAsia="黑体"/>
        <w:b/>
        <w:i w:val="0"/>
        <w:color w:val="000000"/>
        <w:sz w:val="36"/>
        <w:szCs w:val="32"/>
      </w:rPr>
    </w:lvl>
    <w:lvl w:ilvl="2">
      <w:start w:val="1"/>
      <w:numFmt w:val="decimal"/>
      <w:isLgl w:val="false"/>
      <w:suff w:val="nothing"/>
      <w:lvlText w:val="%2.%3 "/>
      <w:lvlJc w:val="left"/>
      <w:pPr>
        <w:pStyle w:val="794"/>
        <w:ind w:left="0" w:firstLine="0"/>
      </w:pPr>
      <w:rPr>
        <w:rFonts w:ascii="Arial" w:hAnsi="Arial" w:eastAsia="黑体"/>
        <w:b/>
        <w:i w:val="0"/>
        <w:color w:val="000000"/>
        <w:sz w:val="32"/>
        <w:szCs w:val="28"/>
      </w:rPr>
    </w:lvl>
    <w:lvl w:ilvl="3">
      <w:start w:val="1"/>
      <w:numFmt w:val="decimal"/>
      <w:isLgl w:val="false"/>
      <w:suff w:val="nothing"/>
      <w:lvlText w:val="%2.%3.%4 "/>
      <w:lvlJc w:val="left"/>
      <w:pPr>
        <w:pStyle w:val="794"/>
        <w:ind w:left="420" w:hanging="420"/>
      </w:pPr>
      <w:rPr>
        <w:rFonts w:ascii="Arial" w:hAnsi="Arial" w:eastAsia="黑体" w:cs="Times New Roman"/>
        <w:b/>
        <w:bCs w:val="0"/>
        <w:i w:val="0"/>
        <w:iCs w:val="0"/>
        <w:caps w:val="0"/>
        <w:smallCaps w:val="0"/>
        <w:strike w:val="0"/>
        <w:vanish w:val="0"/>
        <w:spacing w:val="0"/>
        <w:position w:val="0"/>
        <w:sz w:val="28"/>
        <w:u w:val="none"/>
        <w:vertAlign w:val="baseline"/>
      </w:rPr>
    </w:lvl>
    <w:lvl w:ilvl="4">
      <w:start w:val="1"/>
      <w:numFmt w:val="decimal"/>
      <w:isLgl w:val="false"/>
      <w:suff w:val="nothing"/>
      <w:lvlText w:val="%2.%3.%4.%5 "/>
      <w:lvlJc w:val="left"/>
      <w:pPr>
        <w:pStyle w:val="794"/>
        <w:ind w:left="1080" w:hanging="1080"/>
      </w:pPr>
      <w:rPr>
        <w:rFonts w:ascii="Arial" w:hAnsi="Arial" w:eastAsia="黑体"/>
        <w:b/>
        <w:i w:val="0"/>
        <w:sz w:val="24"/>
      </w:rPr>
    </w:lvl>
    <w:lvl w:ilvl="5">
      <w:start w:val="1"/>
      <w:numFmt w:val="decimal"/>
      <w:isLgl w:val="false"/>
      <w:suff w:val="nothing"/>
      <w:lvlText w:val=" %6 "/>
      <w:lvlJc w:val="left"/>
      <w:pPr>
        <w:pStyle w:val="794"/>
        <w:ind w:left="180" w:hanging="180"/>
      </w:pPr>
      <w:rPr>
        <w:rFonts w:ascii="Arial" w:hAnsi="Arial" w:eastAsia="黑体"/>
        <w:b/>
        <w:i w:val="0"/>
        <w:sz w:val="24"/>
      </w:rPr>
    </w:lvl>
    <w:lvl w:ilvl="6">
      <w:start w:val="1"/>
      <w:numFmt w:val="decimal"/>
      <w:pStyle w:val="1150"/>
      <w:isLgl w:val="false"/>
      <w:suff w:val="nothing"/>
      <w:lvlText w:val="%7）"/>
      <w:lvlJc w:val="left"/>
      <w:pPr>
        <w:pStyle w:val="794"/>
        <w:ind w:left="0" w:firstLine="0"/>
      </w:pPr>
      <w:rPr>
        <w:rFonts w:ascii="Arial" w:hAnsi="Arial" w:eastAsia="宋体"/>
        <w:b/>
        <w:i w:val="0"/>
        <w:sz w:val="24"/>
      </w:rPr>
    </w:lvl>
    <w:lvl w:ilvl="7">
      <w:start w:val="1"/>
      <w:numFmt w:val="upperLetter"/>
      <w:pStyle w:val="1151"/>
      <w:isLgl w:val="false"/>
      <w:suff w:val="nothing"/>
      <w:lvlText w:val=" %8"/>
      <w:lvlJc w:val="left"/>
      <w:pPr>
        <w:pStyle w:val="794"/>
        <w:ind w:left="0" w:firstLine="0"/>
      </w:pPr>
      <w:rPr>
        <w:rFonts w:ascii="Arial" w:hAnsi="Arial" w:eastAsia="宋体"/>
        <w:b/>
        <w:i w:val="0"/>
        <w:sz w:val="24"/>
      </w:rPr>
    </w:lvl>
    <w:lvl w:ilvl="8">
      <w:start w:val="1"/>
      <w:numFmt w:val="decimal"/>
      <w:isLgl w:val="false"/>
      <w:suff w:val="nothing"/>
      <w:lvlText w:val=""/>
      <w:lvlJc w:val="left"/>
      <w:pPr>
        <w:pStyle w:val="794"/>
        <w:ind w:left="-360" w:firstLine="0"/>
      </w:pPr>
      <w:rPr>
        <w:rFonts w:ascii="Arial" w:hAnsi="Arial" w:eastAsia="宋体"/>
        <w:b w:val="0"/>
        <w:i w:val="0"/>
        <w:sz w:val="24"/>
      </w:rPr>
    </w:lvl>
  </w:abstractNum>
  <w:abstractNum w:abstractNumId="18">
    <w:multiLevelType w:val="hybridMultilevel"/>
    <w:lvl w:ilvl="0">
      <w:start w:val="4"/>
      <w:numFmt w:val="chineseCounting"/>
      <w:isLgl w:val="false"/>
      <w:suff w:val="nothing"/>
      <w:lvlText w:val="%1、"/>
      <w:lvlJc w:val="left"/>
      <w:pPr>
        <w:pStyle w:val="794"/>
      </w:pPr>
      <w:rPr>
        <w:rFonts w:hint="eastAsia"/>
      </w:r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pStyle w:val="794"/>
        <w:ind w:left="420" w:hanging="420"/>
      </w:pPr>
    </w:lvl>
    <w:lvl w:ilvl="1">
      <w:start w:val="1"/>
      <w:numFmt w:val="lowerLetter"/>
      <w:isLgl w:val="false"/>
      <w:suff w:val="tab"/>
      <w:lvlText w:val="%2)"/>
      <w:lvlJc w:val="left"/>
      <w:pPr>
        <w:pStyle w:val="794"/>
        <w:ind w:left="840" w:hanging="420"/>
      </w:pPr>
    </w:lvl>
    <w:lvl w:ilvl="2">
      <w:start w:val="1"/>
      <w:numFmt w:val="decimal"/>
      <w:isLgl w:val="false"/>
      <w:suff w:val="tab"/>
      <w:lvlText w:val="%3)"/>
      <w:lvlJc w:val="lef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20">
    <w:multiLevelType w:val="hybridMultilevel"/>
    <w:lvl w:ilvl="0">
      <w:start w:val="1"/>
      <w:numFmt w:val="decimal"/>
      <w:isLgl w:val="false"/>
      <w:suff w:val="tab"/>
      <w:lvlText w:val="%1."/>
      <w:lvlJc w:val="left"/>
      <w:pPr>
        <w:pStyle w:val="794"/>
        <w:ind w:left="510" w:hanging="510"/>
        <w:tabs>
          <w:tab w:val="num" w:pos="0" w:leader="none"/>
        </w:tabs>
      </w:pPr>
      <w:rPr>
        <w:rFonts w:hint="eastAsia" w:eastAsia="宋体"/>
        <w:b w:val="0"/>
        <w:i w:val="0"/>
        <w:sz w:val="21"/>
      </w:rPr>
    </w:lvl>
    <w:lvl w:ilvl="1">
      <w:start w:val="1"/>
      <w:numFmt w:val="decimal"/>
      <w:isLgl w:val="false"/>
      <w:suff w:val="tab"/>
      <w:lvlText w:val="%2."/>
      <w:lvlJc w:val="left"/>
      <w:pPr>
        <w:pStyle w:val="794"/>
        <w:ind w:left="510" w:hanging="510"/>
        <w:tabs>
          <w:tab w:val="num" w:pos="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21">
    <w:multiLevelType w:val="hybridMultilevel"/>
    <w:lvl w:ilvl="0">
      <w:start w:val="1"/>
      <w:numFmt w:val="decimal"/>
      <w:isLgl w:val="false"/>
      <w:suff w:val="tab"/>
      <w:lvlText w:val="%1."/>
      <w:lvlJc w:val="left"/>
      <w:pPr>
        <w:pStyle w:val="794"/>
        <w:ind w:left="1350" w:hanging="510"/>
        <w:tabs>
          <w:tab w:val="num" w:pos="840" w:leader="none"/>
        </w:tabs>
      </w:p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22">
    <w:multiLevelType w:val="hybridMultilevel"/>
    <w:lvl w:ilvl="0">
      <w:start w:val="1"/>
      <w:numFmt w:val="decimal"/>
      <w:isLgl w:val="false"/>
      <w:suff w:val="tab"/>
      <w:lvlText w:val="（%1）"/>
      <w:lvlJc w:val="left"/>
      <w:pPr>
        <w:pStyle w:val="794"/>
        <w:ind w:left="840" w:hanging="840"/>
        <w:tabs>
          <w:tab w:val="num" w:pos="840" w:leader="none"/>
        </w:tabs>
      </w:pPr>
      <w:rPr>
        <w:rFonts w:hint="eastAsia"/>
      </w:rPr>
    </w:lvl>
    <w:lvl w:ilvl="1">
      <w:start w:val="1"/>
      <w:numFmt w:val="decimal"/>
      <w:isLgl w:val="false"/>
      <w:suff w:val="tab"/>
      <w:lvlText w:val="%2."/>
      <w:lvlJc w:val="left"/>
      <w:pPr>
        <w:pStyle w:val="794"/>
        <w:ind w:left="1050" w:hanging="630"/>
        <w:tabs>
          <w:tab w:val="num" w:pos="105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23">
    <w:multiLevelType w:val="hybridMultilevel"/>
    <w:lvl w:ilvl="0">
      <w:start w:val="1"/>
      <w:numFmt w:val="decimal"/>
      <w:isLgl w:val="false"/>
      <w:suff w:val="tab"/>
      <w:lvlText w:val="%1."/>
      <w:lvlJc w:val="left"/>
      <w:pPr>
        <w:pStyle w:val="794"/>
        <w:ind w:left="630" w:hanging="630"/>
        <w:tabs>
          <w:tab w:val="num" w:pos="630" w:leader="none"/>
        </w:tabs>
      </w:pPr>
      <w:rPr>
        <w:rFonts w:hint="eastAsia"/>
        <w:sz w:val="21"/>
      </w:rPr>
    </w:lvl>
    <w:lvl w:ilvl="1">
      <w:start w:val="1"/>
      <w:numFmt w:val="decimal"/>
      <w:isLgl w:val="false"/>
      <w:suff w:val="tab"/>
      <w:lvlText w:val="%1.%2"/>
      <w:lvlJc w:val="left"/>
      <w:pPr>
        <w:pStyle w:val="794"/>
        <w:ind w:left="630" w:hanging="630"/>
        <w:tabs>
          <w:tab w:val="num" w:pos="630" w:leader="none"/>
        </w:tabs>
      </w:pPr>
      <w:rPr>
        <w:rFonts w:hint="eastAsia"/>
      </w:rPr>
    </w:lvl>
    <w:lvl w:ilvl="2">
      <w:start w:val="1"/>
      <w:numFmt w:val="decimal"/>
      <w:isLgl w:val="false"/>
      <w:suff w:val="tab"/>
      <w:lvlText w:val="%1.%2.%3"/>
      <w:lvlJc w:val="left"/>
      <w:pPr>
        <w:pStyle w:val="794"/>
        <w:ind w:left="630" w:hanging="630"/>
        <w:tabs>
          <w:tab w:val="num" w:pos="630" w:leader="none"/>
        </w:tabs>
      </w:pPr>
      <w:rPr>
        <w:rFonts w:hint="eastAsia"/>
      </w:rPr>
    </w:lvl>
    <w:lvl w:ilvl="3">
      <w:start w:val="1"/>
      <w:numFmt w:val="decimal"/>
      <w:isLgl w:val="false"/>
      <w:suff w:val="tab"/>
      <w:lvlText w:val="%1.%2.%3.%4"/>
      <w:lvlJc w:val="left"/>
      <w:pPr>
        <w:pStyle w:val="794"/>
        <w:ind w:left="630" w:hanging="630"/>
        <w:tabs>
          <w:tab w:val="num" w:pos="630" w:leader="none"/>
        </w:tabs>
      </w:pPr>
      <w:rPr>
        <w:rFonts w:hint="eastAsia"/>
      </w:rPr>
    </w:lvl>
    <w:lvl w:ilvl="4">
      <w:start w:val="1"/>
      <w:numFmt w:val="decimal"/>
      <w:isLgl w:val="false"/>
      <w:suff w:val="tab"/>
      <w:lvlText w:val="%1.%2.%3.%4.%5"/>
      <w:lvlJc w:val="left"/>
      <w:pPr>
        <w:pStyle w:val="794"/>
        <w:ind w:left="630" w:hanging="630"/>
        <w:tabs>
          <w:tab w:val="num" w:pos="630" w:leader="none"/>
        </w:tabs>
      </w:pPr>
      <w:rPr>
        <w:rFonts w:hint="eastAsia"/>
      </w:rPr>
    </w:lvl>
    <w:lvl w:ilvl="5">
      <w:start w:val="1"/>
      <w:numFmt w:val="decimal"/>
      <w:isLgl w:val="false"/>
      <w:suff w:val="tab"/>
      <w:lvlText w:val="%1.%2.%3.%4.%5.%6"/>
      <w:lvlJc w:val="left"/>
      <w:pPr>
        <w:pStyle w:val="794"/>
        <w:ind w:left="630" w:hanging="630"/>
        <w:tabs>
          <w:tab w:val="num" w:pos="630" w:leader="none"/>
        </w:tabs>
      </w:pPr>
      <w:rPr>
        <w:rFonts w:hint="eastAsia"/>
      </w:rPr>
    </w:lvl>
    <w:lvl w:ilvl="6">
      <w:start w:val="1"/>
      <w:numFmt w:val="decimal"/>
      <w:isLgl w:val="false"/>
      <w:suff w:val="tab"/>
      <w:lvlText w:val="%1.%2.%3.%4.%5.%6.%7"/>
      <w:lvlJc w:val="left"/>
      <w:pPr>
        <w:pStyle w:val="794"/>
        <w:ind w:left="630" w:hanging="630"/>
        <w:tabs>
          <w:tab w:val="num" w:pos="630" w:leader="none"/>
        </w:tabs>
      </w:pPr>
      <w:rPr>
        <w:rFonts w:hint="eastAsia"/>
      </w:rPr>
    </w:lvl>
    <w:lvl w:ilvl="7">
      <w:start w:val="1"/>
      <w:numFmt w:val="decimal"/>
      <w:isLgl w:val="false"/>
      <w:suff w:val="tab"/>
      <w:lvlText w:val="%1.%2.%3.%4.%5.%6.%7.%8"/>
      <w:lvlJc w:val="left"/>
      <w:pPr>
        <w:pStyle w:val="794"/>
        <w:ind w:left="630" w:hanging="630"/>
        <w:tabs>
          <w:tab w:val="num" w:pos="630" w:leader="none"/>
        </w:tabs>
      </w:pPr>
      <w:rPr>
        <w:rFonts w:hint="eastAsia"/>
      </w:rPr>
    </w:lvl>
    <w:lvl w:ilvl="8">
      <w:start w:val="1"/>
      <w:numFmt w:val="decimal"/>
      <w:isLgl w:val="false"/>
      <w:suff w:val="tab"/>
      <w:lvlText w:val="%1.%2.%3.%4.%5.%6.%7.%8.%9"/>
      <w:lvlJc w:val="left"/>
      <w:pPr>
        <w:pStyle w:val="794"/>
        <w:ind w:left="630" w:hanging="630"/>
        <w:tabs>
          <w:tab w:val="num" w:pos="630" w:leader="none"/>
        </w:tabs>
      </w:pPr>
      <w:rPr>
        <w:rFonts w:hint="eastAsia"/>
      </w:rPr>
    </w:lvl>
  </w:abstractNum>
  <w:abstractNum w:abstractNumId="24">
    <w:multiLevelType w:val="hybridMultilevel"/>
    <w:lvl w:ilvl="0">
      <w:start w:val="1"/>
      <w:numFmt w:val="decimal"/>
      <w:isLgl w:val="false"/>
      <w:suff w:val="tab"/>
      <w:lvlText w:val="%1."/>
      <w:lvlJc w:val="left"/>
      <w:pPr>
        <w:pStyle w:val="794"/>
        <w:ind w:left="510" w:hanging="510"/>
        <w:tabs>
          <w:tab w:val="num" w:pos="0" w:leader="none"/>
        </w:tabs>
      </w:pPr>
      <w:rPr>
        <w:rFonts w:hint="eastAsia" w:eastAsia="宋体"/>
        <w:b w:val="0"/>
        <w:i w:val="0"/>
        <w:sz w:val="21"/>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25">
    <w:multiLevelType w:val="hybridMultilevel"/>
    <w:lvl w:ilvl="0">
      <w:start w:val="1"/>
      <w:numFmt w:val="decimal"/>
      <w:isLgl w:val="false"/>
      <w:suff w:val="tab"/>
      <w:lvlText w:val="%1."/>
      <w:lvlJc w:val="left"/>
      <w:pPr>
        <w:pStyle w:val="794"/>
        <w:ind w:left="510" w:hanging="510"/>
        <w:tabs>
          <w:tab w:val="num" w:pos="0" w:leader="none"/>
        </w:tabs>
      </w:p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rPr>
        <w:rFonts w:hint="eastAsia"/>
      </w:rPr>
    </w:lvl>
    <w:lvl w:ilvl="3">
      <w:start w:val="1"/>
      <w:numFmt w:val="decimal"/>
      <w:isLgl w:val="false"/>
      <w:suff w:val="tab"/>
      <w:lvlText w:val="%4."/>
      <w:lvlJc w:val="left"/>
      <w:pPr>
        <w:pStyle w:val="794"/>
        <w:ind w:left="1680" w:hanging="420"/>
        <w:tabs>
          <w:tab w:val="num" w:pos="1680" w:leader="none"/>
        </w:tabs>
      </w:pPr>
      <w:rPr>
        <w:rFonts w:hint="eastAsia"/>
      </w:rPr>
    </w:lvl>
    <w:lvl w:ilvl="4">
      <w:start w:val="1"/>
      <w:numFmt w:val="lowerLetter"/>
      <w:isLgl w:val="false"/>
      <w:suff w:val="tab"/>
      <w:lvlText w:val="%5)"/>
      <w:lvlJc w:val="left"/>
      <w:pPr>
        <w:pStyle w:val="794"/>
        <w:ind w:left="2100" w:hanging="420"/>
        <w:tabs>
          <w:tab w:val="num" w:pos="2100" w:leader="none"/>
        </w:tabs>
      </w:pPr>
      <w:rPr>
        <w:rFonts w:hint="eastAsia"/>
      </w:rPr>
    </w:lvl>
    <w:lvl w:ilvl="5">
      <w:start w:val="1"/>
      <w:numFmt w:val="lowerRoman"/>
      <w:isLgl w:val="false"/>
      <w:suff w:val="tab"/>
      <w:lvlText w:val="%6."/>
      <w:lvlJc w:val="right"/>
      <w:pPr>
        <w:pStyle w:val="794"/>
        <w:ind w:left="2520" w:hanging="420"/>
        <w:tabs>
          <w:tab w:val="num" w:pos="2520" w:leader="none"/>
        </w:tabs>
      </w:pPr>
      <w:rPr>
        <w:rFonts w:hint="eastAsia"/>
      </w:rPr>
    </w:lvl>
    <w:lvl w:ilvl="6">
      <w:start w:val="1"/>
      <w:numFmt w:val="decimal"/>
      <w:isLgl w:val="false"/>
      <w:suff w:val="tab"/>
      <w:lvlText w:val="%7."/>
      <w:lvlJc w:val="left"/>
      <w:pPr>
        <w:pStyle w:val="794"/>
        <w:ind w:left="2940" w:hanging="420"/>
        <w:tabs>
          <w:tab w:val="num" w:pos="2940" w:leader="none"/>
        </w:tabs>
      </w:pPr>
      <w:rPr>
        <w:rFonts w:hint="eastAsia"/>
      </w:rPr>
    </w:lvl>
    <w:lvl w:ilvl="7">
      <w:start w:val="1"/>
      <w:numFmt w:val="lowerLetter"/>
      <w:isLgl w:val="false"/>
      <w:suff w:val="tab"/>
      <w:lvlText w:val="%8)"/>
      <w:lvlJc w:val="left"/>
      <w:pPr>
        <w:pStyle w:val="794"/>
        <w:ind w:left="3360" w:hanging="420"/>
        <w:tabs>
          <w:tab w:val="num" w:pos="3360" w:leader="none"/>
        </w:tabs>
      </w:pPr>
      <w:rPr>
        <w:rFonts w:hint="eastAsia"/>
      </w:rPr>
    </w:lvl>
    <w:lvl w:ilvl="8">
      <w:start w:val="1"/>
      <w:numFmt w:val="lowerRoman"/>
      <w:isLgl w:val="false"/>
      <w:suff w:val="tab"/>
      <w:lvlText w:val="%9."/>
      <w:lvlJc w:val="right"/>
      <w:pPr>
        <w:pStyle w:val="794"/>
        <w:ind w:left="3780" w:hanging="420"/>
        <w:tabs>
          <w:tab w:val="num" w:pos="3780" w:leader="none"/>
        </w:tabs>
      </w:pPr>
      <w:rPr>
        <w:rFonts w:hint="eastAsia"/>
      </w:rPr>
    </w:lvl>
  </w:abstractNum>
  <w:abstractNum w:abstractNumId="26">
    <w:multiLevelType w:val="hybridMultilevel"/>
    <w:lvl w:ilvl="0">
      <w:start w:val="1"/>
      <w:numFmt w:val="decimal"/>
      <w:isLgl w:val="false"/>
      <w:suff w:val="tab"/>
      <w:lvlText w:val="%1."/>
      <w:lvlJc w:val="left"/>
      <w:pPr>
        <w:pStyle w:val="794"/>
        <w:ind w:left="420" w:hanging="420"/>
        <w:tabs>
          <w:tab w:val="num" w:pos="420" w:leader="none"/>
        </w:tabs>
      </w:pPr>
      <w:rPr>
        <w:rFonts w:hint="eastAsia"/>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27">
    <w:multiLevelType w:val="hybridMultilevel"/>
    <w:lvl w:ilvl="0">
      <w:start w:val="1"/>
      <w:numFmt w:val="decimal"/>
      <w:isLgl w:val="false"/>
      <w:suff w:val="tab"/>
      <w:lvlText w:val="%1."/>
      <w:lvlJc w:val="left"/>
      <w:pPr>
        <w:pStyle w:val="794"/>
        <w:ind w:left="420" w:hanging="420"/>
        <w:tabs>
          <w:tab w:val="num" w:pos="420" w:leader="none"/>
        </w:tabs>
      </w:pPr>
      <w:rPr>
        <w:rFonts w:hint="eastAsia" w:eastAsia="仿宋_GB2312"/>
        <w:sz w:val="21"/>
      </w:r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28">
    <w:multiLevelType w:val="hybridMultilevel"/>
    <w:lvl w:ilvl="0">
      <w:start w:val="1"/>
      <w:numFmt w:val="decimal"/>
      <w:isLgl w:val="false"/>
      <w:suff w:val="tab"/>
      <w:lvlText w:val="%1)"/>
      <w:lvlJc w:val="left"/>
      <w:pPr>
        <w:pStyle w:val="794"/>
        <w:ind w:left="480" w:hanging="480"/>
      </w:pPr>
    </w:lvl>
    <w:lvl w:ilvl="1">
      <w:start w:val="1"/>
      <w:numFmt w:val="bullet"/>
      <w:isLgl w:val="false"/>
      <w:suff w:val="tab"/>
      <w:lvlText w:val=""/>
      <w:lvlJc w:val="left"/>
      <w:pPr>
        <w:pStyle w:val="794"/>
        <w:ind w:left="960" w:hanging="480"/>
      </w:pPr>
      <w:rPr>
        <w:rFonts w:ascii="Wingdings" w:hAnsi="Wingdings"/>
      </w:rPr>
    </w:lvl>
    <w:lvl w:ilvl="2">
      <w:start w:val="1"/>
      <w:numFmt w:val="bullet"/>
      <w:isLgl w:val="false"/>
      <w:suff w:val="tab"/>
      <w:lvlText w:val=""/>
      <w:lvlJc w:val="left"/>
      <w:pPr>
        <w:pStyle w:val="794"/>
        <w:ind w:left="1440" w:hanging="480"/>
      </w:pPr>
      <w:rPr>
        <w:rFonts w:ascii="Wingdings" w:hAnsi="Wingdings"/>
      </w:rPr>
    </w:lvl>
    <w:lvl w:ilvl="3">
      <w:start w:val="1"/>
      <w:numFmt w:val="bullet"/>
      <w:isLgl w:val="false"/>
      <w:suff w:val="tab"/>
      <w:lvlText w:val=""/>
      <w:lvlJc w:val="left"/>
      <w:pPr>
        <w:pStyle w:val="794"/>
        <w:ind w:left="1920" w:hanging="480"/>
      </w:pPr>
      <w:rPr>
        <w:rFonts w:ascii="Wingdings" w:hAnsi="Wingdings"/>
      </w:rPr>
    </w:lvl>
    <w:lvl w:ilvl="4">
      <w:start w:val="1"/>
      <w:numFmt w:val="bullet"/>
      <w:isLgl w:val="false"/>
      <w:suff w:val="tab"/>
      <w:lvlText w:val=""/>
      <w:lvlJc w:val="left"/>
      <w:pPr>
        <w:pStyle w:val="794"/>
        <w:ind w:left="2400" w:hanging="480"/>
      </w:pPr>
      <w:rPr>
        <w:rFonts w:ascii="Wingdings" w:hAnsi="Wingdings"/>
      </w:rPr>
    </w:lvl>
    <w:lvl w:ilvl="5">
      <w:start w:val="1"/>
      <w:numFmt w:val="bullet"/>
      <w:isLgl w:val="false"/>
      <w:suff w:val="tab"/>
      <w:lvlText w:val=""/>
      <w:lvlJc w:val="left"/>
      <w:pPr>
        <w:pStyle w:val="794"/>
        <w:ind w:left="2880" w:hanging="480"/>
      </w:pPr>
      <w:rPr>
        <w:rFonts w:ascii="Wingdings" w:hAnsi="Wingdings"/>
      </w:rPr>
    </w:lvl>
    <w:lvl w:ilvl="6">
      <w:start w:val="1"/>
      <w:numFmt w:val="bullet"/>
      <w:isLgl w:val="false"/>
      <w:suff w:val="tab"/>
      <w:lvlText w:val=""/>
      <w:lvlJc w:val="left"/>
      <w:pPr>
        <w:pStyle w:val="794"/>
        <w:ind w:left="3360" w:hanging="480"/>
      </w:pPr>
      <w:rPr>
        <w:rFonts w:ascii="Wingdings" w:hAnsi="Wingdings"/>
      </w:rPr>
    </w:lvl>
    <w:lvl w:ilvl="7">
      <w:start w:val="1"/>
      <w:numFmt w:val="bullet"/>
      <w:isLgl w:val="false"/>
      <w:suff w:val="tab"/>
      <w:lvlText w:val=""/>
      <w:lvlJc w:val="left"/>
      <w:pPr>
        <w:pStyle w:val="794"/>
        <w:ind w:left="3840" w:hanging="480"/>
      </w:pPr>
      <w:rPr>
        <w:rFonts w:ascii="Wingdings" w:hAnsi="Wingdings"/>
      </w:rPr>
    </w:lvl>
    <w:lvl w:ilvl="8">
      <w:start w:val="1"/>
      <w:numFmt w:val="bullet"/>
      <w:isLgl w:val="false"/>
      <w:suff w:val="tab"/>
      <w:lvlText w:val=""/>
      <w:lvlJc w:val="left"/>
      <w:pPr>
        <w:pStyle w:val="794"/>
        <w:ind w:left="4320" w:hanging="480"/>
      </w:pPr>
      <w:rPr>
        <w:rFonts w:ascii="Wingdings" w:hAnsi="Wingdings"/>
      </w:rPr>
    </w:lvl>
  </w:abstractNum>
  <w:abstractNum w:abstractNumId="29">
    <w:multiLevelType w:val="hybridMultilevel"/>
    <w:lvl w:ilvl="0">
      <w:start w:val="1"/>
      <w:numFmt w:val="bullet"/>
      <w:isLgl w:val="false"/>
      <w:suff w:val="tab"/>
      <w:lvlText w:val=""/>
      <w:lvlJc w:val="left"/>
      <w:pPr>
        <w:pStyle w:val="794"/>
        <w:ind w:left="900" w:hanging="420"/>
      </w:pPr>
      <w:rPr>
        <w:rFonts w:ascii="Wingdings" w:hAnsi="Wingdings"/>
      </w:rPr>
    </w:lvl>
    <w:lvl w:ilvl="1">
      <w:start w:val="1"/>
      <w:numFmt w:val="bullet"/>
      <w:isLgl w:val="false"/>
      <w:suff w:val="tab"/>
      <w:lvlText w:val=""/>
      <w:lvlJc w:val="left"/>
      <w:pPr>
        <w:pStyle w:val="794"/>
        <w:ind w:left="1320" w:hanging="420"/>
      </w:pPr>
      <w:rPr>
        <w:rFonts w:ascii="Wingdings" w:hAnsi="Wingdings"/>
      </w:rPr>
    </w:lvl>
    <w:lvl w:ilvl="2">
      <w:start w:val="1"/>
      <w:numFmt w:val="bullet"/>
      <w:isLgl w:val="false"/>
      <w:suff w:val="tab"/>
      <w:lvlText w:val=""/>
      <w:lvlJc w:val="left"/>
      <w:pPr>
        <w:pStyle w:val="794"/>
        <w:ind w:left="1740" w:hanging="420"/>
      </w:pPr>
      <w:rPr>
        <w:rFonts w:ascii="Wingdings" w:hAnsi="Wingdings"/>
      </w:rPr>
    </w:lvl>
    <w:lvl w:ilvl="3">
      <w:start w:val="1"/>
      <w:numFmt w:val="bullet"/>
      <w:isLgl w:val="false"/>
      <w:suff w:val="tab"/>
      <w:lvlText w:val=""/>
      <w:lvlJc w:val="left"/>
      <w:pPr>
        <w:pStyle w:val="794"/>
        <w:ind w:left="2160" w:hanging="420"/>
      </w:pPr>
      <w:rPr>
        <w:rFonts w:ascii="Wingdings" w:hAnsi="Wingdings"/>
      </w:rPr>
    </w:lvl>
    <w:lvl w:ilvl="4">
      <w:start w:val="1"/>
      <w:numFmt w:val="bullet"/>
      <w:isLgl w:val="false"/>
      <w:suff w:val="tab"/>
      <w:lvlText w:val=""/>
      <w:lvlJc w:val="left"/>
      <w:pPr>
        <w:pStyle w:val="794"/>
        <w:ind w:left="2580" w:hanging="420"/>
      </w:pPr>
      <w:rPr>
        <w:rFonts w:ascii="Wingdings" w:hAnsi="Wingdings"/>
      </w:rPr>
    </w:lvl>
    <w:lvl w:ilvl="5">
      <w:start w:val="1"/>
      <w:numFmt w:val="bullet"/>
      <w:isLgl w:val="false"/>
      <w:suff w:val="tab"/>
      <w:lvlText w:val=""/>
      <w:lvlJc w:val="left"/>
      <w:pPr>
        <w:pStyle w:val="794"/>
        <w:ind w:left="3000" w:hanging="420"/>
      </w:pPr>
      <w:rPr>
        <w:rFonts w:ascii="Wingdings" w:hAnsi="Wingdings"/>
      </w:rPr>
    </w:lvl>
    <w:lvl w:ilvl="6">
      <w:start w:val="1"/>
      <w:numFmt w:val="bullet"/>
      <w:isLgl w:val="false"/>
      <w:suff w:val="tab"/>
      <w:lvlText w:val=""/>
      <w:lvlJc w:val="left"/>
      <w:pPr>
        <w:pStyle w:val="794"/>
        <w:ind w:left="3420" w:hanging="420"/>
      </w:pPr>
      <w:rPr>
        <w:rFonts w:ascii="Wingdings" w:hAnsi="Wingdings"/>
      </w:rPr>
    </w:lvl>
    <w:lvl w:ilvl="7">
      <w:start w:val="1"/>
      <w:numFmt w:val="bullet"/>
      <w:isLgl w:val="false"/>
      <w:suff w:val="tab"/>
      <w:lvlText w:val=""/>
      <w:lvlJc w:val="left"/>
      <w:pPr>
        <w:pStyle w:val="794"/>
        <w:ind w:left="3840" w:hanging="420"/>
      </w:pPr>
      <w:rPr>
        <w:rFonts w:ascii="Wingdings" w:hAnsi="Wingdings"/>
      </w:rPr>
    </w:lvl>
    <w:lvl w:ilvl="8">
      <w:start w:val="1"/>
      <w:numFmt w:val="bullet"/>
      <w:isLgl w:val="false"/>
      <w:suff w:val="tab"/>
      <w:lvlText w:val=""/>
      <w:lvlJc w:val="left"/>
      <w:pPr>
        <w:pStyle w:val="794"/>
        <w:ind w:left="4260" w:hanging="420"/>
      </w:pPr>
      <w:rPr>
        <w:rFonts w:ascii="Wingdings" w:hAnsi="Wingdings"/>
      </w:rPr>
    </w:lvl>
  </w:abstractNum>
  <w:abstractNum w:abstractNumId="30">
    <w:multiLevelType w:val="hybridMultilevel"/>
    <w:lvl w:ilvl="0">
      <w:start w:val="1"/>
      <w:numFmt w:val="decimal"/>
      <w:isLgl w:val="false"/>
      <w:suff w:val="tab"/>
      <w:lvlText w:val="%1."/>
      <w:lvlJc w:val="left"/>
      <w:pPr>
        <w:pStyle w:val="794"/>
        <w:ind w:left="1470" w:hanging="630"/>
        <w:tabs>
          <w:tab w:val="num" w:pos="1470" w:leader="none"/>
        </w:tabs>
      </w:pPr>
    </w:lvl>
    <w:lvl w:ilvl="1">
      <w:start w:val="1"/>
      <w:numFmt w:val="lowerLetter"/>
      <w:isLgl w:val="false"/>
      <w:suff w:val="tab"/>
      <w:lvlText w:val="%2)"/>
      <w:lvlJc w:val="left"/>
      <w:pPr>
        <w:pStyle w:val="794"/>
        <w:ind w:left="840" w:hanging="420"/>
        <w:tabs>
          <w:tab w:val="num" w:pos="84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abstractNum w:abstractNumId="31">
    <w:multiLevelType w:val="hybridMultilevel"/>
    <w:lvl w:ilvl="0">
      <w:start w:val="1"/>
      <w:numFmt w:val="decimal"/>
      <w:isLgl w:val="false"/>
      <w:suff w:val="tab"/>
      <w:lvlText w:val="%1."/>
      <w:lvlJc w:val="left"/>
      <w:pPr>
        <w:pStyle w:val="794"/>
        <w:ind w:left="425" w:hanging="425"/>
        <w:tabs>
          <w:tab w:val="num" w:pos="425" w:leader="none"/>
        </w:tabs>
      </w:pPr>
      <w:rPr>
        <w:rFonts w:hint="eastAsia"/>
      </w:rPr>
    </w:lvl>
    <w:lvl w:ilvl="1">
      <w:start w:val="1"/>
      <w:numFmt w:val="decimal"/>
      <w:isLgl w:val="false"/>
      <w:suff w:val="tab"/>
      <w:lvlText w:val="%1.%2."/>
      <w:lvlJc w:val="left"/>
      <w:pPr>
        <w:pStyle w:val="794"/>
        <w:ind w:left="567" w:hanging="567"/>
        <w:tabs>
          <w:tab w:val="num" w:pos="567" w:leader="none"/>
        </w:tabs>
      </w:pPr>
      <w:rPr>
        <w:rFonts w:hint="eastAsia"/>
      </w:rPr>
    </w:lvl>
    <w:lvl w:ilvl="2">
      <w:start w:val="1"/>
      <w:numFmt w:val="decimal"/>
      <w:isLgl w:val="false"/>
      <w:suff w:val="tab"/>
      <w:lvlText w:val="%1.%2.%3."/>
      <w:lvlJc w:val="left"/>
      <w:pPr>
        <w:pStyle w:val="794"/>
        <w:ind w:left="709" w:hanging="709"/>
        <w:tabs>
          <w:tab w:val="num" w:pos="709" w:leader="none"/>
        </w:tabs>
      </w:pPr>
      <w:rPr>
        <w:rFonts w:hint="eastAsia"/>
      </w:rPr>
    </w:lvl>
    <w:lvl w:ilvl="3">
      <w:start w:val="1"/>
      <w:numFmt w:val="decimal"/>
      <w:isLgl w:val="false"/>
      <w:suff w:val="tab"/>
      <w:lvlText w:val="%1.%2.%3.%4."/>
      <w:lvlJc w:val="left"/>
      <w:pPr>
        <w:pStyle w:val="794"/>
        <w:ind w:left="851" w:hanging="851"/>
        <w:tabs>
          <w:tab w:val="num" w:pos="851" w:leader="none"/>
        </w:tabs>
      </w:pPr>
      <w:rPr>
        <w:rFonts w:hint="eastAsia"/>
      </w:rPr>
    </w:lvl>
    <w:lvl w:ilvl="4">
      <w:start w:val="1"/>
      <w:numFmt w:val="decimal"/>
      <w:isLgl w:val="false"/>
      <w:suff w:val="tab"/>
      <w:lvlText w:val="%1.%2.%3.%4.%5."/>
      <w:lvlJc w:val="left"/>
      <w:pPr>
        <w:pStyle w:val="794"/>
        <w:ind w:left="992" w:hanging="992"/>
        <w:tabs>
          <w:tab w:val="num" w:pos="992" w:leader="none"/>
        </w:tabs>
      </w:pPr>
      <w:rPr>
        <w:rFonts w:hint="eastAsia"/>
      </w:rPr>
    </w:lvl>
    <w:lvl w:ilvl="5">
      <w:start w:val="1"/>
      <w:numFmt w:val="decimal"/>
      <w:isLgl w:val="false"/>
      <w:suff w:val="tab"/>
      <w:lvlText w:val="%1.%2.%3.%4.%5.%6."/>
      <w:lvlJc w:val="left"/>
      <w:pPr>
        <w:pStyle w:val="794"/>
        <w:ind w:left="1134" w:hanging="1134"/>
        <w:tabs>
          <w:tab w:val="num" w:pos="1134" w:leader="none"/>
        </w:tabs>
      </w:pPr>
      <w:rPr>
        <w:rFonts w:hint="eastAsia"/>
      </w:rPr>
    </w:lvl>
    <w:lvl w:ilvl="6">
      <w:start w:val="1"/>
      <w:numFmt w:val="decimal"/>
      <w:isLgl w:val="false"/>
      <w:suff w:val="tab"/>
      <w:lvlText w:val="%1.%2.%3.%4.%5.%6.%7."/>
      <w:lvlJc w:val="left"/>
      <w:pPr>
        <w:pStyle w:val="794"/>
        <w:ind w:left="1276" w:hanging="1276"/>
        <w:tabs>
          <w:tab w:val="num" w:pos="1276" w:leader="none"/>
        </w:tabs>
      </w:pPr>
      <w:rPr>
        <w:rFonts w:hint="eastAsia"/>
      </w:rPr>
    </w:lvl>
    <w:lvl w:ilvl="7">
      <w:start w:val="1"/>
      <w:numFmt w:val="decimal"/>
      <w:isLgl w:val="false"/>
      <w:suff w:val="tab"/>
      <w:lvlText w:val="%1.%2.%3.%4.%5.%6.%7.%8."/>
      <w:lvlJc w:val="left"/>
      <w:pPr>
        <w:pStyle w:val="794"/>
        <w:ind w:left="1418" w:hanging="1418"/>
        <w:tabs>
          <w:tab w:val="num" w:pos="1418" w:leader="none"/>
        </w:tabs>
      </w:pPr>
      <w:rPr>
        <w:rFonts w:hint="eastAsia"/>
      </w:rPr>
    </w:lvl>
    <w:lvl w:ilvl="8">
      <w:start w:val="1"/>
      <w:numFmt w:val="decimal"/>
      <w:isLgl w:val="false"/>
      <w:suff w:val="tab"/>
      <w:lvlText w:val="%1.%2.%3.%4.%5.%6.%7.%8.%9."/>
      <w:lvlJc w:val="left"/>
      <w:pPr>
        <w:pStyle w:val="794"/>
        <w:ind w:left="1559" w:hanging="1559"/>
        <w:tabs>
          <w:tab w:val="num" w:pos="1559" w:leader="none"/>
        </w:tabs>
      </w:pPr>
      <w:rPr>
        <w:rFonts w:hint="eastAsia"/>
      </w:rPr>
    </w:lvl>
  </w:abstractNum>
  <w:abstractNum w:abstractNumId="32">
    <w:multiLevelType w:val="hybridMultilevel"/>
    <w:lvl w:ilvl="0">
      <w:start w:val="1"/>
      <w:numFmt w:val="decimal"/>
      <w:isLgl w:val="false"/>
      <w:suff w:val="tab"/>
      <w:lvlText w:val="（%1）"/>
      <w:lvlJc w:val="left"/>
      <w:pPr>
        <w:pStyle w:val="794"/>
        <w:ind w:left="840" w:hanging="840"/>
        <w:tabs>
          <w:tab w:val="num" w:pos="840" w:leader="none"/>
        </w:tabs>
      </w:pPr>
      <w:rPr>
        <w:rFonts w:hint="eastAsia"/>
      </w:rPr>
    </w:lvl>
    <w:lvl w:ilvl="1">
      <w:start w:val="1"/>
      <w:numFmt w:val="decimal"/>
      <w:isLgl w:val="false"/>
      <w:suff w:val="tab"/>
      <w:lvlText w:val="%2."/>
      <w:lvlJc w:val="left"/>
      <w:pPr>
        <w:pStyle w:val="794"/>
        <w:ind w:left="1050" w:hanging="630"/>
        <w:tabs>
          <w:tab w:val="num" w:pos="1050" w:leader="none"/>
        </w:tabs>
      </w:pPr>
    </w:lvl>
    <w:lvl w:ilvl="2">
      <w:start w:val="1"/>
      <w:numFmt w:val="lowerRoman"/>
      <w:isLgl w:val="false"/>
      <w:suff w:val="tab"/>
      <w:lvlText w:val="%3."/>
      <w:lvlJc w:val="right"/>
      <w:pPr>
        <w:pStyle w:val="794"/>
        <w:ind w:left="1260" w:hanging="420"/>
        <w:tabs>
          <w:tab w:val="num" w:pos="1260" w:leader="none"/>
        </w:tabs>
      </w:pPr>
      <w:rPr>
        <w:rFonts w:hint="eastAsia"/>
      </w:rPr>
    </w:lvl>
    <w:lvl w:ilvl="3">
      <w:start w:val="1"/>
      <w:numFmt w:val="decimal"/>
      <w:isLgl w:val="false"/>
      <w:suff w:val="tab"/>
      <w:lvlText w:val="%4."/>
      <w:lvlJc w:val="left"/>
      <w:pPr>
        <w:pStyle w:val="794"/>
        <w:ind w:left="1680" w:hanging="420"/>
        <w:tabs>
          <w:tab w:val="num" w:pos="1680" w:leader="none"/>
        </w:tabs>
      </w:pPr>
      <w:rPr>
        <w:rFonts w:hint="eastAsia"/>
      </w:rPr>
    </w:lvl>
    <w:lvl w:ilvl="4">
      <w:start w:val="1"/>
      <w:numFmt w:val="lowerLetter"/>
      <w:isLgl w:val="false"/>
      <w:suff w:val="tab"/>
      <w:lvlText w:val="%5)"/>
      <w:lvlJc w:val="left"/>
      <w:pPr>
        <w:pStyle w:val="794"/>
        <w:ind w:left="2100" w:hanging="420"/>
        <w:tabs>
          <w:tab w:val="num" w:pos="2100" w:leader="none"/>
        </w:tabs>
      </w:pPr>
      <w:rPr>
        <w:rFonts w:hint="eastAsia"/>
      </w:rPr>
    </w:lvl>
    <w:lvl w:ilvl="5">
      <w:start w:val="1"/>
      <w:numFmt w:val="lowerRoman"/>
      <w:isLgl w:val="false"/>
      <w:suff w:val="tab"/>
      <w:lvlText w:val="%6."/>
      <w:lvlJc w:val="right"/>
      <w:pPr>
        <w:pStyle w:val="794"/>
        <w:ind w:left="2520" w:hanging="420"/>
        <w:tabs>
          <w:tab w:val="num" w:pos="2520" w:leader="none"/>
        </w:tabs>
      </w:pPr>
      <w:rPr>
        <w:rFonts w:hint="eastAsia"/>
      </w:rPr>
    </w:lvl>
    <w:lvl w:ilvl="6">
      <w:start w:val="1"/>
      <w:numFmt w:val="decimal"/>
      <w:isLgl w:val="false"/>
      <w:suff w:val="tab"/>
      <w:lvlText w:val="%7."/>
      <w:lvlJc w:val="left"/>
      <w:pPr>
        <w:pStyle w:val="794"/>
        <w:ind w:left="2940" w:hanging="420"/>
        <w:tabs>
          <w:tab w:val="num" w:pos="2940" w:leader="none"/>
        </w:tabs>
      </w:pPr>
      <w:rPr>
        <w:rFonts w:hint="eastAsia"/>
      </w:rPr>
    </w:lvl>
    <w:lvl w:ilvl="7">
      <w:start w:val="1"/>
      <w:numFmt w:val="lowerLetter"/>
      <w:isLgl w:val="false"/>
      <w:suff w:val="tab"/>
      <w:lvlText w:val="%8)"/>
      <w:lvlJc w:val="left"/>
      <w:pPr>
        <w:pStyle w:val="794"/>
        <w:ind w:left="3360" w:hanging="420"/>
        <w:tabs>
          <w:tab w:val="num" w:pos="3360" w:leader="none"/>
        </w:tabs>
      </w:pPr>
      <w:rPr>
        <w:rFonts w:hint="eastAsia"/>
      </w:rPr>
    </w:lvl>
    <w:lvl w:ilvl="8">
      <w:start w:val="1"/>
      <w:numFmt w:val="lowerRoman"/>
      <w:isLgl w:val="false"/>
      <w:suff w:val="tab"/>
      <w:lvlText w:val="%9."/>
      <w:lvlJc w:val="right"/>
      <w:pPr>
        <w:pStyle w:val="794"/>
        <w:ind w:left="3780" w:hanging="420"/>
        <w:tabs>
          <w:tab w:val="num" w:pos="3780" w:leader="none"/>
        </w:tabs>
      </w:pPr>
      <w:rPr>
        <w:rFonts w:hint="eastAsia"/>
      </w:rPr>
    </w:lvl>
  </w:abstractNum>
  <w:abstractNum w:abstractNumId="33">
    <w:multiLevelType w:val="hybridMultilevel"/>
    <w:lvl w:ilvl="0">
      <w:start w:val="1"/>
      <w:numFmt w:val="bullet"/>
      <w:isLgl w:val="false"/>
      <w:suff w:val="tab"/>
      <w:lvlText w:val=""/>
      <w:lvlJc w:val="left"/>
      <w:pPr>
        <w:pStyle w:val="794"/>
        <w:ind w:left="420" w:hanging="420"/>
      </w:pPr>
      <w:rPr>
        <w:rFonts w:ascii="Wingdings" w:hAnsi="Wingdings"/>
      </w:rPr>
    </w:lvl>
    <w:lvl w:ilvl="1">
      <w:start w:val="1"/>
      <w:numFmt w:val="bullet"/>
      <w:isLgl w:val="false"/>
      <w:suff w:val="tab"/>
      <w:lvlText w:val=""/>
      <w:lvlJc w:val="left"/>
      <w:pPr>
        <w:pStyle w:val="794"/>
        <w:ind w:left="840" w:hanging="420"/>
      </w:pPr>
      <w:rPr>
        <w:rFonts w:ascii="Wingdings" w:hAnsi="Wingdings"/>
      </w:rPr>
    </w:lvl>
    <w:lvl w:ilvl="2">
      <w:start w:val="1"/>
      <w:numFmt w:val="bullet"/>
      <w:isLgl w:val="false"/>
      <w:suff w:val="tab"/>
      <w:lvlText w:val=""/>
      <w:lvlJc w:val="left"/>
      <w:pPr>
        <w:pStyle w:val="794"/>
        <w:ind w:left="1260" w:hanging="420"/>
      </w:pPr>
      <w:rPr>
        <w:rFonts w:ascii="Wingdings" w:hAnsi="Wingdings"/>
      </w:rPr>
    </w:lvl>
    <w:lvl w:ilvl="3">
      <w:start w:val="1"/>
      <w:numFmt w:val="bullet"/>
      <w:isLgl w:val="false"/>
      <w:suff w:val="tab"/>
      <w:lvlText w:val=""/>
      <w:lvlJc w:val="left"/>
      <w:pPr>
        <w:pStyle w:val="794"/>
        <w:ind w:left="1680" w:hanging="420"/>
      </w:pPr>
      <w:rPr>
        <w:rFonts w:ascii="Wingdings" w:hAnsi="Wingdings"/>
      </w:rPr>
    </w:lvl>
    <w:lvl w:ilvl="4">
      <w:start w:val="1"/>
      <w:numFmt w:val="bullet"/>
      <w:isLgl w:val="false"/>
      <w:suff w:val="tab"/>
      <w:lvlText w:val=""/>
      <w:lvlJc w:val="left"/>
      <w:pPr>
        <w:pStyle w:val="794"/>
        <w:ind w:left="2100" w:hanging="420"/>
      </w:pPr>
      <w:rPr>
        <w:rFonts w:ascii="Wingdings" w:hAnsi="Wingdings"/>
      </w:rPr>
    </w:lvl>
    <w:lvl w:ilvl="5">
      <w:start w:val="1"/>
      <w:numFmt w:val="bullet"/>
      <w:isLgl w:val="false"/>
      <w:suff w:val="tab"/>
      <w:lvlText w:val=""/>
      <w:lvlJc w:val="left"/>
      <w:pPr>
        <w:pStyle w:val="794"/>
        <w:ind w:left="2520" w:hanging="420"/>
      </w:pPr>
      <w:rPr>
        <w:rFonts w:ascii="Wingdings" w:hAnsi="Wingdings"/>
      </w:rPr>
    </w:lvl>
    <w:lvl w:ilvl="6">
      <w:start w:val="1"/>
      <w:numFmt w:val="bullet"/>
      <w:isLgl w:val="false"/>
      <w:suff w:val="tab"/>
      <w:lvlText w:val=""/>
      <w:lvlJc w:val="left"/>
      <w:pPr>
        <w:pStyle w:val="794"/>
        <w:ind w:left="2940" w:hanging="420"/>
      </w:pPr>
      <w:rPr>
        <w:rFonts w:ascii="Wingdings" w:hAnsi="Wingdings"/>
      </w:rPr>
    </w:lvl>
    <w:lvl w:ilvl="7">
      <w:start w:val="1"/>
      <w:numFmt w:val="bullet"/>
      <w:isLgl w:val="false"/>
      <w:suff w:val="tab"/>
      <w:lvlText w:val=""/>
      <w:lvlJc w:val="left"/>
      <w:pPr>
        <w:pStyle w:val="794"/>
        <w:ind w:left="3360" w:hanging="420"/>
      </w:pPr>
      <w:rPr>
        <w:rFonts w:ascii="Wingdings" w:hAnsi="Wingdings"/>
      </w:rPr>
    </w:lvl>
    <w:lvl w:ilvl="8">
      <w:start w:val="1"/>
      <w:numFmt w:val="bullet"/>
      <w:isLgl w:val="false"/>
      <w:suff w:val="tab"/>
      <w:lvlText w:val=""/>
      <w:lvlJc w:val="left"/>
      <w:pPr>
        <w:pStyle w:val="794"/>
        <w:ind w:left="3780" w:hanging="420"/>
      </w:pPr>
      <w:rPr>
        <w:rFonts w:ascii="Wingdings" w:hAnsi="Wingdings"/>
      </w:rPr>
    </w:lvl>
  </w:abstractNum>
  <w:abstractNum w:abstractNumId="34">
    <w:multiLevelType w:val="hybridMultilevel"/>
    <w:lvl w:ilvl="0">
      <w:start w:val="1"/>
      <w:numFmt w:val="decimal"/>
      <w:isLgl w:val="false"/>
      <w:suff w:val="tab"/>
      <w:lvlText w:val="%1."/>
      <w:lvlJc w:val="left"/>
      <w:pPr>
        <w:pStyle w:val="794"/>
        <w:ind w:left="425" w:hanging="425"/>
        <w:tabs>
          <w:tab w:val="num" w:pos="425" w:leader="none"/>
        </w:tabs>
      </w:pPr>
      <w:rPr>
        <w:rFonts w:hint="eastAsia"/>
        <w:sz w:val="21"/>
      </w:rPr>
    </w:lvl>
    <w:lvl w:ilvl="1">
      <w:start w:val="1"/>
      <w:numFmt w:val="decimal"/>
      <w:isLgl w:val="false"/>
      <w:suff w:val="tab"/>
      <w:lvlText w:val="%1.%2."/>
      <w:lvlJc w:val="left"/>
      <w:pPr>
        <w:pStyle w:val="794"/>
        <w:ind w:left="567" w:hanging="567"/>
        <w:tabs>
          <w:tab w:val="num" w:pos="567" w:leader="none"/>
        </w:tabs>
      </w:pPr>
      <w:rPr>
        <w:rFonts w:hint="eastAsia"/>
      </w:rPr>
    </w:lvl>
    <w:lvl w:ilvl="2">
      <w:start w:val="1"/>
      <w:numFmt w:val="decimal"/>
      <w:isLgl w:val="false"/>
      <w:suff w:val="tab"/>
      <w:lvlText w:val="（%3）"/>
      <w:lvlJc w:val="left"/>
      <w:pPr>
        <w:pStyle w:val="794"/>
        <w:ind w:left="709" w:hanging="709"/>
        <w:tabs>
          <w:tab w:val="num" w:pos="709" w:leader="none"/>
        </w:tabs>
      </w:pPr>
      <w:rPr>
        <w:rFonts w:hint="eastAsia"/>
      </w:rPr>
    </w:lvl>
    <w:lvl w:ilvl="3">
      <w:start w:val="1"/>
      <w:numFmt w:val="decimal"/>
      <w:isLgl w:val="false"/>
      <w:suff w:val="tab"/>
      <w:lvlText w:val="%1.%2.%3.%4."/>
      <w:lvlJc w:val="left"/>
      <w:pPr>
        <w:pStyle w:val="794"/>
        <w:ind w:left="851" w:hanging="851"/>
        <w:tabs>
          <w:tab w:val="num" w:pos="851" w:leader="none"/>
        </w:tabs>
      </w:pPr>
      <w:rPr>
        <w:rFonts w:hint="eastAsia"/>
      </w:rPr>
    </w:lvl>
    <w:lvl w:ilvl="4">
      <w:start w:val="1"/>
      <w:numFmt w:val="decimal"/>
      <w:isLgl w:val="false"/>
      <w:suff w:val="tab"/>
      <w:lvlText w:val="%1.%2.%3.%4.%5."/>
      <w:lvlJc w:val="left"/>
      <w:pPr>
        <w:pStyle w:val="794"/>
        <w:ind w:left="992" w:hanging="992"/>
        <w:tabs>
          <w:tab w:val="num" w:pos="992" w:leader="none"/>
        </w:tabs>
      </w:pPr>
      <w:rPr>
        <w:rFonts w:hint="eastAsia"/>
      </w:rPr>
    </w:lvl>
    <w:lvl w:ilvl="5">
      <w:start w:val="1"/>
      <w:numFmt w:val="decimal"/>
      <w:isLgl w:val="false"/>
      <w:suff w:val="tab"/>
      <w:lvlText w:val="%1.%2.%3.%4.%5.%6."/>
      <w:lvlJc w:val="left"/>
      <w:pPr>
        <w:pStyle w:val="794"/>
        <w:ind w:left="1134" w:hanging="1134"/>
        <w:tabs>
          <w:tab w:val="num" w:pos="1134" w:leader="none"/>
        </w:tabs>
      </w:pPr>
      <w:rPr>
        <w:rFonts w:hint="eastAsia"/>
      </w:rPr>
    </w:lvl>
    <w:lvl w:ilvl="6">
      <w:start w:val="1"/>
      <w:numFmt w:val="decimal"/>
      <w:isLgl w:val="false"/>
      <w:suff w:val="tab"/>
      <w:lvlText w:val="%1.%2.%3.%4.%5.%6.%7."/>
      <w:lvlJc w:val="left"/>
      <w:pPr>
        <w:pStyle w:val="794"/>
        <w:ind w:left="1276" w:hanging="1276"/>
        <w:tabs>
          <w:tab w:val="num" w:pos="1276" w:leader="none"/>
        </w:tabs>
      </w:pPr>
      <w:rPr>
        <w:rFonts w:hint="eastAsia"/>
      </w:rPr>
    </w:lvl>
    <w:lvl w:ilvl="7">
      <w:start w:val="1"/>
      <w:numFmt w:val="decimal"/>
      <w:isLgl w:val="false"/>
      <w:suff w:val="tab"/>
      <w:lvlText w:val="%1.%2.%3.%4.%5.%6.%7.%8."/>
      <w:lvlJc w:val="left"/>
      <w:pPr>
        <w:pStyle w:val="794"/>
        <w:ind w:left="1418" w:hanging="1418"/>
        <w:tabs>
          <w:tab w:val="num" w:pos="1418" w:leader="none"/>
        </w:tabs>
      </w:pPr>
      <w:rPr>
        <w:rFonts w:hint="eastAsia"/>
      </w:rPr>
    </w:lvl>
    <w:lvl w:ilvl="8">
      <w:start w:val="1"/>
      <w:numFmt w:val="decimal"/>
      <w:isLgl w:val="false"/>
      <w:suff w:val="tab"/>
      <w:lvlText w:val="%1.%2.%3.%4.%5.%6.%7.%8.%9."/>
      <w:lvlJc w:val="left"/>
      <w:pPr>
        <w:pStyle w:val="794"/>
        <w:ind w:left="1559" w:hanging="1559"/>
        <w:tabs>
          <w:tab w:val="num" w:pos="1559" w:leader="none"/>
        </w:tabs>
      </w:pPr>
      <w:rPr>
        <w:rFonts w:hint="eastAsia"/>
      </w:rPr>
    </w:lvl>
  </w:abstractNum>
  <w:abstractNum w:abstractNumId="35">
    <w:multiLevelType w:val="hybridMultilevel"/>
    <w:lvl w:ilvl="0">
      <w:start w:val="1"/>
      <w:numFmt w:val="decimal"/>
      <w:isLgl w:val="false"/>
      <w:suff w:val="tab"/>
      <w:lvlText w:val="%1)"/>
      <w:lvlJc w:val="left"/>
      <w:pPr>
        <w:pStyle w:val="794"/>
        <w:ind w:left="360" w:hanging="360"/>
      </w:pPr>
    </w:lvl>
    <w:lvl w:ilvl="1">
      <w:start w:val="1"/>
      <w:numFmt w:val="lowerLetter"/>
      <w:isLgl w:val="false"/>
      <w:suff w:val="tab"/>
      <w:lvlText w:val="%2)"/>
      <w:lvlJc w:val="left"/>
      <w:pPr>
        <w:pStyle w:val="794"/>
        <w:ind w:left="840" w:hanging="420"/>
      </w:pPr>
    </w:lvl>
    <w:lvl w:ilvl="2">
      <w:start w:val="1"/>
      <w:numFmt w:val="lowerRoman"/>
      <w:isLgl w:val="false"/>
      <w:suff w:val="tab"/>
      <w:lvlText w:val="%3."/>
      <w:lvlJc w:val="right"/>
      <w:pPr>
        <w:pStyle w:val="794"/>
        <w:ind w:left="1260" w:hanging="420"/>
      </w:pPr>
    </w:lvl>
    <w:lvl w:ilvl="3">
      <w:start w:val="1"/>
      <w:numFmt w:val="decimal"/>
      <w:isLgl w:val="false"/>
      <w:suff w:val="tab"/>
      <w:lvlText w:val="%4."/>
      <w:lvlJc w:val="left"/>
      <w:pPr>
        <w:pStyle w:val="794"/>
        <w:ind w:left="1680" w:hanging="420"/>
      </w:pPr>
    </w:lvl>
    <w:lvl w:ilvl="4">
      <w:start w:val="1"/>
      <w:numFmt w:val="lowerLetter"/>
      <w:isLgl w:val="false"/>
      <w:suff w:val="tab"/>
      <w:lvlText w:val="%5)"/>
      <w:lvlJc w:val="left"/>
      <w:pPr>
        <w:pStyle w:val="794"/>
        <w:ind w:left="2100" w:hanging="420"/>
      </w:pPr>
    </w:lvl>
    <w:lvl w:ilvl="5">
      <w:start w:val="1"/>
      <w:numFmt w:val="lowerRoman"/>
      <w:isLgl w:val="false"/>
      <w:suff w:val="tab"/>
      <w:lvlText w:val="%6."/>
      <w:lvlJc w:val="right"/>
      <w:pPr>
        <w:pStyle w:val="794"/>
        <w:ind w:left="2520" w:hanging="420"/>
      </w:pPr>
    </w:lvl>
    <w:lvl w:ilvl="6">
      <w:start w:val="1"/>
      <w:numFmt w:val="decimal"/>
      <w:isLgl w:val="false"/>
      <w:suff w:val="tab"/>
      <w:lvlText w:val="%7."/>
      <w:lvlJc w:val="left"/>
      <w:pPr>
        <w:pStyle w:val="794"/>
        <w:ind w:left="2940" w:hanging="420"/>
      </w:pPr>
    </w:lvl>
    <w:lvl w:ilvl="7">
      <w:start w:val="1"/>
      <w:numFmt w:val="lowerLetter"/>
      <w:isLgl w:val="false"/>
      <w:suff w:val="tab"/>
      <w:lvlText w:val="%8)"/>
      <w:lvlJc w:val="left"/>
      <w:pPr>
        <w:pStyle w:val="794"/>
        <w:ind w:left="3360" w:hanging="420"/>
      </w:pPr>
    </w:lvl>
    <w:lvl w:ilvl="8">
      <w:start w:val="1"/>
      <w:numFmt w:val="lowerRoman"/>
      <w:isLgl w:val="false"/>
      <w:suff w:val="tab"/>
      <w:lvlText w:val="%9."/>
      <w:lvlJc w:val="right"/>
      <w:pPr>
        <w:pStyle w:val="794"/>
        <w:ind w:left="3780" w:hanging="420"/>
      </w:pPr>
    </w:lvl>
  </w:abstractNum>
  <w:abstractNum w:abstractNumId="36">
    <w:multiLevelType w:val="hybridMultilevel"/>
    <w:lvl w:ilvl="0">
      <w:start w:val="2"/>
      <w:numFmt w:val="decimal"/>
      <w:isLgl w:val="false"/>
      <w:suff w:val="tab"/>
      <w:lvlText w:val="%1."/>
      <w:lvlJc w:val="left"/>
      <w:pPr>
        <w:pStyle w:val="794"/>
        <w:ind w:left="510" w:hanging="510"/>
        <w:tabs>
          <w:tab w:val="num" w:pos="0" w:leader="none"/>
        </w:tabs>
      </w:pPr>
    </w:lvl>
    <w:lvl w:ilvl="1">
      <w:start w:val="1"/>
      <w:numFmt w:val="decimal"/>
      <w:isLgl w:val="false"/>
      <w:suff w:val="tab"/>
      <w:lvlText w:val="%2."/>
      <w:lvlJc w:val="left"/>
      <w:pPr>
        <w:pStyle w:val="794"/>
        <w:ind w:left="1050" w:hanging="630"/>
        <w:tabs>
          <w:tab w:val="num" w:pos="1050" w:leader="none"/>
        </w:tabs>
      </w:pPr>
    </w:lvl>
    <w:lvl w:ilvl="2">
      <w:start w:val="1"/>
      <w:numFmt w:val="lowerRoman"/>
      <w:isLgl w:val="false"/>
      <w:suff w:val="tab"/>
      <w:lvlText w:val="%3."/>
      <w:lvlJc w:val="right"/>
      <w:pPr>
        <w:pStyle w:val="794"/>
        <w:ind w:left="1260" w:hanging="420"/>
        <w:tabs>
          <w:tab w:val="num" w:pos="1260" w:leader="none"/>
        </w:tabs>
      </w:pPr>
    </w:lvl>
    <w:lvl w:ilvl="3">
      <w:start w:val="1"/>
      <w:numFmt w:val="decimal"/>
      <w:isLgl w:val="false"/>
      <w:suff w:val="tab"/>
      <w:lvlText w:val="%4."/>
      <w:lvlJc w:val="left"/>
      <w:pPr>
        <w:pStyle w:val="794"/>
        <w:ind w:left="1680" w:hanging="420"/>
        <w:tabs>
          <w:tab w:val="num" w:pos="1680" w:leader="none"/>
        </w:tabs>
      </w:pPr>
    </w:lvl>
    <w:lvl w:ilvl="4">
      <w:start w:val="1"/>
      <w:numFmt w:val="lowerLetter"/>
      <w:isLgl w:val="false"/>
      <w:suff w:val="tab"/>
      <w:lvlText w:val="%5)"/>
      <w:lvlJc w:val="left"/>
      <w:pPr>
        <w:pStyle w:val="794"/>
        <w:ind w:left="2100" w:hanging="420"/>
        <w:tabs>
          <w:tab w:val="num" w:pos="2100" w:leader="none"/>
        </w:tabs>
      </w:pPr>
    </w:lvl>
    <w:lvl w:ilvl="5">
      <w:start w:val="1"/>
      <w:numFmt w:val="lowerRoman"/>
      <w:isLgl w:val="false"/>
      <w:suff w:val="tab"/>
      <w:lvlText w:val="%6."/>
      <w:lvlJc w:val="right"/>
      <w:pPr>
        <w:pStyle w:val="794"/>
        <w:ind w:left="2520" w:hanging="420"/>
        <w:tabs>
          <w:tab w:val="num" w:pos="2520" w:leader="none"/>
        </w:tabs>
      </w:pPr>
    </w:lvl>
    <w:lvl w:ilvl="6">
      <w:start w:val="1"/>
      <w:numFmt w:val="decimal"/>
      <w:isLgl w:val="false"/>
      <w:suff w:val="tab"/>
      <w:lvlText w:val="%7."/>
      <w:lvlJc w:val="left"/>
      <w:pPr>
        <w:pStyle w:val="794"/>
        <w:ind w:left="2940" w:hanging="420"/>
        <w:tabs>
          <w:tab w:val="num" w:pos="2940" w:leader="none"/>
        </w:tabs>
      </w:pPr>
    </w:lvl>
    <w:lvl w:ilvl="7">
      <w:start w:val="1"/>
      <w:numFmt w:val="lowerLetter"/>
      <w:isLgl w:val="false"/>
      <w:suff w:val="tab"/>
      <w:lvlText w:val="%8)"/>
      <w:lvlJc w:val="left"/>
      <w:pPr>
        <w:pStyle w:val="794"/>
        <w:ind w:left="3360" w:hanging="420"/>
        <w:tabs>
          <w:tab w:val="num" w:pos="3360" w:leader="none"/>
        </w:tabs>
      </w:pPr>
    </w:lvl>
    <w:lvl w:ilvl="8">
      <w:start w:val="1"/>
      <w:numFmt w:val="lowerRoman"/>
      <w:isLgl w:val="false"/>
      <w:suff w:val="tab"/>
      <w:lvlText w:val="%9."/>
      <w:lvlJc w:val="right"/>
      <w:pPr>
        <w:pStyle w:val="794"/>
        <w:ind w:left="3780" w:hanging="420"/>
        <w:tabs>
          <w:tab w:val="num" w:pos="3780" w:leader="none"/>
        </w:tabs>
      </w:pPr>
    </w:lvl>
  </w:abstractNum>
  <w:num w:numId="1">
    <w:abstractNumId w:val="2"/>
  </w:num>
  <w:num w:numId="2">
    <w:abstractNumId w:val="17"/>
  </w:num>
  <w:num w:numId="3">
    <w:abstractNumId w:val="4"/>
  </w:num>
  <w:num w:numId="4">
    <w:abstractNumId w:val="29"/>
  </w:num>
  <w:num w:numId="5">
    <w:abstractNumId w:val="0"/>
  </w:num>
  <w:num w:numId="6">
    <w:abstractNumId w:val="8"/>
  </w:num>
  <w:num w:numId="7">
    <w:abstractNumId w:val="10"/>
  </w:num>
  <w:num w:numId="8">
    <w:abstractNumId w:val="33"/>
  </w:num>
  <w:num w:numId="9">
    <w:abstractNumId w:val="19"/>
  </w:num>
  <w:num w:numId="10">
    <w:abstractNumId w:val="35"/>
  </w:num>
  <w:num w:numId="11">
    <w:abstractNumId w:val="28"/>
  </w:num>
  <w:num w:numId="12">
    <w:abstractNumId w:val="18"/>
  </w:num>
  <w:num w:numId="13">
    <w:abstractNumId w:val="26"/>
  </w:num>
  <w:num w:numId="14">
    <w:abstractNumId w:val="36"/>
  </w:num>
  <w:num w:numId="15">
    <w:abstractNumId w:val="5"/>
  </w:num>
  <w:num w:numId="16">
    <w:abstractNumId w:val="22"/>
  </w:num>
  <w:num w:numId="17">
    <w:abstractNumId w:val="30"/>
  </w:num>
  <w:num w:numId="18">
    <w:abstractNumId w:val="11"/>
  </w:num>
  <w:num w:numId="19">
    <w:abstractNumId w:val="15"/>
  </w:num>
  <w:num w:numId="20">
    <w:abstractNumId w:val="1"/>
  </w:num>
  <w:num w:numId="21">
    <w:abstractNumId w:val="3"/>
  </w:num>
  <w:num w:numId="22">
    <w:abstractNumId w:val="23"/>
  </w:num>
  <w:num w:numId="23">
    <w:abstractNumId w:val="25"/>
  </w:num>
  <w:num w:numId="24">
    <w:abstractNumId w:val="21"/>
  </w:num>
  <w:num w:numId="25">
    <w:abstractNumId w:val="9"/>
  </w:num>
  <w:num w:numId="26">
    <w:abstractNumId w:val="13"/>
  </w:num>
  <w:num w:numId="27">
    <w:abstractNumId w:val="31"/>
  </w:num>
  <w:num w:numId="28">
    <w:abstractNumId w:val="32"/>
  </w:num>
  <w:num w:numId="29">
    <w:abstractNumId w:val="16"/>
  </w:num>
  <w:num w:numId="30">
    <w:abstractNumId w:val="7"/>
  </w:num>
  <w:num w:numId="31">
    <w:abstractNumId w:val="20"/>
  </w:num>
  <w:num w:numId="32">
    <w:abstractNumId w:val="34"/>
  </w:num>
  <w:num w:numId="33">
    <w:abstractNumId w:val="14"/>
  </w:num>
  <w:num w:numId="34">
    <w:abstractNumId w:val="12"/>
  </w:num>
  <w:num w:numId="35">
    <w:abstractNumId w:val="27"/>
  </w:num>
  <w:num w:numId="36">
    <w:abstractNumId w:val="24"/>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794"/>
    <w:next w:val="794"/>
    <w:link w:val="881"/>
    <w:uiPriority w:val="9"/>
    <w:qFormat/>
    <w:pPr>
      <w:keepLines/>
      <w:keepNext/>
      <w:spacing w:before="480" w:after="200"/>
      <w:outlineLvl w:val="0"/>
    </w:pPr>
    <w:rPr>
      <w:rFonts w:ascii="Arial" w:hAnsi="Arial" w:eastAsia="Arial" w:cs="Arial"/>
      <w:sz w:val="40"/>
      <w:szCs w:val="40"/>
    </w:rPr>
  </w:style>
  <w:style w:type="paragraph" w:styleId="761">
    <w:name w:val="Heading 2"/>
    <w:basedOn w:val="794"/>
    <w:next w:val="794"/>
    <w:link w:val="882"/>
    <w:uiPriority w:val="9"/>
    <w:unhideWhenUsed/>
    <w:qFormat/>
    <w:pPr>
      <w:keepLines/>
      <w:keepNext/>
      <w:spacing w:before="360" w:after="200"/>
      <w:outlineLvl w:val="1"/>
    </w:pPr>
    <w:rPr>
      <w:rFonts w:ascii="Arial" w:hAnsi="Arial" w:eastAsia="Arial" w:cs="Arial"/>
      <w:sz w:val="34"/>
    </w:rPr>
  </w:style>
  <w:style w:type="paragraph" w:styleId="762">
    <w:name w:val="Heading 3"/>
    <w:basedOn w:val="794"/>
    <w:next w:val="794"/>
    <w:link w:val="883"/>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94"/>
    <w:next w:val="794"/>
    <w:link w:val="884"/>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94"/>
    <w:next w:val="794"/>
    <w:link w:val="885"/>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94"/>
    <w:next w:val="794"/>
    <w:link w:val="886"/>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94"/>
    <w:next w:val="794"/>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94"/>
    <w:next w:val="794"/>
    <w:link w:val="888"/>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94"/>
    <w:next w:val="794"/>
    <w:link w:val="889"/>
    <w:uiPriority w:val="9"/>
    <w:unhideWhenUsed/>
    <w:qFormat/>
    <w:pPr>
      <w:keepLines/>
      <w:keepNext/>
      <w:spacing w:before="320" w:after="200"/>
      <w:outlineLvl w:val="8"/>
    </w:pPr>
    <w:rPr>
      <w:rFonts w:ascii="Arial" w:hAnsi="Arial" w:eastAsia="Arial" w:cs="Arial"/>
      <w:i/>
      <w:iCs/>
      <w:sz w:val="21"/>
      <w:szCs w:val="21"/>
    </w:rPr>
  </w:style>
  <w:style w:type="paragraph" w:styleId="769">
    <w:name w:val="Title"/>
    <w:basedOn w:val="794"/>
    <w:next w:val="794"/>
    <w:link w:val="894"/>
    <w:uiPriority w:val="10"/>
    <w:qFormat/>
    <w:pPr>
      <w:contextualSpacing/>
      <w:spacing w:before="300" w:after="200"/>
    </w:pPr>
    <w:rPr>
      <w:sz w:val="48"/>
      <w:szCs w:val="48"/>
    </w:rPr>
  </w:style>
  <w:style w:type="paragraph" w:styleId="770">
    <w:name w:val="Subtitle"/>
    <w:basedOn w:val="794"/>
    <w:next w:val="794"/>
    <w:link w:val="771"/>
    <w:uiPriority w:val="11"/>
    <w:qFormat/>
    <w:pPr>
      <w:spacing w:before="200" w:after="200"/>
    </w:pPr>
    <w:rPr>
      <w:sz w:val="24"/>
      <w:szCs w:val="24"/>
    </w:rPr>
  </w:style>
  <w:style w:type="character" w:styleId="771">
    <w:name w:val="Subtitle Char"/>
    <w:link w:val="770"/>
    <w:uiPriority w:val="11"/>
    <w:rPr>
      <w:sz w:val="24"/>
      <w:szCs w:val="24"/>
    </w:rPr>
  </w:style>
  <w:style w:type="character" w:styleId="772">
    <w:name w:val="Quote Char"/>
    <w:link w:val="895"/>
    <w:uiPriority w:val="29"/>
    <w:rPr>
      <w:i/>
    </w:rPr>
  </w:style>
  <w:style w:type="character" w:styleId="773">
    <w:name w:val="Intense Quote Char"/>
    <w:link w:val="897"/>
    <w:uiPriority w:val="30"/>
    <w:rPr>
      <w:i/>
    </w:rPr>
  </w:style>
  <w:style w:type="paragraph" w:styleId="774">
    <w:name w:val="Header"/>
    <w:basedOn w:val="794"/>
    <w:link w:val="899"/>
    <w:uiPriority w:val="99"/>
    <w:unhideWhenUsed/>
    <w:pPr>
      <w:spacing w:after="0" w:line="240" w:lineRule="auto"/>
      <w:tabs>
        <w:tab w:val="center" w:pos="7143" w:leader="none"/>
        <w:tab w:val="right" w:pos="14287" w:leader="none"/>
      </w:tabs>
    </w:pPr>
  </w:style>
  <w:style w:type="paragraph" w:styleId="775">
    <w:name w:val="Footer"/>
    <w:basedOn w:val="794"/>
    <w:link w:val="901"/>
    <w:uiPriority w:val="99"/>
    <w:unhideWhenUsed/>
    <w:pPr>
      <w:spacing w:after="0" w:line="240" w:lineRule="auto"/>
      <w:tabs>
        <w:tab w:val="center" w:pos="7143" w:leader="none"/>
        <w:tab w:val="right" w:pos="14287" w:leader="none"/>
      </w:tabs>
    </w:pPr>
  </w:style>
  <w:style w:type="paragraph" w:styleId="776">
    <w:name w:val="Caption"/>
    <w:basedOn w:val="794"/>
    <w:next w:val="794"/>
    <w:uiPriority w:val="35"/>
    <w:semiHidden/>
    <w:unhideWhenUsed/>
    <w:qFormat/>
    <w:pPr>
      <w:spacing w:line="276" w:lineRule="auto"/>
    </w:pPr>
    <w:rPr>
      <w:b/>
      <w:bCs/>
      <w:color w:val="4f81bd" w:themeColor="accent1"/>
      <w:sz w:val="18"/>
      <w:szCs w:val="18"/>
    </w:rPr>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Hyperlink"/>
    <w:uiPriority w:val="99"/>
    <w:unhideWhenUsed/>
    <w:rPr>
      <w:color w:val="0000ff" w:themeColor="hyperlink"/>
      <w:u w:val="single"/>
    </w:rPr>
  </w:style>
  <w:style w:type="paragraph" w:styleId="779">
    <w:name w:val="footnote text"/>
    <w:basedOn w:val="794"/>
    <w:link w:val="1027"/>
    <w:uiPriority w:val="99"/>
    <w:semiHidden/>
    <w:unhideWhenUsed/>
    <w:pPr>
      <w:spacing w:after="40" w:line="240" w:lineRule="auto"/>
    </w:pPr>
    <w:rPr>
      <w:sz w:val="18"/>
    </w:rPr>
  </w:style>
  <w:style w:type="character" w:styleId="780">
    <w:name w:val="footnote reference"/>
    <w:uiPriority w:val="99"/>
    <w:unhideWhenUsed/>
    <w:rPr>
      <w:vertAlign w:val="superscript"/>
    </w:rPr>
  </w:style>
  <w:style w:type="paragraph" w:styleId="781">
    <w:name w:val="endnote text"/>
    <w:basedOn w:val="794"/>
    <w:link w:val="782"/>
    <w:uiPriority w:val="99"/>
    <w:semiHidden/>
    <w:unhideWhenUsed/>
    <w:pPr>
      <w:spacing w:after="0" w:line="240" w:lineRule="auto"/>
    </w:pPr>
    <w:rPr>
      <w:sz w:val="20"/>
    </w:rPr>
  </w:style>
  <w:style w:type="character" w:styleId="782">
    <w:name w:val="Endnote Text Char"/>
    <w:link w:val="781"/>
    <w:uiPriority w:val="99"/>
    <w:rPr>
      <w:sz w:val="20"/>
    </w:rPr>
  </w:style>
  <w:style w:type="character" w:styleId="783">
    <w:name w:val="endnote reference"/>
    <w:uiPriority w:val="99"/>
    <w:semiHidden/>
    <w:unhideWhenUsed/>
    <w:rPr>
      <w:vertAlign w:val="superscript"/>
    </w:rPr>
  </w:style>
  <w:style w:type="paragraph" w:styleId="784">
    <w:name w:val="toc 1"/>
    <w:basedOn w:val="794"/>
    <w:next w:val="794"/>
    <w:uiPriority w:val="39"/>
    <w:unhideWhenUsed/>
    <w:pPr>
      <w:ind w:left="0" w:right="0" w:firstLine="0"/>
      <w:spacing w:after="57"/>
    </w:pPr>
  </w:style>
  <w:style w:type="paragraph" w:styleId="785">
    <w:name w:val="toc 2"/>
    <w:basedOn w:val="794"/>
    <w:next w:val="794"/>
    <w:uiPriority w:val="39"/>
    <w:unhideWhenUsed/>
    <w:pPr>
      <w:ind w:left="283" w:right="0" w:firstLine="0"/>
      <w:spacing w:after="57"/>
    </w:pPr>
  </w:style>
  <w:style w:type="paragraph" w:styleId="786">
    <w:name w:val="toc 3"/>
    <w:basedOn w:val="794"/>
    <w:next w:val="794"/>
    <w:uiPriority w:val="39"/>
    <w:unhideWhenUsed/>
    <w:pPr>
      <w:ind w:left="567" w:right="0" w:firstLine="0"/>
      <w:spacing w:after="57"/>
    </w:pPr>
  </w:style>
  <w:style w:type="paragraph" w:styleId="787">
    <w:name w:val="toc 4"/>
    <w:basedOn w:val="794"/>
    <w:next w:val="794"/>
    <w:uiPriority w:val="39"/>
    <w:unhideWhenUsed/>
    <w:pPr>
      <w:ind w:left="850" w:right="0" w:firstLine="0"/>
      <w:spacing w:after="57"/>
    </w:pPr>
  </w:style>
  <w:style w:type="paragraph" w:styleId="788">
    <w:name w:val="toc 5"/>
    <w:basedOn w:val="794"/>
    <w:next w:val="794"/>
    <w:uiPriority w:val="39"/>
    <w:unhideWhenUsed/>
    <w:pPr>
      <w:ind w:left="1134" w:right="0" w:firstLine="0"/>
      <w:spacing w:after="57"/>
    </w:pPr>
  </w:style>
  <w:style w:type="paragraph" w:styleId="789">
    <w:name w:val="toc 6"/>
    <w:basedOn w:val="794"/>
    <w:next w:val="794"/>
    <w:uiPriority w:val="39"/>
    <w:unhideWhenUsed/>
    <w:pPr>
      <w:ind w:left="1417" w:right="0" w:firstLine="0"/>
      <w:spacing w:after="57"/>
    </w:pPr>
  </w:style>
  <w:style w:type="paragraph" w:styleId="790">
    <w:name w:val="toc 7"/>
    <w:basedOn w:val="794"/>
    <w:next w:val="794"/>
    <w:uiPriority w:val="39"/>
    <w:unhideWhenUsed/>
    <w:pPr>
      <w:ind w:left="1701" w:right="0" w:firstLine="0"/>
      <w:spacing w:after="57"/>
    </w:pPr>
  </w:style>
  <w:style w:type="paragraph" w:styleId="791">
    <w:name w:val="toc 8"/>
    <w:basedOn w:val="794"/>
    <w:next w:val="794"/>
    <w:uiPriority w:val="39"/>
    <w:unhideWhenUsed/>
    <w:pPr>
      <w:ind w:left="1984" w:right="0" w:firstLine="0"/>
      <w:spacing w:after="57"/>
    </w:pPr>
  </w:style>
  <w:style w:type="paragraph" w:styleId="792">
    <w:name w:val="toc 9"/>
    <w:basedOn w:val="794"/>
    <w:next w:val="794"/>
    <w:uiPriority w:val="39"/>
    <w:unhideWhenUsed/>
    <w:pPr>
      <w:ind w:left="2268" w:right="0" w:firstLine="0"/>
      <w:spacing w:after="57"/>
    </w:pPr>
  </w:style>
  <w:style w:type="paragraph" w:styleId="793">
    <w:name w:val="table of figures"/>
    <w:basedOn w:val="794"/>
    <w:next w:val="794"/>
    <w:uiPriority w:val="99"/>
    <w:unhideWhenUsed/>
    <w:pPr>
      <w:spacing w:after="0" w:afterAutospacing="0"/>
    </w:pPr>
  </w:style>
  <w:style w:type="paragraph" w:styleId="794" w:default="1">
    <w:name w:val="Normal"/>
    <w:next w:val="794"/>
    <w:link w:val="794"/>
    <w:qFormat/>
    <w:pPr>
      <w:jc w:val="both"/>
      <w:widowControl w:val="off"/>
    </w:pPr>
    <w:rPr>
      <w:rFonts w:ascii="Times New Roman" w:hAnsi="Times New Roman" w:eastAsia="宋体" w:cs="Times New Roman"/>
      <w:sz w:val="21"/>
      <w:szCs w:val="24"/>
      <w:lang w:val="en-US" w:eastAsia="zh-CN" w:bidi="ar-SA"/>
    </w:rPr>
  </w:style>
  <w:style w:type="paragraph" w:styleId="795">
    <w:name w:val="标题 1"/>
    <w:basedOn w:val="794"/>
    <w:next w:val="794"/>
    <w:link w:val="806"/>
    <w:qFormat/>
    <w:pPr>
      <w:keepLines/>
      <w:keepNext/>
      <w:spacing w:before="340" w:after="330" w:line="578" w:lineRule="auto"/>
      <w:outlineLvl w:val="0"/>
    </w:pPr>
    <w:rPr>
      <w:b/>
      <w:bCs/>
      <w:sz w:val="44"/>
      <w:szCs w:val="44"/>
    </w:rPr>
  </w:style>
  <w:style w:type="paragraph" w:styleId="796">
    <w:name w:val="标题 2"/>
    <w:basedOn w:val="794"/>
    <w:next w:val="808"/>
    <w:link w:val="807"/>
    <w:qFormat/>
    <w:pPr>
      <w:keepLines/>
      <w:keepNext/>
      <w:spacing w:before="260" w:after="260" w:line="416" w:lineRule="auto"/>
      <w:outlineLvl w:val="1"/>
    </w:pPr>
    <w:rPr>
      <w:rFonts w:ascii="Arial" w:hAnsi="Arial" w:eastAsia="黑体"/>
      <w:b/>
      <w:bCs/>
      <w:sz w:val="32"/>
      <w:szCs w:val="32"/>
    </w:rPr>
  </w:style>
  <w:style w:type="paragraph" w:styleId="797">
    <w:name w:val="标题 3"/>
    <w:basedOn w:val="794"/>
    <w:next w:val="808"/>
    <w:link w:val="812"/>
    <w:qFormat/>
    <w:pPr>
      <w:keepLines/>
      <w:keepNext/>
      <w:spacing w:before="260" w:after="260" w:line="416" w:lineRule="auto"/>
      <w:outlineLvl w:val="2"/>
    </w:pPr>
    <w:rPr>
      <w:b/>
      <w:bCs/>
      <w:sz w:val="32"/>
      <w:szCs w:val="32"/>
    </w:rPr>
  </w:style>
  <w:style w:type="paragraph" w:styleId="798">
    <w:name w:val="标题 4"/>
    <w:basedOn w:val="794"/>
    <w:next w:val="794"/>
    <w:link w:val="813"/>
    <w:qFormat/>
    <w:pPr>
      <w:jc w:val="center"/>
      <w:keepNext/>
      <w:outlineLvl w:val="3"/>
    </w:pPr>
    <w:rPr>
      <w:rFonts w:eastAsia="新宋体"/>
      <w:sz w:val="30"/>
      <w:szCs w:val="21"/>
    </w:rPr>
  </w:style>
  <w:style w:type="paragraph" w:styleId="799">
    <w:name w:val="标题 5"/>
    <w:basedOn w:val="794"/>
    <w:next w:val="794"/>
    <w:link w:val="814"/>
    <w:qFormat/>
    <w:pPr>
      <w:keepLines/>
      <w:keepNext/>
      <w:spacing w:before="280" w:after="290" w:line="376" w:lineRule="auto"/>
      <w:outlineLvl w:val="4"/>
    </w:pPr>
    <w:rPr>
      <w:b/>
      <w:bCs/>
      <w:sz w:val="28"/>
      <w:szCs w:val="28"/>
    </w:rPr>
  </w:style>
  <w:style w:type="paragraph" w:styleId="800">
    <w:name w:val="标题 6"/>
    <w:basedOn w:val="794"/>
    <w:next w:val="816"/>
    <w:link w:val="815"/>
    <w:qFormat/>
    <w:pPr>
      <w:jc w:val="center"/>
      <w:keepNext/>
      <w:outlineLvl w:val="5"/>
    </w:pPr>
    <w:rPr>
      <w:b/>
      <w:sz w:val="44"/>
      <w:szCs w:val="20"/>
    </w:rPr>
  </w:style>
  <w:style w:type="paragraph" w:styleId="801">
    <w:name w:val="标题 7"/>
    <w:basedOn w:val="794"/>
    <w:next w:val="794"/>
    <w:link w:val="818"/>
    <w:qFormat/>
    <w:pPr>
      <w:keepLines/>
      <w:keepNext/>
      <w:spacing w:before="240" w:after="64" w:line="320" w:lineRule="auto"/>
      <w:outlineLvl w:val="6"/>
    </w:pPr>
    <w:rPr>
      <w:b/>
      <w:bCs/>
      <w:sz w:val="24"/>
    </w:rPr>
  </w:style>
  <w:style w:type="paragraph" w:styleId="802">
    <w:name w:val="标题 8"/>
    <w:basedOn w:val="794"/>
    <w:next w:val="794"/>
    <w:link w:val="819"/>
    <w:qFormat/>
    <w:pPr>
      <w:keepLines/>
      <w:keepNext/>
      <w:spacing w:before="240" w:after="64" w:line="320" w:lineRule="auto"/>
      <w:outlineLvl w:val="7"/>
    </w:pPr>
    <w:rPr>
      <w:rFonts w:ascii="Arial" w:hAnsi="Arial" w:eastAsia="黑体"/>
      <w:sz w:val="24"/>
    </w:rPr>
  </w:style>
  <w:style w:type="paragraph" w:styleId="803">
    <w:name w:val="标题 9"/>
    <w:basedOn w:val="794"/>
    <w:next w:val="794"/>
    <w:link w:val="820"/>
    <w:qFormat/>
    <w:pPr>
      <w:keepLines/>
      <w:keepNext/>
      <w:spacing w:before="240" w:after="64" w:line="320" w:lineRule="auto"/>
      <w:outlineLvl w:val="8"/>
    </w:pPr>
    <w:rPr>
      <w:rFonts w:ascii="Arial" w:hAnsi="Arial" w:eastAsia="黑体"/>
      <w:sz w:val="24"/>
      <w:szCs w:val="21"/>
    </w:rPr>
  </w:style>
  <w:style w:type="character" w:styleId="804">
    <w:name w:val="默认段落字体"/>
    <w:next w:val="804"/>
    <w:link w:val="794"/>
    <w:uiPriority w:val="1"/>
    <w:unhideWhenUsed/>
    <w:qFormat/>
  </w:style>
  <w:style w:type="table" w:styleId="805">
    <w:name w:val="普通表格"/>
    <w:next w:val="805"/>
    <w:link w:val="794"/>
    <w:uiPriority w:val="99"/>
    <w:unhideWhenUsed/>
    <w:qFormat/>
    <w:tblPr/>
  </w:style>
  <w:style w:type="character" w:styleId="806">
    <w:name w:val="标题 1 字符1"/>
    <w:next w:val="806"/>
    <w:link w:val="795"/>
    <w:qFormat/>
    <w:rPr>
      <w:rFonts w:ascii="Times New Roman" w:hAnsi="Times New Roman" w:eastAsia="宋体" w:cs="Times New Roman"/>
      <w:b/>
      <w:bCs/>
      <w:sz w:val="44"/>
      <w:szCs w:val="44"/>
    </w:rPr>
  </w:style>
  <w:style w:type="character" w:styleId="807">
    <w:name w:val="标题 2 字符"/>
    <w:next w:val="807"/>
    <w:link w:val="796"/>
    <w:rPr>
      <w:rFonts w:ascii="Arial" w:hAnsi="Arial" w:eastAsia="黑体" w:cs="Times New Roman"/>
      <w:b/>
      <w:bCs/>
      <w:sz w:val="32"/>
      <w:szCs w:val="32"/>
    </w:rPr>
  </w:style>
  <w:style w:type="paragraph" w:styleId="808">
    <w:name w:val="正文首行缩进 2"/>
    <w:basedOn w:val="809"/>
    <w:next w:val="808"/>
    <w:link w:val="811"/>
    <w:unhideWhenUsed/>
    <w:qFormat/>
    <w:pPr>
      <w:ind w:firstLine="200"/>
      <w:spacing w:line="360" w:lineRule="auto"/>
    </w:pPr>
  </w:style>
  <w:style w:type="paragraph" w:styleId="809">
    <w:name w:val="正文文本"/>
    <w:basedOn w:val="794"/>
    <w:next w:val="809"/>
    <w:link w:val="810"/>
    <w:uiPriority w:val="99"/>
    <w:rPr>
      <w:rFonts w:ascii="仿宋_GB2312" w:eastAsia="仿宋_GB2312"/>
      <w:sz w:val="24"/>
      <w:szCs w:val="20"/>
    </w:rPr>
  </w:style>
  <w:style w:type="character" w:styleId="810">
    <w:name w:val="正文文本 字符"/>
    <w:next w:val="810"/>
    <w:link w:val="809"/>
    <w:uiPriority w:val="99"/>
    <w:rPr>
      <w:rFonts w:ascii="仿宋_GB2312" w:hAnsi="Times New Roman" w:eastAsia="仿宋_GB2312" w:cs="Times New Roman"/>
      <w:sz w:val="24"/>
      <w:szCs w:val="20"/>
    </w:rPr>
  </w:style>
  <w:style w:type="character" w:styleId="811">
    <w:name w:val="正文文本首行缩进 2 字符"/>
    <w:next w:val="811"/>
    <w:link w:val="808"/>
    <w:rPr>
      <w:rFonts w:ascii="仿宋_GB2312" w:hAnsi="Times New Roman" w:eastAsia="仿宋_GB2312" w:cs="Times New Roman"/>
      <w:sz w:val="24"/>
      <w:szCs w:val="20"/>
    </w:rPr>
  </w:style>
  <w:style w:type="character" w:styleId="812">
    <w:name w:val="标题 3 字符"/>
    <w:next w:val="812"/>
    <w:link w:val="797"/>
    <w:rPr>
      <w:rFonts w:ascii="Times New Roman" w:hAnsi="Times New Roman" w:eastAsia="宋体" w:cs="Times New Roman"/>
      <w:b/>
      <w:bCs/>
      <w:sz w:val="32"/>
      <w:szCs w:val="32"/>
    </w:rPr>
  </w:style>
  <w:style w:type="character" w:styleId="813">
    <w:name w:val="标题 4 字符"/>
    <w:next w:val="813"/>
    <w:link w:val="798"/>
    <w:rPr>
      <w:rFonts w:ascii="Times New Roman" w:hAnsi="Times New Roman" w:eastAsia="新宋体" w:cs="Times New Roman"/>
      <w:sz w:val="30"/>
      <w:szCs w:val="21"/>
    </w:rPr>
  </w:style>
  <w:style w:type="character" w:styleId="814">
    <w:name w:val="标题 5 字符"/>
    <w:next w:val="814"/>
    <w:link w:val="799"/>
    <w:rPr>
      <w:rFonts w:ascii="Times New Roman" w:hAnsi="Times New Roman" w:eastAsia="宋体" w:cs="Times New Roman"/>
      <w:b/>
      <w:bCs/>
      <w:sz w:val="28"/>
      <w:szCs w:val="28"/>
    </w:rPr>
  </w:style>
  <w:style w:type="character" w:styleId="815">
    <w:name w:val="标题 6 字符"/>
    <w:next w:val="815"/>
    <w:link w:val="800"/>
    <w:rPr>
      <w:rFonts w:ascii="Times New Roman" w:hAnsi="Times New Roman" w:eastAsia="宋体" w:cs="Times New Roman"/>
      <w:b/>
      <w:sz w:val="44"/>
      <w:szCs w:val="20"/>
    </w:rPr>
  </w:style>
  <w:style w:type="paragraph" w:styleId="816">
    <w:name w:val="正文缩进"/>
    <w:basedOn w:val="794"/>
    <w:next w:val="816"/>
    <w:link w:val="817"/>
    <w:qFormat/>
    <w:pPr>
      <w:ind w:firstLine="420"/>
    </w:pPr>
    <w:rPr>
      <w:sz w:val="20"/>
      <w:szCs w:val="20"/>
    </w:rPr>
  </w:style>
  <w:style w:type="character" w:styleId="817">
    <w:name w:val="正文缩进 字符"/>
    <w:next w:val="817"/>
    <w:link w:val="816"/>
    <w:rPr>
      <w:rFonts w:ascii="Times New Roman" w:hAnsi="Times New Roman" w:eastAsia="宋体" w:cs="Times New Roman"/>
      <w:sz w:val="20"/>
      <w:szCs w:val="20"/>
    </w:rPr>
  </w:style>
  <w:style w:type="character" w:styleId="818">
    <w:name w:val="标题 7 字符"/>
    <w:next w:val="818"/>
    <w:link w:val="801"/>
    <w:rPr>
      <w:rFonts w:ascii="Times New Roman" w:hAnsi="Times New Roman" w:eastAsia="宋体" w:cs="Times New Roman"/>
      <w:b/>
      <w:bCs/>
      <w:sz w:val="24"/>
      <w:szCs w:val="24"/>
    </w:rPr>
  </w:style>
  <w:style w:type="character" w:styleId="819">
    <w:name w:val="标题 8 字符"/>
    <w:next w:val="819"/>
    <w:link w:val="802"/>
    <w:rPr>
      <w:rFonts w:ascii="Arial" w:hAnsi="Arial" w:eastAsia="黑体" w:cs="Times New Roman"/>
      <w:sz w:val="24"/>
      <w:szCs w:val="24"/>
    </w:rPr>
  </w:style>
  <w:style w:type="character" w:styleId="820">
    <w:name w:val="标题 9 字符"/>
    <w:next w:val="820"/>
    <w:link w:val="803"/>
    <w:rPr>
      <w:rFonts w:ascii="Arial" w:hAnsi="Arial" w:eastAsia="黑体" w:cs="Times New Roman"/>
      <w:sz w:val="24"/>
      <w:szCs w:val="21"/>
    </w:rPr>
  </w:style>
  <w:style w:type="paragraph" w:styleId="821">
    <w:name w:val="目录 7"/>
    <w:basedOn w:val="794"/>
    <w:next w:val="794"/>
    <w:link w:val="794"/>
    <w:uiPriority w:val="39"/>
    <w:pPr>
      <w:ind w:left="1260"/>
      <w:jc w:val="left"/>
    </w:pPr>
    <w:rPr>
      <w:sz w:val="18"/>
      <w:szCs w:val="21"/>
    </w:rPr>
  </w:style>
  <w:style w:type="paragraph" w:styleId="822">
    <w:name w:val="题注"/>
    <w:basedOn w:val="794"/>
    <w:next w:val="794"/>
    <w:link w:val="823"/>
    <w:qFormat/>
    <w:rPr>
      <w:rFonts w:ascii="Cambria" w:hAnsi="Cambria" w:eastAsia="黑体"/>
      <w:sz w:val="20"/>
      <w:szCs w:val="20"/>
    </w:rPr>
  </w:style>
  <w:style w:type="character" w:styleId="823">
    <w:name w:val="题注 字符"/>
    <w:next w:val="823"/>
    <w:link w:val="822"/>
    <w:qFormat/>
    <w:rPr>
      <w:rFonts w:ascii="Cambria" w:hAnsi="Cambria" w:eastAsia="黑体" w:cs="Times New Roman"/>
    </w:rPr>
  </w:style>
  <w:style w:type="paragraph" w:styleId="824">
    <w:name w:val="文档结构图"/>
    <w:basedOn w:val="794"/>
    <w:next w:val="824"/>
    <w:link w:val="825"/>
    <w:uiPriority w:val="99"/>
    <w:semiHidden/>
    <w:qFormat/>
    <w:pPr>
      <w:shd w:val="clear" w:color="auto" w:fill="000080"/>
    </w:pPr>
    <w:rPr>
      <w:sz w:val="20"/>
    </w:rPr>
  </w:style>
  <w:style w:type="character" w:styleId="825">
    <w:name w:val="文档结构图 字符"/>
    <w:next w:val="825"/>
    <w:link w:val="824"/>
    <w:uiPriority w:val="99"/>
    <w:semiHidden/>
    <w:qFormat/>
    <w:rPr>
      <w:szCs w:val="24"/>
      <w:shd w:val="clear" w:color="auto" w:fill="000080"/>
    </w:rPr>
  </w:style>
  <w:style w:type="paragraph" w:styleId="826">
    <w:name w:val="批注文字"/>
    <w:basedOn w:val="794"/>
    <w:next w:val="826"/>
    <w:link w:val="827"/>
    <w:unhideWhenUsed/>
    <w:pPr>
      <w:jc w:val="left"/>
    </w:pPr>
  </w:style>
  <w:style w:type="character" w:styleId="827">
    <w:name w:val="批注文字 字符"/>
    <w:next w:val="827"/>
    <w:link w:val="826"/>
    <w:rPr>
      <w:sz w:val="21"/>
      <w:szCs w:val="24"/>
    </w:rPr>
  </w:style>
  <w:style w:type="paragraph" w:styleId="828">
    <w:name w:val="正文文本 3"/>
    <w:basedOn w:val="794"/>
    <w:next w:val="828"/>
    <w:link w:val="829"/>
    <w:pPr>
      <w:spacing w:after="120"/>
    </w:pPr>
    <w:rPr>
      <w:sz w:val="16"/>
      <w:szCs w:val="16"/>
    </w:rPr>
  </w:style>
  <w:style w:type="character" w:styleId="829">
    <w:name w:val="正文文本 3 字符"/>
    <w:next w:val="829"/>
    <w:link w:val="828"/>
    <w:rPr>
      <w:rFonts w:ascii="Times New Roman" w:hAnsi="Times New Roman" w:eastAsia="宋体" w:cs="Times New Roman"/>
      <w:sz w:val="16"/>
      <w:szCs w:val="16"/>
    </w:rPr>
  </w:style>
  <w:style w:type="paragraph" w:styleId="830">
    <w:name w:val="正文文本缩进"/>
    <w:basedOn w:val="794"/>
    <w:next w:val="830"/>
    <w:link w:val="831"/>
    <w:uiPriority w:val="99"/>
    <w:qFormat/>
    <w:pPr>
      <w:ind w:left="765"/>
    </w:pPr>
    <w:rPr>
      <w:rFonts w:ascii="仿宋_GB2312" w:eastAsia="仿宋_GB2312"/>
      <w:sz w:val="28"/>
      <w:szCs w:val="20"/>
    </w:rPr>
  </w:style>
  <w:style w:type="character" w:styleId="831">
    <w:name w:val="正文文本缩进 字符"/>
    <w:next w:val="831"/>
    <w:link w:val="830"/>
    <w:uiPriority w:val="99"/>
    <w:rPr>
      <w:rFonts w:ascii="仿宋_GB2312" w:hAnsi="Times New Roman" w:eastAsia="仿宋_GB2312" w:cs="Times New Roman"/>
      <w:sz w:val="28"/>
      <w:szCs w:val="20"/>
    </w:rPr>
  </w:style>
  <w:style w:type="paragraph" w:styleId="832">
    <w:name w:val="目录 5"/>
    <w:basedOn w:val="794"/>
    <w:next w:val="794"/>
    <w:link w:val="794"/>
    <w:uiPriority w:val="39"/>
    <w:pPr>
      <w:ind w:left="840"/>
      <w:jc w:val="left"/>
    </w:pPr>
    <w:rPr>
      <w:sz w:val="18"/>
      <w:szCs w:val="21"/>
    </w:rPr>
  </w:style>
  <w:style w:type="paragraph" w:styleId="833">
    <w:name w:val="目录 3"/>
    <w:basedOn w:val="794"/>
    <w:next w:val="794"/>
    <w:link w:val="794"/>
    <w:uiPriority w:val="39"/>
    <w:unhideWhenUsed/>
    <w:pPr>
      <w:ind w:left="840"/>
    </w:pPr>
    <w:rPr>
      <w:rFonts w:ascii="Calibri" w:hAnsi="Calibri"/>
      <w:sz w:val="24"/>
      <w:szCs w:val="22"/>
    </w:rPr>
  </w:style>
  <w:style w:type="paragraph" w:styleId="834">
    <w:name w:val="纯文本"/>
    <w:basedOn w:val="794"/>
    <w:next w:val="834"/>
    <w:link w:val="835"/>
    <w:rPr>
      <w:rFonts w:ascii="宋体" w:hAnsi="Courier New"/>
      <w:sz w:val="20"/>
      <w:szCs w:val="21"/>
    </w:rPr>
  </w:style>
  <w:style w:type="character" w:styleId="835">
    <w:name w:val="纯文本 字符"/>
    <w:next w:val="835"/>
    <w:link w:val="834"/>
    <w:rPr>
      <w:rFonts w:ascii="宋体" w:hAnsi="Courier New" w:eastAsia="宋体" w:cs="Courier New"/>
      <w:szCs w:val="21"/>
    </w:rPr>
  </w:style>
  <w:style w:type="paragraph" w:styleId="836">
    <w:name w:val="目录 8"/>
    <w:basedOn w:val="794"/>
    <w:next w:val="794"/>
    <w:link w:val="794"/>
    <w:uiPriority w:val="39"/>
    <w:pPr>
      <w:ind w:left="1470"/>
      <w:jc w:val="left"/>
    </w:pPr>
    <w:rPr>
      <w:sz w:val="18"/>
      <w:szCs w:val="21"/>
    </w:rPr>
  </w:style>
  <w:style w:type="paragraph" w:styleId="837">
    <w:name w:val="日期"/>
    <w:basedOn w:val="794"/>
    <w:next w:val="794"/>
    <w:link w:val="838"/>
    <w:uiPriority w:val="99"/>
    <w:rPr>
      <w:sz w:val="24"/>
      <w:szCs w:val="20"/>
    </w:rPr>
  </w:style>
  <w:style w:type="character" w:styleId="838">
    <w:name w:val="日期 字符"/>
    <w:next w:val="838"/>
    <w:link w:val="837"/>
    <w:uiPriority w:val="99"/>
    <w:rPr>
      <w:rFonts w:ascii="Times New Roman" w:hAnsi="Times New Roman" w:eastAsia="宋体" w:cs="Times New Roman"/>
      <w:sz w:val="24"/>
      <w:szCs w:val="20"/>
    </w:rPr>
  </w:style>
  <w:style w:type="paragraph" w:styleId="839">
    <w:name w:val="正文文本缩进 2"/>
    <w:basedOn w:val="794"/>
    <w:next w:val="839"/>
    <w:link w:val="840"/>
    <w:uiPriority w:val="99"/>
    <w:pPr>
      <w:ind w:firstLine="560"/>
      <w:spacing w:line="500" w:lineRule="exact"/>
    </w:pPr>
    <w:rPr>
      <w:rFonts w:eastAsia="仿宋_GB2312"/>
      <w:sz w:val="28"/>
      <w:szCs w:val="20"/>
    </w:rPr>
  </w:style>
  <w:style w:type="character" w:styleId="840">
    <w:name w:val="正文文本缩进 2 字符"/>
    <w:next w:val="840"/>
    <w:link w:val="839"/>
    <w:uiPriority w:val="99"/>
    <w:rPr>
      <w:rFonts w:ascii="Times New Roman" w:hAnsi="Times New Roman" w:eastAsia="仿宋_GB2312" w:cs="Times New Roman"/>
      <w:sz w:val="28"/>
      <w:szCs w:val="20"/>
    </w:rPr>
  </w:style>
  <w:style w:type="paragraph" w:styleId="841">
    <w:name w:val="尾注文本"/>
    <w:basedOn w:val="794"/>
    <w:next w:val="841"/>
    <w:link w:val="842"/>
    <w:uiPriority w:val="99"/>
    <w:unhideWhenUsed/>
    <w:qFormat/>
    <w:rPr>
      <w:sz w:val="20"/>
    </w:rPr>
  </w:style>
  <w:style w:type="character" w:styleId="842">
    <w:name w:val="尾注文本 字符"/>
    <w:next w:val="842"/>
    <w:link w:val="841"/>
    <w:uiPriority w:val="99"/>
    <w:rPr>
      <w:sz w:val="20"/>
    </w:rPr>
  </w:style>
  <w:style w:type="paragraph" w:styleId="843">
    <w:name w:val="批注框文本"/>
    <w:basedOn w:val="794"/>
    <w:next w:val="843"/>
    <w:link w:val="844"/>
    <w:uiPriority w:val="99"/>
    <w:rPr>
      <w:sz w:val="18"/>
      <w:szCs w:val="18"/>
    </w:rPr>
  </w:style>
  <w:style w:type="character" w:styleId="844">
    <w:name w:val="批注框文本 字符"/>
    <w:next w:val="844"/>
    <w:link w:val="843"/>
    <w:uiPriority w:val="99"/>
    <w:rPr>
      <w:sz w:val="18"/>
      <w:szCs w:val="18"/>
    </w:rPr>
  </w:style>
  <w:style w:type="paragraph" w:styleId="845">
    <w:name w:val="页脚"/>
    <w:basedOn w:val="794"/>
    <w:next w:val="845"/>
    <w:link w:val="846"/>
    <w:uiPriority w:val="99"/>
    <w:pPr>
      <w:jc w:val="left"/>
      <w:tabs>
        <w:tab w:val="center" w:pos="4153" w:leader="none"/>
        <w:tab w:val="right" w:pos="8306" w:leader="none"/>
      </w:tabs>
    </w:pPr>
    <w:rPr>
      <w:sz w:val="18"/>
      <w:szCs w:val="20"/>
    </w:rPr>
  </w:style>
  <w:style w:type="character" w:styleId="846">
    <w:name w:val="页脚 字符1"/>
    <w:next w:val="846"/>
    <w:link w:val="845"/>
    <w:uiPriority w:val="99"/>
    <w:qFormat/>
    <w:rPr>
      <w:rFonts w:ascii="Times New Roman" w:hAnsi="Times New Roman" w:eastAsia="宋体" w:cs="Times New Roman"/>
      <w:sz w:val="18"/>
      <w:szCs w:val="20"/>
    </w:rPr>
  </w:style>
  <w:style w:type="paragraph" w:styleId="847">
    <w:name w:val="页眉"/>
    <w:basedOn w:val="794"/>
    <w:next w:val="847"/>
    <w:link w:val="848"/>
    <w:uiPriority w:val="99"/>
    <w:pPr>
      <w:jc w:val="center"/>
      <w:tabs>
        <w:tab w:val="center" w:pos="4153" w:leader="none"/>
        <w:tab w:val="right" w:pos="8306" w:leader="none"/>
      </w:tabs>
      <w:pBdr>
        <w:bottom w:val="single" w:color="000000" w:sz="6" w:space="1"/>
      </w:pBdr>
    </w:pPr>
    <w:rPr>
      <w:sz w:val="18"/>
      <w:szCs w:val="18"/>
    </w:rPr>
  </w:style>
  <w:style w:type="character" w:styleId="848">
    <w:name w:val="页眉 字符"/>
    <w:next w:val="848"/>
    <w:link w:val="847"/>
    <w:uiPriority w:val="99"/>
    <w:qFormat/>
    <w:rPr>
      <w:rFonts w:ascii="Times New Roman" w:hAnsi="Times New Roman" w:eastAsia="宋体" w:cs="Times New Roman"/>
      <w:sz w:val="18"/>
      <w:szCs w:val="18"/>
    </w:rPr>
  </w:style>
  <w:style w:type="paragraph" w:styleId="849">
    <w:name w:val="目录 1"/>
    <w:basedOn w:val="794"/>
    <w:next w:val="794"/>
    <w:link w:val="794"/>
    <w:uiPriority w:val="39"/>
    <w:rPr>
      <w:sz w:val="24"/>
    </w:rPr>
  </w:style>
  <w:style w:type="paragraph" w:styleId="850">
    <w:name w:val="目录 4"/>
    <w:basedOn w:val="794"/>
    <w:next w:val="794"/>
    <w:link w:val="794"/>
    <w:uiPriority w:val="39"/>
    <w:pPr>
      <w:ind w:left="630"/>
      <w:jc w:val="left"/>
    </w:pPr>
    <w:rPr>
      <w:sz w:val="18"/>
      <w:szCs w:val="21"/>
    </w:rPr>
  </w:style>
  <w:style w:type="paragraph" w:styleId="851">
    <w:name w:val="副标题"/>
    <w:basedOn w:val="794"/>
    <w:next w:val="794"/>
    <w:link w:val="852"/>
    <w:uiPriority w:val="11"/>
    <w:qFormat/>
    <w:pPr>
      <w:spacing w:before="200" w:after="200"/>
    </w:pPr>
    <w:rPr>
      <w:sz w:val="24"/>
    </w:rPr>
  </w:style>
  <w:style w:type="character" w:styleId="852">
    <w:name w:val="副标题 字符"/>
    <w:next w:val="852"/>
    <w:link w:val="851"/>
    <w:uiPriority w:val="11"/>
    <w:qFormat/>
    <w:rPr>
      <w:sz w:val="24"/>
      <w:szCs w:val="24"/>
    </w:rPr>
  </w:style>
  <w:style w:type="paragraph" w:styleId="853">
    <w:name w:val="列表"/>
    <w:basedOn w:val="794"/>
    <w:next w:val="853"/>
    <w:link w:val="794"/>
    <w:qFormat/>
    <w:pPr>
      <w:ind w:left="200" w:hanging="200"/>
    </w:pPr>
  </w:style>
  <w:style w:type="paragraph" w:styleId="854">
    <w:name w:val="脚注文本"/>
    <w:basedOn w:val="794"/>
    <w:next w:val="854"/>
    <w:link w:val="855"/>
    <w:pPr>
      <w:jc w:val="left"/>
    </w:pPr>
    <w:rPr>
      <w:sz w:val="18"/>
      <w:szCs w:val="18"/>
    </w:rPr>
  </w:style>
  <w:style w:type="character" w:styleId="855">
    <w:name w:val="脚注文本 字符"/>
    <w:next w:val="855"/>
    <w:link w:val="854"/>
    <w:rPr>
      <w:sz w:val="18"/>
      <w:szCs w:val="18"/>
    </w:rPr>
  </w:style>
  <w:style w:type="paragraph" w:styleId="856">
    <w:name w:val="目录 6"/>
    <w:basedOn w:val="794"/>
    <w:next w:val="794"/>
    <w:link w:val="794"/>
    <w:uiPriority w:val="39"/>
    <w:pPr>
      <w:ind w:left="1050"/>
      <w:jc w:val="left"/>
    </w:pPr>
    <w:rPr>
      <w:sz w:val="18"/>
      <w:szCs w:val="21"/>
    </w:rPr>
  </w:style>
  <w:style w:type="paragraph" w:styleId="857">
    <w:name w:val="正文文本缩进 3"/>
    <w:basedOn w:val="794"/>
    <w:next w:val="857"/>
    <w:link w:val="858"/>
    <w:pPr>
      <w:ind w:left="420"/>
      <w:spacing w:after="120"/>
    </w:pPr>
    <w:rPr>
      <w:sz w:val="16"/>
      <w:szCs w:val="16"/>
    </w:rPr>
  </w:style>
  <w:style w:type="character" w:styleId="858">
    <w:name w:val="正文文本缩进 3 字符"/>
    <w:next w:val="858"/>
    <w:link w:val="857"/>
    <w:rPr>
      <w:rFonts w:ascii="Times New Roman" w:hAnsi="Times New Roman" w:eastAsia="宋体" w:cs="Times New Roman"/>
      <w:sz w:val="16"/>
      <w:szCs w:val="16"/>
    </w:rPr>
  </w:style>
  <w:style w:type="paragraph" w:styleId="859">
    <w:name w:val="图表目录"/>
    <w:basedOn w:val="794"/>
    <w:next w:val="794"/>
    <w:link w:val="794"/>
    <w:uiPriority w:val="99"/>
    <w:unhideWhenUsed/>
  </w:style>
  <w:style w:type="paragraph" w:styleId="860">
    <w:name w:val="目录 2"/>
    <w:basedOn w:val="794"/>
    <w:next w:val="794"/>
    <w:link w:val="794"/>
    <w:uiPriority w:val="39"/>
    <w:unhideWhenUsed/>
    <w:pPr>
      <w:ind w:left="420"/>
    </w:pPr>
    <w:rPr>
      <w:rFonts w:ascii="Calibri" w:hAnsi="Calibri"/>
      <w:sz w:val="24"/>
      <w:szCs w:val="22"/>
    </w:rPr>
  </w:style>
  <w:style w:type="paragraph" w:styleId="861">
    <w:name w:val="目录 9"/>
    <w:basedOn w:val="794"/>
    <w:next w:val="794"/>
    <w:link w:val="794"/>
    <w:uiPriority w:val="39"/>
    <w:pPr>
      <w:ind w:left="1680"/>
      <w:jc w:val="left"/>
    </w:pPr>
    <w:rPr>
      <w:sz w:val="18"/>
      <w:szCs w:val="21"/>
    </w:rPr>
  </w:style>
  <w:style w:type="paragraph" w:styleId="862">
    <w:name w:val="正文文本 2"/>
    <w:basedOn w:val="794"/>
    <w:next w:val="862"/>
    <w:link w:val="863"/>
    <w:rPr>
      <w:b/>
      <w:bCs/>
      <w:sz w:val="18"/>
    </w:rPr>
  </w:style>
  <w:style w:type="character" w:styleId="863">
    <w:name w:val="正文文本 2 字符"/>
    <w:next w:val="863"/>
    <w:link w:val="862"/>
    <w:rPr>
      <w:rFonts w:ascii="Times New Roman" w:hAnsi="Times New Roman" w:eastAsia="宋体" w:cs="Times New Roman"/>
      <w:b/>
      <w:bCs/>
      <w:sz w:val="18"/>
      <w:szCs w:val="24"/>
    </w:rPr>
  </w:style>
  <w:style w:type="paragraph" w:styleId="864">
    <w:name w:val="HTML 预设格式"/>
    <w:basedOn w:val="794"/>
    <w:next w:val="864"/>
    <w:link w:val="86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5">
    <w:name w:val="HTML 预设格式 字符"/>
    <w:next w:val="865"/>
    <w:link w:val="864"/>
    <w:uiPriority w:val="99"/>
    <w:semiHidden/>
    <w:rPr>
      <w:rFonts w:ascii="宋体" w:hAnsi="宋体" w:cs="宋体"/>
      <w:sz w:val="24"/>
      <w:szCs w:val="24"/>
    </w:rPr>
  </w:style>
  <w:style w:type="paragraph" w:styleId="866">
    <w:name w:val="普通(网站)"/>
    <w:basedOn w:val="794"/>
    <w:next w:val="866"/>
    <w:link w:val="794"/>
    <w:pPr>
      <w:jc w:val="left"/>
      <w:spacing w:before="100" w:beforeAutospacing="1" w:after="100" w:afterAutospacing="1"/>
      <w:widowControl/>
    </w:pPr>
    <w:rPr>
      <w:rFonts w:ascii="宋体" w:hAnsi="宋体"/>
      <w:color w:val="000000"/>
      <w:sz w:val="24"/>
    </w:rPr>
  </w:style>
  <w:style w:type="paragraph" w:styleId="867">
    <w:name w:val="标题"/>
    <w:basedOn w:val="794"/>
    <w:next w:val="794"/>
    <w:link w:val="868"/>
    <w:uiPriority w:val="10"/>
    <w:qFormat/>
    <w:pPr>
      <w:jc w:val="center"/>
      <w:spacing w:before="240" w:after="60"/>
      <w:outlineLvl w:val="0"/>
    </w:pPr>
    <w:rPr>
      <w:rFonts w:ascii="Cambria" w:hAnsi="Cambria"/>
      <w:b/>
      <w:bCs/>
      <w:sz w:val="32"/>
      <w:szCs w:val="32"/>
    </w:rPr>
  </w:style>
  <w:style w:type="character" w:styleId="868">
    <w:name w:val="标题 字符"/>
    <w:next w:val="868"/>
    <w:link w:val="867"/>
    <w:uiPriority w:val="10"/>
    <w:rPr>
      <w:rFonts w:ascii="Cambria" w:hAnsi="Cambria" w:eastAsia="宋体" w:cs="Times New Roman"/>
      <w:b/>
      <w:bCs/>
      <w:sz w:val="32"/>
      <w:szCs w:val="32"/>
    </w:rPr>
  </w:style>
  <w:style w:type="paragraph" w:styleId="869">
    <w:name w:val="批注主题"/>
    <w:basedOn w:val="826"/>
    <w:next w:val="826"/>
    <w:link w:val="870"/>
    <w:unhideWhenUsed/>
    <w:rPr>
      <w:b/>
      <w:bCs/>
    </w:rPr>
  </w:style>
  <w:style w:type="character" w:styleId="870">
    <w:name w:val="批注主题 字符"/>
    <w:next w:val="870"/>
    <w:link w:val="869"/>
    <w:rPr>
      <w:b/>
      <w:bCs/>
      <w:sz w:val="21"/>
      <w:szCs w:val="24"/>
    </w:rPr>
  </w:style>
  <w:style w:type="paragraph" w:styleId="871">
    <w:name w:val="正文首行缩进"/>
    <w:basedOn w:val="809"/>
    <w:next w:val="871"/>
    <w:link w:val="872"/>
    <w:pPr>
      <w:ind w:firstLine="420"/>
      <w:spacing w:after="120"/>
    </w:pPr>
    <w:rPr>
      <w:rFonts w:ascii="Times New Roman" w:eastAsia="宋体"/>
      <w:szCs w:val="24"/>
    </w:rPr>
  </w:style>
  <w:style w:type="character" w:styleId="872">
    <w:name w:val="正文文本首行缩进 字符"/>
    <w:next w:val="872"/>
    <w:link w:val="871"/>
    <w:rPr>
      <w:rFonts w:ascii="Times New Roman" w:hAnsi="Times New Roman" w:eastAsia="宋体" w:cs="Times New Roman"/>
      <w:sz w:val="24"/>
      <w:szCs w:val="24"/>
    </w:rPr>
  </w:style>
  <w:style w:type="table" w:styleId="873">
    <w:name w:val="网格型"/>
    <w:basedOn w:val="805"/>
    <w:next w:val="873"/>
    <w:link w:val="794"/>
    <w:qFormat/>
    <w:tblPr/>
  </w:style>
  <w:style w:type="character" w:styleId="874">
    <w:name w:val="要点"/>
    <w:next w:val="874"/>
    <w:link w:val="794"/>
    <w:qFormat/>
    <w:rPr>
      <w:b/>
      <w:bCs/>
    </w:rPr>
  </w:style>
  <w:style w:type="character" w:styleId="875">
    <w:name w:val="尾注引用"/>
    <w:next w:val="875"/>
    <w:link w:val="794"/>
    <w:uiPriority w:val="99"/>
    <w:unhideWhenUsed/>
    <w:qFormat/>
    <w:rPr>
      <w:vertAlign w:val="superscript"/>
    </w:rPr>
  </w:style>
  <w:style w:type="character" w:styleId="876">
    <w:name w:val="页码"/>
    <w:next w:val="876"/>
    <w:link w:val="794"/>
    <w:qFormat/>
  </w:style>
  <w:style w:type="character" w:styleId="877">
    <w:name w:val="强调"/>
    <w:next w:val="877"/>
    <w:link w:val="794"/>
    <w:uiPriority w:val="20"/>
    <w:qFormat/>
    <w:rPr>
      <w:i/>
      <w:iCs/>
    </w:rPr>
  </w:style>
  <w:style w:type="character" w:styleId="878">
    <w:name w:val="超链接"/>
    <w:next w:val="878"/>
    <w:link w:val="794"/>
    <w:uiPriority w:val="99"/>
    <w:qFormat/>
    <w:rPr>
      <w:color w:val="0000ff"/>
      <w:u w:val="single"/>
    </w:rPr>
  </w:style>
  <w:style w:type="character" w:styleId="879">
    <w:name w:val="批注引用"/>
    <w:next w:val="879"/>
    <w:link w:val="794"/>
    <w:unhideWhenUsed/>
    <w:rPr>
      <w:sz w:val="21"/>
      <w:szCs w:val="21"/>
    </w:rPr>
  </w:style>
  <w:style w:type="character" w:styleId="880">
    <w:name w:val="脚注引用"/>
    <w:next w:val="880"/>
    <w:link w:val="794"/>
    <w:rPr>
      <w:vertAlign w:val="superscript"/>
    </w:rPr>
  </w:style>
  <w:style w:type="character" w:styleId="881">
    <w:name w:val="Heading 1 Char"/>
    <w:next w:val="881"/>
    <w:link w:val="794"/>
    <w:uiPriority w:val="9"/>
    <w:qFormat/>
    <w:rPr>
      <w:rFonts w:ascii="Arial" w:hAnsi="Arial" w:eastAsia="Arial" w:cs="Arial"/>
      <w:sz w:val="40"/>
      <w:szCs w:val="40"/>
    </w:rPr>
  </w:style>
  <w:style w:type="character" w:styleId="882">
    <w:name w:val="Heading 2 Char"/>
    <w:next w:val="882"/>
    <w:link w:val="794"/>
    <w:uiPriority w:val="9"/>
    <w:qFormat/>
    <w:rPr>
      <w:rFonts w:ascii="Arial" w:hAnsi="Arial" w:eastAsia="Arial" w:cs="Arial"/>
      <w:sz w:val="34"/>
    </w:rPr>
  </w:style>
  <w:style w:type="character" w:styleId="883">
    <w:name w:val="Heading 3 Char"/>
    <w:next w:val="883"/>
    <w:link w:val="794"/>
    <w:uiPriority w:val="9"/>
    <w:qFormat/>
    <w:rPr>
      <w:rFonts w:ascii="Arial" w:hAnsi="Arial" w:eastAsia="Arial" w:cs="Arial"/>
      <w:sz w:val="30"/>
      <w:szCs w:val="30"/>
    </w:rPr>
  </w:style>
  <w:style w:type="character" w:styleId="884">
    <w:name w:val="Heading 4 Char"/>
    <w:next w:val="884"/>
    <w:link w:val="794"/>
    <w:uiPriority w:val="9"/>
    <w:qFormat/>
    <w:rPr>
      <w:rFonts w:ascii="Arial" w:hAnsi="Arial" w:eastAsia="Arial" w:cs="Arial"/>
      <w:b/>
      <w:bCs/>
      <w:sz w:val="26"/>
      <w:szCs w:val="26"/>
    </w:rPr>
  </w:style>
  <w:style w:type="character" w:styleId="885">
    <w:name w:val="Heading 5 Char"/>
    <w:next w:val="885"/>
    <w:link w:val="794"/>
    <w:uiPriority w:val="9"/>
    <w:qFormat/>
    <w:rPr>
      <w:rFonts w:ascii="Arial" w:hAnsi="Arial" w:eastAsia="Arial" w:cs="Arial"/>
      <w:b/>
      <w:bCs/>
      <w:sz w:val="24"/>
      <w:szCs w:val="24"/>
    </w:rPr>
  </w:style>
  <w:style w:type="character" w:styleId="886">
    <w:name w:val="Heading 6 Char"/>
    <w:next w:val="886"/>
    <w:link w:val="794"/>
    <w:uiPriority w:val="9"/>
    <w:qFormat/>
    <w:rPr>
      <w:rFonts w:ascii="Arial" w:hAnsi="Arial" w:eastAsia="Arial" w:cs="Arial"/>
      <w:b/>
      <w:bCs/>
      <w:sz w:val="22"/>
      <w:szCs w:val="22"/>
    </w:rPr>
  </w:style>
  <w:style w:type="character" w:styleId="887">
    <w:name w:val="Heading 7 Char"/>
    <w:next w:val="887"/>
    <w:link w:val="794"/>
    <w:uiPriority w:val="9"/>
    <w:qFormat/>
    <w:rPr>
      <w:rFonts w:ascii="Arial" w:hAnsi="Arial" w:eastAsia="Arial" w:cs="Arial"/>
      <w:b/>
      <w:bCs/>
      <w:i/>
      <w:iCs/>
      <w:sz w:val="22"/>
      <w:szCs w:val="22"/>
    </w:rPr>
  </w:style>
  <w:style w:type="character" w:styleId="888">
    <w:name w:val="Heading 8 Char"/>
    <w:next w:val="888"/>
    <w:link w:val="794"/>
    <w:uiPriority w:val="9"/>
    <w:qFormat/>
    <w:rPr>
      <w:rFonts w:ascii="Arial" w:hAnsi="Arial" w:eastAsia="Arial" w:cs="Arial"/>
      <w:i/>
      <w:iCs/>
      <w:sz w:val="22"/>
      <w:szCs w:val="22"/>
    </w:rPr>
  </w:style>
  <w:style w:type="character" w:styleId="889">
    <w:name w:val="Heading 9 Char"/>
    <w:next w:val="889"/>
    <w:link w:val="794"/>
    <w:uiPriority w:val="9"/>
    <w:qFormat/>
    <w:rPr>
      <w:rFonts w:ascii="Arial" w:hAnsi="Arial" w:eastAsia="Arial" w:cs="Arial"/>
      <w:i/>
      <w:iCs/>
      <w:sz w:val="21"/>
      <w:szCs w:val="21"/>
    </w:rPr>
  </w:style>
  <w:style w:type="paragraph" w:styleId="890">
    <w:name w:val="List Paragraph"/>
    <w:basedOn w:val="794"/>
    <w:next w:val="890"/>
    <w:link w:val="891"/>
    <w:uiPriority w:val="99"/>
    <w:qFormat/>
    <w:pPr>
      <w:ind w:firstLine="420"/>
    </w:pPr>
    <w:rPr>
      <w:sz w:val="20"/>
      <w:szCs w:val="20"/>
    </w:rPr>
  </w:style>
  <w:style w:type="character" w:styleId="891">
    <w:name w:val="列表段落 字符1"/>
    <w:next w:val="891"/>
    <w:link w:val="890"/>
    <w:uiPriority w:val="99"/>
  </w:style>
  <w:style w:type="paragraph" w:styleId="892">
    <w:name w:val="No Spacing"/>
    <w:next w:val="892"/>
    <w:link w:val="893"/>
    <w:uiPriority w:val="1"/>
    <w:qFormat/>
    <w:rPr>
      <w:rFonts w:ascii="Calibri" w:hAnsi="Calibri" w:eastAsia="宋体" w:cs="Times New Roman"/>
      <w:sz w:val="22"/>
      <w:szCs w:val="22"/>
      <w:lang w:val="en-US" w:eastAsia="zh-CN" w:bidi="ar-SA"/>
    </w:rPr>
  </w:style>
  <w:style w:type="character" w:styleId="893">
    <w:name w:val="无间隔 字符1"/>
    <w:next w:val="893"/>
    <w:link w:val="892"/>
    <w:uiPriority w:val="1"/>
    <w:rPr>
      <w:rFonts w:ascii="Calibri" w:hAnsi="Calibri"/>
      <w:sz w:val="22"/>
      <w:szCs w:val="22"/>
      <w:lang w:val="en-US" w:eastAsia="zh-CN" w:bidi="ar-SA"/>
    </w:rPr>
  </w:style>
  <w:style w:type="character" w:styleId="894">
    <w:name w:val="Title Char"/>
    <w:next w:val="894"/>
    <w:link w:val="794"/>
    <w:uiPriority w:val="10"/>
    <w:rPr>
      <w:sz w:val="48"/>
      <w:szCs w:val="48"/>
    </w:rPr>
  </w:style>
  <w:style w:type="paragraph" w:styleId="895">
    <w:name w:val="Quote"/>
    <w:basedOn w:val="794"/>
    <w:next w:val="794"/>
    <w:link w:val="896"/>
    <w:uiPriority w:val="29"/>
    <w:qFormat/>
    <w:pPr>
      <w:ind w:left="720" w:right="720"/>
    </w:pPr>
    <w:rPr>
      <w:i/>
    </w:rPr>
  </w:style>
  <w:style w:type="character" w:styleId="896">
    <w:name w:val="引用 字符"/>
    <w:next w:val="896"/>
    <w:link w:val="895"/>
    <w:uiPriority w:val="29"/>
    <w:rPr>
      <w:i/>
    </w:rPr>
  </w:style>
  <w:style w:type="paragraph" w:styleId="897">
    <w:name w:val="Intense Quote"/>
    <w:basedOn w:val="794"/>
    <w:next w:val="794"/>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明显引用 字符"/>
    <w:next w:val="898"/>
    <w:link w:val="897"/>
    <w:uiPriority w:val="30"/>
    <w:rPr>
      <w:i/>
    </w:rPr>
  </w:style>
  <w:style w:type="character" w:styleId="899">
    <w:name w:val="Header Char"/>
    <w:next w:val="899"/>
    <w:link w:val="794"/>
    <w:uiPriority w:val="99"/>
  </w:style>
  <w:style w:type="character" w:styleId="900">
    <w:name w:val="Footer Char"/>
    <w:next w:val="900"/>
    <w:link w:val="794"/>
    <w:uiPriority w:val="99"/>
  </w:style>
  <w:style w:type="character" w:styleId="901">
    <w:name w:val="Caption Char"/>
    <w:next w:val="901"/>
    <w:link w:val="794"/>
    <w:uiPriority w:val="99"/>
  </w:style>
  <w:style w:type="table" w:styleId="902">
    <w:name w:val="Table Grid Light"/>
    <w:next w:val="902"/>
    <w:link w:val="794"/>
    <w:uiPriority w:val="59"/>
    <w:tblPr/>
  </w:style>
  <w:style w:type="table" w:styleId="903">
    <w:name w:val="Plain Table 1"/>
    <w:next w:val="903"/>
    <w:link w:val="794"/>
    <w:uiPriority w:val="59"/>
    <w:tblPr/>
  </w:style>
  <w:style w:type="table" w:styleId="904">
    <w:name w:val="Plain Table 2"/>
    <w:next w:val="904"/>
    <w:link w:val="794"/>
    <w:uiPriority w:val="59"/>
    <w:tblPr/>
  </w:style>
  <w:style w:type="table" w:styleId="905">
    <w:name w:val="Plain Table 3"/>
    <w:next w:val="905"/>
    <w:link w:val="794"/>
    <w:uiPriority w:val="99"/>
    <w:tblPr/>
  </w:style>
  <w:style w:type="table" w:styleId="906">
    <w:name w:val="Plain Table 4"/>
    <w:next w:val="906"/>
    <w:link w:val="794"/>
    <w:uiPriority w:val="99"/>
    <w:tblPr/>
  </w:style>
  <w:style w:type="table" w:styleId="907">
    <w:name w:val="Plain Table 5"/>
    <w:next w:val="907"/>
    <w:link w:val="794"/>
    <w:uiPriority w:val="99"/>
    <w:tblPr/>
  </w:style>
  <w:style w:type="table" w:styleId="908">
    <w:name w:val="Grid Table 1 Light"/>
    <w:next w:val="908"/>
    <w:link w:val="794"/>
    <w:uiPriority w:val="99"/>
    <w:tblPr/>
  </w:style>
  <w:style w:type="table" w:styleId="909">
    <w:name w:val="Grid Table 1 Light - Accent 1"/>
    <w:next w:val="909"/>
    <w:link w:val="794"/>
    <w:uiPriority w:val="99"/>
    <w:tblPr/>
  </w:style>
  <w:style w:type="table" w:styleId="910">
    <w:name w:val="Grid Table 1 Light - Accent 2"/>
    <w:next w:val="910"/>
    <w:link w:val="794"/>
    <w:uiPriority w:val="99"/>
    <w:tblPr/>
  </w:style>
  <w:style w:type="table" w:styleId="911">
    <w:name w:val="Grid Table 1 Light - Accent 3"/>
    <w:next w:val="911"/>
    <w:link w:val="794"/>
    <w:uiPriority w:val="99"/>
    <w:tblPr/>
  </w:style>
  <w:style w:type="table" w:styleId="912">
    <w:name w:val="Grid Table 1 Light - Accent 4"/>
    <w:next w:val="912"/>
    <w:link w:val="794"/>
    <w:uiPriority w:val="99"/>
    <w:tblPr/>
  </w:style>
  <w:style w:type="table" w:styleId="913">
    <w:name w:val="Grid Table 1 Light - Accent 5"/>
    <w:next w:val="913"/>
    <w:link w:val="794"/>
    <w:uiPriority w:val="99"/>
    <w:tblPr/>
  </w:style>
  <w:style w:type="table" w:styleId="914">
    <w:name w:val="Grid Table 1 Light - Accent 6"/>
    <w:next w:val="914"/>
    <w:link w:val="794"/>
    <w:uiPriority w:val="99"/>
    <w:tblPr/>
  </w:style>
  <w:style w:type="table" w:styleId="915">
    <w:name w:val="Grid Table 2"/>
    <w:next w:val="915"/>
    <w:link w:val="794"/>
    <w:uiPriority w:val="99"/>
    <w:tblPr/>
  </w:style>
  <w:style w:type="table" w:styleId="916">
    <w:name w:val="Grid Table 2 - Accent 1"/>
    <w:next w:val="916"/>
    <w:link w:val="794"/>
    <w:uiPriority w:val="99"/>
    <w:tblPr/>
  </w:style>
  <w:style w:type="table" w:styleId="917">
    <w:name w:val="Grid Table 2 - Accent 2"/>
    <w:next w:val="917"/>
    <w:link w:val="794"/>
    <w:uiPriority w:val="99"/>
    <w:tblPr/>
  </w:style>
  <w:style w:type="table" w:styleId="918">
    <w:name w:val="Grid Table 2 - Accent 3"/>
    <w:next w:val="918"/>
    <w:link w:val="794"/>
    <w:uiPriority w:val="99"/>
    <w:tblPr/>
  </w:style>
  <w:style w:type="table" w:styleId="919">
    <w:name w:val="Grid Table 2 - Accent 4"/>
    <w:next w:val="919"/>
    <w:link w:val="794"/>
    <w:uiPriority w:val="99"/>
    <w:tblPr/>
  </w:style>
  <w:style w:type="table" w:styleId="920">
    <w:name w:val="Grid Table 2 - Accent 5"/>
    <w:next w:val="920"/>
    <w:link w:val="794"/>
    <w:uiPriority w:val="99"/>
    <w:tblPr/>
  </w:style>
  <w:style w:type="table" w:styleId="921">
    <w:name w:val="Grid Table 2 - Accent 6"/>
    <w:next w:val="921"/>
    <w:link w:val="794"/>
    <w:uiPriority w:val="99"/>
    <w:tblPr/>
  </w:style>
  <w:style w:type="table" w:styleId="922">
    <w:name w:val="Grid Table 3"/>
    <w:next w:val="922"/>
    <w:link w:val="794"/>
    <w:uiPriority w:val="99"/>
    <w:tblPr/>
  </w:style>
  <w:style w:type="table" w:styleId="923">
    <w:name w:val="Grid Table 3 - Accent 1"/>
    <w:next w:val="923"/>
    <w:link w:val="794"/>
    <w:uiPriority w:val="99"/>
    <w:tblPr/>
  </w:style>
  <w:style w:type="table" w:styleId="924">
    <w:name w:val="Grid Table 3 - Accent 2"/>
    <w:next w:val="924"/>
    <w:link w:val="794"/>
    <w:uiPriority w:val="99"/>
    <w:tblPr/>
  </w:style>
  <w:style w:type="table" w:styleId="925">
    <w:name w:val="Grid Table 3 - Accent 3"/>
    <w:next w:val="925"/>
    <w:link w:val="794"/>
    <w:uiPriority w:val="99"/>
    <w:tblPr/>
  </w:style>
  <w:style w:type="table" w:styleId="926">
    <w:name w:val="Grid Table 3 - Accent 4"/>
    <w:next w:val="926"/>
    <w:link w:val="794"/>
    <w:uiPriority w:val="99"/>
    <w:tblPr/>
  </w:style>
  <w:style w:type="table" w:styleId="927">
    <w:name w:val="Grid Table 3 - Accent 5"/>
    <w:next w:val="927"/>
    <w:link w:val="794"/>
    <w:uiPriority w:val="99"/>
    <w:tblPr/>
  </w:style>
  <w:style w:type="table" w:styleId="928">
    <w:name w:val="Grid Table 3 - Accent 6"/>
    <w:next w:val="928"/>
    <w:link w:val="794"/>
    <w:uiPriority w:val="99"/>
    <w:tblPr/>
  </w:style>
  <w:style w:type="table" w:styleId="929">
    <w:name w:val="Grid Table 4"/>
    <w:next w:val="929"/>
    <w:link w:val="794"/>
    <w:uiPriority w:val="59"/>
    <w:tblPr/>
  </w:style>
  <w:style w:type="table" w:styleId="930">
    <w:name w:val="Grid Table 4 - Accent 1"/>
    <w:next w:val="930"/>
    <w:link w:val="794"/>
    <w:uiPriority w:val="59"/>
    <w:tblPr/>
  </w:style>
  <w:style w:type="table" w:styleId="931">
    <w:name w:val="Grid Table 4 - Accent 2"/>
    <w:next w:val="931"/>
    <w:link w:val="794"/>
    <w:uiPriority w:val="59"/>
    <w:tblPr/>
  </w:style>
  <w:style w:type="table" w:styleId="932">
    <w:name w:val="Grid Table 4 - Accent 3"/>
    <w:next w:val="932"/>
    <w:link w:val="794"/>
    <w:uiPriority w:val="59"/>
    <w:tblPr/>
  </w:style>
  <w:style w:type="table" w:styleId="933">
    <w:name w:val="Grid Table 4 - Accent 4"/>
    <w:next w:val="933"/>
    <w:link w:val="794"/>
    <w:uiPriority w:val="59"/>
    <w:tblPr/>
  </w:style>
  <w:style w:type="table" w:styleId="934">
    <w:name w:val="Grid Table 4 - Accent 5"/>
    <w:next w:val="934"/>
    <w:link w:val="794"/>
    <w:uiPriority w:val="59"/>
    <w:tblPr/>
  </w:style>
  <w:style w:type="table" w:styleId="935">
    <w:name w:val="Grid Table 4 - Accent 6"/>
    <w:next w:val="935"/>
    <w:link w:val="794"/>
    <w:uiPriority w:val="59"/>
    <w:tblPr/>
  </w:style>
  <w:style w:type="table" w:styleId="936">
    <w:name w:val="Grid Table 5 Dark"/>
    <w:next w:val="936"/>
    <w:link w:val="794"/>
    <w:uiPriority w:val="99"/>
    <w:tblPr/>
  </w:style>
  <w:style w:type="table" w:styleId="937">
    <w:name w:val="Grid Table 5 Dark- Accent 1"/>
    <w:next w:val="937"/>
    <w:link w:val="794"/>
    <w:uiPriority w:val="99"/>
    <w:tblPr/>
  </w:style>
  <w:style w:type="table" w:styleId="938">
    <w:name w:val="Grid Table 5 Dark - Accent 2"/>
    <w:next w:val="938"/>
    <w:link w:val="794"/>
    <w:uiPriority w:val="99"/>
    <w:tblPr/>
  </w:style>
  <w:style w:type="table" w:styleId="939">
    <w:name w:val="Grid Table 5 Dark - Accent 3"/>
    <w:next w:val="939"/>
    <w:link w:val="794"/>
    <w:uiPriority w:val="99"/>
    <w:tblPr/>
  </w:style>
  <w:style w:type="table" w:styleId="940">
    <w:name w:val="Grid Table 5 Dark- Accent 4"/>
    <w:next w:val="940"/>
    <w:link w:val="794"/>
    <w:uiPriority w:val="99"/>
    <w:tblPr/>
  </w:style>
  <w:style w:type="table" w:styleId="941">
    <w:name w:val="Grid Table 5 Dark - Accent 5"/>
    <w:next w:val="941"/>
    <w:link w:val="794"/>
    <w:uiPriority w:val="99"/>
    <w:tblPr/>
  </w:style>
  <w:style w:type="table" w:styleId="942">
    <w:name w:val="Grid Table 5 Dark - Accent 6"/>
    <w:next w:val="942"/>
    <w:link w:val="794"/>
    <w:uiPriority w:val="99"/>
    <w:tblPr/>
  </w:style>
  <w:style w:type="table" w:styleId="943">
    <w:name w:val="Grid Table 6 Colorful"/>
    <w:next w:val="943"/>
    <w:link w:val="794"/>
    <w:uiPriority w:val="99"/>
    <w:tblPr/>
  </w:style>
  <w:style w:type="table" w:styleId="944">
    <w:name w:val="Grid Table 6 Colorful - Accent 1"/>
    <w:next w:val="944"/>
    <w:link w:val="794"/>
    <w:uiPriority w:val="99"/>
    <w:tblPr/>
  </w:style>
  <w:style w:type="table" w:styleId="945">
    <w:name w:val="Grid Table 6 Colorful - Accent 2"/>
    <w:next w:val="945"/>
    <w:link w:val="794"/>
    <w:uiPriority w:val="99"/>
    <w:tblPr/>
  </w:style>
  <w:style w:type="table" w:styleId="946">
    <w:name w:val="Grid Table 6 Colorful - Accent 3"/>
    <w:next w:val="946"/>
    <w:link w:val="794"/>
    <w:uiPriority w:val="99"/>
    <w:tblPr/>
  </w:style>
  <w:style w:type="table" w:styleId="947">
    <w:name w:val="Grid Table 6 Colorful - Accent 4"/>
    <w:next w:val="947"/>
    <w:link w:val="794"/>
    <w:uiPriority w:val="99"/>
    <w:tblPr/>
  </w:style>
  <w:style w:type="table" w:styleId="948">
    <w:name w:val="Grid Table 6 Colorful - Accent 5"/>
    <w:next w:val="948"/>
    <w:link w:val="794"/>
    <w:uiPriority w:val="99"/>
    <w:tblPr/>
  </w:style>
  <w:style w:type="table" w:styleId="949">
    <w:name w:val="Grid Table 6 Colorful - Accent 6"/>
    <w:next w:val="949"/>
    <w:link w:val="794"/>
    <w:uiPriority w:val="99"/>
    <w:tblPr/>
  </w:style>
  <w:style w:type="table" w:styleId="950">
    <w:name w:val="Grid Table 7 Colorful"/>
    <w:next w:val="950"/>
    <w:link w:val="794"/>
    <w:uiPriority w:val="99"/>
    <w:tblPr/>
  </w:style>
  <w:style w:type="table" w:styleId="951">
    <w:name w:val="Grid Table 7 Colorful - Accent 1"/>
    <w:next w:val="951"/>
    <w:link w:val="794"/>
    <w:uiPriority w:val="99"/>
    <w:tblPr/>
  </w:style>
  <w:style w:type="table" w:styleId="952">
    <w:name w:val="Grid Table 7 Colorful - Accent 2"/>
    <w:next w:val="952"/>
    <w:link w:val="794"/>
    <w:uiPriority w:val="99"/>
    <w:tblPr/>
  </w:style>
  <w:style w:type="table" w:styleId="953">
    <w:name w:val="Grid Table 7 Colorful - Accent 3"/>
    <w:next w:val="953"/>
    <w:link w:val="794"/>
    <w:uiPriority w:val="99"/>
    <w:tblPr/>
  </w:style>
  <w:style w:type="table" w:styleId="954">
    <w:name w:val="Grid Table 7 Colorful - Accent 4"/>
    <w:next w:val="954"/>
    <w:link w:val="794"/>
    <w:uiPriority w:val="99"/>
    <w:tblPr/>
  </w:style>
  <w:style w:type="table" w:styleId="955">
    <w:name w:val="Grid Table 7 Colorful - Accent 5"/>
    <w:next w:val="955"/>
    <w:link w:val="794"/>
    <w:uiPriority w:val="99"/>
    <w:tblPr/>
  </w:style>
  <w:style w:type="table" w:styleId="956">
    <w:name w:val="Grid Table 7 Colorful - Accent 6"/>
    <w:next w:val="956"/>
    <w:link w:val="794"/>
    <w:uiPriority w:val="99"/>
    <w:tblPr/>
  </w:style>
  <w:style w:type="table" w:styleId="957">
    <w:name w:val="List Table 1 Light"/>
    <w:next w:val="957"/>
    <w:link w:val="794"/>
    <w:uiPriority w:val="99"/>
    <w:tblPr/>
  </w:style>
  <w:style w:type="table" w:styleId="958">
    <w:name w:val="List Table 1 Light - Accent 1"/>
    <w:next w:val="958"/>
    <w:link w:val="794"/>
    <w:uiPriority w:val="99"/>
    <w:tblPr/>
  </w:style>
  <w:style w:type="table" w:styleId="959">
    <w:name w:val="List Table 1 Light - Accent 2"/>
    <w:next w:val="959"/>
    <w:link w:val="794"/>
    <w:uiPriority w:val="99"/>
    <w:tblPr/>
  </w:style>
  <w:style w:type="table" w:styleId="960">
    <w:name w:val="List Table 1 Light - Accent 3"/>
    <w:next w:val="960"/>
    <w:link w:val="794"/>
    <w:uiPriority w:val="99"/>
    <w:tblPr/>
  </w:style>
  <w:style w:type="table" w:styleId="961">
    <w:name w:val="List Table 1 Light - Accent 4"/>
    <w:next w:val="961"/>
    <w:link w:val="794"/>
    <w:uiPriority w:val="99"/>
    <w:tblPr/>
  </w:style>
  <w:style w:type="table" w:styleId="962">
    <w:name w:val="List Table 1 Light - Accent 5"/>
    <w:next w:val="962"/>
    <w:link w:val="794"/>
    <w:uiPriority w:val="99"/>
    <w:tblPr/>
  </w:style>
  <w:style w:type="table" w:styleId="963">
    <w:name w:val="List Table 1 Light - Accent 6"/>
    <w:next w:val="963"/>
    <w:link w:val="794"/>
    <w:uiPriority w:val="99"/>
    <w:tblPr/>
  </w:style>
  <w:style w:type="table" w:styleId="964">
    <w:name w:val="List Table 2"/>
    <w:next w:val="964"/>
    <w:link w:val="794"/>
    <w:uiPriority w:val="99"/>
    <w:tblPr/>
  </w:style>
  <w:style w:type="table" w:styleId="965">
    <w:name w:val="List Table 2 - Accent 1"/>
    <w:next w:val="965"/>
    <w:link w:val="794"/>
    <w:uiPriority w:val="99"/>
    <w:tblPr/>
  </w:style>
  <w:style w:type="table" w:styleId="966">
    <w:name w:val="List Table 2 - Accent 2"/>
    <w:next w:val="966"/>
    <w:link w:val="794"/>
    <w:uiPriority w:val="99"/>
    <w:tblPr/>
  </w:style>
  <w:style w:type="table" w:styleId="967">
    <w:name w:val="List Table 2 - Accent 3"/>
    <w:next w:val="967"/>
    <w:link w:val="794"/>
    <w:uiPriority w:val="99"/>
    <w:tblPr/>
  </w:style>
  <w:style w:type="table" w:styleId="968">
    <w:name w:val="List Table 2 - Accent 4"/>
    <w:next w:val="968"/>
    <w:link w:val="794"/>
    <w:uiPriority w:val="99"/>
    <w:tblPr/>
  </w:style>
  <w:style w:type="table" w:styleId="969">
    <w:name w:val="List Table 2 - Accent 5"/>
    <w:next w:val="969"/>
    <w:link w:val="794"/>
    <w:uiPriority w:val="99"/>
    <w:tblPr/>
  </w:style>
  <w:style w:type="table" w:styleId="970">
    <w:name w:val="List Table 2 - Accent 6"/>
    <w:next w:val="970"/>
    <w:link w:val="794"/>
    <w:uiPriority w:val="99"/>
    <w:tblPr/>
  </w:style>
  <w:style w:type="table" w:styleId="971">
    <w:name w:val="List Table 3"/>
    <w:next w:val="971"/>
    <w:link w:val="794"/>
    <w:uiPriority w:val="99"/>
    <w:tblPr/>
  </w:style>
  <w:style w:type="table" w:styleId="972">
    <w:name w:val="List Table 3 - Accent 1"/>
    <w:next w:val="972"/>
    <w:link w:val="794"/>
    <w:uiPriority w:val="99"/>
    <w:tblPr/>
  </w:style>
  <w:style w:type="table" w:styleId="973">
    <w:name w:val="List Table 3 - Accent 2"/>
    <w:next w:val="973"/>
    <w:link w:val="794"/>
    <w:uiPriority w:val="99"/>
    <w:tblPr/>
  </w:style>
  <w:style w:type="table" w:styleId="974">
    <w:name w:val="List Table 3 - Accent 3"/>
    <w:next w:val="974"/>
    <w:link w:val="794"/>
    <w:uiPriority w:val="99"/>
    <w:tblPr/>
  </w:style>
  <w:style w:type="table" w:styleId="975">
    <w:name w:val="List Table 3 - Accent 4"/>
    <w:next w:val="975"/>
    <w:link w:val="794"/>
    <w:uiPriority w:val="99"/>
    <w:tblPr/>
  </w:style>
  <w:style w:type="table" w:styleId="976">
    <w:name w:val="List Table 3 - Accent 5"/>
    <w:next w:val="976"/>
    <w:link w:val="794"/>
    <w:uiPriority w:val="99"/>
    <w:tblPr/>
  </w:style>
  <w:style w:type="table" w:styleId="977">
    <w:name w:val="List Table 3 - Accent 6"/>
    <w:next w:val="977"/>
    <w:link w:val="794"/>
    <w:uiPriority w:val="99"/>
    <w:tblPr/>
  </w:style>
  <w:style w:type="table" w:styleId="978">
    <w:name w:val="List Table 4"/>
    <w:next w:val="978"/>
    <w:link w:val="794"/>
    <w:uiPriority w:val="99"/>
    <w:tblPr/>
  </w:style>
  <w:style w:type="table" w:styleId="979">
    <w:name w:val="List Table 4 - Accent 1"/>
    <w:next w:val="979"/>
    <w:link w:val="794"/>
    <w:uiPriority w:val="99"/>
    <w:tblPr/>
  </w:style>
  <w:style w:type="table" w:styleId="980">
    <w:name w:val="List Table 4 - Accent 2"/>
    <w:next w:val="980"/>
    <w:link w:val="794"/>
    <w:uiPriority w:val="99"/>
    <w:tblPr/>
  </w:style>
  <w:style w:type="table" w:styleId="981">
    <w:name w:val="List Table 4 - Accent 3"/>
    <w:next w:val="981"/>
    <w:link w:val="794"/>
    <w:uiPriority w:val="99"/>
    <w:tblPr/>
  </w:style>
  <w:style w:type="table" w:styleId="982">
    <w:name w:val="List Table 4 - Accent 4"/>
    <w:next w:val="982"/>
    <w:link w:val="794"/>
    <w:uiPriority w:val="99"/>
    <w:tblPr/>
  </w:style>
  <w:style w:type="table" w:styleId="983">
    <w:name w:val="List Table 4 - Accent 5"/>
    <w:next w:val="983"/>
    <w:link w:val="794"/>
    <w:uiPriority w:val="99"/>
    <w:tblPr/>
  </w:style>
  <w:style w:type="table" w:styleId="984">
    <w:name w:val="List Table 4 - Accent 6"/>
    <w:next w:val="984"/>
    <w:link w:val="794"/>
    <w:uiPriority w:val="99"/>
    <w:tblPr/>
  </w:style>
  <w:style w:type="table" w:styleId="985">
    <w:name w:val="List Table 5 Dark"/>
    <w:next w:val="985"/>
    <w:link w:val="794"/>
    <w:uiPriority w:val="99"/>
    <w:tblPr/>
  </w:style>
  <w:style w:type="table" w:styleId="986">
    <w:name w:val="List Table 5 Dark - Accent 1"/>
    <w:next w:val="986"/>
    <w:link w:val="794"/>
    <w:uiPriority w:val="99"/>
    <w:tblPr/>
  </w:style>
  <w:style w:type="table" w:styleId="987">
    <w:name w:val="List Table 5 Dark - Accent 2"/>
    <w:next w:val="987"/>
    <w:link w:val="794"/>
    <w:uiPriority w:val="99"/>
    <w:tblPr/>
  </w:style>
  <w:style w:type="table" w:styleId="988">
    <w:name w:val="List Table 5 Dark - Accent 3"/>
    <w:next w:val="988"/>
    <w:link w:val="794"/>
    <w:uiPriority w:val="99"/>
    <w:tblPr/>
  </w:style>
  <w:style w:type="table" w:styleId="989">
    <w:name w:val="List Table 5 Dark - Accent 4"/>
    <w:next w:val="989"/>
    <w:link w:val="794"/>
    <w:uiPriority w:val="99"/>
    <w:tblPr/>
  </w:style>
  <w:style w:type="table" w:styleId="990">
    <w:name w:val="List Table 5 Dark - Accent 5"/>
    <w:next w:val="990"/>
    <w:link w:val="794"/>
    <w:uiPriority w:val="99"/>
    <w:tblPr/>
  </w:style>
  <w:style w:type="table" w:styleId="991">
    <w:name w:val="List Table 5 Dark - Accent 6"/>
    <w:next w:val="991"/>
    <w:link w:val="794"/>
    <w:uiPriority w:val="99"/>
    <w:tblPr/>
  </w:style>
  <w:style w:type="table" w:styleId="992">
    <w:name w:val="List Table 6 Colorful"/>
    <w:next w:val="992"/>
    <w:link w:val="794"/>
    <w:uiPriority w:val="99"/>
    <w:tblPr/>
  </w:style>
  <w:style w:type="table" w:styleId="993">
    <w:name w:val="List Table 6 Colorful - Accent 1"/>
    <w:next w:val="993"/>
    <w:link w:val="794"/>
    <w:uiPriority w:val="99"/>
    <w:tblPr/>
  </w:style>
  <w:style w:type="table" w:styleId="994">
    <w:name w:val="List Table 6 Colorful - Accent 2"/>
    <w:next w:val="994"/>
    <w:link w:val="794"/>
    <w:uiPriority w:val="99"/>
    <w:tblPr/>
  </w:style>
  <w:style w:type="table" w:styleId="995">
    <w:name w:val="List Table 6 Colorful - Accent 3"/>
    <w:next w:val="995"/>
    <w:link w:val="794"/>
    <w:uiPriority w:val="99"/>
    <w:tblPr/>
  </w:style>
  <w:style w:type="table" w:styleId="996">
    <w:name w:val="List Table 6 Colorful - Accent 4"/>
    <w:next w:val="996"/>
    <w:link w:val="794"/>
    <w:uiPriority w:val="99"/>
    <w:tblPr/>
  </w:style>
  <w:style w:type="table" w:styleId="997">
    <w:name w:val="List Table 6 Colorful - Accent 5"/>
    <w:next w:val="997"/>
    <w:link w:val="794"/>
    <w:uiPriority w:val="99"/>
    <w:tblPr/>
  </w:style>
  <w:style w:type="table" w:styleId="998">
    <w:name w:val="List Table 6 Colorful - Accent 6"/>
    <w:next w:val="998"/>
    <w:link w:val="794"/>
    <w:uiPriority w:val="99"/>
    <w:tblPr/>
  </w:style>
  <w:style w:type="table" w:styleId="999">
    <w:name w:val="List Table 7 Colorful"/>
    <w:next w:val="999"/>
    <w:link w:val="794"/>
    <w:uiPriority w:val="99"/>
    <w:tblPr/>
  </w:style>
  <w:style w:type="table" w:styleId="1000">
    <w:name w:val="List Table 7 Colorful - Accent 1"/>
    <w:next w:val="1000"/>
    <w:link w:val="794"/>
    <w:uiPriority w:val="99"/>
    <w:tblPr/>
  </w:style>
  <w:style w:type="table" w:styleId="1001">
    <w:name w:val="List Table 7 Colorful - Accent 2"/>
    <w:next w:val="1001"/>
    <w:link w:val="794"/>
    <w:uiPriority w:val="99"/>
    <w:tblPr/>
  </w:style>
  <w:style w:type="table" w:styleId="1002">
    <w:name w:val="List Table 7 Colorful - Accent 3"/>
    <w:next w:val="1002"/>
    <w:link w:val="794"/>
    <w:uiPriority w:val="99"/>
    <w:tblPr/>
  </w:style>
  <w:style w:type="table" w:styleId="1003">
    <w:name w:val="List Table 7 Colorful - Accent 4"/>
    <w:next w:val="1003"/>
    <w:link w:val="794"/>
    <w:uiPriority w:val="99"/>
    <w:tblPr/>
  </w:style>
  <w:style w:type="table" w:styleId="1004">
    <w:name w:val="List Table 7 Colorful - Accent 5"/>
    <w:next w:val="1004"/>
    <w:link w:val="794"/>
    <w:uiPriority w:val="99"/>
    <w:tblPr/>
  </w:style>
  <w:style w:type="table" w:styleId="1005">
    <w:name w:val="List Table 7 Colorful - Accent 6"/>
    <w:next w:val="1005"/>
    <w:link w:val="794"/>
    <w:uiPriority w:val="99"/>
    <w:tblPr/>
  </w:style>
  <w:style w:type="table" w:styleId="1006">
    <w:name w:val="Lined - Accent"/>
    <w:next w:val="1006"/>
    <w:link w:val="794"/>
    <w:uiPriority w:val="99"/>
    <w:rPr>
      <w:color w:val="404040"/>
    </w:rPr>
    <w:tblPr/>
  </w:style>
  <w:style w:type="table" w:styleId="1007">
    <w:name w:val="Lined - Accent 1"/>
    <w:next w:val="1007"/>
    <w:link w:val="794"/>
    <w:uiPriority w:val="99"/>
    <w:rPr>
      <w:color w:val="404040"/>
    </w:rPr>
    <w:tblPr/>
  </w:style>
  <w:style w:type="table" w:styleId="1008">
    <w:name w:val="Lined - Accent 2"/>
    <w:next w:val="1008"/>
    <w:link w:val="794"/>
    <w:uiPriority w:val="99"/>
    <w:rPr>
      <w:color w:val="404040"/>
    </w:rPr>
    <w:tblPr/>
  </w:style>
  <w:style w:type="table" w:styleId="1009">
    <w:name w:val="Lined - Accent 3"/>
    <w:next w:val="1009"/>
    <w:link w:val="794"/>
    <w:uiPriority w:val="99"/>
    <w:rPr>
      <w:color w:val="404040"/>
    </w:rPr>
    <w:tblPr/>
  </w:style>
  <w:style w:type="table" w:styleId="1010">
    <w:name w:val="Lined - Accent 4"/>
    <w:next w:val="1010"/>
    <w:link w:val="794"/>
    <w:uiPriority w:val="99"/>
    <w:rPr>
      <w:color w:val="404040"/>
    </w:rPr>
    <w:tblPr/>
  </w:style>
  <w:style w:type="table" w:styleId="1011">
    <w:name w:val="Lined - Accent 5"/>
    <w:next w:val="1011"/>
    <w:link w:val="794"/>
    <w:uiPriority w:val="99"/>
    <w:rPr>
      <w:color w:val="404040"/>
    </w:rPr>
    <w:tblPr/>
  </w:style>
  <w:style w:type="table" w:styleId="1012">
    <w:name w:val="Lined - Accent 6"/>
    <w:next w:val="1012"/>
    <w:link w:val="794"/>
    <w:uiPriority w:val="99"/>
    <w:rPr>
      <w:color w:val="404040"/>
    </w:rPr>
    <w:tblPr/>
  </w:style>
  <w:style w:type="table" w:styleId="1013">
    <w:name w:val="Bordered &amp; Lined - Accent"/>
    <w:next w:val="1013"/>
    <w:link w:val="794"/>
    <w:uiPriority w:val="99"/>
    <w:rPr>
      <w:color w:val="404040"/>
    </w:rPr>
    <w:tblPr/>
  </w:style>
  <w:style w:type="table" w:styleId="1014">
    <w:name w:val="Bordered &amp; Lined - Accent 1"/>
    <w:next w:val="1014"/>
    <w:link w:val="794"/>
    <w:uiPriority w:val="99"/>
    <w:rPr>
      <w:color w:val="404040"/>
    </w:rPr>
    <w:tblPr/>
  </w:style>
  <w:style w:type="table" w:styleId="1015">
    <w:name w:val="Bordered &amp; Lined - Accent 2"/>
    <w:next w:val="1015"/>
    <w:link w:val="794"/>
    <w:uiPriority w:val="99"/>
    <w:rPr>
      <w:color w:val="404040"/>
    </w:rPr>
    <w:tblPr/>
  </w:style>
  <w:style w:type="table" w:styleId="1016">
    <w:name w:val="Bordered &amp; Lined - Accent 3"/>
    <w:next w:val="1016"/>
    <w:link w:val="794"/>
    <w:uiPriority w:val="99"/>
    <w:rPr>
      <w:color w:val="404040"/>
    </w:rPr>
    <w:tblPr/>
  </w:style>
  <w:style w:type="table" w:styleId="1017">
    <w:name w:val="Bordered &amp; Lined - Accent 4"/>
    <w:next w:val="1017"/>
    <w:link w:val="794"/>
    <w:uiPriority w:val="99"/>
    <w:rPr>
      <w:color w:val="404040"/>
    </w:rPr>
    <w:tblPr/>
  </w:style>
  <w:style w:type="table" w:styleId="1018">
    <w:name w:val="Bordered &amp; Lined - Accent 5"/>
    <w:next w:val="1018"/>
    <w:link w:val="794"/>
    <w:uiPriority w:val="99"/>
    <w:rPr>
      <w:color w:val="404040"/>
    </w:rPr>
    <w:tblPr/>
  </w:style>
  <w:style w:type="table" w:styleId="1019">
    <w:name w:val="Bordered &amp; Lined - Accent 6"/>
    <w:next w:val="1019"/>
    <w:link w:val="794"/>
    <w:uiPriority w:val="99"/>
    <w:rPr>
      <w:color w:val="404040"/>
    </w:rPr>
    <w:tblPr/>
  </w:style>
  <w:style w:type="table" w:styleId="1020">
    <w:name w:val="Bordered"/>
    <w:next w:val="1020"/>
    <w:link w:val="794"/>
    <w:uiPriority w:val="99"/>
    <w:tblPr/>
  </w:style>
  <w:style w:type="table" w:styleId="1021">
    <w:name w:val="Bordered - Accent 1"/>
    <w:next w:val="1021"/>
    <w:link w:val="794"/>
    <w:uiPriority w:val="99"/>
    <w:tblPr/>
  </w:style>
  <w:style w:type="table" w:styleId="1022">
    <w:name w:val="Bordered - Accent 2"/>
    <w:next w:val="1022"/>
    <w:link w:val="794"/>
    <w:uiPriority w:val="99"/>
    <w:tblPr/>
  </w:style>
  <w:style w:type="table" w:styleId="1023">
    <w:name w:val="Bordered - Accent 3"/>
    <w:next w:val="1023"/>
    <w:link w:val="794"/>
    <w:uiPriority w:val="99"/>
    <w:tblPr/>
  </w:style>
  <w:style w:type="table" w:styleId="1024">
    <w:name w:val="Bordered - Accent 4"/>
    <w:next w:val="1024"/>
    <w:link w:val="794"/>
    <w:uiPriority w:val="99"/>
    <w:tblPr/>
  </w:style>
  <w:style w:type="table" w:styleId="1025">
    <w:name w:val="Bordered - Accent 5"/>
    <w:next w:val="1025"/>
    <w:link w:val="794"/>
    <w:uiPriority w:val="99"/>
    <w:tblPr/>
  </w:style>
  <w:style w:type="table" w:styleId="1026">
    <w:name w:val="Bordered - Accent 6"/>
    <w:next w:val="1026"/>
    <w:link w:val="794"/>
    <w:uiPriority w:val="99"/>
    <w:tblPr/>
  </w:style>
  <w:style w:type="character" w:styleId="1027">
    <w:name w:val="Footnote Text Char"/>
    <w:next w:val="1027"/>
    <w:link w:val="794"/>
    <w:uiPriority w:val="99"/>
    <w:rPr>
      <w:sz w:val="18"/>
    </w:rPr>
  </w:style>
  <w:style w:type="paragraph" w:styleId="1028">
    <w:name w:val="TOC Heading"/>
    <w:basedOn w:val="795"/>
    <w:next w:val="794"/>
    <w:link w:val="794"/>
    <w:uiPriority w:val="39"/>
    <w:qFormat/>
    <w:pPr>
      <w:jc w:val="left"/>
      <w:spacing w:before="240" w:after="0" w:line="259" w:lineRule="auto"/>
      <w:widowControl/>
      <w:outlineLvl w:val="9"/>
    </w:pPr>
    <w:rPr>
      <w:rFonts w:ascii="Cambria" w:hAnsi="Cambria"/>
      <w:b w:val="0"/>
      <w:bCs w:val="0"/>
      <w:color w:val="365f91"/>
      <w:sz w:val="32"/>
      <w:szCs w:val="32"/>
    </w:rPr>
  </w:style>
  <w:style w:type="character" w:styleId="1029">
    <w:name w:val="已访问的超链接1"/>
    <w:next w:val="1029"/>
    <w:link w:val="794"/>
    <w:uiPriority w:val="99"/>
    <w:rPr>
      <w:color w:val="800080"/>
      <w:u w:val="single"/>
    </w:rPr>
  </w:style>
  <w:style w:type="paragraph" w:styleId="1030">
    <w:name w:val="*正文"/>
    <w:basedOn w:val="794"/>
    <w:next w:val="1030"/>
    <w:link w:val="794"/>
    <w:uiPriority w:val="99"/>
    <w:qFormat/>
    <w:pPr>
      <w:ind w:firstLine="482"/>
      <w:spacing w:line="360" w:lineRule="auto"/>
    </w:pPr>
    <w:rPr>
      <w:rFonts w:eastAsia="仿宋_GB2312"/>
      <w:sz w:val="28"/>
    </w:rPr>
  </w:style>
  <w:style w:type="character" w:styleId="1031">
    <w:name w:val="文档结构图 Char1"/>
    <w:next w:val="1031"/>
    <w:link w:val="794"/>
    <w:uiPriority w:val="99"/>
    <w:semiHidden/>
    <w:rPr>
      <w:rFonts w:ascii="宋体" w:hAnsi="Times New Roman" w:eastAsia="宋体" w:cs="Times New Roman"/>
      <w:sz w:val="18"/>
      <w:szCs w:val="18"/>
    </w:rPr>
  </w:style>
  <w:style w:type="character" w:styleId="1032">
    <w:name w:val="普通正文 Char"/>
    <w:next w:val="1032"/>
    <w:link w:val="1033"/>
    <w:rPr>
      <w:rFonts w:ascii="Arial" w:hAnsi="Arial"/>
      <w:sz w:val="24"/>
      <w:szCs w:val="24"/>
    </w:rPr>
  </w:style>
  <w:style w:type="paragraph" w:styleId="1033">
    <w:name w:val="普通正文"/>
    <w:basedOn w:val="794"/>
    <w:next w:val="1033"/>
    <w:link w:val="1032"/>
    <w:pPr>
      <w:ind w:left="-2" w:right="120" w:firstLine="480"/>
      <w:jc w:val="center"/>
      <w:spacing w:before="120" w:after="120" w:line="360" w:lineRule="auto"/>
    </w:pPr>
    <w:rPr>
      <w:rFonts w:ascii="Arial" w:hAnsi="Arial"/>
      <w:sz w:val="24"/>
    </w:rPr>
  </w:style>
  <w:style w:type="character" w:styleId="1034">
    <w:name w:val="FA正文 Char"/>
    <w:next w:val="1034"/>
    <w:link w:val="1035"/>
    <w:rPr>
      <w:rFonts w:ascii="宋体" w:hAnsi="宋体" w:eastAsia="宋体" w:cs="Times New Roman"/>
      <w:sz w:val="28"/>
      <w:szCs w:val="28"/>
    </w:rPr>
  </w:style>
  <w:style w:type="paragraph" w:styleId="1035">
    <w:name w:val="FA正文"/>
    <w:basedOn w:val="794"/>
    <w:next w:val="1035"/>
    <w:link w:val="1034"/>
    <w:pPr>
      <w:ind w:firstLine="538"/>
      <w:spacing w:line="440" w:lineRule="atLeast"/>
      <w:tabs>
        <w:tab w:val="left" w:pos="3375" w:leader="none"/>
      </w:tabs>
    </w:pPr>
    <w:rPr>
      <w:rFonts w:ascii="宋体" w:hAnsi="宋体"/>
      <w:sz w:val="28"/>
      <w:szCs w:val="28"/>
    </w:rPr>
  </w:style>
  <w:style w:type="character" w:styleId="1036">
    <w:name w:val="正文缩进2格 Char"/>
    <w:next w:val="1036"/>
    <w:link w:val="1037"/>
    <w:rPr>
      <w:rFonts w:ascii="仿宋_GB2312" w:hAnsi="宋体" w:eastAsia="仿宋_GB2312" w:cs="Times New Roman"/>
      <w:sz w:val="31"/>
      <w:szCs w:val="28"/>
    </w:rPr>
  </w:style>
  <w:style w:type="paragraph" w:styleId="1037">
    <w:name w:val="正文缩进2格"/>
    <w:basedOn w:val="794"/>
    <w:next w:val="1037"/>
    <w:link w:val="1036"/>
    <w:pPr>
      <w:ind w:firstLine="639"/>
      <w:spacing w:line="600" w:lineRule="exact"/>
    </w:pPr>
    <w:rPr>
      <w:rFonts w:ascii="仿宋_GB2312" w:hAnsi="宋体" w:eastAsia="仿宋_GB2312"/>
      <w:sz w:val="31"/>
      <w:szCs w:val="28"/>
    </w:rPr>
  </w:style>
  <w:style w:type="character" w:styleId="1038">
    <w:name w:val="cn_text1"/>
    <w:next w:val="1038"/>
    <w:link w:val="794"/>
    <w:rPr>
      <w:rFonts w:ascii="ˎ̥" w:hAnsi="ˎ̥"/>
      <w:color w:val="003399"/>
      <w:spacing w:val="15"/>
      <w:sz w:val="18"/>
      <w:szCs w:val="18"/>
    </w:rPr>
  </w:style>
  <w:style w:type="character" w:styleId="1039">
    <w:name w:val="ssss Char"/>
    <w:next w:val="1039"/>
    <w:link w:val="794"/>
    <w:rPr>
      <w:rFonts w:eastAsia="宋体"/>
      <w:sz w:val="24"/>
      <w:szCs w:val="24"/>
      <w:lang w:val="en-US" w:eastAsia="zh-CN" w:bidi="ar-SA"/>
    </w:rPr>
  </w:style>
  <w:style w:type="character" w:styleId="1040">
    <w:name w:val="ssss Char1"/>
    <w:next w:val="1040"/>
    <w:link w:val="1041"/>
    <w:rPr>
      <w:rFonts w:ascii="Times New Roman" w:hAnsi="Times New Roman" w:eastAsia="宋体" w:cs="Times New Roman"/>
      <w:sz w:val="24"/>
      <w:szCs w:val="24"/>
    </w:rPr>
  </w:style>
  <w:style w:type="paragraph" w:styleId="1041">
    <w:name w:val="ssss"/>
    <w:basedOn w:val="794"/>
    <w:next w:val="1041"/>
    <w:link w:val="1040"/>
    <w:pPr>
      <w:ind w:firstLine="480"/>
      <w:spacing w:line="360" w:lineRule="auto"/>
    </w:pPr>
    <w:rPr>
      <w:sz w:val="24"/>
    </w:rPr>
  </w:style>
  <w:style w:type="character" w:styleId="1042">
    <w:name w:val="标题 4 Char1"/>
    <w:next w:val="1042"/>
    <w:link w:val="794"/>
    <w:rPr>
      <w:rFonts w:ascii="Arial" w:hAnsi="Arial" w:eastAsia="黑体"/>
      <w:b/>
      <w:bCs/>
      <w:sz w:val="28"/>
      <w:szCs w:val="28"/>
      <w:lang w:val="en-US" w:eastAsia="zh-CN" w:bidi="ar-SA"/>
    </w:rPr>
  </w:style>
  <w:style w:type="character" w:styleId="1043">
    <w:name w:val="列表段落 字符"/>
    <w:next w:val="1043"/>
    <w:link w:val="1044"/>
    <w:uiPriority w:val="34"/>
    <w:qFormat/>
    <w:rPr>
      <w:rFonts w:ascii="Calibri" w:hAnsi="Calibri"/>
      <w:sz w:val="21"/>
      <w:szCs w:val="22"/>
    </w:rPr>
  </w:style>
  <w:style w:type="paragraph" w:styleId="1044">
    <w:name w:val="列出段落1"/>
    <w:basedOn w:val="794"/>
    <w:next w:val="1044"/>
    <w:link w:val="1043"/>
    <w:uiPriority w:val="34"/>
    <w:qFormat/>
    <w:pPr>
      <w:ind w:firstLine="420"/>
    </w:pPr>
    <w:rPr>
      <w:rFonts w:ascii="Calibri" w:hAnsi="Calibri"/>
      <w:szCs w:val="22"/>
    </w:rPr>
  </w:style>
  <w:style w:type="character" w:styleId="1045">
    <w:name w:val="批注框文本 Char1"/>
    <w:next w:val="1045"/>
    <w:link w:val="794"/>
    <w:uiPriority w:val="99"/>
    <w:semiHidden/>
    <w:rPr>
      <w:rFonts w:ascii="Times New Roman" w:hAnsi="Times New Roman" w:eastAsia="宋体" w:cs="Times New Roman"/>
      <w:sz w:val="18"/>
      <w:szCs w:val="18"/>
    </w:rPr>
  </w:style>
  <w:style w:type="character" w:styleId="1046">
    <w:name w:val="样式 ssss + 宋体 五号1 Char"/>
    <w:next w:val="1046"/>
    <w:link w:val="1047"/>
    <w:rPr>
      <w:rFonts w:ascii="宋体" w:hAnsi="宋体" w:eastAsia="宋体" w:cs="Times New Roman"/>
      <w:sz w:val="24"/>
      <w:szCs w:val="24"/>
    </w:rPr>
  </w:style>
  <w:style w:type="paragraph" w:styleId="1047">
    <w:name w:val="样式 ssss + 宋体 五号1"/>
    <w:basedOn w:val="1041"/>
    <w:next w:val="1047"/>
    <w:link w:val="1046"/>
    <w:rPr>
      <w:rFonts w:ascii="宋体" w:hAnsi="宋体"/>
    </w:rPr>
  </w:style>
  <w:style w:type="character" w:styleId="1048">
    <w:name w:val="point_normal1"/>
    <w:next w:val="1048"/>
    <w:link w:val="794"/>
    <w:rPr>
      <w:rFonts w:ascii="Arial" w:hAnsi="Arial" w:cs="Arial"/>
      <w:sz w:val="16"/>
      <w:szCs w:val="16"/>
    </w:rPr>
  </w:style>
  <w:style w:type="paragraph" w:styleId="1049">
    <w:name w:val="样式 正文文本缩进 3 + 四号"/>
    <w:basedOn w:val="857"/>
    <w:next w:val="1049"/>
    <w:link w:val="794"/>
    <w:pPr>
      <w:ind w:left="0" w:firstLine="437"/>
      <w:spacing w:after="0" w:line="360" w:lineRule="auto"/>
    </w:pPr>
    <w:rPr>
      <w:sz w:val="24"/>
      <w:szCs w:val="21"/>
    </w:rPr>
  </w:style>
  <w:style w:type="paragraph" w:styleId="1050">
    <w:name w:val="2cxsplast"/>
    <w:basedOn w:val="794"/>
    <w:next w:val="1050"/>
    <w:link w:val="794"/>
    <w:pPr>
      <w:jc w:val="left"/>
      <w:spacing w:before="100" w:beforeAutospacing="1" w:after="100" w:afterAutospacing="1"/>
      <w:widowControl/>
    </w:pPr>
    <w:rPr>
      <w:rFonts w:ascii="宋体" w:hAnsi="宋体" w:cs="宋体"/>
      <w:sz w:val="24"/>
    </w:rPr>
  </w:style>
  <w:style w:type="paragraph" w:styleId="1051">
    <w:name w:val="ec_msonormal"/>
    <w:basedOn w:val="794"/>
    <w:next w:val="1051"/>
    <w:link w:val="794"/>
    <w:pPr>
      <w:jc w:val="left"/>
      <w:spacing w:before="100" w:beforeAutospacing="1" w:after="100" w:afterAutospacing="1"/>
      <w:widowControl/>
    </w:pPr>
    <w:rPr>
      <w:rFonts w:ascii="宋体" w:hAnsi="宋体"/>
      <w:sz w:val="24"/>
    </w:rPr>
  </w:style>
  <w:style w:type="paragraph" w:styleId="1052">
    <w:name w:val="Char Char Char Char"/>
    <w:basedOn w:val="794"/>
    <w:next w:val="1052"/>
    <w:link w:val="794"/>
    <w:rPr>
      <w:rFonts w:ascii="Tahoma" w:hAnsi="Tahoma"/>
      <w:sz w:val="24"/>
      <w:szCs w:val="20"/>
    </w:rPr>
  </w:style>
  <w:style w:type="paragraph" w:styleId="1053">
    <w:name w:val="Char Char Char Char Char Char Char Char Char Char Char Char Char"/>
    <w:basedOn w:val="794"/>
    <w:next w:val="1053"/>
    <w:link w:val="794"/>
  </w:style>
  <w:style w:type="paragraph" w:styleId="1054">
    <w:name w:val="表格正文"/>
    <w:basedOn w:val="794"/>
    <w:next w:val="1054"/>
    <w:link w:val="794"/>
    <w:pPr>
      <w:jc w:val="left"/>
      <w:spacing w:line="360" w:lineRule="auto"/>
    </w:pPr>
    <w:rPr>
      <w:rFonts w:ascii="Calibri" w:hAnsi="Calibri"/>
      <w:color w:val="000000"/>
      <w:szCs w:val="28"/>
    </w:rPr>
  </w:style>
  <w:style w:type="paragraph" w:styleId="1055">
    <w:name w:val="Normal1"/>
    <w:next w:val="1055"/>
    <w:link w:val="794"/>
    <w:pPr>
      <w:jc w:val="both"/>
      <w:spacing w:line="315" w:lineRule="atLeast"/>
      <w:widowControl w:val="off"/>
    </w:pPr>
    <w:rPr>
      <w:rFonts w:ascii="宋体" w:hAnsi="Times New Roman" w:eastAsia="宋体" w:cs="Times New Roman"/>
      <w:sz w:val="24"/>
      <w:lang w:val="en-US" w:eastAsia="zh-CN" w:bidi="ar-SA"/>
    </w:rPr>
  </w:style>
  <w:style w:type="paragraph" w:styleId="1056">
    <w:name w:val="Char Char Char Char1"/>
    <w:basedOn w:val="794"/>
    <w:next w:val="1056"/>
    <w:link w:val="794"/>
    <w:rPr>
      <w:rFonts w:ascii="Tahoma" w:hAnsi="Tahoma"/>
      <w:sz w:val="24"/>
      <w:szCs w:val="20"/>
    </w:rPr>
  </w:style>
  <w:style w:type="paragraph" w:styleId="1057">
    <w:name w:val="Char Char Char"/>
    <w:basedOn w:val="794"/>
    <w:next w:val="1057"/>
    <w:link w:val="794"/>
    <w:rPr>
      <w:rFonts w:ascii="Tahoma" w:hAnsi="Tahoma"/>
      <w:sz w:val="24"/>
      <w:szCs w:val="20"/>
    </w:rPr>
  </w:style>
  <w:style w:type="paragraph" w:styleId="1058">
    <w:name w:val="标题-----3"/>
    <w:basedOn w:val="797"/>
    <w:next w:val="1058"/>
    <w:link w:val="794"/>
    <w:pPr>
      <w:spacing w:before="0" w:after="0" w:line="240" w:lineRule="auto"/>
      <w:outlineLvl w:val="0"/>
    </w:pPr>
    <w:rPr>
      <w:rFonts w:ascii="宋体" w:hAnsi="宋体"/>
      <w:b w:val="0"/>
      <w:bCs w:val="0"/>
      <w:sz w:val="28"/>
      <w:szCs w:val="28"/>
    </w:rPr>
  </w:style>
  <w:style w:type="paragraph" w:styleId="1059">
    <w:name w:val="样式 ssss + 居中"/>
    <w:basedOn w:val="1041"/>
    <w:next w:val="1059"/>
    <w:link w:val="794"/>
    <w:pPr>
      <w:jc w:val="center"/>
    </w:pPr>
    <w:rPr>
      <w:rFonts w:cs="宋体"/>
      <w:szCs w:val="20"/>
    </w:rPr>
  </w:style>
  <w:style w:type="paragraph" w:styleId="1060">
    <w:name w:val="样式 宋体 四号 黑色 左侧:  0.74 厘米 首行缩进:  0.74 厘米 行距: 1.5 倍行距"/>
    <w:basedOn w:val="794"/>
    <w:next w:val="1060"/>
    <w:link w:val="794"/>
    <w:pPr>
      <w:ind w:firstLine="420"/>
      <w:spacing w:line="360" w:lineRule="auto"/>
    </w:pPr>
    <w:rPr>
      <w:rFonts w:ascii="宋体"/>
      <w:color w:val="000000"/>
      <w:sz w:val="24"/>
      <w:szCs w:val="21"/>
    </w:rPr>
  </w:style>
  <w:style w:type="paragraph" w:styleId="1061">
    <w:name w:val="样式 样式 ssss + 宋体 五号 + 首行缩进:  2 字符"/>
    <w:basedOn w:val="1062"/>
    <w:next w:val="1061"/>
    <w:link w:val="794"/>
    <w:pPr>
      <w:ind w:firstLine="480"/>
    </w:pPr>
  </w:style>
  <w:style w:type="paragraph" w:styleId="1062">
    <w:name w:val="样式 ssss + 宋体 五号"/>
    <w:basedOn w:val="1041"/>
    <w:next w:val="1062"/>
    <w:link w:val="794"/>
    <w:pPr>
      <w:ind w:firstLine="420"/>
    </w:pPr>
    <w:rPr>
      <w:rFonts w:ascii="宋体" w:hAnsi="宋体" w:cs="宋体"/>
      <w:szCs w:val="20"/>
    </w:rPr>
  </w:style>
  <w:style w:type="paragraph" w:styleId="1063">
    <w:name w:val="msonormalcxsplast"/>
    <w:basedOn w:val="794"/>
    <w:next w:val="1063"/>
    <w:link w:val="794"/>
    <w:pPr>
      <w:jc w:val="left"/>
      <w:spacing w:before="100" w:beforeAutospacing="1" w:after="100" w:afterAutospacing="1"/>
      <w:widowControl/>
    </w:pPr>
    <w:rPr>
      <w:rFonts w:ascii="宋体" w:hAnsi="宋体" w:cs="宋体"/>
      <w:sz w:val="24"/>
    </w:rPr>
  </w:style>
  <w:style w:type="paragraph" w:styleId="1064">
    <w:name w:val="Char"/>
    <w:basedOn w:val="794"/>
    <w:next w:val="1064"/>
    <w:link w:val="794"/>
    <w:rPr>
      <w:rFonts w:ascii="Tahoma" w:hAnsi="Tahoma"/>
      <w:sz w:val="24"/>
      <w:szCs w:val="20"/>
    </w:rPr>
  </w:style>
  <w:style w:type="paragraph" w:styleId="1065">
    <w:name w:val="xl25"/>
    <w:basedOn w:val="794"/>
    <w:next w:val="1065"/>
    <w:link w:val="794"/>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66">
    <w:name w:val="标题------4"/>
    <w:basedOn w:val="798"/>
    <w:next w:val="1066"/>
    <w:link w:val="794"/>
    <w:qFormat/>
    <w:pPr>
      <w:ind w:left="960" w:hanging="420"/>
      <w:jc w:val="both"/>
      <w:keepLines/>
      <w:spacing w:line="360" w:lineRule="auto"/>
    </w:pPr>
    <w:rPr>
      <w:rFonts w:ascii="仿宋_GB2312" w:hAnsi="宋体" w:eastAsia="仿宋_GB2312" w:cs="仿宋_GB2312"/>
      <w:b/>
      <w:sz w:val="28"/>
      <w:szCs w:val="28"/>
      <w:lang w:val="zh-CN"/>
    </w:rPr>
  </w:style>
  <w:style w:type="paragraph" w:styleId="1067">
    <w:name w:val="msonormalcxspmiddle"/>
    <w:basedOn w:val="794"/>
    <w:next w:val="1067"/>
    <w:link w:val="794"/>
    <w:pPr>
      <w:jc w:val="left"/>
      <w:spacing w:before="100" w:beforeAutospacing="1" w:after="100" w:afterAutospacing="1"/>
      <w:widowControl/>
    </w:pPr>
    <w:rPr>
      <w:rFonts w:ascii="宋体" w:hAnsi="宋体" w:cs="宋体"/>
      <w:sz w:val="24"/>
    </w:rPr>
  </w:style>
  <w:style w:type="paragraph" w:styleId="1068">
    <w:name w:val="Char Char Char Char Char Char Char Char Char Char Char Char Char1"/>
    <w:basedOn w:val="794"/>
    <w:next w:val="1068"/>
    <w:link w:val="794"/>
    <w:rPr>
      <w:sz w:val="24"/>
    </w:rPr>
  </w:style>
  <w:style w:type="paragraph" w:styleId="1069">
    <w:name w:val="表格"/>
    <w:basedOn w:val="794"/>
    <w:next w:val="1069"/>
    <w:link w:val="794"/>
    <w:rPr>
      <w:rFonts w:ascii="Arial" w:hAnsi="Arial"/>
      <w:sz w:val="24"/>
    </w:rPr>
  </w:style>
  <w:style w:type="paragraph" w:styleId="1070">
    <w:name w:val="正文样式1"/>
    <w:basedOn w:val="794"/>
    <w:next w:val="1070"/>
    <w:link w:val="794"/>
    <w:qFormat/>
    <w:pPr>
      <w:ind w:firstLine="480"/>
      <w:spacing w:before="120" w:after="120" w:line="360" w:lineRule="auto"/>
    </w:pPr>
    <w:rPr>
      <w:sz w:val="24"/>
      <w:szCs w:val="20"/>
    </w:rPr>
  </w:style>
  <w:style w:type="paragraph" w:styleId="1071">
    <w:name w:val="Char Char1 Char Char Char Char Char Char"/>
    <w:basedOn w:val="794"/>
    <w:next w:val="1071"/>
    <w:link w:val="794"/>
    <w:qFormat/>
    <w:pPr>
      <w:jc w:val="left"/>
      <w:spacing w:after="160" w:line="240" w:lineRule="exact"/>
      <w:widowControl/>
    </w:pPr>
    <w:rPr>
      <w:rFonts w:ascii="Verdana" w:hAnsi="Verdana" w:eastAsia="仿宋_GB2312"/>
      <w:sz w:val="24"/>
      <w:szCs w:val="20"/>
      <w:lang w:eastAsia="en-US"/>
    </w:rPr>
  </w:style>
  <w:style w:type="paragraph" w:styleId="1072">
    <w:name w:val="Char Char Char Char Char Char Char Char Char Char"/>
    <w:basedOn w:val="794"/>
    <w:next w:val="1072"/>
    <w:link w:val="794"/>
    <w:rPr>
      <w:rFonts w:ascii="Tahoma" w:hAnsi="Tahoma"/>
      <w:sz w:val="24"/>
      <w:szCs w:val="20"/>
    </w:rPr>
  </w:style>
  <w:style w:type="paragraph" w:styleId="1073">
    <w:name w:val="Char1"/>
    <w:basedOn w:val="794"/>
    <w:next w:val="1073"/>
    <w:link w:val="794"/>
    <w:pPr>
      <w:tabs>
        <w:tab w:val="left" w:pos="360" w:leader="none"/>
      </w:tabs>
    </w:pPr>
    <w:rPr>
      <w:sz w:val="24"/>
    </w:rPr>
  </w:style>
  <w:style w:type="paragraph" w:styleId="1074">
    <w:name w:val="标题1"/>
    <w:basedOn w:val="794"/>
    <w:next w:val="794"/>
    <w:link w:val="79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5">
    <w:name w:val="Header2"/>
    <w:basedOn w:val="794"/>
    <w:next w:val="1075"/>
    <w:link w:val="794"/>
    <w:pPr>
      <w:numPr>
        <w:ilvl w:val="0"/>
        <w:numId w:val="1"/>
      </w:numPr>
      <w:tabs>
        <w:tab w:val="left" w:pos="480" w:leader="none"/>
      </w:tabs>
    </w:pPr>
  </w:style>
  <w:style w:type="paragraph" w:styleId="1076">
    <w:name w:val="Char Char 字元 字元 字元 Char Char Char Char"/>
    <w:basedOn w:val="794"/>
    <w:next w:val="1076"/>
    <w:link w:val="794"/>
    <w:pPr>
      <w:spacing w:line="360" w:lineRule="auto"/>
    </w:pPr>
    <w:rPr>
      <w:sz w:val="24"/>
      <w:szCs w:val="20"/>
    </w:rPr>
  </w:style>
  <w:style w:type="paragraph" w:styleId="1077">
    <w:name w:val="2cxspmiddle"/>
    <w:basedOn w:val="794"/>
    <w:next w:val="1077"/>
    <w:link w:val="794"/>
    <w:pPr>
      <w:jc w:val="left"/>
      <w:spacing w:before="100" w:beforeAutospacing="1" w:after="100" w:afterAutospacing="1"/>
      <w:widowControl/>
    </w:pPr>
    <w:rPr>
      <w:rFonts w:ascii="宋体" w:hAnsi="宋体" w:cs="宋体"/>
      <w:sz w:val="24"/>
    </w:rPr>
  </w:style>
  <w:style w:type="paragraph" w:styleId="1078">
    <w:name w:val="正文_0_0"/>
    <w:next w:val="1078"/>
    <w:link w:val="794"/>
    <w:qFormat/>
    <w:pPr>
      <w:jc w:val="both"/>
      <w:widowControl w:val="off"/>
    </w:pPr>
    <w:rPr>
      <w:rFonts w:ascii="Times New Roman" w:hAnsi="Times New Roman" w:eastAsia="宋体" w:cs="Times New Roman"/>
      <w:sz w:val="21"/>
      <w:szCs w:val="24"/>
      <w:lang w:val="en-US" w:eastAsia="zh-CN" w:bidi="ar-SA"/>
    </w:rPr>
  </w:style>
  <w:style w:type="paragraph" w:styleId="1079">
    <w:name w:val="正文_1_0"/>
    <w:next w:val="1079"/>
    <w:link w:val="794"/>
    <w:qFormat/>
    <w:pPr>
      <w:jc w:val="both"/>
      <w:widowControl w:val="off"/>
    </w:pPr>
    <w:rPr>
      <w:rFonts w:ascii="Times New Roman" w:hAnsi="Times New Roman" w:eastAsia="宋体" w:cs="Times New Roman"/>
      <w:sz w:val="21"/>
      <w:szCs w:val="24"/>
      <w:lang w:val="en-US" w:eastAsia="zh-CN" w:bidi="ar-SA"/>
    </w:rPr>
  </w:style>
  <w:style w:type="table" w:styleId="1080">
    <w:name w:val="网格型1"/>
    <w:basedOn w:val="805"/>
    <w:next w:val="1080"/>
    <w:link w:val="794"/>
    <w:uiPriority w:val="39"/>
    <w:rPr>
      <w:rFonts w:ascii="等线" w:hAnsi="等线" w:eastAsia="等线"/>
      <w:sz w:val="21"/>
      <w:szCs w:val="22"/>
    </w:rPr>
    <w:tblPr/>
  </w:style>
  <w:style w:type="character" w:styleId="1081">
    <w:name w:val="页脚 字符"/>
    <w:next w:val="1081"/>
    <w:link w:val="794"/>
    <w:uiPriority w:val="99"/>
  </w:style>
  <w:style w:type="paragraph" w:styleId="1082">
    <w:name w:val="BodyText1I21"/>
    <w:basedOn w:val="1083"/>
    <w:next w:val="1082"/>
    <w:link w:val="794"/>
    <w:qFormat/>
    <w:pPr>
      <w:ind w:left="0" w:firstLine="420"/>
    </w:pPr>
    <w:rPr>
      <w:color w:val="000000"/>
    </w:rPr>
  </w:style>
  <w:style w:type="paragraph" w:styleId="1083">
    <w:name w:val="BodyTextIndent1"/>
    <w:basedOn w:val="794"/>
    <w:next w:val="1083"/>
    <w:link w:val="794"/>
    <w:qFormat/>
    <w:pPr>
      <w:ind w:left="420"/>
      <w:spacing w:after="120"/>
    </w:pPr>
  </w:style>
  <w:style w:type="character" w:styleId="1084">
    <w:name w:val="fontstyle01"/>
    <w:next w:val="1084"/>
    <w:link w:val="794"/>
    <w:qFormat/>
    <w:rPr>
      <w:rFonts w:ascii="宋体" w:hAnsi="宋体" w:eastAsia="宋体" w:cs="宋体"/>
      <w:color w:val="000000"/>
      <w:sz w:val="22"/>
      <w:szCs w:val="22"/>
    </w:rPr>
  </w:style>
  <w:style w:type="paragraph" w:styleId="1085">
    <w:name w:val="_正文段落"/>
    <w:basedOn w:val="794"/>
    <w:next w:val="794"/>
    <w:link w:val="1086"/>
    <w:qFormat/>
    <w:pPr>
      <w:ind w:firstLine="200"/>
      <w:spacing w:line="360" w:lineRule="auto"/>
      <w:widowControl/>
    </w:pPr>
    <w:rPr>
      <w:rFonts w:ascii="宋体" w:hAnsi="Courier New"/>
      <w:szCs w:val="32"/>
    </w:rPr>
  </w:style>
  <w:style w:type="character" w:styleId="1086">
    <w:name w:val="_正文段落 Char"/>
    <w:next w:val="1086"/>
    <w:link w:val="1085"/>
    <w:qFormat/>
    <w:rPr>
      <w:rFonts w:ascii="宋体" w:hAnsi="Courier New"/>
      <w:sz w:val="21"/>
      <w:szCs w:val="32"/>
    </w:rPr>
  </w:style>
  <w:style w:type="paragraph" w:styleId="1087">
    <w:name w:val="目录标题1"/>
    <w:basedOn w:val="795"/>
    <w:next w:val="794"/>
    <w:link w:val="794"/>
    <w:uiPriority w:val="39"/>
    <w:unhideWhenUsed/>
    <w:qFormat/>
    <w:pPr>
      <w:jc w:val="left"/>
      <w:spacing w:before="480" w:after="0" w:line="276" w:lineRule="auto"/>
      <w:widowControl/>
      <w:outlineLvl w:val="9"/>
    </w:pPr>
    <w:rPr>
      <w:rFonts w:ascii="Cambria" w:hAnsi="Cambria"/>
      <w:color w:val="365f91"/>
      <w:sz w:val="28"/>
      <w:szCs w:val="28"/>
    </w:rPr>
  </w:style>
  <w:style w:type="paragraph" w:styleId="1088">
    <w:name w:val="正文缩进2字符"/>
    <w:basedOn w:val="794"/>
    <w:next w:val="1088"/>
    <w:link w:val="1089"/>
    <w:qFormat/>
    <w:pPr>
      <w:ind w:firstLine="480"/>
      <w:spacing w:line="360" w:lineRule="auto"/>
    </w:pPr>
    <w:rPr>
      <w:sz w:val="24"/>
      <w:szCs w:val="20"/>
    </w:rPr>
  </w:style>
  <w:style w:type="character" w:styleId="1089">
    <w:name w:val="正文缩进2字符 Char"/>
    <w:next w:val="1089"/>
    <w:link w:val="1088"/>
    <w:qFormat/>
    <w:rPr>
      <w:rFonts w:cs="宋体"/>
      <w:sz w:val="24"/>
    </w:rPr>
  </w:style>
  <w:style w:type="paragraph" w:styleId="1090">
    <w:name w:val="样式 正文文本缩进 + 左  0 字符"/>
    <w:basedOn w:val="830"/>
    <w:next w:val="1090"/>
    <w:link w:val="1091"/>
    <w:qFormat/>
    <w:pPr>
      <w:ind w:left="0" w:firstLine="250"/>
      <w:spacing w:line="360" w:lineRule="auto"/>
    </w:pPr>
    <w:rPr>
      <w:rFonts w:ascii="Times New Roman" w:eastAsia="宋体"/>
      <w:sz w:val="24"/>
    </w:rPr>
  </w:style>
  <w:style w:type="character" w:styleId="1091">
    <w:name w:val="样式 正文文本缩进 + 左  0 字符 Char"/>
    <w:next w:val="1091"/>
    <w:link w:val="1090"/>
    <w:qFormat/>
    <w:rPr>
      <w:rFonts w:cs="宋体"/>
      <w:sz w:val="24"/>
    </w:rPr>
  </w:style>
  <w:style w:type="paragraph" w:styleId="1092">
    <w:name w:val="样式 样式 正文首行缩进 2 + 首行缩进:  2 字符 + 首行缩进:  2 字符"/>
    <w:basedOn w:val="794"/>
    <w:next w:val="1092"/>
    <w:link w:val="794"/>
    <w:pPr>
      <w:ind w:firstLine="480"/>
      <w:spacing w:line="360" w:lineRule="auto"/>
    </w:pPr>
    <w:rPr>
      <w:sz w:val="24"/>
      <w:szCs w:val="20"/>
    </w:rPr>
  </w:style>
  <w:style w:type="paragraph" w:styleId="1093">
    <w:name w:val="默认段落字体 Para Char Char Char Char Char Char Char"/>
    <w:basedOn w:val="794"/>
    <w:next w:val="1093"/>
    <w:link w:val="794"/>
    <w:qFormat/>
    <w:rPr>
      <w:rFonts w:ascii="Tahoma" w:hAnsi="Tahoma"/>
      <w:sz w:val="24"/>
      <w:szCs w:val="20"/>
    </w:rPr>
  </w:style>
  <w:style w:type="paragraph" w:styleId="1094">
    <w:name w:val="样式 正文缩进 + 首行缩进:  2 字符"/>
    <w:basedOn w:val="816"/>
    <w:next w:val="1094"/>
    <w:link w:val="794"/>
    <w:qFormat/>
    <w:pPr>
      <w:ind w:firstLine="200"/>
      <w:spacing w:line="360" w:lineRule="auto"/>
    </w:pPr>
    <w:rPr>
      <w:rFonts w:cs="宋体"/>
      <w:sz w:val="24"/>
    </w:rPr>
  </w:style>
  <w:style w:type="character" w:styleId="1095">
    <w:name w:val="正文文本 Char1"/>
    <w:next w:val="1095"/>
    <w:link w:val="794"/>
    <w:uiPriority w:val="99"/>
    <w:rPr>
      <w:rFonts w:ascii="Times New Roman" w:hAnsi="Times New Roman" w:eastAsia="宋体" w:cs="Times New Roman"/>
      <w:szCs w:val="24"/>
    </w:rPr>
  </w:style>
  <w:style w:type="paragraph" w:styleId="1096">
    <w:name w:val="Table Text"/>
    <w:basedOn w:val="794"/>
    <w:next w:val="1096"/>
    <w:link w:val="794"/>
    <w:qFormat/>
    <w:pPr>
      <w:jc w:val="left"/>
      <w:spacing w:before="60" w:after="60"/>
      <w:widowControl/>
    </w:pPr>
  </w:style>
  <w:style w:type="character" w:styleId="1097">
    <w:name w:val="Char Char1"/>
    <w:next w:val="1097"/>
    <w:link w:val="794"/>
    <w:rPr>
      <w:rFonts w:ascii="Arial" w:hAnsi="Arial" w:eastAsia="黑体"/>
      <w:b/>
      <w:bCs/>
      <w:sz w:val="28"/>
      <w:szCs w:val="28"/>
      <w:lang w:val="en-US" w:eastAsia="zh-CN" w:bidi="ar-SA"/>
    </w:rPr>
  </w:style>
  <w:style w:type="paragraph" w:styleId="1098">
    <w:name w:val="Style Normal Indent + First line:  2 ch"/>
    <w:basedOn w:val="816"/>
    <w:next w:val="1098"/>
    <w:link w:val="794"/>
    <w:pPr>
      <w:ind w:firstLine="200"/>
      <w:spacing w:line="360" w:lineRule="auto"/>
    </w:pPr>
    <w:rPr>
      <w:rFonts w:cs="宋体"/>
      <w:sz w:val="24"/>
    </w:rPr>
  </w:style>
  <w:style w:type="paragraph" w:styleId="1099">
    <w:name w:val="Appendix - Header"/>
    <w:basedOn w:val="794"/>
    <w:next w:val="1099"/>
    <w:link w:val="794"/>
    <w:pPr>
      <w:spacing w:after="120" w:line="240" w:lineRule="atLeast"/>
      <w:widowControl/>
    </w:pPr>
    <w:rPr>
      <w:b/>
      <w:sz w:val="32"/>
      <w:szCs w:val="20"/>
      <w:u w:val="single"/>
    </w:rPr>
  </w:style>
  <w:style w:type="paragraph" w:styleId="1100">
    <w:name w:val="Default"/>
    <w:next w:val="1100"/>
    <w:link w:val="794"/>
    <w:pPr>
      <w:widowControl w:val="off"/>
    </w:pPr>
    <w:rPr>
      <w:rFonts w:ascii=".." w:hAnsi="Times New Roman" w:eastAsia=".." w:cs=".."/>
      <w:color w:val="000000"/>
      <w:sz w:val="24"/>
      <w:szCs w:val="24"/>
      <w:lang w:val="en-US" w:eastAsia="zh-CN" w:bidi="ar-SA"/>
    </w:rPr>
  </w:style>
  <w:style w:type="paragraph" w:styleId="1101">
    <w:name w:val="xl29"/>
    <w:basedOn w:val="794"/>
    <w:next w:val="1101"/>
    <w:link w:val="794"/>
    <w:qFormat/>
    <w:pPr>
      <w:jc w:val="center"/>
      <w:spacing w:before="100" w:after="100"/>
      <w:widowControl/>
    </w:pPr>
    <w:rPr>
      <w:rFonts w:ascii="Arial Unicode MS" w:hAnsi="Arial Unicode MS" w:eastAsia="Arial Unicode MS"/>
      <w:sz w:val="24"/>
      <w:szCs w:val="20"/>
    </w:rPr>
  </w:style>
  <w:style w:type="character" w:styleId="1102">
    <w:name w:val="金宏发行正文 Char Char"/>
    <w:next w:val="1102"/>
    <w:link w:val="1103"/>
    <w:rPr>
      <w:rFonts w:ascii="仿宋_GB2312" w:eastAsia="仿宋_GB2312" w:cs="宋体"/>
      <w:sz w:val="28"/>
      <w:szCs w:val="24"/>
    </w:rPr>
  </w:style>
  <w:style w:type="paragraph" w:styleId="1103">
    <w:name w:val="金宏发行正文 Char"/>
    <w:basedOn w:val="794"/>
    <w:next w:val="1103"/>
    <w:link w:val="1102"/>
    <w:pPr>
      <w:ind w:firstLine="560"/>
      <w:spacing w:line="500" w:lineRule="exact"/>
    </w:pPr>
    <w:rPr>
      <w:rFonts w:ascii="仿宋_GB2312" w:eastAsia="仿宋_GB2312"/>
      <w:sz w:val="28"/>
    </w:rPr>
  </w:style>
  <w:style w:type="paragraph" w:styleId="1104">
    <w:name w:val="段落正文"/>
    <w:basedOn w:val="794"/>
    <w:next w:val="1104"/>
    <w:link w:val="794"/>
    <w:pPr>
      <w:ind w:firstLine="488"/>
      <w:spacing w:before="156" w:line="360" w:lineRule="atLeast"/>
    </w:pPr>
    <w:rPr>
      <w:spacing w:val="2"/>
      <w:sz w:val="24"/>
    </w:rPr>
  </w:style>
  <w:style w:type="paragraph" w:styleId="1105">
    <w:name w:val="样式7"/>
    <w:basedOn w:val="794"/>
    <w:next w:val="1105"/>
    <w:link w:val="794"/>
    <w:pPr>
      <w:ind w:right="-115" w:firstLine="420"/>
      <w:spacing w:line="0" w:lineRule="atLeast"/>
    </w:pPr>
    <w:rPr>
      <w:rFonts w:ascii="楷体_GB2312" w:hAnsi="Courier New" w:eastAsia="仿宋_GB2312"/>
      <w:sz w:val="24"/>
      <w:szCs w:val="21"/>
    </w:rPr>
  </w:style>
  <w:style w:type="paragraph" w:styleId="1106">
    <w:name w:val="6 Char"/>
    <w:basedOn w:val="794"/>
    <w:next w:val="1106"/>
    <w:link w:val="794"/>
    <w:pPr>
      <w:jc w:val="left"/>
      <w:spacing w:after="160" w:line="240" w:lineRule="exact"/>
      <w:widowControl/>
    </w:pPr>
    <w:rPr>
      <w:rFonts w:ascii="Verdana" w:hAnsi="Verdana"/>
      <w:sz w:val="20"/>
      <w:szCs w:val="20"/>
      <w:lang w:eastAsia="en-US"/>
    </w:rPr>
  </w:style>
  <w:style w:type="paragraph" w:styleId="1107">
    <w:name w:val="xl23"/>
    <w:basedOn w:val="794"/>
    <w:next w:val="1107"/>
    <w:link w:val="794"/>
    <w:pPr>
      <w:spacing w:before="100" w:beforeAutospacing="1" w:after="100" w:afterAutospacing="1" w:line="360" w:lineRule="auto"/>
      <w:widowControl/>
    </w:pPr>
    <w:rPr>
      <w:sz w:val="24"/>
    </w:rPr>
  </w:style>
  <w:style w:type="paragraph" w:styleId="1108">
    <w:name w:val="日期1"/>
    <w:basedOn w:val="794"/>
    <w:next w:val="1108"/>
    <w:link w:val="794"/>
    <w:qFormat/>
    <w:pPr>
      <w:jc w:val="left"/>
      <w:spacing w:before="100" w:beforeAutospacing="1" w:after="100" w:afterAutospacing="1"/>
      <w:widowControl/>
    </w:pPr>
    <w:rPr>
      <w:rFonts w:ascii="宋体" w:hAnsi="宋体"/>
      <w:sz w:val="24"/>
    </w:rPr>
  </w:style>
  <w:style w:type="paragraph" w:styleId="1109">
    <w:name w:val="样式 样式 正文缩进 + 首行缩进:  2 字符 + 五号 居中"/>
    <w:basedOn w:val="1094"/>
    <w:next w:val="1109"/>
    <w:link w:val="794"/>
    <w:pPr>
      <w:ind w:firstLine="0"/>
      <w:jc w:val="center"/>
      <w:spacing w:line="240" w:lineRule="auto"/>
    </w:pPr>
    <w:rPr>
      <w:sz w:val="21"/>
      <w:szCs w:val="24"/>
    </w:rPr>
  </w:style>
  <w:style w:type="paragraph" w:styleId="1110">
    <w:name w:val="样式 样式 正文缩进 + 首行缩进:  2 字符 + 五号"/>
    <w:basedOn w:val="1094"/>
    <w:next w:val="1110"/>
    <w:link w:val="794"/>
    <w:pPr>
      <w:ind w:firstLine="0"/>
      <w:spacing w:line="240" w:lineRule="auto"/>
    </w:pPr>
    <w:rPr>
      <w:sz w:val="21"/>
    </w:rPr>
  </w:style>
  <w:style w:type="paragraph" w:styleId="1111">
    <w:name w:val="标题7"/>
    <w:basedOn w:val="801"/>
    <w:next w:val="1088"/>
    <w:link w:val="1112"/>
    <w:qFormat/>
  </w:style>
  <w:style w:type="character" w:styleId="1112">
    <w:name w:val="标题7 Char"/>
    <w:next w:val="1112"/>
    <w:link w:val="1111"/>
    <w:rPr>
      <w:rFonts w:ascii="Times New Roman" w:hAnsi="Times New Roman" w:eastAsia="宋体" w:cs="Times New Roman"/>
      <w:b/>
      <w:bCs/>
      <w:sz w:val="24"/>
      <w:szCs w:val="24"/>
    </w:rPr>
  </w:style>
  <w:style w:type="paragraph" w:styleId="1113">
    <w:name w:val="样式8"/>
    <w:basedOn w:val="794"/>
    <w:next w:val="1113"/>
    <w:link w:val="794"/>
    <w:qFormat/>
    <w:pPr>
      <w:ind w:left="1320" w:hanging="420"/>
      <w:spacing w:line="360" w:lineRule="auto"/>
      <w:tabs>
        <w:tab w:val="left" w:pos="1320" w:leader="none"/>
      </w:tabs>
      <w:outlineLvl w:val="1"/>
    </w:pPr>
    <w:rPr>
      <w:rFonts w:eastAsia="黑体"/>
      <w:b/>
      <w:sz w:val="36"/>
    </w:rPr>
  </w:style>
  <w:style w:type="character" w:styleId="1114">
    <w:name w:val="hps"/>
    <w:next w:val="1114"/>
    <w:link w:val="794"/>
  </w:style>
  <w:style w:type="paragraph" w:styleId="1115">
    <w:name w:val="Char Char1 Char"/>
    <w:basedOn w:val="794"/>
    <w:next w:val="1115"/>
    <w:link w:val="794"/>
    <w:pPr>
      <w:jc w:val="left"/>
      <w:spacing w:after="160" w:line="240" w:lineRule="exact"/>
      <w:widowControl/>
    </w:pPr>
    <w:rPr>
      <w:rFonts w:ascii="Verdana" w:hAnsi="Verdana" w:eastAsia="仿宋_GB2312"/>
      <w:sz w:val="24"/>
      <w:szCs w:val="20"/>
      <w:lang w:eastAsia="en-US"/>
    </w:rPr>
  </w:style>
  <w:style w:type="paragraph" w:styleId="1116">
    <w:name w:val="Char Char1 Char Char Char Char Char Char Char"/>
    <w:basedOn w:val="794"/>
    <w:next w:val="1116"/>
    <w:link w:val="794"/>
    <w:pPr>
      <w:jc w:val="left"/>
      <w:spacing w:after="160" w:line="240" w:lineRule="exact"/>
      <w:widowControl/>
    </w:pPr>
    <w:rPr>
      <w:rFonts w:ascii="Verdana" w:hAnsi="Verdana" w:eastAsia="仿宋_GB2312"/>
      <w:sz w:val="24"/>
      <w:szCs w:val="20"/>
      <w:lang w:eastAsia="en-US"/>
    </w:rPr>
  </w:style>
  <w:style w:type="character" w:styleId="1117">
    <w:name w:val="Char Char"/>
    <w:next w:val="1117"/>
    <w:link w:val="794"/>
    <w:rPr>
      <w:rFonts w:ascii="Cambria" w:hAnsi="Cambria" w:eastAsia="宋体"/>
      <w:b/>
      <w:bCs/>
      <w:sz w:val="28"/>
      <w:szCs w:val="28"/>
      <w:lang w:val="en-US" w:eastAsia="zh-CN" w:bidi="ar-SA"/>
    </w:rPr>
  </w:style>
  <w:style w:type="character" w:styleId="1118">
    <w:name w:val="Char Char5"/>
    <w:next w:val="1118"/>
    <w:link w:val="794"/>
    <w:qFormat/>
    <w:rPr>
      <w:rFonts w:ascii="Cambria" w:hAnsi="Cambria" w:eastAsia="宋体"/>
      <w:b/>
      <w:bCs/>
      <w:sz w:val="28"/>
      <w:szCs w:val="28"/>
      <w:lang w:val="en-US" w:eastAsia="zh-CN" w:bidi="ar-SA"/>
    </w:rPr>
  </w:style>
  <w:style w:type="paragraph" w:styleId="1119">
    <w:name w:val="1"/>
    <w:next w:val="1119"/>
    <w:link w:val="79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120">
    <w:name w:val="日期2"/>
    <w:basedOn w:val="794"/>
    <w:next w:val="1120"/>
    <w:link w:val="794"/>
    <w:qFormat/>
    <w:pPr>
      <w:jc w:val="left"/>
      <w:spacing w:before="100" w:beforeAutospacing="1" w:after="100" w:afterAutospacing="1"/>
      <w:widowControl/>
    </w:pPr>
    <w:rPr>
      <w:rFonts w:ascii="宋体" w:hAnsi="宋体"/>
      <w:sz w:val="24"/>
    </w:rPr>
  </w:style>
  <w:style w:type="paragraph" w:styleId="1121">
    <w:name w:val="页脚1"/>
    <w:basedOn w:val="794"/>
    <w:next w:val="1121"/>
    <w:link w:val="794"/>
    <w:pPr>
      <w:jc w:val="left"/>
      <w:tabs>
        <w:tab w:val="center" w:pos="4153" w:leader="none"/>
        <w:tab w:val="right" w:pos="8306" w:leader="none"/>
      </w:tabs>
    </w:pPr>
    <w:rPr>
      <w:rFonts w:ascii="Calibri" w:hAnsi="Calibri"/>
      <w:sz w:val="18"/>
      <w:szCs w:val="18"/>
    </w:rPr>
  </w:style>
  <w:style w:type="paragraph" w:styleId="1122">
    <w:name w:val="无间隔1"/>
    <w:next w:val="1122"/>
    <w:link w:val="1123"/>
    <w:qFormat/>
    <w:pPr>
      <w:jc w:val="both"/>
      <w:widowControl w:val="off"/>
    </w:pPr>
    <w:rPr>
      <w:rFonts w:ascii="Times New Roman" w:hAnsi="Times New Roman" w:eastAsia="宋体" w:cs="Times New Roman"/>
      <w:sz w:val="21"/>
      <w:szCs w:val="24"/>
      <w:lang w:val="en-US" w:eastAsia="zh-CN" w:bidi="ar-SA"/>
    </w:rPr>
  </w:style>
  <w:style w:type="character" w:styleId="1123">
    <w:name w:val="无间隔 字符"/>
    <w:next w:val="1123"/>
    <w:link w:val="1122"/>
    <w:rPr>
      <w:sz w:val="21"/>
      <w:szCs w:val="24"/>
      <w:lang w:bidi="ar-SA"/>
    </w:rPr>
  </w:style>
  <w:style w:type="character" w:styleId="1124">
    <w:name w:val="concon2007"/>
    <w:next w:val="1124"/>
    <w:link w:val="794"/>
  </w:style>
  <w:style w:type="character" w:styleId="1125">
    <w:name w:val="正文缩进2字符 Char Char"/>
    <w:next w:val="1125"/>
    <w:link w:val="794"/>
    <w:rPr>
      <w:rFonts w:ascii="Times New Roman" w:hAnsi="Times New Roman" w:eastAsia="宋体" w:cs="宋体"/>
      <w:sz w:val="24"/>
      <w:szCs w:val="20"/>
    </w:rPr>
  </w:style>
  <w:style w:type="paragraph" w:styleId="1126">
    <w:name w:val="样式1"/>
    <w:basedOn w:val="794"/>
    <w:next w:val="1126"/>
    <w:link w:val="794"/>
    <w:qFormat/>
    <w:pPr>
      <w:ind w:firstLine="200"/>
    </w:pPr>
    <w:rPr>
      <w:rFonts w:eastAsia="仿宋_GB2312"/>
      <w:sz w:val="32"/>
      <w:szCs w:val="20"/>
    </w:rPr>
  </w:style>
  <w:style w:type="paragraph" w:styleId="1127">
    <w:name w:val="正文2"/>
    <w:basedOn w:val="794"/>
    <w:next w:val="1127"/>
    <w:link w:val="1128"/>
    <w:qFormat/>
    <w:pPr>
      <w:ind w:firstLine="200"/>
      <w:spacing w:line="360" w:lineRule="auto"/>
    </w:pPr>
    <w:rPr>
      <w:rFonts w:ascii="仿宋_GB2312" w:hAnsi="宋体" w:eastAsia="仿宋_GB2312"/>
      <w:sz w:val="24"/>
    </w:rPr>
  </w:style>
  <w:style w:type="character" w:styleId="1128">
    <w:name w:val="正文2 Char"/>
    <w:next w:val="1128"/>
    <w:link w:val="1127"/>
    <w:rPr>
      <w:rFonts w:ascii="仿宋_GB2312" w:hAnsi="宋体" w:eastAsia="仿宋_GB2312"/>
      <w:sz w:val="24"/>
      <w:szCs w:val="24"/>
    </w:rPr>
  </w:style>
  <w:style w:type="paragraph" w:styleId="1129">
    <w:name w:val="首行缩进:  0.85 厘米"/>
    <w:basedOn w:val="794"/>
    <w:next w:val="1129"/>
    <w:link w:val="1130"/>
    <w:pPr>
      <w:ind w:firstLine="482"/>
      <w:spacing w:line="360" w:lineRule="auto"/>
    </w:pPr>
    <w:rPr>
      <w:sz w:val="24"/>
      <w:szCs w:val="20"/>
    </w:rPr>
  </w:style>
  <w:style w:type="character" w:styleId="1130">
    <w:name w:val="首行缩进:  0.85 厘米 Char"/>
    <w:next w:val="1130"/>
    <w:link w:val="1129"/>
    <w:rPr>
      <w:rFonts w:cs="宋体"/>
      <w:sz w:val="24"/>
    </w:rPr>
  </w:style>
  <w:style w:type="paragraph" w:styleId="1131">
    <w:name w:val="样式 首行缩进:  0.74 厘米 Char"/>
    <w:basedOn w:val="794"/>
    <w:next w:val="1131"/>
    <w:link w:val="794"/>
    <w:pPr>
      <w:ind w:firstLine="420"/>
    </w:pPr>
    <w:rPr>
      <w:rFonts w:cs="宋体"/>
      <w:szCs w:val="20"/>
    </w:rPr>
  </w:style>
  <w:style w:type="paragraph" w:styleId="1132">
    <w:name w:val="题注1"/>
    <w:basedOn w:val="794"/>
    <w:next w:val="794"/>
    <w:link w:val="794"/>
    <w:rPr>
      <w:rFonts w:ascii="Arial" w:hAnsi="Arial" w:eastAsia="黑体" w:cs="Arial"/>
      <w:sz w:val="20"/>
      <w:szCs w:val="20"/>
    </w:rPr>
  </w:style>
  <w:style w:type="character" w:styleId="1133">
    <w:name w:val="正文2 Char Char"/>
    <w:next w:val="1133"/>
    <w:link w:val="794"/>
    <w:rPr>
      <w:rFonts w:ascii="仿宋_GB2312" w:hAnsi="宋体" w:eastAsia="仿宋_GB2312" w:cs="Times New Roman"/>
      <w:sz w:val="24"/>
      <w:szCs w:val="24"/>
    </w:rPr>
  </w:style>
  <w:style w:type="paragraph" w:styleId="1134">
    <w:name w:val="my正文"/>
    <w:basedOn w:val="794"/>
    <w:next w:val="1134"/>
    <w:link w:val="1135"/>
    <w:pPr>
      <w:ind w:firstLine="480"/>
      <w:spacing w:line="360" w:lineRule="auto"/>
    </w:pPr>
    <w:rPr>
      <w:sz w:val="24"/>
    </w:rPr>
  </w:style>
  <w:style w:type="character" w:styleId="1135">
    <w:name w:val="my正文 Char"/>
    <w:next w:val="1135"/>
    <w:link w:val="1134"/>
    <w:rPr>
      <w:sz w:val="24"/>
      <w:szCs w:val="24"/>
    </w:rPr>
  </w:style>
  <w:style w:type="paragraph" w:styleId="1136">
    <w:name w:val="缩进正文"/>
    <w:next w:val="1136"/>
    <w:link w:val="794"/>
    <w:qFormat/>
    <w:pPr>
      <w:ind w:firstLine="200"/>
      <w:spacing w:line="360" w:lineRule="auto"/>
    </w:pPr>
    <w:rPr>
      <w:rFonts w:ascii="Cambria" w:hAnsi="Cambria" w:eastAsia="宋体" w:cs="Times New Roman"/>
      <w:bCs/>
      <w:sz w:val="24"/>
      <w:szCs w:val="32"/>
      <w:lang w:val="en-US" w:eastAsia="zh-CN" w:bidi="ar-SA"/>
    </w:rPr>
  </w:style>
  <w:style w:type="paragraph" w:styleId="1137">
    <w:name w:val="图注"/>
    <w:next w:val="1136"/>
    <w:link w:val="1138"/>
    <w:qFormat/>
    <w:pPr>
      <w:jc w:val="center"/>
      <w:keepNext/>
    </w:pPr>
    <w:rPr>
      <w:rFonts w:ascii="黑体" w:hAnsi="黑体" w:eastAsia="黑体" w:cs="宋体"/>
      <w:sz w:val="24"/>
      <w:szCs w:val="24"/>
      <w:lang w:val="en-US" w:eastAsia="zh-CN" w:bidi="ar-SA"/>
    </w:rPr>
  </w:style>
  <w:style w:type="character" w:styleId="1138">
    <w:name w:val="图注 Char"/>
    <w:next w:val="1138"/>
    <w:link w:val="1137"/>
    <w:rPr>
      <w:rFonts w:ascii="黑体" w:hAnsi="黑体" w:eastAsia="黑体" w:cs="宋体"/>
      <w:sz w:val="24"/>
      <w:szCs w:val="24"/>
      <w:lang w:val="en-US" w:eastAsia="zh-CN" w:bidi="ar-SA"/>
    </w:rPr>
  </w:style>
  <w:style w:type="paragraph" w:styleId="1139">
    <w:name w:val="样式 中软正文 + 首行缩进:  2 字符"/>
    <w:basedOn w:val="794"/>
    <w:next w:val="1139"/>
    <w:link w:val="794"/>
    <w:pPr>
      <w:jc w:val="left"/>
      <w:spacing w:after="120" w:line="440" w:lineRule="exact"/>
      <w:widowControl/>
    </w:pPr>
    <w:rPr>
      <w:rFonts w:ascii="Arial" w:hAnsi="Arial"/>
      <w:sz w:val="24"/>
      <w:szCs w:val="21"/>
    </w:rPr>
  </w:style>
  <w:style w:type="paragraph" w:styleId="1140">
    <w:name w:val="纯文本1"/>
    <w:basedOn w:val="794"/>
    <w:next w:val="1140"/>
    <w:link w:val="794"/>
    <w:rPr>
      <w:rFonts w:ascii="宋体"/>
      <w:szCs w:val="20"/>
    </w:rPr>
  </w:style>
  <w:style w:type="character" w:styleId="1141">
    <w:name w:val="可研加粗 Char"/>
    <w:next w:val="1141"/>
    <w:link w:val="794"/>
    <w:rPr>
      <w:rFonts w:ascii="Tahoma" w:hAnsi="Tahoma" w:eastAsia="仿宋_GB2312"/>
      <w:b/>
      <w:sz w:val="24"/>
      <w:szCs w:val="24"/>
      <w:lang w:val="en-US" w:eastAsia="zh-CN" w:bidi="ar-SA"/>
    </w:rPr>
  </w:style>
  <w:style w:type="paragraph" w:styleId="1142">
    <w:name w:val="可研 + 首行缩进:  2 字符"/>
    <w:basedOn w:val="794"/>
    <w:next w:val="1142"/>
    <w:link w:val="794"/>
    <w:pPr>
      <w:ind w:firstLine="482"/>
      <w:spacing w:before="120" w:line="288" w:lineRule="auto"/>
    </w:pPr>
    <w:rPr>
      <w:rFonts w:eastAsia="仿宋_GB2312"/>
      <w:sz w:val="24"/>
      <w:szCs w:val="20"/>
    </w:rPr>
  </w:style>
  <w:style w:type="paragraph" w:styleId="1143">
    <w:name w:val="cr1"/>
    <w:basedOn w:val="795"/>
    <w:next w:val="1144"/>
    <w:link w:val="794"/>
    <w:pPr>
      <w:jc w:val="center"/>
      <w:pageBreakBefore/>
      <w:spacing w:line="240" w:lineRule="auto"/>
    </w:pPr>
    <w:rPr>
      <w:rFonts w:ascii="黑体" w:hAnsi="黑体" w:eastAsia="黑体" w:cs="黑体"/>
    </w:rPr>
  </w:style>
  <w:style w:type="paragraph" w:styleId="1144">
    <w:name w:val="cr2"/>
    <w:basedOn w:val="796"/>
    <w:next w:val="1145"/>
    <w:link w:val="794"/>
    <w:pPr>
      <w:jc w:val="center"/>
      <w:keepNext w:val="0"/>
      <w:pageBreakBefore/>
      <w:spacing w:before="25" w:after="25" w:line="300" w:lineRule="auto"/>
      <w:outlineLvl w:val="0"/>
    </w:pPr>
    <w:rPr>
      <w:sz w:val="36"/>
    </w:rPr>
  </w:style>
  <w:style w:type="paragraph" w:styleId="1145">
    <w:name w:val="cr3"/>
    <w:basedOn w:val="797"/>
    <w:next w:val="1146"/>
    <w:link w:val="794"/>
    <w:pPr>
      <w:spacing w:line="240" w:lineRule="auto"/>
      <w:outlineLvl w:val="1"/>
    </w:pPr>
    <w:rPr>
      <w:rFonts w:eastAsia="黑体"/>
    </w:rPr>
  </w:style>
  <w:style w:type="paragraph" w:styleId="1146">
    <w:name w:val="cr4"/>
    <w:basedOn w:val="798"/>
    <w:next w:val="1147"/>
    <w:link w:val="794"/>
    <w:pPr>
      <w:ind w:left="420" w:hanging="420"/>
      <w:jc w:val="both"/>
      <w:keepLines/>
      <w:spacing w:before="25" w:after="25" w:line="300" w:lineRule="auto"/>
      <w:outlineLvl w:val="2"/>
    </w:pPr>
    <w:rPr>
      <w:rFonts w:ascii="黑体" w:hAnsi="宋体" w:eastAsia="黑体"/>
      <w:b/>
      <w:color w:val="000000"/>
      <w:sz w:val="28"/>
      <w:szCs w:val="28"/>
    </w:rPr>
  </w:style>
  <w:style w:type="paragraph" w:styleId="1147">
    <w:name w:val="cr5"/>
    <w:basedOn w:val="799"/>
    <w:next w:val="1148"/>
    <w:link w:val="794"/>
    <w:pPr>
      <w:ind w:left="1080" w:hanging="1080"/>
      <w:spacing w:line="240" w:lineRule="auto"/>
    </w:pPr>
    <w:rPr>
      <w:rFonts w:ascii="黑体" w:eastAsia="黑体"/>
      <w:sz w:val="24"/>
      <w:szCs w:val="24"/>
    </w:rPr>
  </w:style>
  <w:style w:type="paragraph" w:styleId="1148">
    <w:name w:val="cr6"/>
    <w:basedOn w:val="1147"/>
    <w:next w:val="1148"/>
    <w:link w:val="1149"/>
    <w:qFormat/>
    <w:pPr>
      <w:ind w:left="180" w:hanging="180"/>
    </w:pPr>
  </w:style>
  <w:style w:type="character" w:styleId="1149">
    <w:name w:val="cr6 Char"/>
    <w:next w:val="1149"/>
    <w:link w:val="1148"/>
    <w:rPr>
      <w:rFonts w:ascii="黑体" w:eastAsia="黑体"/>
      <w:b/>
      <w:bCs/>
      <w:sz w:val="24"/>
      <w:szCs w:val="24"/>
    </w:rPr>
  </w:style>
  <w:style w:type="paragraph" w:styleId="1150">
    <w:name w:val="cr7"/>
    <w:basedOn w:val="853"/>
    <w:next w:val="1151"/>
    <w:link w:val="794"/>
    <w:pPr>
      <w:numPr>
        <w:ilvl w:val="6"/>
        <w:numId w:val="2"/>
      </w:numPr>
      <w:ind w:left="2940" w:hanging="420"/>
    </w:pPr>
    <w:rPr>
      <w:b/>
      <w:sz w:val="24"/>
    </w:rPr>
  </w:style>
  <w:style w:type="paragraph" w:styleId="1151">
    <w:name w:val="cr8"/>
    <w:basedOn w:val="853"/>
    <w:next w:val="794"/>
    <w:link w:val="794"/>
    <w:pPr>
      <w:numPr>
        <w:ilvl w:val="7"/>
        <w:numId w:val="2"/>
      </w:numPr>
      <w:ind w:left="3360" w:hanging="420"/>
    </w:pPr>
    <w:rPr>
      <w:b/>
      <w:sz w:val="24"/>
    </w:rPr>
  </w:style>
  <w:style w:type="paragraph" w:styleId="1152">
    <w:name w:val="样式9"/>
    <w:basedOn w:val="1146"/>
    <w:next w:val="1152"/>
    <w:link w:val="1153"/>
    <w:qFormat/>
    <w:pPr>
      <w:ind w:left="1680" w:hanging="420"/>
    </w:pPr>
  </w:style>
  <w:style w:type="character" w:styleId="1153">
    <w:name w:val="样式9 Char"/>
    <w:next w:val="1153"/>
    <w:link w:val="1152"/>
    <w:rPr>
      <w:rFonts w:ascii="黑体" w:hAnsi="宋体" w:eastAsia="黑体"/>
      <w:b/>
      <w:color w:val="000000"/>
      <w:sz w:val="28"/>
      <w:szCs w:val="28"/>
    </w:rPr>
  </w:style>
  <w:style w:type="paragraph" w:styleId="1154">
    <w:name w:val="标准正文样式"/>
    <w:basedOn w:val="1092"/>
    <w:next w:val="1154"/>
    <w:link w:val="1155"/>
    <w:qFormat/>
    <w:pPr>
      <w:ind w:firstLine="200"/>
      <w:jc w:val="left"/>
      <w:widowControl/>
    </w:pPr>
  </w:style>
  <w:style w:type="character" w:styleId="1155">
    <w:name w:val="标准正文样式 Char"/>
    <w:next w:val="1155"/>
    <w:link w:val="1154"/>
    <w:qFormat/>
    <w:rPr>
      <w:sz w:val="24"/>
    </w:rPr>
  </w:style>
  <w:style w:type="paragraph" w:styleId="1156">
    <w:name w:val="Table Paragraph"/>
    <w:basedOn w:val="794"/>
    <w:next w:val="1156"/>
    <w:link w:val="794"/>
    <w:uiPriority w:val="1"/>
    <w:unhideWhenUsed/>
    <w:qFormat/>
    <w:pPr>
      <w:spacing w:before="100" w:beforeAutospacing="1" w:after="100" w:afterAutospacing="1" w:line="360" w:lineRule="auto"/>
    </w:pPr>
    <w:rPr>
      <w:sz w:val="24"/>
    </w:rPr>
  </w:style>
  <w:style w:type="paragraph" w:styleId="1157">
    <w:name w:val="智业正文"/>
    <w:basedOn w:val="794"/>
    <w:next w:val="1157"/>
    <w:link w:val="1158"/>
    <w:qFormat/>
    <w:pPr>
      <w:ind w:firstLine="480"/>
      <w:spacing w:line="360" w:lineRule="auto"/>
    </w:pPr>
    <w:rPr>
      <w:sz w:val="24"/>
      <w:szCs w:val="20"/>
    </w:rPr>
  </w:style>
  <w:style w:type="character" w:styleId="1158">
    <w:name w:val="智业正文 Char"/>
    <w:next w:val="1158"/>
    <w:link w:val="1157"/>
    <w:qFormat/>
    <w:rPr>
      <w:sz w:val="24"/>
    </w:rPr>
  </w:style>
  <w:style w:type="paragraph" w:styleId="1159">
    <w:name w:val="列出段落11"/>
    <w:basedOn w:val="794"/>
    <w:next w:val="1159"/>
    <w:link w:val="794"/>
    <w:qFormat/>
    <w:pPr>
      <w:ind w:firstLine="420"/>
    </w:pPr>
    <w:rPr>
      <w:rFonts w:ascii="Calibri" w:hAnsi="Calibri"/>
      <w:szCs w:val="20"/>
    </w:rPr>
  </w:style>
  <w:style w:type="character" w:styleId="1160">
    <w:name w:val="未处理的提及1"/>
    <w:next w:val="1160"/>
    <w:link w:val="794"/>
    <w:uiPriority w:val="99"/>
    <w:unhideWhenUsed/>
    <w:rPr>
      <w:color w:val="605e5c"/>
      <w:shd w:val="clear" w:color="auto" w:fill="e1dfdd"/>
    </w:rPr>
  </w:style>
  <w:style w:type="character" w:styleId="1161">
    <w:name w:val="正文首行缩进 2 Char"/>
    <w:next w:val="1161"/>
    <w:link w:val="794"/>
    <w:uiPriority w:val="99"/>
  </w:style>
  <w:style w:type="paragraph" w:styleId="1162">
    <w:name w:val="样式 小四 行距: 1.5 倍行距"/>
    <w:basedOn w:val="794"/>
    <w:next w:val="1162"/>
    <w:link w:val="794"/>
    <w:qFormat/>
    <w:pPr>
      <w:ind w:firstLine="480"/>
      <w:spacing w:before="100" w:beforeAutospacing="1" w:after="100" w:afterAutospacing="1" w:line="300" w:lineRule="auto"/>
    </w:pPr>
    <w:rPr>
      <w:rFonts w:ascii="宋体" w:hAnsi="宋体" w:cs="宋体"/>
      <w:bCs/>
      <w:sz w:val="24"/>
      <w:szCs w:val="20"/>
    </w:rPr>
  </w:style>
  <w:style w:type="character" w:styleId="1163">
    <w:name w:val="明显强调1"/>
    <w:next w:val="1163"/>
    <w:link w:val="794"/>
    <w:qFormat/>
    <w:rPr>
      <w:b/>
      <w:i/>
      <w:color w:val="4f81bd"/>
    </w:rPr>
  </w:style>
  <w:style w:type="character" w:styleId="1164">
    <w:name w:val="font12gray1"/>
    <w:next w:val="1164"/>
    <w:link w:val="794"/>
    <w:qFormat/>
    <w:rPr>
      <w:sz w:val="18"/>
    </w:rPr>
  </w:style>
  <w:style w:type="paragraph" w:styleId="1165">
    <w:name w:val="普通(网站)1"/>
    <w:basedOn w:val="794"/>
    <w:next w:val="1165"/>
    <w:link w:val="794"/>
    <w:qFormat/>
    <w:pPr>
      <w:jc w:val="left"/>
      <w:spacing w:before="100" w:beforeAutospacing="1" w:after="100" w:afterAutospacing="1"/>
      <w:widowControl/>
    </w:pPr>
    <w:rPr>
      <w:rFonts w:ascii="宋体" w:hAnsi="宋体"/>
      <w:sz w:val="24"/>
    </w:rPr>
  </w:style>
  <w:style w:type="character" w:styleId="1166">
    <w:name w:val="7 正文 字符"/>
    <w:next w:val="1166"/>
    <w:link w:val="1167"/>
    <w:rPr>
      <w:rFonts w:ascii="Arial" w:hAnsi="Arial"/>
      <w:sz w:val="24"/>
      <w:szCs w:val="24"/>
    </w:rPr>
  </w:style>
  <w:style w:type="paragraph" w:styleId="1167">
    <w:name w:val="7 正文"/>
    <w:basedOn w:val="816"/>
    <w:next w:val="1167"/>
    <w:link w:val="1166"/>
    <w:qFormat/>
    <w:pPr>
      <w:ind w:firstLine="200"/>
      <w:jc w:val="left"/>
      <w:spacing w:before="100" w:beforeAutospacing="1" w:after="100" w:afterAutospacing="1" w:line="300" w:lineRule="auto"/>
    </w:pPr>
    <w:rPr>
      <w:rFonts w:ascii="Arial" w:hAnsi="Arial"/>
      <w:sz w:val="24"/>
      <w:szCs w:val="24"/>
    </w:rPr>
  </w:style>
  <w:style w:type="character" w:styleId="1168">
    <w:name w:val="标题 1 字符"/>
    <w:next w:val="1168"/>
    <w:link w:val="794"/>
    <w:uiPriority w:val="9"/>
    <w:rPr>
      <w:b/>
      <w:bCs/>
      <w:sz w:val="44"/>
      <w:szCs w:val="44"/>
    </w:rPr>
  </w:style>
  <w:style w:type="character" w:styleId="1169">
    <w:name w:val="标题 1 Char"/>
    <w:next w:val="1169"/>
    <w:link w:val="794"/>
    <w:qFormat/>
    <w:rPr>
      <w:rFonts w:ascii="Times New Roman" w:hAnsi="Times New Roman" w:eastAsia="宋体" w:cs="Times New Roman"/>
      <w:b/>
      <w:bCs/>
      <w:sz w:val="44"/>
      <w:szCs w:val="44"/>
    </w:rPr>
  </w:style>
  <w:style w:type="character" w:styleId="1170">
    <w:name w:val="标题 2 Char"/>
    <w:next w:val="1170"/>
    <w:link w:val="794"/>
    <w:rPr>
      <w:rFonts w:ascii="Arial" w:hAnsi="Arial" w:eastAsia="黑体" w:cs="Times New Roman"/>
      <w:b/>
      <w:bCs/>
      <w:sz w:val="32"/>
      <w:szCs w:val="32"/>
    </w:rPr>
  </w:style>
  <w:style w:type="paragraph" w:styleId="1171">
    <w:name w:val="_Style 375"/>
    <w:basedOn w:val="794"/>
    <w:next w:val="890"/>
    <w:link w:val="1172"/>
    <w:uiPriority w:val="99"/>
    <w:qFormat/>
    <w:pPr>
      <w:ind w:firstLine="420"/>
    </w:pPr>
    <w:rPr>
      <w:sz w:val="20"/>
      <w:szCs w:val="20"/>
    </w:rPr>
  </w:style>
  <w:style w:type="character" w:styleId="1172">
    <w:name w:val="列出段落 Char"/>
    <w:next w:val="1172"/>
    <w:link w:val="1171"/>
    <w:uiPriority w:val="99"/>
  </w:style>
  <w:style w:type="character" w:styleId="1173">
    <w:name w:val="正文文本 Char"/>
    <w:next w:val="1173"/>
    <w:link w:val="794"/>
    <w:uiPriority w:val="99"/>
    <w:rPr>
      <w:rFonts w:ascii="仿宋_GB2312" w:hAnsi="Times New Roman" w:eastAsia="仿宋_GB2312" w:cs="Times New Roman"/>
      <w:sz w:val="24"/>
      <w:szCs w:val="20"/>
    </w:rPr>
  </w:style>
  <w:style w:type="character" w:styleId="1174">
    <w:name w:val="正文首行缩进 2 Char1"/>
    <w:next w:val="1174"/>
    <w:link w:val="794"/>
    <w:rPr>
      <w:rFonts w:ascii="仿宋_GB2312" w:hAnsi="Times New Roman" w:eastAsia="仿宋_GB2312" w:cs="Times New Roman"/>
      <w:sz w:val="24"/>
      <w:szCs w:val="20"/>
    </w:rPr>
  </w:style>
  <w:style w:type="character" w:styleId="1175">
    <w:name w:val="标题 3 Char"/>
    <w:next w:val="1175"/>
    <w:link w:val="794"/>
    <w:rPr>
      <w:rFonts w:ascii="Times New Roman" w:hAnsi="Times New Roman" w:eastAsia="宋体" w:cs="Times New Roman"/>
      <w:b/>
      <w:bCs/>
      <w:sz w:val="32"/>
      <w:szCs w:val="32"/>
    </w:rPr>
  </w:style>
  <w:style w:type="character" w:styleId="1176">
    <w:name w:val="标题 4 Char"/>
    <w:next w:val="1176"/>
    <w:link w:val="794"/>
    <w:rPr>
      <w:rFonts w:ascii="Times New Roman" w:hAnsi="Times New Roman" w:eastAsia="新宋体" w:cs="Times New Roman"/>
      <w:sz w:val="30"/>
      <w:szCs w:val="21"/>
    </w:rPr>
  </w:style>
  <w:style w:type="character" w:styleId="1177">
    <w:name w:val="标题 5 Char"/>
    <w:next w:val="1177"/>
    <w:link w:val="794"/>
    <w:rPr>
      <w:rFonts w:ascii="Times New Roman" w:hAnsi="Times New Roman" w:eastAsia="宋体" w:cs="Times New Roman"/>
      <w:b/>
      <w:bCs/>
      <w:sz w:val="28"/>
      <w:szCs w:val="28"/>
    </w:rPr>
  </w:style>
  <w:style w:type="character" w:styleId="1178">
    <w:name w:val="标题 6 Char"/>
    <w:next w:val="1178"/>
    <w:link w:val="794"/>
    <w:rPr>
      <w:rFonts w:ascii="Times New Roman" w:hAnsi="Times New Roman" w:eastAsia="宋体" w:cs="Times New Roman"/>
      <w:b/>
      <w:sz w:val="44"/>
      <w:szCs w:val="20"/>
    </w:rPr>
  </w:style>
  <w:style w:type="character" w:styleId="1179">
    <w:name w:val="正文缩进 Char"/>
    <w:next w:val="1179"/>
    <w:link w:val="794"/>
    <w:rPr>
      <w:rFonts w:ascii="Times New Roman" w:hAnsi="Times New Roman" w:eastAsia="宋体" w:cs="Times New Roman"/>
      <w:sz w:val="20"/>
      <w:szCs w:val="20"/>
    </w:rPr>
  </w:style>
  <w:style w:type="character" w:styleId="1180">
    <w:name w:val="标题 7 Char"/>
    <w:next w:val="1180"/>
    <w:link w:val="794"/>
    <w:rPr>
      <w:rFonts w:ascii="Times New Roman" w:hAnsi="Times New Roman" w:eastAsia="宋体" w:cs="Times New Roman"/>
      <w:b/>
      <w:bCs/>
      <w:sz w:val="24"/>
      <w:szCs w:val="24"/>
    </w:rPr>
  </w:style>
  <w:style w:type="character" w:styleId="1181">
    <w:name w:val="标题 8 Char"/>
    <w:next w:val="1181"/>
    <w:link w:val="794"/>
    <w:rPr>
      <w:rFonts w:ascii="Arial" w:hAnsi="Arial" w:eastAsia="黑体" w:cs="Times New Roman"/>
      <w:sz w:val="24"/>
      <w:szCs w:val="24"/>
    </w:rPr>
  </w:style>
  <w:style w:type="character" w:styleId="1182">
    <w:name w:val="标题 9 Char"/>
    <w:next w:val="1182"/>
    <w:link w:val="794"/>
    <w:rPr>
      <w:rFonts w:ascii="Arial" w:hAnsi="Arial" w:eastAsia="黑体" w:cs="Times New Roman"/>
      <w:sz w:val="24"/>
      <w:szCs w:val="21"/>
    </w:rPr>
  </w:style>
  <w:style w:type="character" w:styleId="1183">
    <w:name w:val="题注 Char"/>
    <w:next w:val="1183"/>
    <w:link w:val="794"/>
    <w:qFormat/>
    <w:rPr>
      <w:rFonts w:ascii="Cambria" w:hAnsi="Cambria" w:eastAsia="黑体" w:cs="Times New Roman"/>
    </w:rPr>
  </w:style>
  <w:style w:type="character" w:styleId="1184">
    <w:name w:val="文档结构图 Char"/>
    <w:next w:val="1184"/>
    <w:link w:val="794"/>
    <w:uiPriority w:val="99"/>
    <w:semiHidden/>
    <w:qFormat/>
    <w:rPr>
      <w:szCs w:val="24"/>
      <w:shd w:val="clear" w:color="auto" w:fill="000080"/>
    </w:rPr>
  </w:style>
  <w:style w:type="character" w:styleId="1185">
    <w:name w:val="批注文字 Char"/>
    <w:next w:val="1185"/>
    <w:link w:val="794"/>
    <w:rPr>
      <w:sz w:val="21"/>
      <w:szCs w:val="24"/>
    </w:rPr>
  </w:style>
  <w:style w:type="character" w:styleId="1186">
    <w:name w:val="正文文本 3 Char"/>
    <w:next w:val="1186"/>
    <w:link w:val="794"/>
    <w:rPr>
      <w:rFonts w:ascii="Times New Roman" w:hAnsi="Times New Roman" w:eastAsia="宋体" w:cs="Times New Roman"/>
      <w:sz w:val="16"/>
      <w:szCs w:val="16"/>
    </w:rPr>
  </w:style>
  <w:style w:type="character" w:styleId="1187">
    <w:name w:val="正文文本缩进 Char"/>
    <w:next w:val="1187"/>
    <w:link w:val="794"/>
    <w:uiPriority w:val="99"/>
    <w:rPr>
      <w:rFonts w:ascii="仿宋_GB2312" w:hAnsi="Times New Roman" w:eastAsia="仿宋_GB2312" w:cs="Times New Roman"/>
      <w:sz w:val="28"/>
      <w:szCs w:val="20"/>
    </w:rPr>
  </w:style>
  <w:style w:type="character" w:styleId="1188">
    <w:name w:val="纯文本 Char"/>
    <w:next w:val="1188"/>
    <w:link w:val="794"/>
    <w:rPr>
      <w:rFonts w:ascii="宋体" w:hAnsi="Courier New" w:eastAsia="宋体" w:cs="Courier New"/>
      <w:szCs w:val="21"/>
    </w:rPr>
  </w:style>
  <w:style w:type="character" w:styleId="1189">
    <w:name w:val="日期 Char"/>
    <w:next w:val="1189"/>
    <w:link w:val="794"/>
    <w:uiPriority w:val="99"/>
    <w:rPr>
      <w:rFonts w:ascii="Times New Roman" w:hAnsi="Times New Roman" w:eastAsia="宋体" w:cs="Times New Roman"/>
      <w:sz w:val="24"/>
      <w:szCs w:val="20"/>
    </w:rPr>
  </w:style>
  <w:style w:type="character" w:styleId="1190">
    <w:name w:val="正文文本缩进 2 Char"/>
    <w:next w:val="1190"/>
    <w:link w:val="794"/>
    <w:uiPriority w:val="99"/>
    <w:rPr>
      <w:rFonts w:ascii="Times New Roman" w:hAnsi="Times New Roman" w:eastAsia="仿宋_GB2312" w:cs="Times New Roman"/>
      <w:sz w:val="28"/>
      <w:szCs w:val="20"/>
    </w:rPr>
  </w:style>
  <w:style w:type="character" w:styleId="1191">
    <w:name w:val="批注框文本 Char"/>
    <w:next w:val="1191"/>
    <w:link w:val="794"/>
    <w:uiPriority w:val="99"/>
    <w:rPr>
      <w:sz w:val="18"/>
      <w:szCs w:val="18"/>
    </w:rPr>
  </w:style>
  <w:style w:type="character" w:styleId="1192">
    <w:name w:val="页脚 Char"/>
    <w:next w:val="1192"/>
    <w:link w:val="794"/>
    <w:uiPriority w:val="99"/>
    <w:qFormat/>
    <w:rPr>
      <w:rFonts w:ascii="Times New Roman" w:hAnsi="Times New Roman" w:eastAsia="宋体" w:cs="Times New Roman"/>
      <w:sz w:val="18"/>
      <w:szCs w:val="20"/>
    </w:rPr>
  </w:style>
  <w:style w:type="character" w:styleId="1193">
    <w:name w:val="页眉 Char"/>
    <w:next w:val="1193"/>
    <w:link w:val="794"/>
    <w:uiPriority w:val="99"/>
    <w:qFormat/>
    <w:rPr>
      <w:rFonts w:ascii="Times New Roman" w:hAnsi="Times New Roman" w:eastAsia="宋体" w:cs="Times New Roman"/>
      <w:sz w:val="18"/>
      <w:szCs w:val="18"/>
    </w:rPr>
  </w:style>
  <w:style w:type="character" w:styleId="1194">
    <w:name w:val="脚注文本 Char"/>
    <w:next w:val="1194"/>
    <w:link w:val="794"/>
    <w:rPr>
      <w:sz w:val="18"/>
      <w:szCs w:val="18"/>
    </w:rPr>
  </w:style>
  <w:style w:type="character" w:styleId="1195">
    <w:name w:val="正文文本缩进 3 Char"/>
    <w:next w:val="1195"/>
    <w:link w:val="794"/>
    <w:rPr>
      <w:rFonts w:ascii="Times New Roman" w:hAnsi="Times New Roman" w:eastAsia="宋体" w:cs="Times New Roman"/>
      <w:sz w:val="16"/>
      <w:szCs w:val="16"/>
    </w:rPr>
  </w:style>
  <w:style w:type="character" w:styleId="1196">
    <w:name w:val="正文文本 2 Char"/>
    <w:next w:val="1196"/>
    <w:link w:val="794"/>
    <w:rPr>
      <w:rFonts w:ascii="Times New Roman" w:hAnsi="Times New Roman" w:eastAsia="宋体" w:cs="Times New Roman"/>
      <w:b/>
      <w:bCs/>
      <w:sz w:val="18"/>
      <w:szCs w:val="24"/>
    </w:rPr>
  </w:style>
  <w:style w:type="character" w:styleId="1197">
    <w:name w:val="标题 Char"/>
    <w:next w:val="1197"/>
    <w:link w:val="794"/>
    <w:uiPriority w:val="10"/>
    <w:rPr>
      <w:rFonts w:ascii="Cambria" w:hAnsi="Cambria" w:eastAsia="宋体" w:cs="Times New Roman"/>
      <w:b/>
      <w:bCs/>
      <w:sz w:val="32"/>
      <w:szCs w:val="32"/>
    </w:rPr>
  </w:style>
  <w:style w:type="character" w:styleId="1198">
    <w:name w:val="批注主题 Char"/>
    <w:next w:val="1198"/>
    <w:link w:val="794"/>
    <w:rPr>
      <w:b/>
      <w:bCs/>
      <w:sz w:val="21"/>
      <w:szCs w:val="24"/>
    </w:rPr>
  </w:style>
  <w:style w:type="character" w:styleId="1199">
    <w:name w:val="正文首行缩进 Char"/>
    <w:next w:val="1199"/>
    <w:link w:val="794"/>
    <w:rPr>
      <w:rFonts w:ascii="Times New Roman" w:hAnsi="Times New Roman" w:eastAsia="宋体" w:cs="Times New Roman"/>
      <w:sz w:val="24"/>
      <w:szCs w:val="24"/>
    </w:rPr>
  </w:style>
  <w:style w:type="paragraph" w:styleId="1200">
    <w:name w:val=" Char Char Char Char"/>
    <w:basedOn w:val="794"/>
    <w:next w:val="1200"/>
    <w:link w:val="794"/>
    <w:rPr>
      <w:rFonts w:ascii="Tahoma" w:hAnsi="Tahoma"/>
      <w:sz w:val="24"/>
      <w:szCs w:val="20"/>
    </w:rPr>
  </w:style>
  <w:style w:type="paragraph" w:styleId="1201">
    <w:name w:val=" Char Char Char Char Char Char Char Char Char Char Char Char Char"/>
    <w:basedOn w:val="794"/>
    <w:next w:val="1201"/>
    <w:link w:val="794"/>
  </w:style>
  <w:style w:type="paragraph" w:styleId="1202">
    <w:name w:val="Normal1"/>
    <w:next w:val="1202"/>
    <w:link w:val="794"/>
    <w:pPr>
      <w:jc w:val="both"/>
      <w:spacing w:line="315" w:lineRule="atLeast"/>
      <w:widowControl w:val="off"/>
    </w:pPr>
    <w:rPr>
      <w:rFonts w:ascii="宋体" w:hAnsi="Times New Roman" w:eastAsia="宋体" w:cs="Times New Roman"/>
      <w:sz w:val="24"/>
      <w:lang w:val="en-US" w:eastAsia="zh-CN" w:bidi="ar-SA"/>
    </w:rPr>
  </w:style>
  <w:style w:type="paragraph" w:styleId="1203">
    <w:name w:val=" Char"/>
    <w:basedOn w:val="794"/>
    <w:next w:val="1203"/>
    <w:link w:val="794"/>
    <w:rPr>
      <w:rFonts w:ascii="Tahoma" w:hAnsi="Tahoma"/>
      <w:sz w:val="24"/>
      <w:szCs w:val="20"/>
    </w:rPr>
  </w:style>
  <w:style w:type="paragraph" w:styleId="1204">
    <w:name w:val=" Char Char1 Char Char Char Char Char Char"/>
    <w:basedOn w:val="794"/>
    <w:next w:val="1204"/>
    <w:link w:val="794"/>
    <w:pPr>
      <w:jc w:val="left"/>
      <w:spacing w:after="160" w:line="240" w:lineRule="exact"/>
      <w:widowControl/>
    </w:pPr>
    <w:rPr>
      <w:rFonts w:ascii="Verdana" w:hAnsi="Verdana" w:eastAsia="仿宋_GB2312"/>
      <w:sz w:val="24"/>
      <w:szCs w:val="20"/>
      <w:lang w:eastAsia="en-US"/>
    </w:rPr>
  </w:style>
  <w:style w:type="paragraph" w:styleId="1205">
    <w:name w:val=" Char Char 字元 字元 字元 Char Char Char Char"/>
    <w:basedOn w:val="794"/>
    <w:next w:val="1205"/>
    <w:link w:val="794"/>
    <w:pPr>
      <w:spacing w:line="360" w:lineRule="auto"/>
    </w:pPr>
    <w:rPr>
      <w:sz w:val="24"/>
      <w:szCs w:val="20"/>
    </w:rPr>
  </w:style>
  <w:style w:type="character" w:styleId="1206">
    <w:name w:val="无间隔 Char"/>
    <w:next w:val="1206"/>
    <w:link w:val="794"/>
    <w:uiPriority w:val="1"/>
    <w:rPr>
      <w:rFonts w:ascii="Calibri" w:hAnsi="Calibri"/>
      <w:sz w:val="22"/>
      <w:szCs w:val="22"/>
      <w:lang w:val="en-US" w:eastAsia="zh-CN" w:bidi="ar-SA"/>
    </w:rPr>
  </w:style>
  <w:style w:type="paragraph" w:styleId="1207">
    <w:name w:val="BodyText1I21"/>
    <w:basedOn w:val="1208"/>
    <w:next w:val="1207"/>
    <w:link w:val="794"/>
    <w:qFormat/>
    <w:pPr>
      <w:ind w:left="0" w:firstLine="420"/>
    </w:pPr>
    <w:rPr>
      <w:color w:val="000000"/>
    </w:rPr>
  </w:style>
  <w:style w:type="paragraph" w:styleId="1208">
    <w:name w:val="BodyTextIndent1"/>
    <w:basedOn w:val="794"/>
    <w:next w:val="1208"/>
    <w:link w:val="794"/>
    <w:qFormat/>
    <w:pPr>
      <w:ind w:left="420"/>
      <w:spacing w:after="120"/>
    </w:p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dc:title>
  <dc:creator>U</dc:creator>
  <cp:lastModifiedBy>张蒋浩</cp:lastModifiedBy>
  <cp:revision>3</cp:revision>
  <dcterms:created xsi:type="dcterms:W3CDTF">2024-03-05T03:11:00Z</dcterms:created>
  <dcterms:modified xsi:type="dcterms:W3CDTF">2024-06-17T07:39:29Z</dcterms:modified>
</cp:coreProperties>
</file>