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4"/>
        <w:keepNext w:val="0"/>
        <w:keepLines w:val="0"/>
        <w:numPr>
          <w:ilvl w:val="0"/>
          <w:numId w:val="0"/>
        </w:numPr>
        <w:spacing w:line="360" w:lineRule="auto"/>
        <w:rPr>
          <w:rFonts w:ascii="宋体" w:hAnsi="宋体" w:eastAsia="宋体" w:cs="宋体"/>
          <w:color w:val="auto"/>
        </w:rPr>
      </w:pPr>
    </w:p>
    <w:p>
      <w:pPr>
        <w:jc w:val="center"/>
        <w:rPr>
          <w:rFonts w:ascii="宋体" w:hAnsi="宋体" w:eastAsia="宋体"/>
          <w:b/>
          <w:bCs/>
          <w:color w:val="auto"/>
          <w:sz w:val="44"/>
          <w:szCs w:val="44"/>
        </w:rPr>
      </w:pPr>
    </w:p>
    <w:p>
      <w:pPr>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南通狼山国家森林公园总体规划（二次）</w:t>
      </w:r>
    </w:p>
    <w:p>
      <w:pPr>
        <w:pStyle w:val="51"/>
        <w:ind w:firstLine="960"/>
        <w:rPr>
          <w:rFonts w:eastAsia="宋体"/>
          <w:color w:val="auto"/>
          <w:lang w:eastAsia="zh-CN"/>
        </w:rPr>
      </w:pPr>
    </w:p>
    <w:p>
      <w:pPr>
        <w:pStyle w:val="51"/>
        <w:ind w:firstLine="960"/>
        <w:rPr>
          <w:rFonts w:eastAsia="宋体"/>
          <w:color w:val="auto"/>
          <w:lang w:eastAsia="zh-CN"/>
        </w:rPr>
      </w:pPr>
    </w:p>
    <w:p>
      <w:pPr>
        <w:tabs>
          <w:tab w:val="left" w:pos="6939"/>
        </w:tabs>
        <w:spacing w:line="360" w:lineRule="auto"/>
        <w:ind w:firstLine="1440"/>
        <w:jc w:val="both"/>
        <w:rPr>
          <w:rFonts w:hint="eastAsia" w:ascii="宋体" w:hAnsi="宋体" w:eastAsia="宋体" w:cs="宋体"/>
          <w:b/>
          <w:color w:val="auto"/>
          <w:sz w:val="72"/>
          <w:szCs w:val="72"/>
          <w:lang w:eastAsia="zh-CN"/>
        </w:rPr>
      </w:pPr>
      <w:r>
        <w:rPr>
          <w:rFonts w:hint="eastAsia" w:ascii="宋体" w:hAnsi="宋体" w:eastAsia="宋体" w:cs="宋体"/>
          <w:b/>
          <w:color w:val="auto"/>
          <w:sz w:val="72"/>
          <w:szCs w:val="72"/>
          <w:lang w:eastAsia="zh-CN"/>
        </w:rPr>
        <w:tab/>
      </w:r>
    </w:p>
    <w:p>
      <w:pPr>
        <w:spacing w:line="360" w:lineRule="auto"/>
        <w:jc w:val="center"/>
        <w:rPr>
          <w:rFonts w:ascii="宋体" w:hAnsi="宋体" w:eastAsia="宋体" w:cs="宋体"/>
          <w:b/>
          <w:color w:val="auto"/>
          <w:sz w:val="72"/>
          <w:szCs w:val="72"/>
        </w:rPr>
      </w:pPr>
      <w:r>
        <w:rPr>
          <w:rFonts w:hint="eastAsia" w:ascii="宋体" w:hAnsi="宋体" w:eastAsia="宋体" w:cs="宋体"/>
          <w:b/>
          <w:color w:val="auto"/>
          <w:sz w:val="72"/>
          <w:szCs w:val="72"/>
        </w:rPr>
        <w:t>公开招标文件</w:t>
      </w:r>
    </w:p>
    <w:p>
      <w:pPr>
        <w:spacing w:line="360" w:lineRule="auto"/>
        <w:jc w:val="center"/>
        <w:rPr>
          <w:rFonts w:ascii="宋体" w:hAnsi="宋体" w:eastAsia="宋体" w:cs="宋体"/>
          <w:b/>
          <w:color w:val="auto"/>
          <w:sz w:val="44"/>
          <w:szCs w:val="44"/>
        </w:rPr>
      </w:pPr>
      <w:r>
        <w:rPr>
          <w:rFonts w:hint="eastAsia" w:ascii="宋体" w:hAnsi="宋体" w:eastAsia="宋体" w:cs="宋体"/>
          <w:b/>
          <w:color w:val="auto"/>
          <w:sz w:val="44"/>
          <w:szCs w:val="44"/>
        </w:rPr>
        <w:t>（资格后审）</w:t>
      </w:r>
    </w:p>
    <w:p>
      <w:pPr>
        <w:pStyle w:val="51"/>
        <w:ind w:firstLine="960"/>
        <w:rPr>
          <w:rFonts w:eastAsia="宋体"/>
          <w:color w:val="auto"/>
          <w:lang w:eastAsia="zh-CN"/>
        </w:rPr>
      </w:pPr>
    </w:p>
    <w:p>
      <w:pPr>
        <w:spacing w:line="360" w:lineRule="auto"/>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rPr>
        <w:t>项目编号：</w:t>
      </w:r>
      <w:r>
        <w:rPr>
          <w:rFonts w:hint="eastAsia" w:ascii="宋体" w:hAnsi="宋体" w:eastAsia="宋体" w:cs="宋体"/>
          <w:b/>
          <w:bCs/>
          <w:color w:val="auto"/>
          <w:sz w:val="36"/>
          <w:szCs w:val="36"/>
          <w:lang w:eastAsia="zh-CN"/>
        </w:rPr>
        <w:t>JSZC-320600-DFHX-G2024-0033</w:t>
      </w:r>
    </w:p>
    <w:p>
      <w:pPr>
        <w:spacing w:line="360" w:lineRule="auto"/>
        <w:ind w:firstLine="720"/>
        <w:jc w:val="center"/>
        <w:rPr>
          <w:rFonts w:ascii="宋体" w:hAnsi="宋体" w:eastAsia="宋体" w:cs="宋体"/>
          <w:b/>
          <w:color w:val="auto"/>
          <w:sz w:val="36"/>
        </w:rPr>
      </w:pPr>
    </w:p>
    <w:p>
      <w:pPr>
        <w:tabs>
          <w:tab w:val="left" w:pos="6336"/>
        </w:tabs>
        <w:spacing w:line="360" w:lineRule="auto"/>
        <w:ind w:firstLine="720"/>
        <w:rPr>
          <w:rFonts w:ascii="宋体" w:hAnsi="宋体" w:eastAsia="宋体" w:cs="宋体"/>
          <w:color w:val="auto"/>
        </w:rPr>
      </w:pPr>
      <w:r>
        <w:rPr>
          <w:rFonts w:hint="eastAsia" w:ascii="宋体" w:hAnsi="宋体" w:eastAsia="宋体" w:cs="宋体"/>
          <w:b/>
          <w:color w:val="auto"/>
          <w:sz w:val="36"/>
        </w:rPr>
        <w:tab/>
      </w:r>
    </w:p>
    <w:p>
      <w:pPr>
        <w:spacing w:line="360" w:lineRule="auto"/>
        <w:ind w:firstLine="600"/>
        <w:rPr>
          <w:rFonts w:ascii="宋体" w:hAnsi="宋体" w:eastAsia="宋体" w:cs="宋体"/>
          <w:b/>
          <w:color w:val="auto"/>
          <w:sz w:val="30"/>
          <w:szCs w:val="30"/>
        </w:rPr>
      </w:pPr>
    </w:p>
    <w:p>
      <w:pPr>
        <w:pStyle w:val="90"/>
        <w:spacing w:line="360" w:lineRule="auto"/>
        <w:ind w:firstLine="640"/>
        <w:jc w:val="center"/>
        <w:rPr>
          <w:rFonts w:ascii="宋体" w:hAnsi="宋体" w:eastAsia="宋体" w:cs="宋体"/>
          <w:b/>
          <w:color w:val="auto"/>
          <w:sz w:val="32"/>
          <w:szCs w:val="32"/>
        </w:rPr>
      </w:pPr>
    </w:p>
    <w:p>
      <w:pPr>
        <w:pStyle w:val="51"/>
        <w:rPr>
          <w:rFonts w:eastAsia="宋体" w:cs="宋体"/>
          <w:b/>
          <w:color w:val="auto"/>
          <w:sz w:val="32"/>
          <w:szCs w:val="32"/>
          <w:lang w:eastAsia="zh-CN"/>
        </w:rPr>
      </w:pPr>
    </w:p>
    <w:p>
      <w:pPr>
        <w:pBdr>
          <w:top w:val="none" w:color="000000" w:sz="0" w:space="0"/>
          <w:left w:val="none" w:color="000000" w:sz="0" w:space="0"/>
          <w:bottom w:val="none" w:color="000000" w:sz="0" w:space="0"/>
          <w:right w:val="none" w:color="000000" w:sz="0" w:space="0"/>
        </w:pBdr>
        <w:spacing w:line="499" w:lineRule="atLeast"/>
        <w:ind w:firstLine="340" w:firstLineChars="100"/>
        <w:jc w:val="center"/>
        <w:rPr>
          <w:rFonts w:hint="eastAsia" w:ascii="宋体" w:hAnsi="宋体" w:eastAsia="宋体" w:cs="宋体"/>
          <w:b/>
          <w:color w:val="auto"/>
          <w:spacing w:val="20"/>
          <w:sz w:val="30"/>
          <w:szCs w:val="30"/>
          <w:lang w:eastAsia="zh-CN"/>
        </w:rPr>
      </w:pPr>
      <w:r>
        <w:rPr>
          <w:rFonts w:hint="eastAsia" w:ascii="宋体" w:hAnsi="宋体" w:eastAsia="宋体" w:cs="宋体"/>
          <w:b/>
          <w:color w:val="auto"/>
          <w:spacing w:val="20"/>
          <w:sz w:val="30"/>
          <w:szCs w:val="30"/>
        </w:rPr>
        <w:t>采购单位：</w:t>
      </w:r>
      <w:r>
        <w:rPr>
          <w:rFonts w:hint="eastAsia" w:ascii="宋体" w:hAnsi="宋体" w:eastAsia="宋体" w:cs="宋体"/>
          <w:b/>
          <w:color w:val="auto"/>
          <w:spacing w:val="20"/>
          <w:sz w:val="30"/>
          <w:szCs w:val="30"/>
          <w:lang w:eastAsia="zh-CN"/>
        </w:rPr>
        <w:t>江苏省南通狼山旅游度假区管理办公室</w:t>
      </w:r>
    </w:p>
    <w:p>
      <w:pPr>
        <w:pBdr>
          <w:top w:val="none" w:color="000000" w:sz="0" w:space="0"/>
          <w:left w:val="none" w:color="000000" w:sz="0" w:space="0"/>
          <w:bottom w:val="none" w:color="000000" w:sz="0" w:space="0"/>
          <w:right w:val="none" w:color="000000" w:sz="0" w:space="0"/>
        </w:pBdr>
        <w:spacing w:line="499" w:lineRule="atLeast"/>
        <w:ind w:firstLine="340" w:firstLineChars="10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代理机构：东方华星建设管理（江苏）有限公司</w:t>
      </w:r>
    </w:p>
    <w:p>
      <w:pPr>
        <w:pBdr>
          <w:top w:val="none" w:color="000000" w:sz="0" w:space="0"/>
          <w:left w:val="none" w:color="000000" w:sz="0" w:space="0"/>
          <w:bottom w:val="none" w:color="000000" w:sz="0" w:space="0"/>
          <w:right w:val="none" w:color="000000" w:sz="0" w:space="0"/>
        </w:pBdr>
        <w:spacing w:before="120" w:after="120" w:line="499" w:lineRule="atLeast"/>
        <w:ind w:right="120" w:firstLine="320" w:firstLineChars="100"/>
        <w:jc w:val="center"/>
        <w:rPr>
          <w:rFonts w:ascii="宋体" w:hAnsi="宋体" w:eastAsia="宋体" w:cs="宋体"/>
          <w:color w:val="auto"/>
          <w:sz w:val="32"/>
          <w:szCs w:val="32"/>
        </w:rPr>
      </w:pPr>
      <w:r>
        <w:rPr>
          <w:rFonts w:hint="eastAsia" w:ascii="宋体" w:hAnsi="宋体" w:eastAsia="宋体" w:cs="宋体"/>
          <w:b/>
          <w:color w:val="auto"/>
          <w:sz w:val="32"/>
          <w:szCs w:val="32"/>
        </w:rPr>
        <w:t>日期：2024年</w:t>
      </w:r>
      <w:r>
        <w:rPr>
          <w:rFonts w:hint="eastAsia" w:ascii="宋体" w:hAnsi="宋体" w:eastAsia="宋体" w:cs="宋体"/>
          <w:b/>
          <w:color w:val="auto"/>
          <w:sz w:val="32"/>
          <w:szCs w:val="32"/>
          <w:lang w:val="en-US" w:eastAsia="zh-CN"/>
        </w:rPr>
        <w:t>12</w:t>
      </w:r>
      <w:r>
        <w:rPr>
          <w:rFonts w:hint="eastAsia" w:ascii="宋体" w:hAnsi="宋体" w:eastAsia="宋体" w:cs="宋体"/>
          <w:b/>
          <w:color w:val="auto"/>
          <w:sz w:val="32"/>
          <w:szCs w:val="32"/>
        </w:rPr>
        <w:t>月</w:t>
      </w:r>
    </w:p>
    <w:p>
      <w:pPr>
        <w:spacing w:line="360" w:lineRule="auto"/>
        <w:jc w:val="center"/>
        <w:rPr>
          <w:rFonts w:ascii="宋体" w:hAnsi="宋体" w:eastAsia="宋体" w:cs="宋体"/>
          <w:b/>
          <w:color w:val="auto"/>
          <w:sz w:val="32"/>
          <w:szCs w:val="32"/>
        </w:rPr>
      </w:pPr>
    </w:p>
    <w:p>
      <w:pPr>
        <w:spacing w:line="360" w:lineRule="auto"/>
        <w:jc w:val="center"/>
        <w:rPr>
          <w:rFonts w:ascii="宋体" w:hAnsi="宋体" w:eastAsia="宋体" w:cs="宋体"/>
          <w:b/>
          <w:color w:val="auto"/>
          <w:sz w:val="32"/>
          <w:szCs w:val="32"/>
        </w:rPr>
        <w:sectPr>
          <w:headerReference r:id="rId4" w:type="first"/>
          <w:footerReference r:id="rId6" w:type="first"/>
          <w:headerReference r:id="rId3" w:type="default"/>
          <w:footerReference r:id="rId5" w:type="even"/>
          <w:pgSz w:w="11906" w:h="16838"/>
          <w:pgMar w:top="1021" w:right="1134" w:bottom="1021" w:left="1134" w:header="851" w:footer="964" w:gutter="0"/>
          <w:pgNumType w:start="1"/>
          <w:cols w:space="1701" w:num="1"/>
          <w:titlePg/>
          <w:docGrid w:linePitch="360" w:charSpace="0"/>
        </w:sectPr>
      </w:pPr>
    </w:p>
    <w:p>
      <w:pPr>
        <w:pStyle w:val="70"/>
        <w:rPr>
          <w:color w:val="auto"/>
          <w:sz w:val="32"/>
          <w:szCs w:val="32"/>
        </w:rPr>
      </w:pPr>
      <w:r>
        <w:rPr>
          <w:rFonts w:hint="eastAsia"/>
          <w:color w:val="auto"/>
          <w:sz w:val="32"/>
          <w:szCs w:val="32"/>
        </w:rPr>
        <w:t>目  录</w:t>
      </w:r>
    </w:p>
    <w:p>
      <w:pPr>
        <w:pStyle w:val="70"/>
        <w:rPr>
          <w:color w:val="auto"/>
        </w:rPr>
      </w:pP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TOC \o "1-1"</w:instrText>
      </w:r>
      <w:r>
        <w:rPr>
          <w:rFonts w:hint="eastAsia" w:ascii="宋体" w:hAnsi="宋体" w:eastAsia="宋体" w:cs="宋体"/>
          <w:b/>
          <w:bCs/>
          <w:color w:val="auto"/>
          <w:sz w:val="30"/>
          <w:szCs w:val="30"/>
        </w:rPr>
        <w:fldChar w:fldCharType="separate"/>
      </w:r>
      <w:r>
        <w:rPr>
          <w:rFonts w:hint="eastAsia" w:ascii="宋体" w:hAnsi="宋体" w:eastAsia="宋体" w:cs="宋体"/>
          <w:bCs/>
          <w:color w:val="auto"/>
          <w:sz w:val="30"/>
          <w:szCs w:val="30"/>
        </w:rPr>
        <w:t>第一章  招标公告</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_Toc243 \h </w:instrText>
      </w:r>
      <w:r>
        <w:rPr>
          <w:rFonts w:ascii="宋体" w:hAnsi="宋体" w:eastAsia="宋体"/>
          <w:color w:val="auto"/>
          <w:sz w:val="30"/>
          <w:szCs w:val="30"/>
        </w:rPr>
        <w:fldChar w:fldCharType="separate"/>
      </w:r>
      <w:r>
        <w:rPr>
          <w:rFonts w:ascii="宋体" w:hAnsi="宋体" w:eastAsia="宋体"/>
          <w:color w:val="auto"/>
          <w:sz w:val="30"/>
          <w:szCs w:val="30"/>
        </w:rPr>
        <w:t>1</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第二章  投标人须知</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_Toc10437 \h </w:instrText>
      </w:r>
      <w:r>
        <w:rPr>
          <w:rFonts w:ascii="宋体" w:hAnsi="宋体" w:eastAsia="宋体"/>
          <w:color w:val="auto"/>
          <w:sz w:val="30"/>
          <w:szCs w:val="30"/>
        </w:rPr>
        <w:fldChar w:fldCharType="separate"/>
      </w:r>
      <w:r>
        <w:rPr>
          <w:rFonts w:ascii="宋体" w:hAnsi="宋体" w:eastAsia="宋体"/>
          <w:color w:val="auto"/>
          <w:sz w:val="30"/>
          <w:szCs w:val="30"/>
        </w:rPr>
        <w:t>5</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第三章  项目需求</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_Toc14572 \h </w:instrText>
      </w:r>
      <w:r>
        <w:rPr>
          <w:rFonts w:ascii="宋体" w:hAnsi="宋体" w:eastAsia="宋体"/>
          <w:color w:val="auto"/>
          <w:sz w:val="30"/>
          <w:szCs w:val="30"/>
        </w:rPr>
        <w:fldChar w:fldCharType="separate"/>
      </w:r>
      <w:r>
        <w:rPr>
          <w:rFonts w:ascii="宋体" w:hAnsi="宋体" w:eastAsia="宋体"/>
          <w:color w:val="auto"/>
          <w:sz w:val="30"/>
          <w:szCs w:val="30"/>
        </w:rPr>
        <w:t>19</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第四章  评审方法和程序</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_Toc16279 \h </w:instrText>
      </w:r>
      <w:r>
        <w:rPr>
          <w:rFonts w:ascii="宋体" w:hAnsi="宋体" w:eastAsia="宋体"/>
          <w:color w:val="auto"/>
          <w:sz w:val="30"/>
          <w:szCs w:val="30"/>
        </w:rPr>
        <w:fldChar w:fldCharType="separate"/>
      </w:r>
      <w:r>
        <w:rPr>
          <w:rFonts w:ascii="宋体" w:hAnsi="宋体" w:eastAsia="宋体"/>
          <w:color w:val="auto"/>
          <w:sz w:val="30"/>
          <w:szCs w:val="30"/>
        </w:rPr>
        <w:t>19</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第五章  合同主要条款</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_Toc23653 \h </w:instrText>
      </w:r>
      <w:r>
        <w:rPr>
          <w:rFonts w:ascii="宋体" w:hAnsi="宋体" w:eastAsia="宋体"/>
          <w:color w:val="auto"/>
          <w:sz w:val="30"/>
          <w:szCs w:val="30"/>
        </w:rPr>
        <w:fldChar w:fldCharType="separate"/>
      </w:r>
      <w:r>
        <w:rPr>
          <w:rFonts w:ascii="宋体" w:hAnsi="宋体" w:eastAsia="宋体"/>
          <w:color w:val="auto"/>
          <w:sz w:val="30"/>
          <w:szCs w:val="30"/>
        </w:rPr>
        <w:t>32</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第六章  合同授予</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_Toc12536 \h </w:instrText>
      </w:r>
      <w:r>
        <w:rPr>
          <w:rFonts w:ascii="宋体" w:hAnsi="宋体" w:eastAsia="宋体"/>
          <w:color w:val="auto"/>
          <w:sz w:val="30"/>
          <w:szCs w:val="30"/>
        </w:rPr>
        <w:fldChar w:fldCharType="separate"/>
      </w:r>
      <w:r>
        <w:rPr>
          <w:rFonts w:ascii="宋体" w:hAnsi="宋体" w:eastAsia="宋体"/>
          <w:color w:val="auto"/>
          <w:sz w:val="30"/>
          <w:szCs w:val="30"/>
        </w:rPr>
        <w:t>37</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第七章  质疑与投诉</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_Toc14837 \h </w:instrText>
      </w:r>
      <w:r>
        <w:rPr>
          <w:rFonts w:ascii="宋体" w:hAnsi="宋体" w:eastAsia="宋体"/>
          <w:color w:val="auto"/>
          <w:sz w:val="30"/>
          <w:szCs w:val="30"/>
        </w:rPr>
        <w:fldChar w:fldCharType="separate"/>
      </w:r>
      <w:r>
        <w:rPr>
          <w:rFonts w:ascii="宋体" w:hAnsi="宋体" w:eastAsia="宋体"/>
          <w:color w:val="auto"/>
          <w:sz w:val="30"/>
          <w:szCs w:val="30"/>
        </w:rPr>
        <w:t>38</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第八章  投标文件组成及格式</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_Toc13262 \h </w:instrText>
      </w:r>
      <w:r>
        <w:rPr>
          <w:rFonts w:ascii="宋体" w:hAnsi="宋体" w:eastAsia="宋体"/>
          <w:color w:val="auto"/>
          <w:sz w:val="30"/>
          <w:szCs w:val="30"/>
        </w:rPr>
        <w:fldChar w:fldCharType="separate"/>
      </w:r>
      <w:r>
        <w:rPr>
          <w:rFonts w:ascii="宋体" w:hAnsi="宋体" w:eastAsia="宋体"/>
          <w:color w:val="auto"/>
          <w:sz w:val="30"/>
          <w:szCs w:val="30"/>
        </w:rPr>
        <w:t>42</w:t>
      </w:r>
      <w:r>
        <w:rPr>
          <w:rFonts w:ascii="宋体" w:hAnsi="宋体" w:eastAsia="宋体"/>
          <w:color w:val="auto"/>
          <w:sz w:val="30"/>
          <w:szCs w:val="30"/>
        </w:rPr>
        <w:fldChar w:fldCharType="end"/>
      </w:r>
    </w:p>
    <w:p>
      <w:pPr>
        <w:pStyle w:val="70"/>
        <w:spacing w:line="480" w:lineRule="exact"/>
        <w:rPr>
          <w:color w:val="auto"/>
        </w:rPr>
      </w:pPr>
      <w:r>
        <w:rPr>
          <w:rFonts w:hint="eastAsia"/>
          <w:color w:val="auto"/>
          <w:sz w:val="30"/>
          <w:szCs w:val="30"/>
        </w:rPr>
        <w:fldChar w:fldCharType="end"/>
      </w:r>
      <w:r>
        <w:rPr>
          <w:color w:val="auto"/>
        </w:rPr>
        <w:tab/>
      </w:r>
    </w:p>
    <w:p>
      <w:pPr>
        <w:tabs>
          <w:tab w:val="left" w:pos="1050"/>
          <w:tab w:val="right" w:leader="dot" w:pos="9402"/>
        </w:tabs>
        <w:spacing w:line="360" w:lineRule="auto"/>
        <w:ind w:firstLine="720"/>
        <w:jc w:val="center"/>
        <w:outlineLvl w:val="0"/>
        <w:rPr>
          <w:rFonts w:ascii="宋体" w:hAnsi="宋体" w:eastAsia="宋体" w:cs="宋体"/>
          <w:b/>
          <w:color w:val="auto"/>
          <w:sz w:val="36"/>
          <w:szCs w:val="36"/>
        </w:rPr>
        <w:sectPr>
          <w:headerReference r:id="rId7" w:type="default"/>
          <w:pgSz w:w="11906" w:h="16838"/>
          <w:pgMar w:top="1531" w:right="1304" w:bottom="1191" w:left="1304" w:header="851" w:footer="850" w:gutter="0"/>
          <w:cols w:space="1701" w:num="1"/>
          <w:docGrid w:linePitch="360" w:charSpace="0"/>
        </w:sectPr>
      </w:pPr>
      <w:bookmarkStart w:id="0" w:name="_Toc363573853"/>
    </w:p>
    <w:p>
      <w:pPr>
        <w:pStyle w:val="2"/>
        <w:jc w:val="center"/>
        <w:rPr>
          <w:rFonts w:ascii="宋体" w:hAnsi="宋体" w:eastAsia="宋体" w:cs="宋体"/>
          <w:b/>
          <w:bCs/>
          <w:color w:val="auto"/>
          <w:sz w:val="36"/>
          <w:szCs w:val="36"/>
        </w:rPr>
      </w:pPr>
      <w:bookmarkStart w:id="1" w:name="_Toc243"/>
      <w:r>
        <w:rPr>
          <w:rFonts w:hint="eastAsia" w:ascii="宋体" w:hAnsi="宋体" w:eastAsia="宋体" w:cs="宋体"/>
          <w:b/>
          <w:bCs/>
          <w:color w:val="auto"/>
          <w:sz w:val="36"/>
          <w:szCs w:val="36"/>
        </w:rPr>
        <w:t>第一章  招标公告</w:t>
      </w:r>
      <w:bookmarkEnd w:id="0"/>
      <w:bookmarkEnd w:id="1"/>
    </w:p>
    <w:p>
      <w:pPr>
        <w:pBdr>
          <w:top w:val="single" w:color="000000" w:sz="4" w:space="1"/>
          <w:left w:val="single" w:color="000000" w:sz="4" w:space="4"/>
          <w:bottom w:val="single" w:color="000000" w:sz="4" w:space="1"/>
          <w:right w:val="single" w:color="000000" w:sz="4" w:space="4"/>
        </w:pBdr>
        <w:spacing w:line="360" w:lineRule="auto"/>
        <w:ind w:firstLine="482"/>
        <w:rPr>
          <w:rFonts w:ascii="宋体" w:hAnsi="宋体" w:eastAsia="宋体" w:cs="宋体"/>
          <w:bCs/>
          <w:color w:val="auto"/>
          <w:sz w:val="24"/>
          <w:szCs w:val="24"/>
        </w:rPr>
      </w:pPr>
      <w:r>
        <w:rPr>
          <w:rFonts w:hint="eastAsia" w:ascii="宋体" w:hAnsi="宋体" w:eastAsia="宋体" w:cs="宋体"/>
          <w:bCs/>
          <w:color w:val="auto"/>
          <w:sz w:val="24"/>
          <w:szCs w:val="24"/>
        </w:rPr>
        <w:t>项目概况</w:t>
      </w:r>
    </w:p>
    <w:p>
      <w:pPr>
        <w:pBdr>
          <w:top w:val="single" w:color="000000" w:sz="4" w:space="1"/>
          <w:left w:val="single" w:color="000000" w:sz="4" w:space="4"/>
          <w:bottom w:val="single" w:color="000000" w:sz="4" w:space="1"/>
          <w:right w:val="single" w:color="000000" w:sz="4" w:space="4"/>
        </w:pBdr>
        <w:spacing w:line="360" w:lineRule="auto"/>
        <w:ind w:firstLine="482"/>
        <w:rPr>
          <w:rFonts w:ascii="宋体" w:hAnsi="宋体" w:eastAsia="宋体" w:cs="宋体"/>
          <w:bCs/>
          <w:color w:val="auto"/>
          <w:sz w:val="24"/>
          <w:szCs w:val="24"/>
        </w:rPr>
      </w:pPr>
      <w:r>
        <w:rPr>
          <w:rFonts w:hint="eastAsia" w:ascii="宋体" w:hAnsi="宋体" w:eastAsia="宋体" w:cs="宋体"/>
          <w:bCs/>
          <w:color w:val="auto"/>
          <w:sz w:val="24"/>
          <w:szCs w:val="24"/>
          <w:u w:val="single"/>
          <w:lang w:eastAsia="zh-CN"/>
        </w:rPr>
        <w:t>南通狼山国家森林公园总体规划（二次）</w:t>
      </w:r>
      <w:r>
        <w:rPr>
          <w:rFonts w:hint="eastAsia" w:ascii="宋体" w:hAnsi="宋体" w:eastAsia="宋体" w:cs="宋体"/>
          <w:bCs/>
          <w:color w:val="auto"/>
          <w:sz w:val="24"/>
          <w:szCs w:val="24"/>
        </w:rPr>
        <w:t>的潜在投标人应在</w:t>
      </w:r>
      <w:r>
        <w:rPr>
          <w:rFonts w:hint="eastAsia" w:ascii="宋体" w:hAnsi="宋体" w:eastAsia="宋体" w:cs="宋体"/>
          <w:bCs/>
          <w:color w:val="auto"/>
          <w:sz w:val="24"/>
          <w:szCs w:val="24"/>
          <w:u w:val="single"/>
        </w:rPr>
        <w:t>苏采云系统内免费</w:t>
      </w:r>
      <w:r>
        <w:rPr>
          <w:rFonts w:hint="eastAsia" w:ascii="宋体" w:hAnsi="宋体" w:eastAsia="宋体" w:cs="宋体"/>
          <w:bCs/>
          <w:color w:val="auto"/>
          <w:sz w:val="24"/>
          <w:szCs w:val="24"/>
        </w:rPr>
        <w:t>获取招标文件，并于</w:t>
      </w:r>
      <w:r>
        <w:rPr>
          <w:rFonts w:hint="eastAsia" w:ascii="宋体" w:hAnsi="宋体" w:eastAsia="宋体" w:cs="宋体"/>
          <w:bCs/>
          <w:color w:val="auto"/>
          <w:sz w:val="24"/>
          <w:szCs w:val="24"/>
          <w:u w:val="single"/>
          <w:lang w:eastAsia="zh-CN"/>
        </w:rPr>
        <w:t>2025年1月17日09时30分</w:t>
      </w:r>
      <w:r>
        <w:rPr>
          <w:rFonts w:hint="eastAsia" w:ascii="宋体" w:hAnsi="宋体" w:eastAsia="宋体" w:cs="宋体"/>
          <w:bCs/>
          <w:color w:val="auto"/>
          <w:sz w:val="24"/>
          <w:szCs w:val="24"/>
        </w:rPr>
        <w:t>（北京时间）前递交投标文件。</w:t>
      </w:r>
    </w:p>
    <w:p>
      <w:pPr>
        <w:numPr>
          <w:ilvl w:val="0"/>
          <w:numId w:val="2"/>
        </w:numPr>
        <w:spacing w:line="360" w:lineRule="auto"/>
        <w:ind w:firstLine="480"/>
        <w:contextualSpacing/>
        <w:rPr>
          <w:rFonts w:ascii="宋体" w:hAnsi="宋体" w:eastAsia="宋体" w:cs="宋体"/>
          <w:bCs/>
          <w:color w:val="auto"/>
          <w:sz w:val="24"/>
          <w:szCs w:val="24"/>
        </w:rPr>
      </w:pPr>
      <w:r>
        <w:rPr>
          <w:rFonts w:hint="eastAsia" w:ascii="宋体" w:hAnsi="宋体" w:eastAsia="宋体" w:cs="宋体"/>
          <w:b/>
          <w:bCs/>
          <w:color w:val="auto"/>
          <w:sz w:val="24"/>
          <w:szCs w:val="24"/>
        </w:rPr>
        <w:t>项目基本情况</w:t>
      </w:r>
    </w:p>
    <w:p>
      <w:pPr>
        <w:spacing w:line="360" w:lineRule="auto"/>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eastAsia="zh-CN"/>
        </w:rPr>
        <w:t>JSZC-320600-DFHX-G2024-0033</w:t>
      </w:r>
    </w:p>
    <w:p>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bookmarkStart w:id="2" w:name="_Hlk104970923"/>
      <w:r>
        <w:rPr>
          <w:rFonts w:hint="eastAsia" w:ascii="宋体" w:hAnsi="宋体" w:eastAsia="宋体" w:cs="宋体"/>
          <w:color w:val="auto"/>
          <w:sz w:val="24"/>
          <w:szCs w:val="24"/>
          <w:lang w:eastAsia="zh-CN"/>
        </w:rPr>
        <w:t>南通狼山国家森林公园总体规划（二次）</w:t>
      </w:r>
    </w:p>
    <w:bookmarkEnd w:id="2"/>
    <w:p>
      <w:pPr>
        <w:spacing w:line="360" w:lineRule="auto"/>
        <w:ind w:firstLine="482"/>
        <w:jc w:val="left"/>
        <w:rPr>
          <w:rFonts w:hint="default" w:ascii="宋体" w:hAnsi="宋体" w:eastAsia="宋体" w:cs="宋体"/>
          <w:color w:val="auto"/>
          <w:sz w:val="24"/>
          <w:szCs w:val="24"/>
          <w:lang w:val="en-US" w:eastAsia="zh-CN"/>
        </w:rPr>
      </w:pPr>
      <w:bookmarkStart w:id="3" w:name="_Toc20597"/>
      <w:bookmarkStart w:id="4" w:name="_Toc387526365"/>
      <w:bookmarkStart w:id="5" w:name="_Toc387526273"/>
      <w:bookmarkStart w:id="6" w:name="_Toc387526169"/>
      <w:r>
        <w:rPr>
          <w:rFonts w:hint="eastAsia" w:ascii="宋体" w:hAnsi="宋体" w:eastAsia="宋体" w:cs="宋体"/>
          <w:color w:val="auto"/>
          <w:sz w:val="24"/>
          <w:szCs w:val="24"/>
        </w:rPr>
        <w:t>3.所属行业：</w:t>
      </w:r>
      <w:r>
        <w:rPr>
          <w:rFonts w:hint="eastAsia" w:ascii="宋体" w:hAnsi="宋体" w:eastAsia="宋体" w:cs="宋体"/>
          <w:color w:val="auto"/>
          <w:sz w:val="24"/>
          <w:szCs w:val="24"/>
          <w:lang w:val="en-US" w:eastAsia="zh-CN"/>
        </w:rPr>
        <w:t>其他未列明行业</w:t>
      </w:r>
      <w:bookmarkStart w:id="86" w:name="_GoBack"/>
      <w:bookmarkEnd w:id="86"/>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4.项目预算金额：</w:t>
      </w:r>
      <w:r>
        <w:rPr>
          <w:rFonts w:hint="eastAsia" w:ascii="宋体" w:hAnsi="宋体" w:eastAsia="宋体" w:cs="宋体"/>
          <w:color w:val="auto"/>
          <w:sz w:val="24"/>
          <w:szCs w:val="24"/>
          <w:lang w:val="en-US" w:eastAsia="zh-CN"/>
        </w:rPr>
        <w:t>150万</w:t>
      </w:r>
      <w:r>
        <w:rPr>
          <w:rFonts w:hint="eastAsia" w:ascii="宋体" w:hAnsi="宋体" w:eastAsia="宋体" w:cs="宋体"/>
          <w:color w:val="auto"/>
          <w:sz w:val="24"/>
          <w:szCs w:val="24"/>
        </w:rPr>
        <w:t>元</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5.最高限价：</w:t>
      </w:r>
      <w:r>
        <w:rPr>
          <w:rFonts w:hint="eastAsia" w:ascii="宋体" w:hAnsi="宋体" w:eastAsia="宋体" w:cs="宋体"/>
          <w:color w:val="auto"/>
          <w:sz w:val="24"/>
          <w:szCs w:val="24"/>
          <w:lang w:val="en-US" w:eastAsia="zh-CN"/>
        </w:rPr>
        <w:t>150万</w:t>
      </w:r>
      <w:r>
        <w:rPr>
          <w:rFonts w:hint="eastAsia" w:ascii="宋体" w:hAnsi="宋体" w:eastAsia="宋体" w:cs="宋体"/>
          <w:color w:val="auto"/>
          <w:sz w:val="24"/>
          <w:szCs w:val="24"/>
        </w:rPr>
        <w:t>元，投标报价超过最高限价的为无效投标。</w:t>
      </w:r>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6.项目需求：</w:t>
      </w:r>
      <w:r>
        <w:rPr>
          <w:rFonts w:hint="eastAsia" w:ascii="宋体" w:hAnsi="宋体" w:eastAsia="宋体" w:cs="宋体"/>
          <w:color w:val="auto"/>
          <w:sz w:val="24"/>
          <w:szCs w:val="24"/>
          <w:lang w:eastAsia="zh-CN"/>
        </w:rPr>
        <w:t>南通狼山国家森林公园总体规划（二次）</w:t>
      </w:r>
      <w:r>
        <w:rPr>
          <w:rFonts w:hint="eastAsia" w:ascii="宋体" w:hAnsi="宋体" w:eastAsia="宋体" w:cs="宋体"/>
          <w:color w:val="auto"/>
          <w:sz w:val="24"/>
          <w:szCs w:val="24"/>
        </w:rPr>
        <w:t>，具体详见招标文件第三章项目需求。</w:t>
      </w:r>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7.服务期：12 个月</w:t>
      </w:r>
    </w:p>
    <w:bookmarkEnd w:id="3"/>
    <w:bookmarkEnd w:id="4"/>
    <w:bookmarkEnd w:id="5"/>
    <w:bookmarkEnd w:id="6"/>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8.本项目（是/否）接受联合体：否。</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1.满足《中华人民共和国政府采购法》第二十二条规定，提供声明函：</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（1）投标人须提供诚信承诺书；</w:t>
      </w:r>
    </w:p>
    <w:p>
      <w:pPr>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2.落实政府采购政策需满足的资格要求：</w:t>
      </w:r>
      <w:r>
        <w:rPr>
          <w:rFonts w:hint="eastAsia" w:ascii="宋体" w:hAnsi="宋体" w:eastAsia="宋体" w:cs="宋体"/>
          <w:b w:val="0"/>
          <w:bCs/>
          <w:color w:val="auto"/>
          <w:sz w:val="24"/>
          <w:szCs w:val="24"/>
          <w:lang w:val="en-US" w:eastAsia="zh-CN"/>
        </w:rPr>
        <w:t>无</w:t>
      </w:r>
      <w:r>
        <w:rPr>
          <w:rFonts w:hint="eastAsia" w:ascii="宋体" w:hAnsi="宋体" w:eastAsia="宋体" w:cs="宋体"/>
          <w:b w:val="0"/>
          <w:bCs/>
          <w:color w:val="auto"/>
          <w:sz w:val="24"/>
          <w:szCs w:val="24"/>
        </w:rPr>
        <w:t>。</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3.本项目的特定资格要求：</w:t>
      </w:r>
    </w:p>
    <w:p>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s="宋体"/>
          <w:bCs/>
          <w:color w:val="auto"/>
          <w:sz w:val="24"/>
          <w:szCs w:val="24"/>
          <w:lang w:val="en-US" w:eastAsia="zh-CN"/>
        </w:rPr>
        <w:t>投标人</w:t>
      </w:r>
      <w:r>
        <w:rPr>
          <w:rFonts w:hint="eastAsia" w:ascii="宋体" w:hAnsi="宋体" w:eastAsia="宋体"/>
          <w:bCs/>
          <w:color w:val="auto"/>
          <w:sz w:val="24"/>
          <w:szCs w:val="24"/>
        </w:rPr>
        <w:t>具有独立承担民事责任的能力，提供法人或者其他组织的营业执照等证明文件，有能力按本招标文件规定的要求提供专业服务。</w:t>
      </w:r>
    </w:p>
    <w:p>
      <w:pPr>
        <w:spacing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（2）法定代表人参加投标的，必须提供法定代表人身份证明；非法定代表人参加投标的，必须提供法定代表人签字或盖章的授权委托书。</w:t>
      </w:r>
    </w:p>
    <w:p>
      <w:pPr>
        <w:spacing w:line="360" w:lineRule="auto"/>
        <w:ind w:firstLine="480"/>
        <w:rPr>
          <w:rFonts w:hint="default" w:ascii="宋体" w:hAnsi="宋体" w:eastAsia="宋体"/>
          <w:bCs/>
          <w:color w:val="auto"/>
          <w:sz w:val="24"/>
          <w:szCs w:val="24"/>
          <w:lang w:val="en-US" w:eastAsia="zh-CN"/>
        </w:rPr>
      </w:pPr>
      <w:r>
        <w:rPr>
          <w:rFonts w:hint="eastAsia" w:ascii="宋体" w:hAnsi="宋体" w:eastAsia="宋体"/>
          <w:bCs/>
          <w:color w:val="auto"/>
          <w:sz w:val="24"/>
          <w:szCs w:val="24"/>
          <w:lang w:eastAsia="zh-CN"/>
        </w:rPr>
        <w:t>（</w:t>
      </w:r>
      <w:r>
        <w:rPr>
          <w:rFonts w:hint="eastAsia" w:ascii="宋体" w:hAnsi="宋体" w:eastAsia="宋体"/>
          <w:bCs/>
          <w:color w:val="auto"/>
          <w:sz w:val="24"/>
          <w:szCs w:val="24"/>
          <w:lang w:val="en-US" w:eastAsia="zh-CN"/>
        </w:rPr>
        <w:t>3）</w:t>
      </w:r>
      <w:r>
        <w:rPr>
          <w:rFonts w:hint="eastAsia" w:ascii="宋体" w:hAnsi="宋体" w:eastAsia="宋体" w:cs="Times New Roman"/>
          <w:bCs/>
          <w:color w:val="auto"/>
          <w:sz w:val="24"/>
          <w:szCs w:val="24"/>
          <w:lang w:val="en-US" w:eastAsia="zh-CN"/>
        </w:rPr>
        <w:t>投标人</w:t>
      </w:r>
      <w:r>
        <w:rPr>
          <w:rFonts w:hint="eastAsia" w:ascii="宋体" w:hAnsi="宋体" w:eastAsia="宋体"/>
          <w:bCs/>
          <w:color w:val="auto"/>
          <w:sz w:val="24"/>
          <w:szCs w:val="24"/>
          <w:lang w:val="en-US" w:eastAsia="zh-CN"/>
        </w:rPr>
        <w:t>具备：</w:t>
      </w:r>
      <w:r>
        <w:rPr>
          <w:rFonts w:hint="eastAsia" w:ascii="宋体" w:hAnsi="宋体" w:eastAsia="宋体"/>
          <w:b w:val="0"/>
          <w:bCs/>
          <w:color w:val="auto"/>
          <w:sz w:val="24"/>
          <w:szCs w:val="24"/>
          <w:lang w:val="en-US" w:eastAsia="zh-CN"/>
        </w:rPr>
        <w:t>林业调查规划设计甲级资质或城乡规划编制甲级资质</w:t>
      </w:r>
      <w:r>
        <w:rPr>
          <w:rFonts w:hint="eastAsia" w:ascii="宋体" w:hAnsi="宋体" w:eastAsia="宋体"/>
          <w:bCs/>
          <w:color w:val="auto"/>
          <w:sz w:val="24"/>
          <w:szCs w:val="24"/>
          <w:lang w:eastAsia="zh-CN"/>
        </w:rPr>
        <w:t>。</w:t>
      </w:r>
    </w:p>
    <w:p>
      <w:pPr>
        <w:spacing w:line="360" w:lineRule="auto"/>
        <w:ind w:firstLine="480"/>
        <w:rPr>
          <w:rFonts w:hint="eastAsia" w:ascii="宋体" w:hAnsi="宋体" w:eastAsia="宋体"/>
          <w:b/>
          <w:bCs w:val="0"/>
          <w:color w:val="auto"/>
          <w:sz w:val="24"/>
          <w:szCs w:val="24"/>
          <w:u w:val="double"/>
          <w:lang w:val="en-US" w:eastAsia="zh-CN"/>
        </w:rPr>
      </w:pPr>
      <w:r>
        <w:rPr>
          <w:rFonts w:hint="eastAsia" w:ascii="宋体" w:hAnsi="宋体" w:eastAsia="宋体"/>
          <w:b/>
          <w:bCs w:val="0"/>
          <w:color w:val="auto"/>
          <w:sz w:val="24"/>
          <w:szCs w:val="24"/>
          <w:u w:val="double"/>
          <w:lang w:val="en-US" w:eastAsia="zh-CN"/>
        </w:rPr>
        <w:t>注：</w:t>
      </w:r>
      <w:r>
        <w:rPr>
          <w:rFonts w:hint="eastAsia" w:ascii="宋体" w:hAnsi="宋体" w:eastAsia="宋体"/>
          <w:b/>
          <w:bCs w:val="0"/>
          <w:color w:val="auto"/>
          <w:sz w:val="24"/>
          <w:szCs w:val="24"/>
          <w:u w:val="double"/>
        </w:rPr>
        <w:t>因政策原因导致的资质证书无法延期或换证的，原资质书视同有效，但须提供相关证明材料</w:t>
      </w:r>
      <w:r>
        <w:rPr>
          <w:rFonts w:hint="eastAsia" w:ascii="宋体" w:hAnsi="宋体" w:eastAsia="宋体"/>
          <w:b/>
          <w:bCs w:val="0"/>
          <w:color w:val="auto"/>
          <w:sz w:val="24"/>
          <w:szCs w:val="24"/>
          <w:u w:val="double"/>
          <w:lang w:eastAsia="zh-CN"/>
        </w:rPr>
        <w:t>。</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4.未被“信用中国”网站（www.creditchina.gov.cn）列入失信被执行人、重大税收违法案件当事人名单、政府采购严重失信行为记录名单。</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具体资格要求详见第八章中的“资格审查文件”。</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三、获取招标文件</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1.时间：</w:t>
      </w:r>
      <w:r>
        <w:rPr>
          <w:rFonts w:hint="eastAsia" w:ascii="宋体" w:hAnsi="宋体" w:eastAsia="宋体" w:cs="宋体"/>
          <w:bCs/>
          <w:color w:val="auto"/>
          <w:sz w:val="24"/>
          <w:szCs w:val="24"/>
          <w:lang w:val="en-US" w:eastAsia="zh-CN"/>
        </w:rPr>
        <w:t>自公告发布之日起</w:t>
      </w:r>
      <w:r>
        <w:rPr>
          <w:rFonts w:hint="eastAsia" w:ascii="宋体" w:hAnsi="宋体" w:eastAsia="宋体" w:cs="宋体"/>
          <w:bCs/>
          <w:color w:val="auto"/>
          <w:sz w:val="24"/>
          <w:szCs w:val="24"/>
        </w:rPr>
        <w:t>至</w:t>
      </w:r>
      <w:r>
        <w:rPr>
          <w:rFonts w:hint="eastAsia" w:ascii="宋体" w:hAnsi="宋体" w:eastAsia="宋体" w:cs="宋体"/>
          <w:bCs/>
          <w:color w:val="auto"/>
          <w:sz w:val="24"/>
          <w:szCs w:val="24"/>
          <w:lang w:eastAsia="zh-CN"/>
        </w:rPr>
        <w:t>2025年1月17日09时30分</w:t>
      </w:r>
      <w:r>
        <w:rPr>
          <w:rFonts w:hint="eastAsia" w:ascii="宋体" w:hAnsi="宋体" w:eastAsia="宋体" w:cs="宋体"/>
          <w:bCs/>
          <w:color w:val="auto"/>
          <w:sz w:val="24"/>
          <w:szCs w:val="24"/>
        </w:rPr>
        <w:t>（北京时间）。</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2.地点：网上注册登记成功后系统内免费下载。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3.获取方式：本项目采用网上注册登记方式。</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3.1潜在供应商访问电子招标响应交易平台的网络地址和方法：</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3.2潜在供应商访问“苏采云”系统的网络地址和方法：“苏采云”系统的网址：http://jszfcg.jsczt.cn/。</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3.3“CA数字证书”的获取：</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响应供应商需办理“CA 数字证书”，CA办理指南及“苏采云”操作手册可至江苏省政府采购网―办事指南-资料下载中心下载。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通过苏采云系统首页（http://jszfcg.jscz.gov.cn/）的“苏采云控件驱动下载”，选择“政务CA、方正签章控件驱动安装包及安装说明”下载安装，具体安装方法详见下载文件内的《安装说明》。</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3.4采购文件（后缀名为“.kedt”）、供应商操作手册及政府采购客户端工具可通过“苏采云”系统--已报名项目--报名详情页面内相应链接进行下载。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3.5采购人或采购代理机构将数据电文形式的采购文件加载至“苏采云”系统，供潜在供应商下载或者查阅。</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3.6请潜在供应商提前安装相应的控件（详见《江苏省政府采购管理交易系统（苏采云）供应商操作手册》）并使用谷歌浏览器登录“苏采云”系统参与不见面开评标。</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3.7开评标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p>
    <w:p>
      <w:pPr>
        <w:spacing w:line="360" w:lineRule="auto"/>
        <w:ind w:firstLine="482"/>
        <w:jc w:val="left"/>
        <w:rPr>
          <w:rFonts w:ascii="宋体" w:hAnsi="宋体" w:eastAsia="宋体" w:cs="宋体"/>
          <w:b/>
          <w:color w:val="auto"/>
          <w:sz w:val="24"/>
          <w:szCs w:val="24"/>
        </w:rPr>
      </w:pPr>
      <w:r>
        <w:rPr>
          <w:rFonts w:hint="eastAsia" w:ascii="宋体" w:hAnsi="宋体" w:eastAsia="宋体" w:cs="宋体"/>
          <w:b/>
          <w:color w:val="auto"/>
          <w:sz w:val="24"/>
          <w:szCs w:val="24"/>
        </w:rPr>
        <w:t>注：如潜在供应商未按上述要求操作，将自行承担所产生的风险。</w:t>
      </w:r>
    </w:p>
    <w:p>
      <w:pPr>
        <w:spacing w:line="360" w:lineRule="auto"/>
        <w:ind w:firstLine="480"/>
        <w:rPr>
          <w:rFonts w:ascii="宋体" w:hAnsi="宋体" w:eastAsia="宋体" w:cs="宋体"/>
          <w:color w:val="auto"/>
          <w:sz w:val="24"/>
          <w:szCs w:val="24"/>
        </w:rPr>
      </w:pPr>
      <w:r>
        <w:rPr>
          <w:rFonts w:hint="eastAsia" w:ascii="宋体" w:hAnsi="宋体" w:eastAsia="宋体" w:cs="宋体"/>
          <w:b/>
          <w:color w:val="auto"/>
          <w:sz w:val="24"/>
          <w:szCs w:val="24"/>
        </w:rPr>
        <w:t>四、提交投标文件截止时间、开标时间和地点</w:t>
      </w:r>
    </w:p>
    <w:p>
      <w:pPr>
        <w:spacing w:line="360" w:lineRule="auto"/>
        <w:ind w:firstLine="482"/>
        <w:jc w:val="left"/>
        <w:rPr>
          <w:rFonts w:ascii="宋体" w:hAnsi="宋体" w:eastAsia="宋体"/>
          <w:color w:val="auto"/>
          <w:sz w:val="24"/>
          <w:szCs w:val="24"/>
        </w:rPr>
      </w:pPr>
      <w:r>
        <w:rPr>
          <w:rFonts w:hint="eastAsia" w:ascii="宋体" w:hAnsi="宋体" w:eastAsia="宋体"/>
          <w:color w:val="auto"/>
          <w:sz w:val="24"/>
          <w:szCs w:val="24"/>
        </w:rPr>
        <w:t>1.投标文件提交截止时间：</w:t>
      </w:r>
      <w:r>
        <w:rPr>
          <w:rFonts w:hint="eastAsia" w:ascii="宋体" w:hAnsi="宋体" w:eastAsia="宋体" w:cs="宋体"/>
          <w:bCs/>
          <w:color w:val="auto"/>
          <w:sz w:val="24"/>
          <w:szCs w:val="24"/>
          <w:u w:val="single"/>
          <w:lang w:eastAsia="zh-CN"/>
        </w:rPr>
        <w:t>2025年1月17日09时30分</w:t>
      </w:r>
      <w:r>
        <w:rPr>
          <w:rFonts w:hint="eastAsia" w:ascii="宋体" w:hAnsi="宋体" w:eastAsia="宋体"/>
          <w:color w:val="auto"/>
          <w:sz w:val="24"/>
          <w:szCs w:val="24"/>
        </w:rPr>
        <w:t>（北京时间）。逾时，“苏采云”系统将拒绝接受上传响应文件电子文档。</w:t>
      </w:r>
    </w:p>
    <w:p>
      <w:pPr>
        <w:spacing w:line="360" w:lineRule="auto"/>
        <w:ind w:firstLine="482"/>
        <w:jc w:val="left"/>
        <w:rPr>
          <w:rFonts w:ascii="宋体" w:hAnsi="宋体" w:eastAsia="宋体"/>
          <w:color w:val="auto"/>
          <w:sz w:val="24"/>
          <w:szCs w:val="24"/>
        </w:rPr>
      </w:pPr>
      <w:r>
        <w:rPr>
          <w:rFonts w:hint="eastAsia" w:ascii="宋体" w:hAnsi="宋体" w:eastAsia="宋体"/>
          <w:color w:val="auto"/>
          <w:sz w:val="24"/>
          <w:szCs w:val="24"/>
        </w:rPr>
        <w:t>2.线上开标地点：“苏采云”系统（网址：http://jszfcg.jsczt.cn/）“开标大厅”。</w:t>
      </w:r>
    </w:p>
    <w:p>
      <w:pPr>
        <w:spacing w:line="360" w:lineRule="auto"/>
        <w:ind w:firstLine="482"/>
        <w:jc w:val="left"/>
        <w:rPr>
          <w:rFonts w:ascii="宋体" w:hAnsi="宋体" w:eastAsia="宋体"/>
          <w:color w:val="auto"/>
          <w:sz w:val="24"/>
          <w:szCs w:val="24"/>
          <w:u w:val="single"/>
        </w:rPr>
      </w:pPr>
      <w:r>
        <w:rPr>
          <w:rFonts w:hint="eastAsia" w:ascii="宋体" w:hAnsi="宋体" w:eastAsia="宋体"/>
          <w:color w:val="auto"/>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b/>
          <w:color w:val="auto"/>
          <w:sz w:val="24"/>
          <w:szCs w:val="24"/>
        </w:rPr>
        <w:t>投标供应商解密限定在开标后30分钟之内完成</w:t>
      </w:r>
      <w:r>
        <w:rPr>
          <w:rFonts w:hint="eastAsia" w:ascii="宋体" w:hAnsi="宋体" w:eastAsia="宋体"/>
          <w:color w:val="auto"/>
          <w:sz w:val="24"/>
          <w:szCs w:val="24"/>
        </w:rPr>
        <w:t>。</w:t>
      </w:r>
      <w:r>
        <w:rPr>
          <w:rFonts w:hint="eastAsia" w:ascii="宋体" w:hAnsi="宋体" w:eastAsia="宋体"/>
          <w:color w:val="auto"/>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pPr>
        <w:spacing w:line="360" w:lineRule="auto"/>
        <w:ind w:firstLine="480"/>
        <w:jc w:val="left"/>
        <w:rPr>
          <w:rFonts w:ascii="宋体" w:hAnsi="宋体" w:eastAsia="宋体"/>
          <w:b/>
          <w:color w:val="auto"/>
          <w:sz w:val="24"/>
          <w:szCs w:val="24"/>
        </w:rPr>
      </w:pPr>
      <w:r>
        <w:rPr>
          <w:rFonts w:hint="eastAsia" w:ascii="宋体" w:hAnsi="宋体" w:eastAsia="宋体"/>
          <w:b/>
          <w:color w:val="auto"/>
          <w:sz w:val="24"/>
          <w:szCs w:val="24"/>
        </w:rPr>
        <w:t>注：各供应商请关注开标大厅交流区，在开标结束后，请勿离开开标大厅。</w:t>
      </w:r>
    </w:p>
    <w:p>
      <w:pPr>
        <w:spacing w:line="360" w:lineRule="auto"/>
        <w:ind w:firstLine="480"/>
        <w:contextualSpacing/>
        <w:rPr>
          <w:rFonts w:ascii="宋体" w:hAnsi="宋体" w:eastAsia="宋体" w:cs="宋体"/>
          <w:b/>
          <w:color w:val="auto"/>
          <w:sz w:val="24"/>
          <w:szCs w:val="24"/>
        </w:rPr>
      </w:pPr>
      <w:r>
        <w:rPr>
          <w:rFonts w:hint="eastAsia" w:ascii="宋体" w:hAnsi="宋体" w:eastAsia="宋体" w:cs="宋体"/>
          <w:b/>
          <w:color w:val="auto"/>
          <w:sz w:val="24"/>
          <w:szCs w:val="24"/>
        </w:rPr>
        <w:t>五、公告期限</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自本公告发布之日起5个工作日。</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color w:val="auto"/>
          <w:sz w:val="24"/>
          <w:szCs w:val="24"/>
        </w:rPr>
        <w:t>六、其他补充事宜</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1.投标保证金：免收；本项目招标文件中涉及投标保证金的事项，均按免收投标保证金执行。</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2.项目开标活动模式：不见面远程投标模式，供应商在各自地点通过不见面交易系统参加开标会。</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3.项目演示、样品、答辩等（如有请描述）：无；</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4.对项目需求部分（投标人其他资格</w:t>
      </w:r>
      <w:r>
        <w:rPr>
          <w:rFonts w:hint="eastAsia" w:ascii="宋体" w:hAnsi="宋体" w:eastAsia="宋体"/>
          <w:color w:val="auto"/>
          <w:sz w:val="24"/>
        </w:rPr>
        <w:t>要求</w:t>
      </w:r>
      <w:r>
        <w:rPr>
          <w:rFonts w:hint="eastAsia" w:ascii="宋体" w:hAnsi="宋体" w:eastAsia="宋体"/>
          <w:bCs/>
          <w:color w:val="auto"/>
          <w:sz w:val="24"/>
          <w:szCs w:val="24"/>
        </w:rPr>
        <w:t>、项目需求、评分标准）的询问、质疑请向采购人提出，由采购人负责答复；对项目招标文件其它部分的询问请向采购人或招标代理提出。</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6.本次采购的有关信息将在江苏政府采购网上发布，敬请留意。</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七、对本次招标提出询问，请按以下方式联系。</w:t>
      </w:r>
    </w:p>
    <w:p>
      <w:pPr>
        <w:spacing w:line="360" w:lineRule="auto"/>
        <w:ind w:firstLine="482"/>
        <w:jc w:val="left"/>
        <w:rPr>
          <w:rFonts w:ascii="宋体" w:hAnsi="宋体" w:eastAsia="宋体"/>
          <w:bCs/>
          <w:color w:val="auto"/>
          <w:sz w:val="24"/>
          <w:szCs w:val="24"/>
        </w:rPr>
      </w:pPr>
      <w:bookmarkStart w:id="7" w:name="_Toc363573854"/>
      <w:r>
        <w:rPr>
          <w:rFonts w:hint="eastAsia" w:ascii="宋体" w:hAnsi="宋体" w:eastAsia="宋体"/>
          <w:bCs/>
          <w:color w:val="auto"/>
          <w:sz w:val="24"/>
          <w:szCs w:val="24"/>
        </w:rPr>
        <w:t>1.采购人信息</w:t>
      </w:r>
    </w:p>
    <w:p>
      <w:pPr>
        <w:spacing w:line="360" w:lineRule="auto"/>
        <w:ind w:firstLine="482"/>
        <w:jc w:val="left"/>
        <w:rPr>
          <w:rFonts w:hint="eastAsia" w:ascii="宋体" w:hAnsi="宋体" w:eastAsia="宋体"/>
          <w:bCs/>
          <w:color w:val="auto"/>
          <w:sz w:val="24"/>
          <w:szCs w:val="24"/>
          <w:lang w:eastAsia="zh-CN"/>
        </w:rPr>
      </w:pPr>
      <w:bookmarkStart w:id="8" w:name="_Toc28359097"/>
      <w:bookmarkStart w:id="9" w:name="_Toc28359020"/>
      <w:bookmarkStart w:id="10" w:name="_Toc35393638"/>
      <w:bookmarkStart w:id="11" w:name="_Toc35393807"/>
      <w:r>
        <w:rPr>
          <w:rFonts w:hint="eastAsia" w:ascii="宋体" w:hAnsi="宋体" w:eastAsia="宋体"/>
          <w:bCs/>
          <w:color w:val="auto"/>
          <w:sz w:val="24"/>
          <w:szCs w:val="24"/>
        </w:rPr>
        <w:t>名称：</w:t>
      </w:r>
      <w:r>
        <w:rPr>
          <w:rFonts w:hint="eastAsia" w:ascii="宋体" w:hAnsi="宋体" w:eastAsia="宋体"/>
          <w:bCs/>
          <w:color w:val="auto"/>
          <w:sz w:val="24"/>
          <w:szCs w:val="24"/>
          <w:lang w:eastAsia="zh-CN"/>
        </w:rPr>
        <w:t>江苏省南通狼山旅游度假区管理办公室</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地址：南通市崇川区新港东路2号狼山管理办 </w:t>
      </w:r>
    </w:p>
    <w:p>
      <w:pPr>
        <w:spacing w:line="360" w:lineRule="auto"/>
        <w:ind w:firstLine="482"/>
        <w:jc w:val="lef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联系人：</w:t>
      </w:r>
      <w:r>
        <w:rPr>
          <w:rFonts w:hint="eastAsia" w:ascii="宋体" w:hAnsi="宋体" w:eastAsia="宋体" w:cs="宋体"/>
          <w:bCs/>
          <w:color w:val="auto"/>
          <w:sz w:val="24"/>
          <w:szCs w:val="24"/>
          <w:lang w:val="en-US" w:eastAsia="zh-CN"/>
        </w:rPr>
        <w:t>房先生</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联系方式：13813609963</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2.招标代理机构信息</w:t>
      </w:r>
      <w:bookmarkEnd w:id="8"/>
      <w:bookmarkEnd w:id="9"/>
      <w:bookmarkEnd w:id="10"/>
      <w:bookmarkEnd w:id="11"/>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名称：东方华星建设管理（江苏）有限公司</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地址：南通市崇川区北大街万科壹中心2402室</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联系方式：卫工18106295192</w:t>
      </w:r>
    </w:p>
    <w:p>
      <w:pPr>
        <w:spacing w:line="360" w:lineRule="auto"/>
        <w:ind w:firstLine="482"/>
        <w:jc w:val="left"/>
        <w:rPr>
          <w:rFonts w:ascii="宋体" w:hAnsi="宋体" w:eastAsia="宋体"/>
          <w:bCs/>
          <w:color w:val="auto"/>
          <w:sz w:val="24"/>
          <w:szCs w:val="24"/>
        </w:rPr>
      </w:pPr>
    </w:p>
    <w:p>
      <w:pPr>
        <w:spacing w:line="360" w:lineRule="auto"/>
        <w:ind w:firstLine="482"/>
        <w:jc w:val="left"/>
        <w:rPr>
          <w:rFonts w:ascii="宋体" w:hAnsi="宋体" w:eastAsia="宋体"/>
          <w:bCs/>
          <w:color w:val="auto"/>
          <w:sz w:val="24"/>
          <w:szCs w:val="24"/>
        </w:rPr>
      </w:pP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附件:</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1.公开招标文件</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2.采购人信用承诺书</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3.公平竞争审查二维码</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4.“苏采云”系统供应商操作手册</w:t>
      </w:r>
    </w:p>
    <w:p>
      <w:pPr>
        <w:spacing w:line="360" w:lineRule="auto"/>
        <w:ind w:firstLine="482"/>
        <w:jc w:val="left"/>
        <w:rPr>
          <w:rFonts w:hint="eastAsia" w:ascii="宋体" w:hAnsi="宋体" w:eastAsia="宋体"/>
          <w:bCs/>
          <w:color w:val="auto"/>
          <w:sz w:val="24"/>
          <w:szCs w:val="24"/>
        </w:rPr>
      </w:pPr>
      <w:r>
        <w:rPr>
          <w:rFonts w:hint="eastAsia" w:ascii="宋体" w:hAnsi="宋体" w:eastAsia="宋体"/>
          <w:bCs/>
          <w:color w:val="auto"/>
          <w:sz w:val="24"/>
          <w:szCs w:val="24"/>
          <w:lang w:val="en-US" w:eastAsia="zh-CN"/>
        </w:rPr>
        <w:t>5.</w:t>
      </w:r>
      <w:r>
        <w:rPr>
          <w:rFonts w:hint="eastAsia" w:ascii="宋体" w:hAnsi="宋体" w:eastAsia="宋体"/>
          <w:bCs/>
          <w:color w:val="auto"/>
          <w:sz w:val="24"/>
          <w:szCs w:val="24"/>
        </w:rPr>
        <w:t>办理政采贷和履约保函（保险）告知函</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lang w:val="en-US" w:eastAsia="zh-CN"/>
        </w:rPr>
        <w:t>6.</w:t>
      </w:r>
      <w:r>
        <w:rPr>
          <w:rFonts w:hint="eastAsia" w:ascii="宋体" w:hAnsi="宋体" w:eastAsia="宋体"/>
          <w:bCs/>
          <w:color w:val="auto"/>
          <w:sz w:val="24"/>
          <w:szCs w:val="24"/>
        </w:rPr>
        <w:t>软件技术支持：0519-86722801。</w:t>
      </w:r>
    </w:p>
    <w:p>
      <w:pPr>
        <w:spacing w:line="360" w:lineRule="auto"/>
        <w:ind w:firstLine="482"/>
        <w:jc w:val="left"/>
        <w:rPr>
          <w:rFonts w:ascii="宋体" w:hAnsi="宋体" w:eastAsia="宋体"/>
          <w:bCs/>
          <w:color w:val="auto"/>
          <w:sz w:val="24"/>
          <w:szCs w:val="24"/>
        </w:rPr>
        <w:sectPr>
          <w:footerReference r:id="rId8" w:type="default"/>
          <w:pgSz w:w="11906" w:h="16838"/>
          <w:pgMar w:top="1531" w:right="1304" w:bottom="1191" w:left="1304" w:header="851" w:footer="850" w:gutter="0"/>
          <w:pgNumType w:start="1"/>
          <w:cols w:space="1701" w:num="1"/>
          <w:docGrid w:linePitch="360" w:charSpace="0"/>
        </w:sectPr>
      </w:pPr>
    </w:p>
    <w:bookmarkEnd w:id="7"/>
    <w:p>
      <w:pPr>
        <w:pStyle w:val="2"/>
        <w:jc w:val="center"/>
        <w:rPr>
          <w:rFonts w:ascii="宋体" w:hAnsi="宋体" w:eastAsia="宋体" w:cs="宋体"/>
          <w:b/>
          <w:bCs/>
          <w:color w:val="auto"/>
          <w:sz w:val="36"/>
          <w:szCs w:val="36"/>
        </w:rPr>
      </w:pPr>
      <w:bookmarkStart w:id="12" w:name="_Toc10437"/>
      <w:bookmarkStart w:id="13" w:name="_Toc13543213"/>
      <w:r>
        <w:rPr>
          <w:rFonts w:hint="eastAsia" w:ascii="宋体" w:hAnsi="宋体" w:eastAsia="宋体" w:cs="宋体"/>
          <w:b/>
          <w:bCs/>
          <w:color w:val="auto"/>
          <w:sz w:val="36"/>
          <w:szCs w:val="36"/>
        </w:rPr>
        <w:t>第二章  投标人须知</w:t>
      </w:r>
      <w:bookmarkEnd w:id="12"/>
    </w:p>
    <w:p>
      <w:pPr>
        <w:spacing w:line="360" w:lineRule="auto"/>
        <w:ind w:firstLine="480"/>
        <w:contextualSpacing/>
        <w:rPr>
          <w:rFonts w:ascii="宋体" w:hAnsi="宋体" w:eastAsia="宋体"/>
          <w:b/>
          <w:color w:val="auto"/>
          <w:sz w:val="24"/>
          <w:szCs w:val="24"/>
        </w:rPr>
      </w:pPr>
      <w:r>
        <w:rPr>
          <w:rFonts w:hint="eastAsia" w:ascii="宋体" w:hAnsi="宋体" w:eastAsia="宋体"/>
          <w:b/>
          <w:color w:val="auto"/>
          <w:sz w:val="24"/>
          <w:szCs w:val="24"/>
        </w:rPr>
        <w:t>一、总则</w:t>
      </w:r>
    </w:p>
    <w:p>
      <w:pPr>
        <w:spacing w:line="360" w:lineRule="auto"/>
        <w:ind w:firstLine="482"/>
        <w:contextualSpacing/>
        <w:rPr>
          <w:rFonts w:ascii="宋体" w:hAnsi="宋体" w:eastAsia="宋体"/>
          <w:b/>
          <w:bCs/>
          <w:color w:val="auto"/>
          <w:sz w:val="24"/>
          <w:szCs w:val="24"/>
        </w:rPr>
      </w:pPr>
      <w:bookmarkStart w:id="14" w:name="_Toc458694821"/>
      <w:bookmarkStart w:id="15" w:name="_Toc16938520"/>
      <w:bookmarkStart w:id="16" w:name="_Toc513029204"/>
      <w:bookmarkStart w:id="17" w:name="_Toc20823276"/>
      <w:r>
        <w:rPr>
          <w:rFonts w:hint="eastAsia" w:ascii="宋体" w:hAnsi="宋体" w:eastAsia="宋体"/>
          <w:color w:val="auto"/>
          <w:sz w:val="24"/>
          <w:szCs w:val="24"/>
        </w:rPr>
        <w:t>1</w:t>
      </w:r>
      <w:bookmarkEnd w:id="14"/>
      <w:r>
        <w:rPr>
          <w:rFonts w:hint="eastAsia" w:ascii="宋体" w:hAnsi="宋体" w:eastAsia="宋体"/>
          <w:color w:val="auto"/>
          <w:sz w:val="24"/>
          <w:szCs w:val="24"/>
        </w:rPr>
        <w:t>.招标方式</w:t>
      </w:r>
      <w:bookmarkEnd w:id="15"/>
      <w:bookmarkEnd w:id="16"/>
      <w:bookmarkEnd w:id="17"/>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1.1 本次招标采取公开招标方式，本招标文件仅适用于招标公告中所述项目。</w:t>
      </w:r>
    </w:p>
    <w:p>
      <w:pPr>
        <w:spacing w:line="360" w:lineRule="auto"/>
        <w:ind w:firstLine="482"/>
        <w:contextualSpacing/>
        <w:rPr>
          <w:rFonts w:ascii="宋体" w:hAnsi="宋体" w:eastAsia="宋体"/>
          <w:b/>
          <w:bCs/>
          <w:color w:val="auto"/>
          <w:sz w:val="24"/>
          <w:szCs w:val="24"/>
        </w:rPr>
      </w:pPr>
      <w:bookmarkStart w:id="18" w:name="_Toc16938521"/>
      <w:bookmarkStart w:id="19" w:name="_Toc20823277"/>
      <w:bookmarkStart w:id="20" w:name="_Toc513029205"/>
      <w:r>
        <w:rPr>
          <w:rFonts w:hint="eastAsia" w:ascii="宋体" w:hAnsi="宋体" w:eastAsia="宋体"/>
          <w:color w:val="auto"/>
          <w:sz w:val="24"/>
          <w:szCs w:val="24"/>
        </w:rPr>
        <w:t>2.合格的</w:t>
      </w:r>
      <w:bookmarkEnd w:id="18"/>
      <w:bookmarkEnd w:id="19"/>
      <w:bookmarkEnd w:id="20"/>
      <w:r>
        <w:rPr>
          <w:rFonts w:hint="eastAsia" w:ascii="宋体" w:hAnsi="宋体" w:eastAsia="宋体"/>
          <w:color w:val="auto"/>
          <w:sz w:val="24"/>
          <w:szCs w:val="24"/>
        </w:rPr>
        <w:t>投标人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2.1满足招标公告中投标人的资格要求的规定。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 满足本文件实质性要求和条件的规定。</w:t>
      </w:r>
    </w:p>
    <w:p>
      <w:pPr>
        <w:spacing w:line="360" w:lineRule="auto"/>
        <w:ind w:firstLine="482"/>
        <w:contextualSpacing/>
        <w:rPr>
          <w:rFonts w:ascii="宋体" w:hAnsi="宋体" w:eastAsia="宋体"/>
          <w:b/>
          <w:bCs/>
          <w:color w:val="auto"/>
          <w:sz w:val="24"/>
          <w:szCs w:val="24"/>
        </w:rPr>
      </w:pPr>
      <w:bookmarkStart w:id="21" w:name="_Toc513029206"/>
      <w:bookmarkStart w:id="22" w:name="_Toc20823278"/>
      <w:bookmarkStart w:id="23" w:name="_Toc16938522"/>
      <w:r>
        <w:rPr>
          <w:rFonts w:hint="eastAsia" w:ascii="宋体" w:hAnsi="宋体" w:eastAsia="宋体"/>
          <w:color w:val="auto"/>
          <w:sz w:val="24"/>
          <w:szCs w:val="24"/>
        </w:rPr>
        <w:t>3.适用法律</w:t>
      </w:r>
      <w:bookmarkEnd w:id="21"/>
      <w:bookmarkEnd w:id="22"/>
      <w:bookmarkEnd w:id="23"/>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3.1 本次招标及由此产生的合同受中华人民共和国有关的法律法规制约和保护。</w:t>
      </w:r>
    </w:p>
    <w:p>
      <w:pPr>
        <w:spacing w:line="360" w:lineRule="auto"/>
        <w:ind w:firstLine="482"/>
        <w:contextualSpacing/>
        <w:rPr>
          <w:rFonts w:ascii="宋体" w:hAnsi="宋体" w:eastAsia="宋体"/>
          <w:b/>
          <w:bCs/>
          <w:color w:val="auto"/>
          <w:sz w:val="24"/>
          <w:szCs w:val="24"/>
        </w:rPr>
      </w:pPr>
      <w:bookmarkStart w:id="24" w:name="_Toc462564067"/>
      <w:bookmarkStart w:id="25" w:name="_Toc513029207"/>
      <w:bookmarkStart w:id="26" w:name="_Toc20823279"/>
      <w:bookmarkStart w:id="27" w:name="_Toc16938523"/>
      <w:r>
        <w:rPr>
          <w:rFonts w:hint="eastAsia" w:ascii="宋体" w:hAnsi="宋体" w:eastAsia="宋体"/>
          <w:color w:val="auto"/>
          <w:sz w:val="24"/>
          <w:szCs w:val="24"/>
        </w:rPr>
        <w:t>4.</w:t>
      </w:r>
      <w:bookmarkEnd w:id="24"/>
      <w:bookmarkEnd w:id="25"/>
      <w:bookmarkEnd w:id="26"/>
      <w:bookmarkEnd w:id="27"/>
      <w:r>
        <w:rPr>
          <w:rFonts w:hint="eastAsia" w:ascii="宋体" w:hAnsi="宋体" w:eastAsia="宋体"/>
          <w:color w:val="auto"/>
          <w:sz w:val="24"/>
          <w:szCs w:val="24"/>
        </w:rPr>
        <w:t>投标费用</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4.1 投标人应自行承担所有与参加投标有关的费用，无论投标过程中的做法和结果如何，采购人及代理机构在任何情况下均无义务和责任承担这些费用。</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4.2本项目招标代理费按发改价格[2011]534号</w:t>
      </w:r>
      <w:r>
        <w:rPr>
          <w:rFonts w:hint="eastAsia" w:ascii="宋体" w:hAnsi="宋体" w:eastAsia="宋体"/>
          <w:color w:val="auto"/>
          <w:sz w:val="24"/>
          <w:szCs w:val="24"/>
          <w:lang w:val="en-US" w:eastAsia="zh-CN"/>
        </w:rPr>
        <w:t>文的28.8%</w:t>
      </w:r>
      <w:r>
        <w:rPr>
          <w:rFonts w:hint="eastAsia" w:ascii="宋体" w:hAnsi="宋体" w:eastAsia="宋体"/>
          <w:color w:val="auto"/>
          <w:sz w:val="24"/>
          <w:szCs w:val="24"/>
        </w:rPr>
        <w:t>收取，由中标人支付，投标人综合考虑在报价内（不单列）。</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代理费</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评审费</w:t>
      </w:r>
      <w:r>
        <w:rPr>
          <w:rFonts w:hint="eastAsia" w:ascii="宋体" w:hAnsi="宋体" w:eastAsia="宋体"/>
          <w:color w:val="auto"/>
          <w:sz w:val="24"/>
          <w:szCs w:val="24"/>
        </w:rPr>
        <w:t>定标后由中标人支付给代理机构。因中标人原因导致中标结果变更或取消中标资格等，代理费不予退还。</w:t>
      </w:r>
    </w:p>
    <w:p>
      <w:pPr>
        <w:spacing w:line="360" w:lineRule="auto"/>
        <w:ind w:firstLine="482"/>
        <w:contextualSpacing/>
        <w:rPr>
          <w:rFonts w:ascii="宋体" w:hAnsi="宋体" w:eastAsia="宋体"/>
          <w:b/>
          <w:bCs/>
          <w:color w:val="auto"/>
          <w:sz w:val="24"/>
          <w:szCs w:val="24"/>
        </w:rPr>
      </w:pPr>
      <w:r>
        <w:rPr>
          <w:rFonts w:hint="eastAsia" w:ascii="宋体" w:hAnsi="宋体" w:eastAsia="宋体"/>
          <w:color w:val="auto"/>
          <w:sz w:val="24"/>
          <w:szCs w:val="24"/>
        </w:rPr>
        <w:t>5.招标文件的约束力</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5.1</w:t>
      </w:r>
      <w:r>
        <w:rPr>
          <w:rFonts w:hint="eastAsia" w:ascii="宋体" w:hAnsi="宋体" w:eastAsia="宋体"/>
          <w:color w:val="auto"/>
          <w:sz w:val="24"/>
          <w:szCs w:val="24"/>
        </w:rPr>
        <w:t xml:space="preserve"> 投标人一旦参加本项目采购活动，即被认为接受了本招标文件的规定和约束。</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6.招标文件的解释</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6.1</w:t>
      </w:r>
      <w:r>
        <w:rPr>
          <w:rFonts w:hint="eastAsia" w:ascii="宋体" w:hAnsi="宋体" w:eastAsia="宋体"/>
          <w:color w:val="auto"/>
          <w:sz w:val="24"/>
          <w:szCs w:val="24"/>
        </w:rPr>
        <w:t>招标文件需求部分（投标人资格要求、项目需求、商务技术评分标准）由采购人解释，其它部分由招标代理机构解释。</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二、</w:t>
      </w:r>
      <w:r>
        <w:rPr>
          <w:rFonts w:hint="eastAsia" w:ascii="宋体" w:hAnsi="宋体" w:eastAsia="宋体"/>
          <w:b/>
          <w:bCs/>
          <w:color w:val="auto"/>
          <w:sz w:val="24"/>
          <w:szCs w:val="24"/>
        </w:rPr>
        <w:t>招标文件</w:t>
      </w:r>
    </w:p>
    <w:p>
      <w:pPr>
        <w:spacing w:line="360" w:lineRule="auto"/>
        <w:ind w:firstLine="482"/>
        <w:contextualSpacing/>
        <w:rPr>
          <w:rFonts w:ascii="宋体" w:hAnsi="宋体" w:eastAsia="宋体"/>
          <w:b/>
          <w:bCs/>
          <w:color w:val="auto"/>
          <w:sz w:val="24"/>
          <w:szCs w:val="24"/>
        </w:rPr>
      </w:pPr>
      <w:bookmarkStart w:id="28" w:name="_Toc16938526"/>
      <w:bookmarkStart w:id="29" w:name="_Toc513029210"/>
      <w:bookmarkStart w:id="30" w:name="_Toc20823282"/>
      <w:r>
        <w:rPr>
          <w:rFonts w:hint="eastAsia" w:ascii="宋体" w:hAnsi="宋体" w:eastAsia="宋体"/>
          <w:color w:val="auto"/>
          <w:sz w:val="24"/>
          <w:szCs w:val="24"/>
        </w:rPr>
        <w:t>1.招标文件构成</w:t>
      </w:r>
      <w:bookmarkEnd w:id="28"/>
      <w:bookmarkEnd w:id="29"/>
      <w:bookmarkEnd w:id="30"/>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1.1</w:t>
      </w:r>
      <w:r>
        <w:rPr>
          <w:rFonts w:hint="eastAsia" w:ascii="宋体" w:hAnsi="宋体" w:eastAsia="宋体"/>
          <w:color w:val="auto"/>
          <w:sz w:val="24"/>
          <w:szCs w:val="24"/>
        </w:rPr>
        <w:t xml:space="preserve"> 招标文件由以下部分组成：</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（1）招标公告</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（2）投标人须知</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（3）项目需求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（4）评审方法和程序</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（5）合同主要条款</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（6）合同授予</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（7）质疑与投诉</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（8）投标文件组成及格式</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请仔细检查招标文件是否齐全，如有缺漏请立即与</w:t>
      </w:r>
      <w:r>
        <w:rPr>
          <w:rFonts w:hint="eastAsia" w:ascii="宋体" w:hAnsi="宋体" w:eastAsia="宋体"/>
          <w:bCs/>
          <w:color w:val="auto"/>
          <w:sz w:val="24"/>
          <w:szCs w:val="24"/>
        </w:rPr>
        <w:t>采购人或招标代理机构</w:t>
      </w:r>
      <w:r>
        <w:rPr>
          <w:rFonts w:hint="eastAsia" w:ascii="宋体" w:hAnsi="宋体" w:eastAsia="宋体"/>
          <w:color w:val="auto"/>
          <w:sz w:val="24"/>
          <w:szCs w:val="24"/>
        </w:rPr>
        <w:t>联系解决。</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1.2</w:t>
      </w:r>
      <w:r>
        <w:rPr>
          <w:rFonts w:hint="eastAsia" w:ascii="宋体" w:hAnsi="宋体" w:eastAsia="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ind w:firstLine="482"/>
        <w:contextualSpacing/>
        <w:rPr>
          <w:rFonts w:ascii="宋体" w:hAnsi="宋体" w:eastAsia="宋体"/>
          <w:b/>
          <w:bCs/>
          <w:color w:val="auto"/>
          <w:sz w:val="24"/>
          <w:szCs w:val="24"/>
        </w:rPr>
      </w:pPr>
      <w:bookmarkStart w:id="31" w:name="_Toc462564070"/>
      <w:bookmarkStart w:id="32" w:name="_Toc16938527"/>
      <w:bookmarkStart w:id="33" w:name="_Toc513029211"/>
      <w:bookmarkStart w:id="34" w:name="_Toc20823283"/>
      <w:r>
        <w:rPr>
          <w:rFonts w:hint="eastAsia" w:ascii="宋体" w:hAnsi="宋体" w:eastAsia="宋体"/>
          <w:color w:val="auto"/>
          <w:sz w:val="24"/>
          <w:szCs w:val="24"/>
        </w:rPr>
        <w:t>2.招标文件的澄清</w:t>
      </w:r>
      <w:bookmarkEnd w:id="31"/>
      <w:bookmarkEnd w:id="32"/>
      <w:bookmarkEnd w:id="33"/>
      <w:bookmarkEnd w:id="34"/>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2.1</w:t>
      </w:r>
      <w:r>
        <w:rPr>
          <w:rFonts w:hint="eastAsia" w:ascii="宋体" w:hAnsi="宋体" w:eastAsia="宋体"/>
          <w:color w:val="auto"/>
          <w:sz w:val="24"/>
          <w:szCs w:val="24"/>
        </w:rPr>
        <w:t>任何要求对招标文件进行澄清的投标人，应在提交投标文件截止时间十日前按招标公告中的通讯地址，以书面形式通知采购人或招标代理机构。采购人或招标代理机构有权对发出的招标文件进行必要的澄清或修改。</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w:t>
      </w:r>
      <w:r>
        <w:rPr>
          <w:rFonts w:hint="eastAsia" w:ascii="宋体" w:hAnsi="宋体" w:eastAsia="宋体"/>
          <w:bCs/>
          <w:color w:val="auto"/>
          <w:sz w:val="24"/>
          <w:szCs w:val="24"/>
        </w:rPr>
        <w:t>采购人</w:t>
      </w:r>
      <w:r>
        <w:rPr>
          <w:rFonts w:hint="eastAsia" w:ascii="宋体" w:hAnsi="宋体" w:eastAsia="宋体"/>
          <w:color w:val="auto"/>
          <w:sz w:val="24"/>
          <w:szCs w:val="24"/>
        </w:rPr>
        <w:t>可以视采购项目的具体情况，组织投标人进行现场考察或召开答疑会，但不单独或分别组织只有一个投标人参加的现场考察和答疑会。</w:t>
      </w:r>
    </w:p>
    <w:p>
      <w:pPr>
        <w:spacing w:line="360" w:lineRule="auto"/>
        <w:ind w:firstLine="482"/>
        <w:contextualSpacing/>
        <w:rPr>
          <w:rFonts w:ascii="宋体" w:hAnsi="宋体" w:eastAsia="宋体"/>
          <w:b/>
          <w:bCs/>
          <w:color w:val="auto"/>
          <w:sz w:val="24"/>
          <w:szCs w:val="24"/>
        </w:rPr>
      </w:pPr>
      <w:bookmarkStart w:id="35" w:name="_Toc513029212"/>
      <w:bookmarkStart w:id="36" w:name="_Toc20823284"/>
      <w:bookmarkStart w:id="37" w:name="_Toc462564071"/>
      <w:bookmarkStart w:id="38" w:name="_Toc16938528"/>
      <w:r>
        <w:rPr>
          <w:rFonts w:hint="eastAsia" w:ascii="宋体" w:hAnsi="宋体" w:eastAsia="宋体"/>
          <w:color w:val="auto"/>
          <w:sz w:val="24"/>
          <w:szCs w:val="24"/>
        </w:rPr>
        <w:t>3.招标文件的修改</w:t>
      </w:r>
      <w:bookmarkEnd w:id="35"/>
      <w:bookmarkEnd w:id="36"/>
      <w:bookmarkEnd w:id="37"/>
      <w:bookmarkEnd w:id="38"/>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3.1 在投标文件提交截止时间前，采购人或招标代理机构可以对招标文件进行修改</w:t>
      </w:r>
      <w:r>
        <w:rPr>
          <w:rFonts w:hint="eastAsia" w:ascii="宋体" w:hAnsi="宋体" w:eastAsia="宋体"/>
          <w:color w:val="auto"/>
          <w:sz w:val="24"/>
          <w:szCs w:val="24"/>
        </w:rPr>
        <w:t>，澄清或者修改的内容作为招标文件的组成部分。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 采购人或招标代理机构有权按照法定的要求推迟投标文件提交截止日期和开标日期。</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3.3 招标文件的修改将在江苏政府采购网公布，补充文件将作为招标文件的组成部分，并对投标人具有约束力</w:t>
      </w:r>
      <w:r>
        <w:rPr>
          <w:rFonts w:hint="eastAsia" w:ascii="宋体" w:hAnsi="宋体" w:eastAsia="宋体"/>
          <w:color w:val="auto"/>
          <w:sz w:val="24"/>
          <w:szCs w:val="24"/>
        </w:rPr>
        <w:t>。</w:t>
      </w:r>
    </w:p>
    <w:p>
      <w:pPr>
        <w:spacing w:line="360" w:lineRule="auto"/>
        <w:ind w:firstLine="480"/>
        <w:contextualSpacing/>
        <w:rPr>
          <w:rFonts w:ascii="宋体" w:hAnsi="宋体" w:eastAsia="宋体"/>
          <w:b/>
          <w:bCs/>
          <w:color w:val="auto"/>
          <w:sz w:val="24"/>
          <w:szCs w:val="24"/>
          <w:u w:val="single"/>
        </w:rPr>
      </w:pPr>
      <w:r>
        <w:rPr>
          <w:rFonts w:hint="eastAsia" w:ascii="宋体" w:hAnsi="宋体" w:eastAsia="宋体"/>
          <w:b/>
          <w:bCs/>
          <w:color w:val="auto"/>
          <w:sz w:val="24"/>
          <w:szCs w:val="24"/>
          <w:u w:val="single"/>
        </w:rPr>
        <w:t>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5.投标人对采购人提供的招标文件所做出的推论、解释和结论，采购人概不负责。投标人由于对招标文件的任何推论和误解以及采购人对有关问题的口头解释所造成的后果，均由各潜在投标人自负。</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三、投标项目涉及到的现场勘察</w:t>
      </w:r>
    </w:p>
    <w:p>
      <w:pPr>
        <w:spacing w:line="360" w:lineRule="auto"/>
        <w:ind w:firstLine="482"/>
        <w:contextualSpacing/>
        <w:rPr>
          <w:rFonts w:hint="default" w:ascii="宋体" w:hAnsi="宋体" w:eastAsia="宋体"/>
          <w:color w:val="auto"/>
          <w:sz w:val="24"/>
          <w:szCs w:val="24"/>
          <w:lang w:val="en-US" w:eastAsia="zh-CN"/>
        </w:rPr>
      </w:pPr>
      <w:r>
        <w:rPr>
          <w:rFonts w:ascii="宋体" w:hAnsi="宋体" w:eastAsia="宋体"/>
          <w:color w:val="auto"/>
          <w:sz w:val="24"/>
          <w:szCs w:val="24"/>
        </w:rPr>
        <w:t>1</w:t>
      </w:r>
      <w:r>
        <w:rPr>
          <w:rFonts w:hint="eastAsia" w:ascii="宋体" w:hAnsi="宋体" w:eastAsia="宋体"/>
          <w:color w:val="auto"/>
          <w:sz w:val="24"/>
          <w:szCs w:val="24"/>
        </w:rPr>
        <w:t>.</w:t>
      </w:r>
      <w:r>
        <w:rPr>
          <w:rFonts w:ascii="宋体" w:hAnsi="宋体" w:eastAsia="宋体"/>
          <w:color w:val="auto"/>
          <w:sz w:val="24"/>
          <w:szCs w:val="24"/>
        </w:rPr>
        <w:t>招标文件所提供的项目相关数据仅做参考，根据自身需要，</w:t>
      </w:r>
      <w:r>
        <w:rPr>
          <w:rFonts w:hint="eastAsia" w:ascii="宋体" w:hAnsi="宋体" w:eastAsia="宋体"/>
          <w:color w:val="auto"/>
          <w:sz w:val="24"/>
          <w:szCs w:val="24"/>
        </w:rPr>
        <w:t>投标人</w:t>
      </w:r>
      <w:r>
        <w:rPr>
          <w:rFonts w:ascii="宋体" w:hAnsi="宋体" w:eastAsia="宋体"/>
          <w:color w:val="auto"/>
          <w:sz w:val="24"/>
          <w:szCs w:val="24"/>
        </w:rPr>
        <w:t>可</w:t>
      </w:r>
      <w:r>
        <w:rPr>
          <w:rFonts w:hint="eastAsia" w:ascii="宋体" w:hAnsi="宋体" w:eastAsia="宋体"/>
          <w:color w:val="auto"/>
          <w:sz w:val="24"/>
          <w:szCs w:val="24"/>
          <w:lang w:val="en-US" w:eastAsia="zh-CN"/>
        </w:rPr>
        <w:t>自行</w:t>
      </w:r>
      <w:r>
        <w:rPr>
          <w:rFonts w:ascii="宋体" w:hAnsi="宋体" w:eastAsia="宋体"/>
          <w:color w:val="auto"/>
          <w:sz w:val="24"/>
          <w:szCs w:val="24"/>
        </w:rPr>
        <w:t>对有关现场和周围环境进行勘察，以获取编制投标文件和签署合同所需的信息。勘察现场所发生的费用由投标</w:t>
      </w:r>
      <w:r>
        <w:rPr>
          <w:rFonts w:hint="eastAsia" w:ascii="宋体" w:hAnsi="宋体" w:eastAsia="宋体"/>
          <w:color w:val="auto"/>
          <w:sz w:val="24"/>
          <w:szCs w:val="24"/>
        </w:rPr>
        <w:t>人</w:t>
      </w:r>
      <w:r>
        <w:rPr>
          <w:rFonts w:ascii="宋体" w:hAnsi="宋体" w:eastAsia="宋体"/>
          <w:color w:val="auto"/>
          <w:sz w:val="24"/>
          <w:szCs w:val="24"/>
        </w:rPr>
        <w:t>自己承担</w:t>
      </w:r>
      <w:r>
        <w:rPr>
          <w:rFonts w:hint="eastAsia" w:ascii="宋体" w:hAnsi="宋体" w:eastAsia="宋体"/>
          <w:color w:val="auto"/>
          <w:sz w:val="24"/>
          <w:szCs w:val="24"/>
          <w:lang w:eastAsia="zh-CN"/>
        </w:rPr>
        <w:t>。</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2</w:t>
      </w:r>
      <w:r>
        <w:rPr>
          <w:rFonts w:hint="eastAsia" w:ascii="宋体" w:hAnsi="宋体" w:eastAsia="宋体"/>
          <w:color w:val="auto"/>
          <w:sz w:val="24"/>
          <w:szCs w:val="24"/>
        </w:rPr>
        <w:t>.采购人</w:t>
      </w:r>
      <w:r>
        <w:rPr>
          <w:rFonts w:ascii="宋体" w:hAnsi="宋体" w:eastAsia="宋体"/>
          <w:color w:val="auto"/>
          <w:sz w:val="24"/>
          <w:szCs w:val="24"/>
        </w:rPr>
        <w:t>向投标</w:t>
      </w:r>
      <w:r>
        <w:rPr>
          <w:rFonts w:hint="eastAsia" w:ascii="宋体" w:hAnsi="宋体" w:eastAsia="宋体"/>
          <w:color w:val="auto"/>
          <w:sz w:val="24"/>
          <w:szCs w:val="24"/>
        </w:rPr>
        <w:t>人</w:t>
      </w:r>
      <w:r>
        <w:rPr>
          <w:rFonts w:ascii="宋体" w:hAnsi="宋体" w:eastAsia="宋体"/>
          <w:color w:val="auto"/>
          <w:sz w:val="24"/>
          <w:szCs w:val="24"/>
        </w:rPr>
        <w:t>提供的有关现场的资料和数据，是</w:t>
      </w:r>
      <w:r>
        <w:rPr>
          <w:rFonts w:hint="eastAsia" w:ascii="宋体" w:hAnsi="宋体" w:eastAsia="宋体"/>
          <w:color w:val="auto"/>
          <w:sz w:val="24"/>
          <w:szCs w:val="24"/>
        </w:rPr>
        <w:t>采购人</w:t>
      </w:r>
      <w:r>
        <w:rPr>
          <w:rFonts w:ascii="宋体" w:hAnsi="宋体" w:eastAsia="宋体"/>
          <w:color w:val="auto"/>
          <w:sz w:val="24"/>
          <w:szCs w:val="24"/>
        </w:rPr>
        <w:t>现有的并认为能使投标</w:t>
      </w:r>
      <w:r>
        <w:rPr>
          <w:rFonts w:hint="eastAsia" w:ascii="宋体" w:hAnsi="宋体" w:eastAsia="宋体"/>
          <w:color w:val="auto"/>
          <w:sz w:val="24"/>
          <w:szCs w:val="24"/>
        </w:rPr>
        <w:t>人</w:t>
      </w:r>
      <w:r>
        <w:rPr>
          <w:rFonts w:ascii="宋体" w:hAnsi="宋体" w:eastAsia="宋体"/>
          <w:color w:val="auto"/>
          <w:sz w:val="24"/>
          <w:szCs w:val="24"/>
        </w:rPr>
        <w:t>可利用的资料。</w:t>
      </w:r>
      <w:r>
        <w:rPr>
          <w:rFonts w:hint="eastAsia" w:ascii="宋体" w:hAnsi="宋体" w:eastAsia="宋体"/>
          <w:color w:val="auto"/>
          <w:sz w:val="24"/>
          <w:szCs w:val="24"/>
        </w:rPr>
        <w:t>采购人</w:t>
      </w:r>
      <w:r>
        <w:rPr>
          <w:rFonts w:ascii="宋体" w:hAnsi="宋体" w:eastAsia="宋体"/>
          <w:color w:val="auto"/>
          <w:sz w:val="24"/>
          <w:szCs w:val="24"/>
        </w:rPr>
        <w:t>对投标</w:t>
      </w:r>
      <w:r>
        <w:rPr>
          <w:rFonts w:hint="eastAsia" w:ascii="宋体" w:hAnsi="宋体" w:eastAsia="宋体"/>
          <w:color w:val="auto"/>
          <w:sz w:val="24"/>
          <w:szCs w:val="24"/>
        </w:rPr>
        <w:t>人</w:t>
      </w:r>
      <w:r>
        <w:rPr>
          <w:rFonts w:ascii="宋体" w:hAnsi="宋体" w:eastAsia="宋体"/>
          <w:color w:val="auto"/>
          <w:sz w:val="24"/>
          <w:szCs w:val="24"/>
        </w:rPr>
        <w:t>由此而做出的推论、理解和结论概不负责。</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3</w:t>
      </w:r>
      <w:r>
        <w:rPr>
          <w:rFonts w:hint="eastAsia" w:ascii="宋体" w:hAnsi="宋体" w:eastAsia="宋体"/>
          <w:color w:val="auto"/>
          <w:sz w:val="24"/>
          <w:szCs w:val="24"/>
        </w:rPr>
        <w:t>.</w:t>
      </w:r>
      <w:r>
        <w:rPr>
          <w:rFonts w:ascii="宋体" w:hAnsi="宋体" w:eastAsia="宋体"/>
          <w:color w:val="auto"/>
          <w:sz w:val="24"/>
          <w:szCs w:val="24"/>
        </w:rPr>
        <w:t>投标</w:t>
      </w:r>
      <w:r>
        <w:rPr>
          <w:rFonts w:hint="eastAsia" w:ascii="宋体" w:hAnsi="宋体" w:eastAsia="宋体"/>
          <w:color w:val="auto"/>
          <w:sz w:val="24"/>
          <w:szCs w:val="24"/>
        </w:rPr>
        <w:t>人</w:t>
      </w:r>
      <w:r>
        <w:rPr>
          <w:rFonts w:ascii="宋体" w:hAnsi="宋体" w:eastAsia="宋体"/>
          <w:color w:val="auto"/>
          <w:sz w:val="24"/>
          <w:szCs w:val="24"/>
        </w:rPr>
        <w:t>可为勘察目的进入</w:t>
      </w:r>
      <w:r>
        <w:rPr>
          <w:rFonts w:hint="eastAsia" w:ascii="宋体" w:hAnsi="宋体" w:eastAsia="宋体"/>
          <w:color w:val="auto"/>
          <w:sz w:val="24"/>
          <w:szCs w:val="24"/>
        </w:rPr>
        <w:t>采购人</w:t>
      </w:r>
      <w:r>
        <w:rPr>
          <w:rFonts w:ascii="宋体" w:hAnsi="宋体" w:eastAsia="宋体"/>
          <w:color w:val="auto"/>
          <w:sz w:val="24"/>
          <w:szCs w:val="24"/>
        </w:rPr>
        <w:t>的项目现场，但</w:t>
      </w:r>
      <w:r>
        <w:rPr>
          <w:rFonts w:hint="eastAsia" w:ascii="宋体" w:hAnsi="宋体" w:eastAsia="宋体"/>
          <w:color w:val="auto"/>
          <w:sz w:val="24"/>
          <w:szCs w:val="24"/>
        </w:rPr>
        <w:t>投标人</w:t>
      </w:r>
      <w:r>
        <w:rPr>
          <w:rFonts w:ascii="宋体" w:hAnsi="宋体" w:eastAsia="宋体"/>
          <w:color w:val="auto"/>
          <w:sz w:val="24"/>
          <w:szCs w:val="24"/>
        </w:rPr>
        <w:t>不得因此使</w:t>
      </w:r>
      <w:r>
        <w:rPr>
          <w:rFonts w:hint="eastAsia" w:ascii="宋体" w:hAnsi="宋体" w:eastAsia="宋体"/>
          <w:color w:val="auto"/>
          <w:sz w:val="24"/>
          <w:szCs w:val="24"/>
        </w:rPr>
        <w:t>采购人</w:t>
      </w:r>
      <w:r>
        <w:rPr>
          <w:rFonts w:ascii="宋体" w:hAnsi="宋体" w:eastAsia="宋体"/>
          <w:color w:val="auto"/>
          <w:sz w:val="24"/>
          <w:szCs w:val="24"/>
        </w:rPr>
        <w:t>承担</w:t>
      </w:r>
      <w:r>
        <w:rPr>
          <w:rFonts w:ascii="宋体" w:hAnsi="宋体" w:eastAsia="宋体" w:cs="宋体"/>
          <w:color w:val="auto"/>
          <w:sz w:val="24"/>
          <w:szCs w:val="24"/>
        </w:rPr>
        <w:t>有关</w:t>
      </w:r>
      <w:r>
        <w:rPr>
          <w:rFonts w:ascii="宋体" w:hAnsi="宋体" w:eastAsia="宋体"/>
          <w:color w:val="auto"/>
          <w:sz w:val="24"/>
          <w:szCs w:val="24"/>
        </w:rPr>
        <w:t>的责任和蒙受损失。投标</w:t>
      </w:r>
      <w:r>
        <w:rPr>
          <w:rFonts w:hint="eastAsia" w:ascii="宋体" w:hAnsi="宋体" w:eastAsia="宋体"/>
          <w:color w:val="auto"/>
          <w:sz w:val="24"/>
          <w:szCs w:val="24"/>
        </w:rPr>
        <w:t>人</w:t>
      </w:r>
      <w:r>
        <w:rPr>
          <w:rFonts w:ascii="宋体" w:hAnsi="宋体" w:eastAsia="宋体"/>
          <w:color w:val="auto"/>
          <w:sz w:val="24"/>
          <w:szCs w:val="24"/>
        </w:rPr>
        <w:t>应承担勘察现场的责任和风险。</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4</w:t>
      </w:r>
      <w:r>
        <w:rPr>
          <w:rFonts w:hint="eastAsia" w:ascii="宋体" w:hAnsi="宋体" w:eastAsia="宋体"/>
          <w:color w:val="auto"/>
          <w:sz w:val="24"/>
          <w:szCs w:val="24"/>
        </w:rPr>
        <w:t>.</w:t>
      </w:r>
      <w:r>
        <w:rPr>
          <w:rFonts w:ascii="宋体" w:hAnsi="宋体" w:eastAsia="宋体"/>
          <w:color w:val="auto"/>
          <w:sz w:val="24"/>
          <w:szCs w:val="24"/>
        </w:rPr>
        <w:t>投标</w:t>
      </w:r>
      <w:r>
        <w:rPr>
          <w:rFonts w:hint="eastAsia" w:ascii="宋体" w:hAnsi="宋体" w:eastAsia="宋体"/>
          <w:color w:val="auto"/>
          <w:sz w:val="24"/>
          <w:szCs w:val="24"/>
        </w:rPr>
        <w:t>人</w:t>
      </w:r>
      <w:r>
        <w:rPr>
          <w:rFonts w:ascii="宋体" w:hAnsi="宋体" w:eastAsia="宋体"/>
          <w:color w:val="auto"/>
          <w:sz w:val="24"/>
          <w:szCs w:val="24"/>
        </w:rPr>
        <w:t>应认真踏勘现场。在现场勘察时，熟悉</w:t>
      </w:r>
      <w:r>
        <w:rPr>
          <w:rFonts w:hint="eastAsia" w:ascii="宋体" w:hAnsi="宋体" w:eastAsia="宋体"/>
          <w:color w:val="auto"/>
          <w:sz w:val="24"/>
          <w:szCs w:val="24"/>
        </w:rPr>
        <w:t>服务</w:t>
      </w:r>
      <w:r>
        <w:rPr>
          <w:rFonts w:ascii="宋体" w:hAnsi="宋体" w:eastAsia="宋体"/>
          <w:color w:val="auto"/>
          <w:sz w:val="24"/>
          <w:szCs w:val="24"/>
        </w:rPr>
        <w:t>现场、现场周围交通道路等情况，以获得一切可能影响其投标的直接资料。投标</w:t>
      </w:r>
      <w:r>
        <w:rPr>
          <w:rFonts w:hint="eastAsia" w:ascii="宋体" w:hAnsi="宋体" w:eastAsia="宋体"/>
          <w:color w:val="auto"/>
          <w:sz w:val="24"/>
          <w:szCs w:val="24"/>
        </w:rPr>
        <w:t>人</w:t>
      </w:r>
      <w:r>
        <w:rPr>
          <w:rFonts w:ascii="宋体" w:hAnsi="宋体" w:eastAsia="宋体"/>
          <w:color w:val="auto"/>
          <w:sz w:val="24"/>
          <w:szCs w:val="24"/>
        </w:rPr>
        <w:t>中标后，不得以不完全了解现场情况为理由而向</w:t>
      </w:r>
      <w:r>
        <w:rPr>
          <w:rFonts w:hint="eastAsia" w:ascii="宋体" w:hAnsi="宋体" w:eastAsia="宋体"/>
          <w:color w:val="auto"/>
          <w:sz w:val="24"/>
          <w:szCs w:val="24"/>
        </w:rPr>
        <w:t>采购人</w:t>
      </w:r>
      <w:r>
        <w:rPr>
          <w:rFonts w:ascii="宋体" w:hAnsi="宋体" w:eastAsia="宋体"/>
          <w:color w:val="auto"/>
          <w:sz w:val="24"/>
          <w:szCs w:val="24"/>
        </w:rPr>
        <w:t>提出任何索赔的要求，对此</w:t>
      </w:r>
      <w:r>
        <w:rPr>
          <w:rFonts w:hint="eastAsia" w:ascii="宋体" w:hAnsi="宋体" w:eastAsia="宋体"/>
          <w:color w:val="auto"/>
          <w:sz w:val="24"/>
          <w:szCs w:val="24"/>
        </w:rPr>
        <w:t>采购人</w:t>
      </w:r>
      <w:r>
        <w:rPr>
          <w:rFonts w:ascii="宋体" w:hAnsi="宋体" w:eastAsia="宋体"/>
          <w:color w:val="auto"/>
          <w:sz w:val="24"/>
          <w:szCs w:val="24"/>
        </w:rPr>
        <w:t>不承担任何责任并将不作任何答复与考虑。</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四、</w:t>
      </w:r>
      <w:r>
        <w:rPr>
          <w:rFonts w:hint="eastAsia" w:ascii="宋体" w:hAnsi="宋体" w:eastAsia="宋体"/>
          <w:b/>
          <w:bCs/>
          <w:color w:val="auto"/>
          <w:sz w:val="24"/>
          <w:szCs w:val="24"/>
        </w:rPr>
        <w:t>投标文件的编制</w:t>
      </w:r>
    </w:p>
    <w:p>
      <w:pPr>
        <w:spacing w:line="360" w:lineRule="auto"/>
        <w:ind w:firstLine="482"/>
        <w:contextualSpacing/>
        <w:rPr>
          <w:rFonts w:ascii="宋体" w:hAnsi="宋体" w:eastAsia="宋体"/>
          <w:bCs/>
          <w:color w:val="auto"/>
          <w:sz w:val="24"/>
          <w:szCs w:val="24"/>
        </w:rPr>
      </w:pPr>
      <w:bookmarkStart w:id="39" w:name="_Toc513029214"/>
      <w:bookmarkStart w:id="40" w:name="_Toc16938530"/>
      <w:bookmarkStart w:id="41" w:name="_Toc20823286"/>
      <w:bookmarkStart w:id="42" w:name="_Toc462564073"/>
      <w:r>
        <w:rPr>
          <w:rFonts w:hint="eastAsia" w:ascii="宋体" w:hAnsi="宋体" w:eastAsia="宋体"/>
          <w:bCs/>
          <w:color w:val="auto"/>
          <w:sz w:val="24"/>
          <w:szCs w:val="24"/>
        </w:rPr>
        <w:t>1.投标文件的语言及度量衡单位</w:t>
      </w:r>
      <w:bookmarkEnd w:id="39"/>
      <w:bookmarkEnd w:id="40"/>
      <w:bookmarkEnd w:id="41"/>
      <w:bookmarkEnd w:id="42"/>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1.1投标人提交的投标文件以及投标人与采购人或招标代理机构就有关投标的所有来往通知、函件和文件均应使用简体中文。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 除技术性能另有规定外，投标文件所使用的度量衡单位，均须采用国家法定计量单位。</w:t>
      </w:r>
    </w:p>
    <w:p>
      <w:pPr>
        <w:spacing w:line="360" w:lineRule="auto"/>
        <w:ind w:firstLine="482"/>
        <w:contextualSpacing/>
        <w:rPr>
          <w:rFonts w:ascii="宋体" w:hAnsi="宋体" w:eastAsia="宋体"/>
          <w:bCs/>
          <w:color w:val="auto"/>
          <w:sz w:val="24"/>
          <w:szCs w:val="24"/>
        </w:rPr>
      </w:pPr>
      <w:bookmarkStart w:id="43" w:name="_Toc462564074"/>
      <w:bookmarkStart w:id="44" w:name="_Toc513029215"/>
      <w:bookmarkStart w:id="45" w:name="_Toc16938531"/>
      <w:bookmarkStart w:id="46" w:name="_Toc20823287"/>
      <w:r>
        <w:rPr>
          <w:rFonts w:hint="eastAsia" w:ascii="宋体" w:hAnsi="宋体" w:eastAsia="宋体"/>
          <w:bCs/>
          <w:color w:val="auto"/>
          <w:sz w:val="24"/>
          <w:szCs w:val="24"/>
        </w:rPr>
        <w:t>2.投标文件构成</w:t>
      </w:r>
      <w:bookmarkEnd w:id="43"/>
      <w:bookmarkEnd w:id="44"/>
      <w:bookmarkEnd w:id="45"/>
      <w:bookmarkEnd w:id="46"/>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 如标书制作工具中格式和内容与“江苏政府采购网”发布的招标文件不一致，请以“江苏政府采购网”发布的招标文件为准。</w:t>
      </w:r>
    </w:p>
    <w:p>
      <w:pPr>
        <w:spacing w:line="360" w:lineRule="auto"/>
        <w:ind w:firstLine="482"/>
        <w:contextualSpacing/>
        <w:rPr>
          <w:rFonts w:ascii="宋体" w:hAnsi="宋体" w:eastAsia="宋体"/>
          <w:bCs/>
          <w:color w:val="auto"/>
          <w:sz w:val="24"/>
          <w:szCs w:val="24"/>
        </w:rPr>
      </w:pPr>
      <w:bookmarkStart w:id="47" w:name="_Hlt26954838"/>
      <w:bookmarkEnd w:id="47"/>
      <w:bookmarkStart w:id="48" w:name="_Hlt26670360"/>
      <w:bookmarkEnd w:id="48"/>
      <w:bookmarkStart w:id="49" w:name="_Hlt26668975"/>
      <w:bookmarkEnd w:id="49"/>
      <w:bookmarkStart w:id="50" w:name="_Toc49090509"/>
      <w:bookmarkStart w:id="51" w:name="_Toc513029216"/>
      <w:bookmarkStart w:id="52" w:name="_Toc513029219"/>
      <w:bookmarkStart w:id="53" w:name="_Toc49090507"/>
      <w:bookmarkStart w:id="54" w:name="_Toc14577357"/>
      <w:bookmarkStart w:id="55" w:name="_Toc14577354"/>
      <w:bookmarkStart w:id="56" w:name="_Toc49090511"/>
      <w:bookmarkStart w:id="57" w:name="_Toc14577360"/>
      <w:r>
        <w:rPr>
          <w:rFonts w:hint="eastAsia" w:ascii="宋体" w:hAnsi="宋体" w:eastAsia="宋体"/>
          <w:bCs/>
          <w:color w:val="auto"/>
          <w:sz w:val="24"/>
          <w:szCs w:val="24"/>
        </w:rPr>
        <w:t>3.证明投标人及投标标的符合招标文件规定的文件</w:t>
      </w:r>
      <w:bookmarkEnd w:id="50"/>
      <w:bookmarkEnd w:id="51"/>
      <w:bookmarkEnd w:id="52"/>
      <w:bookmarkEnd w:id="53"/>
      <w:bookmarkEnd w:id="54"/>
      <w:bookmarkEnd w:id="55"/>
    </w:p>
    <w:p>
      <w:pPr>
        <w:spacing w:line="360" w:lineRule="auto"/>
        <w:ind w:firstLine="482"/>
        <w:contextualSpacing/>
        <w:rPr>
          <w:rFonts w:ascii="宋体" w:hAnsi="宋体" w:eastAsia="宋体"/>
          <w:bCs/>
          <w:color w:val="auto"/>
          <w:sz w:val="24"/>
          <w:szCs w:val="24"/>
        </w:rPr>
      </w:pPr>
      <w:bookmarkStart w:id="58" w:name="_Toc14577355"/>
      <w:bookmarkStart w:id="59" w:name="_Toc49090508"/>
      <w:r>
        <w:rPr>
          <w:rFonts w:hint="eastAsia" w:ascii="宋体" w:hAnsi="宋体" w:eastAsia="宋体"/>
          <w:bCs/>
          <w:color w:val="auto"/>
          <w:sz w:val="24"/>
          <w:szCs w:val="24"/>
        </w:rPr>
        <w:t>3.1 投标人应按照法律、法规、规章和规范性文件以及招标文件要求提交证明文件，证明其及投标标的符合招标文件规定。</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3.2招标文件对证明文件无明确形式要求的，证明文件可以以文字资料、图纸和数据等形式提交。</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4.投标分项报价</w:t>
      </w:r>
      <w:bookmarkEnd w:id="58"/>
      <w:bookmarkStart w:id="60" w:name="_Hlt26670373"/>
      <w:bookmarkEnd w:id="60"/>
      <w:r>
        <w:rPr>
          <w:rFonts w:hint="eastAsia" w:ascii="宋体" w:hAnsi="宋体" w:eastAsia="宋体"/>
          <w:bCs/>
          <w:color w:val="auto"/>
          <w:sz w:val="24"/>
          <w:szCs w:val="24"/>
        </w:rPr>
        <w:t>表</w:t>
      </w:r>
      <w:bookmarkEnd w:id="59"/>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4.1 投</w:t>
      </w:r>
      <w:bookmarkStart w:id="61" w:name="_Hlt26954840"/>
      <w:bookmarkEnd w:id="61"/>
      <w:r>
        <w:rPr>
          <w:rFonts w:hint="eastAsia" w:ascii="宋体" w:hAnsi="宋体" w:eastAsia="宋体"/>
          <w:bCs/>
          <w:color w:val="auto"/>
          <w:sz w:val="24"/>
          <w:szCs w:val="24"/>
        </w:rPr>
        <w:t>标人应按照招标文件规定格式填报投标分项报价表</w:t>
      </w:r>
      <w:bookmarkStart w:id="62" w:name="_Hlt26670399"/>
      <w:bookmarkEnd w:id="62"/>
      <w:r>
        <w:rPr>
          <w:rFonts w:hint="eastAsia" w:ascii="宋体" w:hAnsi="宋体" w:eastAsia="宋体"/>
          <w:bCs/>
          <w:color w:val="auto"/>
          <w:sz w:val="24"/>
          <w:szCs w:val="24"/>
        </w:rPr>
        <w:t>。</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4.2投标货币。投标文件中的单价和总价无特殊规定的采用人民币报价，以元为单位标注。招标文件中另有规定的按规定执行。</w:t>
      </w:r>
      <w:bookmarkStart w:id="63" w:name="_Hlt26954844"/>
      <w:bookmarkEnd w:id="63"/>
      <w:bookmarkStart w:id="64" w:name="_Hlt26954846"/>
      <w:bookmarkEnd w:id="64"/>
      <w:bookmarkStart w:id="65" w:name="_Hlt26670403"/>
      <w:bookmarkEnd w:id="65"/>
      <w:bookmarkStart w:id="66" w:name="_Hlt26954842"/>
      <w:bookmarkEnd w:id="66"/>
      <w:bookmarkStart w:id="67" w:name="_Hlt26670482"/>
      <w:bookmarkEnd w:id="67"/>
      <w:bookmarkStart w:id="68" w:name="_Hlt26670425"/>
      <w:bookmarkEnd w:id="68"/>
      <w:bookmarkStart w:id="69" w:name="_Hlt26668983"/>
      <w:bookmarkEnd w:id="69"/>
      <w:bookmarkStart w:id="70" w:name="_Hlt26670486"/>
      <w:bookmarkEnd w:id="70"/>
      <w:bookmarkStart w:id="71" w:name="_Hlt26954731"/>
      <w:bookmarkEnd w:id="71"/>
      <w:bookmarkStart w:id="72" w:name="_Hlt26954848"/>
      <w:bookmarkEnd w:id="72"/>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5.技术要求响应及偏离表、商务要求响应及偏离表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 投标人需对招标文件中的技术要求与商务要求逐项作出响应或偏离，并说明原因。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 投标人可在投标文件中提供认为需要的其他技术文件或说明。</w:t>
      </w:r>
      <w:bookmarkStart w:id="73" w:name="_Toc14577359"/>
      <w:bookmarkStart w:id="74" w:name="_Toc49090510"/>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6.投标函和开标一览表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6.1 投标人应按照招标文件中提供的格式完整、正确填写投标函、开标一览表。</w:t>
      </w:r>
      <w:bookmarkEnd w:id="73"/>
      <w:bookmarkEnd w:id="74"/>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w:t>
      </w:r>
      <w:bookmarkEnd w:id="56"/>
      <w:bookmarkEnd w:id="57"/>
      <w:r>
        <w:rPr>
          <w:rFonts w:hint="eastAsia" w:ascii="宋体" w:hAnsi="宋体" w:eastAsia="宋体"/>
          <w:bCs/>
          <w:color w:val="auto"/>
          <w:sz w:val="24"/>
          <w:szCs w:val="24"/>
        </w:rPr>
        <w:t>投标有效期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7.1投标有效期为招标文件规定的投标文件提</w:t>
      </w:r>
      <w:r>
        <w:rPr>
          <w:rFonts w:hint="eastAsia" w:ascii="宋体" w:hAnsi="宋体" w:eastAsia="宋体"/>
          <w:bCs/>
          <w:color w:val="auto"/>
          <w:sz w:val="24"/>
          <w:szCs w:val="24"/>
          <w:highlight w:val="none"/>
        </w:rPr>
        <w:t>交截止时间后</w:t>
      </w:r>
      <w:r>
        <w:rPr>
          <w:rFonts w:hint="eastAsia" w:ascii="宋体" w:hAnsi="宋体" w:eastAsia="宋体"/>
          <w:bCs/>
          <w:color w:val="auto"/>
          <w:sz w:val="24"/>
          <w:szCs w:val="24"/>
          <w:highlight w:val="none"/>
          <w:u w:val="single"/>
        </w:rPr>
        <w:t>六十（60）天</w:t>
      </w:r>
      <w:r>
        <w:rPr>
          <w:rFonts w:hint="eastAsia" w:ascii="宋体" w:hAnsi="宋体" w:eastAsia="宋体"/>
          <w:bCs/>
          <w:color w:val="auto"/>
          <w:sz w:val="24"/>
          <w:szCs w:val="24"/>
          <w:highlight w:val="none"/>
        </w:rPr>
        <w:t>。</w:t>
      </w:r>
      <w:r>
        <w:rPr>
          <w:rFonts w:hint="eastAsia" w:ascii="宋体" w:hAnsi="宋体" w:eastAsia="宋体"/>
          <w:bCs/>
          <w:color w:val="auto"/>
          <w:sz w:val="24"/>
          <w:szCs w:val="24"/>
        </w:rPr>
        <w:t>投标有效期比规定短的将被视为非实质性响应而予以拒绝。</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8.投标有效期的延长</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9.电子投标文件其他要求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9.1电子招标投标交易平台（即“苏采云”系统）相关要求是本招标文件的组成部分。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9.2投标人应对CA证书妥善保管，如被他人盗用投标，因此带来的结果均由投标人自行承担。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9.3投标人应当对招标文件提出的实质性要求和条件作出实质性响应，并在电子投标系统逐条应答。</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 xml:space="preserve">9.4投标人应对要求提供的资格证明文件（如资质证书、资格证书）、技术资料（如白皮书、彩页、手册、检测报告等）扫描上传至投标系统。 </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10.投标人应当在招标文件要求提交投标文件的截止时间前，将投标文件提交至“苏采云”系统，逾期提交的投标文件，“苏采云”系统将自动拒收。各投标人应在规定时间内凭CA证书进行网上解密。</w:t>
      </w:r>
    </w:p>
    <w:p>
      <w:pPr>
        <w:spacing w:line="360" w:lineRule="auto"/>
        <w:ind w:firstLine="480"/>
        <w:contextualSpacing/>
        <w:rPr>
          <w:rFonts w:ascii="宋体" w:hAnsi="宋体" w:eastAsia="宋体"/>
          <w:color w:val="auto"/>
          <w:sz w:val="24"/>
          <w:szCs w:val="24"/>
        </w:rPr>
      </w:pPr>
      <w:r>
        <w:rPr>
          <w:rFonts w:ascii="宋体" w:hAnsi="宋体" w:eastAsia="宋体"/>
          <w:b/>
          <w:bCs/>
          <w:color w:val="auto"/>
          <w:sz w:val="24"/>
          <w:szCs w:val="24"/>
        </w:rPr>
        <w:t>五、</w:t>
      </w:r>
      <w:r>
        <w:rPr>
          <w:rFonts w:hint="eastAsia" w:ascii="宋体" w:hAnsi="宋体" w:eastAsia="宋体" w:cs="宋体"/>
          <w:b/>
          <w:bCs/>
          <w:color w:val="auto"/>
          <w:sz w:val="24"/>
          <w:szCs w:val="24"/>
        </w:rPr>
        <w:t>投标文件的提交</w:t>
      </w:r>
    </w:p>
    <w:p>
      <w:pPr>
        <w:spacing w:line="360" w:lineRule="auto"/>
        <w:ind w:firstLine="482"/>
        <w:contextualSpacing/>
        <w:rPr>
          <w:rFonts w:ascii="宋体" w:hAnsi="宋体" w:eastAsia="宋体"/>
          <w:b/>
          <w:bCs/>
          <w:color w:val="auto"/>
          <w:sz w:val="24"/>
          <w:szCs w:val="24"/>
        </w:rPr>
      </w:pPr>
      <w:r>
        <w:rPr>
          <w:rFonts w:hint="eastAsia" w:ascii="宋体" w:hAnsi="宋体" w:eastAsia="宋体"/>
          <w:bCs/>
          <w:color w:val="auto"/>
          <w:sz w:val="24"/>
          <w:szCs w:val="24"/>
        </w:rPr>
        <w:t>1.投标文件的提交</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1.1线上提交与接收地点：投标人应当通过“苏采云”系统提交数据电文形式的投标文件（即电子投标），“苏采云”系统自动接收。</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2.提交投标文件截止日期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投标人上传电子投标文件的时间不得迟于公开招标公告中规定的投标文件提交截止时间。</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投标人应充分考虑到网络环境、网络带宽等风险因素，如因投标人自身原因造成的电子投标文件上传不成功由投标人自行承担全部责任。</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 采购人或招标代理机构可以按照规定，通过修改投标文件酌情延长投标文件提交截止日期，在此情况下，投标人的所有权利和义务以及投标人受制的截止日期均应以延长后新的截止日期为准。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3.投标文件的密封（加密）要求：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3.1投标人应当按照招标文件和“苏采云”系统的要求编制并加密投标文件。本项目投标人须通过“苏采云”系统提供的政府采购客户端工具（使用“CA数字证书”）对其数据电文形式的投标文件加密。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3.2投标人须通过“苏采云”系统提供的政府采购客户端工具（使用“CA数字证书”）加盖电子签章。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说明：投标人应在用CA数字证书以及自备的能够登录“苏采云”系统的电脑，在达到开标时间后，使用CA数字证书解密各自投标文件。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3.3投标人未按规定加密的投标文件，“苏采云”系统将拒收并提示。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4.投标文件的拒收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4.1 招标代理机构拒绝接收在其规定的投标文件提交截止时间后上传的任何投标文件。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 投标文件的撤回和修改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 投标文件的撤回</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5.1.1 电子投标文件的撤回</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投标人可在投标文件提交截止时间前，撤回其电子投标文件，具体操作方法见“苏采云”系统供应商操作手册。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5.1.2 投标人撤回电子投标文件，则认为其不再参与本项目投标活动。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 投标文件的修改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投标人可在投标文件提交截止时间前，对其电子投标文件进行修改。具体操作方法见“苏采云”系统供应商操作手册。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5.3 在投标文件提交截止时间之后，投标人不得对其电子投标文件作任何修改。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5.4 在投标文件提交截止时间至招标文件中规定的投标有效期满之间的这段时间内，投标人不得撤回其投标文件。</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6.投标文件线上格式要求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6.1 供应商应当通过“苏采云”系统提交数据电文形式的投标文件（即电子投标）。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6.2 通过“苏采云”系统提交政府采购客户端工具导出加密的投标文件（后缀名为zip）。响应文件不得超过150M!</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6.3 本项目采用线上投标，即供应商投标文件从政府采购客户端工具制作通过“苏采云”系统提交，未提供线上投标文件的，投标无效。</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六</w:t>
      </w:r>
      <w:r>
        <w:rPr>
          <w:rFonts w:ascii="宋体" w:hAnsi="宋体" w:eastAsia="宋体"/>
          <w:b/>
          <w:bCs/>
          <w:color w:val="auto"/>
          <w:sz w:val="24"/>
          <w:szCs w:val="24"/>
        </w:rPr>
        <w:t>、</w:t>
      </w:r>
      <w:r>
        <w:rPr>
          <w:rFonts w:hint="eastAsia" w:ascii="宋体" w:hAnsi="宋体" w:eastAsia="宋体"/>
          <w:b/>
          <w:bCs/>
          <w:color w:val="auto"/>
          <w:sz w:val="24"/>
          <w:szCs w:val="24"/>
        </w:rPr>
        <w:t>开标与评标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1.开标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1.1采购人或招标代理机构将在招标公告中规定的时间和地点组织公开开标。</w:t>
      </w:r>
      <w:r>
        <w:rPr>
          <w:rFonts w:hint="eastAsia" w:ascii="宋体" w:hAnsi="宋体" w:eastAsia="宋体"/>
          <w:color w:val="auto"/>
          <w:sz w:val="24"/>
          <w:szCs w:val="24"/>
        </w:rPr>
        <w:t>投标人应当按照</w:t>
      </w:r>
      <w:r>
        <w:rPr>
          <w:rFonts w:hint="eastAsia" w:ascii="宋体" w:hAnsi="宋体" w:eastAsia="宋体"/>
          <w:bCs/>
          <w:color w:val="auto"/>
          <w:sz w:val="24"/>
          <w:szCs w:val="24"/>
        </w:rPr>
        <w:t>“苏采云”系统供应商操作手册</w:t>
      </w:r>
      <w:r>
        <w:rPr>
          <w:rFonts w:hint="eastAsia" w:ascii="宋体" w:hAnsi="宋体" w:eastAsia="宋体"/>
          <w:color w:val="auto"/>
          <w:sz w:val="24"/>
          <w:szCs w:val="24"/>
        </w:rPr>
        <w:t>规定，参加开标活动，在</w:t>
      </w:r>
      <w:r>
        <w:rPr>
          <w:rFonts w:hint="eastAsia" w:ascii="宋体" w:hAnsi="宋体" w:eastAsia="宋体"/>
          <w:b/>
          <w:color w:val="auto"/>
          <w:sz w:val="24"/>
          <w:szCs w:val="24"/>
        </w:rPr>
        <w:t>开标后</w:t>
      </w:r>
      <w:r>
        <w:rPr>
          <w:rFonts w:hint="eastAsia" w:ascii="宋体" w:hAnsi="宋体" w:eastAsia="宋体"/>
          <w:b/>
          <w:color w:val="auto"/>
          <w:sz w:val="24"/>
          <w:szCs w:val="24"/>
          <w:u w:val="single"/>
        </w:rPr>
        <w:t>30分钟</w:t>
      </w:r>
      <w:r>
        <w:rPr>
          <w:rFonts w:hint="eastAsia" w:ascii="宋体" w:hAnsi="宋体" w:eastAsia="宋体"/>
          <w:b/>
          <w:color w:val="auto"/>
          <w:sz w:val="24"/>
          <w:szCs w:val="24"/>
        </w:rPr>
        <w:t>之内</w:t>
      </w:r>
      <w:r>
        <w:rPr>
          <w:rFonts w:hint="eastAsia" w:ascii="宋体" w:hAnsi="宋体" w:eastAsia="宋体"/>
          <w:color w:val="auto"/>
          <w:sz w:val="24"/>
          <w:szCs w:val="24"/>
        </w:rPr>
        <w:t>对投标文件进行解密。</w:t>
      </w:r>
    </w:p>
    <w:p>
      <w:pPr>
        <w:spacing w:line="360" w:lineRule="auto"/>
        <w:ind w:firstLine="480"/>
        <w:contextualSpacing/>
        <w:rPr>
          <w:rFonts w:ascii="宋体" w:hAnsi="宋体" w:eastAsia="宋体"/>
          <w:b/>
          <w:color w:val="auto"/>
          <w:sz w:val="24"/>
          <w:szCs w:val="24"/>
        </w:rPr>
      </w:pPr>
      <w:r>
        <w:rPr>
          <w:rFonts w:hint="eastAsia" w:ascii="宋体" w:hAnsi="宋体" w:eastAsia="宋体"/>
          <w:b/>
          <w:color w:val="auto"/>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b/>
          <w:color w:val="auto"/>
          <w:sz w:val="24"/>
          <w:szCs w:val="24"/>
        </w:rPr>
        <w:t>因采购人（或招标代理机构）原因或网上招投标平台发生故障，导致无法按时完成投标文件解密或开、评标工作无法进行的，可根据实际情况相应延迟解密时间或调整开、评标时间。</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1.2</w:t>
      </w:r>
      <w:r>
        <w:rPr>
          <w:rFonts w:hint="eastAsia" w:ascii="宋体" w:hAnsi="宋体" w:eastAsia="宋体"/>
          <w:color w:val="auto"/>
          <w:sz w:val="24"/>
          <w:szCs w:val="24"/>
        </w:rPr>
        <w:t>开标仪式由</w:t>
      </w:r>
      <w:r>
        <w:rPr>
          <w:rFonts w:hint="eastAsia" w:ascii="宋体" w:hAnsi="宋体" w:eastAsia="宋体"/>
          <w:bCs/>
          <w:color w:val="auto"/>
          <w:sz w:val="24"/>
          <w:szCs w:val="24"/>
        </w:rPr>
        <w:t>招标代理机构</w:t>
      </w:r>
      <w:r>
        <w:rPr>
          <w:rFonts w:hint="eastAsia" w:ascii="宋体" w:hAnsi="宋体" w:eastAsia="宋体"/>
          <w:color w:val="auto"/>
          <w:sz w:val="24"/>
          <w:szCs w:val="24"/>
        </w:rPr>
        <w:t>组织。苏采云系统将自动对项目进行开标，并宣布各投标人名称和投标价格。</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1.3投标人在开标过程中涉及到的投标文件解密、开标结果确认等工作，应按照“苏采云”系统供应商操作手册规定执行。</w:t>
      </w:r>
    </w:p>
    <w:p>
      <w:pPr>
        <w:spacing w:line="360" w:lineRule="auto"/>
        <w:ind w:firstLine="482"/>
        <w:contextualSpacing/>
        <w:rPr>
          <w:rFonts w:ascii="宋体" w:hAnsi="宋体" w:eastAsia="宋体"/>
          <w:b/>
          <w:color w:val="auto"/>
          <w:sz w:val="24"/>
          <w:szCs w:val="24"/>
        </w:rPr>
      </w:pPr>
      <w:r>
        <w:rPr>
          <w:rFonts w:hint="eastAsia" w:ascii="宋体" w:hAnsi="宋体" w:eastAsia="宋体"/>
          <w:color w:val="auto"/>
          <w:sz w:val="24"/>
          <w:szCs w:val="24"/>
        </w:rPr>
        <w:t>1.4投标人如果对开标过程和开标记录有疑义，应当根据</w:t>
      </w:r>
      <w:r>
        <w:rPr>
          <w:rFonts w:hint="eastAsia" w:ascii="宋体" w:hAnsi="宋体" w:eastAsia="宋体"/>
          <w:bCs/>
          <w:color w:val="auto"/>
          <w:sz w:val="24"/>
          <w:szCs w:val="24"/>
        </w:rPr>
        <w:t>“苏采云”系统供应商操作手册</w:t>
      </w:r>
      <w:r>
        <w:rPr>
          <w:rFonts w:hint="eastAsia" w:ascii="宋体" w:hAnsi="宋体" w:eastAsia="宋体"/>
          <w:color w:val="auto"/>
          <w:sz w:val="24"/>
          <w:szCs w:val="24"/>
        </w:rPr>
        <w:t>规定提出，如苏采云系统中《开标记录表》宣布后5分钟内未提出的，视同认可开标结果。</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2.评标委员会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2.1开标后，招标代理机构将立即组织评标委员会（以下简称评委会）进行评审。</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2.2评委会由采购人代表和有关技术、经济等方面的专家组成，且人员构成符合政府采购有关规定。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2.3评标委员会独立工作，负责评审所有投标文件并确定中标候选人。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 评审过程的保密与公正</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3.1评标委员会、采购人或招标代理机构、相关监督人员等与评审工作有关的人员，对评审情况以及在评审过程中获悉的国家秘密、商业秘密负有保密责任。</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3.2在评审过程中，投标人不得以任何行为影响评审过程，否则其投标文件将被作为无效投标文件。</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3.4凡是与审查、澄清、评价和比较投标的有关资料以及授标建议等，采购人、评标委员会、招标代理机构均不得向投标人或与评标无关的其他人员透露。</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3.5在评审期间，招标代理机构将设专门人员与投标人联系。</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3.6采购人、招标代理机构和评标委员会不向未中标的投标人解释未中标原因，也不公布评审过程中的相关细节。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3.7 采用综合评分法的项目，未中标的投标人可于中标结果公告期限届满之日起通过苏采云系统查看自己的评审得分及排序情况。</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4.投标文件的澄清</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4.3 接到评标委员会澄清、说明和更正要求的投标人如未按规定做出澄清、说明和 更正，其风险由投标人自行承担。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5.对投标文件的审查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5.1投标文件初审分为资格性审查和符合性审查。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5.1.1资格性检查：依据法律法规和招标文件的规定，由采购人对投标文件中的资格证明文件进行审查。资格审查的结论，采购人以书面形式向评委会进行反馈。</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采购人在进行资格性审查的同时，将在“信用中国”网站查询投标人的信用记录，以确定投标人是否具备投标资格，查询结果留存并归档。</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5.1.2符合性审查：依据招标文件的规定，由评标委员会从投标文件的有效性、完整性和对招标文件的响应程度进行审查，以确定是否对招标文件的实质性要求作出响应。</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5.1.3未通过资格审查或符合性审查的投标人，招标代理机构将在</w:t>
      </w:r>
      <w:r>
        <w:rPr>
          <w:rFonts w:hint="eastAsia" w:ascii="宋体" w:hAnsi="宋体" w:eastAsia="宋体"/>
          <w:color w:val="auto"/>
          <w:sz w:val="24"/>
          <w:szCs w:val="24"/>
        </w:rPr>
        <w:t>苏采云系统</w:t>
      </w:r>
      <w:r>
        <w:rPr>
          <w:rFonts w:hint="eastAsia" w:ascii="宋体" w:hAnsi="宋体" w:eastAsia="宋体"/>
          <w:bCs/>
          <w:color w:val="auto"/>
          <w:sz w:val="24"/>
          <w:szCs w:val="24"/>
        </w:rPr>
        <w:t>中告知未通过资格审查或符合性审查的原因，评审结束后，招标代理机构将不再告知未通过资格审查或符合性审查的原因。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w:t>
      </w:r>
      <w:r>
        <w:rPr>
          <w:rFonts w:hint="eastAsia" w:ascii="宋体" w:hAnsi="宋体" w:eastAsia="宋体"/>
          <w:color w:val="auto"/>
          <w:sz w:val="24"/>
          <w:szCs w:val="24"/>
        </w:rPr>
        <w:t>在详细评审之前</w:t>
      </w:r>
      <w:r>
        <w:rPr>
          <w:rFonts w:hint="eastAsia" w:ascii="宋体" w:hAnsi="宋体" w:eastAsia="宋体"/>
          <w:bCs/>
          <w:color w:val="auto"/>
          <w:sz w:val="24"/>
          <w:szCs w:val="24"/>
        </w:rPr>
        <w:t>，评标委员会将首先审查每份投标文件是否实质性响应了招标文件的要求。实质性响应的投标文件应该是与招标文件要求的全部条款、条件和规格相符，没有重大负偏离或保留。</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olor w:val="auto"/>
          <w:sz w:val="24"/>
          <w:szCs w:val="24"/>
        </w:rPr>
        <w:t>重大偏离的认定需经过评委会以少数服从多数的原则作出结论</w:t>
      </w:r>
      <w:r>
        <w:rPr>
          <w:rFonts w:hint="eastAsia" w:ascii="宋体" w:hAnsi="宋体" w:eastAsia="宋体"/>
          <w:bCs/>
          <w:color w:val="auto"/>
          <w:sz w:val="24"/>
          <w:szCs w:val="24"/>
        </w:rPr>
        <w:t>。评标委员会决定投标文件的响应性只根据投标文件本身的内容，而不寻求外部的证据。</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5.3如果投标文件实质上没有响应招标文件的要求，评标委员会将予以拒绝，投标人不得通过修改或撤销不合要求的偏离或保留而使其投标文件成为实质性响应的文件。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5.4评标委员会将对确定为实质性响应的文件进行进一步审核，看其是否有计算上或累加上的算术错误，修正错误的原则如下：</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（1）投标文件中开标一览表内容与投标文件中相应内容不一致的，以开标一览表为准。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（2）大写金额和小写金额不一致的，以大写金额为准。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（3）单价金额小数点或者百分比有明显错位的，以开标一览表的总价为准，并修改单价。</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（4）总价金额与按单价汇总金额不一致的，以单价金额计算结果为准。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同时出现两种以上错误的，按照前款规定的顺序修正。</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5.5评标委员会将按上述修正错误的方法调整投标文件中的报价，通过“苏采云系统”告知投标人，调整后的价格应对投标人具有约束力。如果投标人不接受修正后的价格，则其投标文件将被拒绝。</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5.6评标委员会将允许修正投标文件中不构成重大偏离的、微小的、非正规的、不一致的或不规则的地方，但这些修改不能影响任何投标人相应的名次排列。</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 xml:space="preserve">5.7 </w:t>
      </w:r>
      <w:r>
        <w:rPr>
          <w:rFonts w:hint="eastAsia" w:ascii="宋体" w:hAnsi="宋体" w:eastAsia="宋体"/>
          <w:color w:val="auto"/>
          <w:sz w:val="24"/>
          <w:szCs w:val="24"/>
        </w:rPr>
        <w:t>投标人在开、评标全过程中应保持通讯畅通，及时登录苏采云系统查阅、答复相关信息</w:t>
      </w:r>
      <w:r>
        <w:rPr>
          <w:rFonts w:hint="eastAsia" w:ascii="宋体" w:hAnsi="宋体" w:eastAsia="宋体"/>
          <w:bCs/>
          <w:color w:val="auto"/>
          <w:sz w:val="24"/>
          <w:szCs w:val="24"/>
        </w:rPr>
        <w:t>，并安排专人与采购人或招标代理机构及评标委员会联系</w:t>
      </w:r>
      <w:r>
        <w:rPr>
          <w:rFonts w:hint="eastAsia" w:ascii="宋体" w:hAnsi="宋体" w:eastAsia="宋体"/>
          <w:color w:val="auto"/>
          <w:sz w:val="24"/>
          <w:szCs w:val="24"/>
        </w:rPr>
        <w:t>。</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七</w:t>
      </w:r>
      <w:r>
        <w:rPr>
          <w:rFonts w:ascii="宋体" w:hAnsi="宋体" w:eastAsia="宋体"/>
          <w:b/>
          <w:bCs/>
          <w:color w:val="auto"/>
          <w:sz w:val="24"/>
          <w:szCs w:val="24"/>
        </w:rPr>
        <w:t>、</w:t>
      </w:r>
      <w:r>
        <w:rPr>
          <w:rFonts w:hint="eastAsia" w:ascii="宋体" w:hAnsi="宋体" w:eastAsia="宋体"/>
          <w:b/>
          <w:bCs/>
          <w:color w:val="auto"/>
          <w:sz w:val="24"/>
          <w:szCs w:val="24"/>
        </w:rPr>
        <w:t>无效投标条款</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1.同一投标人提交两个（含两个）以上不同的投标报价的。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2.投标人不具备招标文件中规定资格要求的。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3.投标人的报价超过了采购预算或最高限价的。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4.未通过符合性审查的。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5.不符合招标文件中规定的实质性要求和条件的。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7.投标文件含有采购人不能接受的附加条件的。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10.投标文件未按照招标文件要求加盖CA电子公章的。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11.投标人的商务技术部分得分相差悬殊，评标委员会一致认为得分畸低者有可能影响产品质量或者不能诚信履约的。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12.投标人在苏采云系统规定的时间内未成功解密电子投标文件的。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13.投标人未按照招标文件要求上传电子投标文件的，或上传的文件打不开的。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14.不同的投标人投标文件制作机器码、文件创建标识码一致的。</w:t>
      </w:r>
    </w:p>
    <w:p>
      <w:pPr>
        <w:spacing w:line="360" w:lineRule="auto"/>
        <w:ind w:firstLine="482"/>
        <w:contextualSpacing/>
        <w:rPr>
          <w:rFonts w:ascii="宋体" w:hAnsi="宋体" w:eastAsia="宋体" w:cs="宋体"/>
          <w:color w:val="auto"/>
          <w:sz w:val="24"/>
          <w:szCs w:val="24"/>
        </w:rPr>
      </w:pPr>
      <w:r>
        <w:rPr>
          <w:rFonts w:hint="eastAsia" w:ascii="宋体" w:hAnsi="宋体" w:eastAsia="宋体"/>
          <w:bCs/>
          <w:color w:val="auto"/>
          <w:sz w:val="24"/>
          <w:szCs w:val="24"/>
        </w:rPr>
        <w:t>15.其他法律、法规及本招标文件规定的属无效投标的情形</w:t>
      </w:r>
      <w:r>
        <w:rPr>
          <w:rFonts w:hint="eastAsia" w:ascii="宋体" w:hAnsi="宋体" w:eastAsia="宋体" w:cs="宋体"/>
          <w:color w:val="auto"/>
          <w:sz w:val="24"/>
          <w:szCs w:val="24"/>
        </w:rPr>
        <w:t>。</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lang w:val="zh-CN"/>
        </w:rPr>
        <w:t>八</w:t>
      </w:r>
      <w:r>
        <w:rPr>
          <w:rFonts w:ascii="宋体" w:hAnsi="宋体" w:eastAsia="宋体"/>
          <w:b/>
          <w:bCs/>
          <w:color w:val="auto"/>
          <w:sz w:val="24"/>
          <w:szCs w:val="24"/>
          <w:lang w:val="zh-CN"/>
        </w:rPr>
        <w:t>、</w:t>
      </w:r>
      <w:r>
        <w:rPr>
          <w:rFonts w:hint="eastAsia" w:ascii="宋体" w:hAnsi="宋体" w:eastAsia="宋体"/>
          <w:b/>
          <w:bCs/>
          <w:color w:val="auto"/>
          <w:sz w:val="24"/>
          <w:szCs w:val="24"/>
        </w:rPr>
        <w:t>废标条款</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1.符合专业条件的供应商或者对招标文件作实质响应的供应商不足三家的。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2.出现影响采购公正的违法、违规行为的。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3.因重大变故，采购任务取消的。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4.评标委员会认定招标文件存在歧义、重大缺陷导致评审工作无法进行。</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 因苏采云系统系统故障原因造成开标不成功的。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6.投标截止时间结束后参加投标的供应商不足三家的处理：</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6.1如出现投标截止时间结束后参加投标的供应商或者在评标期间对招标文件做出实质响应的供应商不足三家情况，按政府采购相关规定执行。</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lang w:val="zh-CN"/>
        </w:rPr>
        <w:t>九</w:t>
      </w:r>
      <w:r>
        <w:rPr>
          <w:rFonts w:ascii="宋体" w:hAnsi="宋体" w:eastAsia="宋体"/>
          <w:b/>
          <w:bCs/>
          <w:color w:val="auto"/>
          <w:sz w:val="24"/>
          <w:szCs w:val="24"/>
          <w:lang w:val="zh-CN"/>
        </w:rPr>
        <w:t>、</w:t>
      </w:r>
      <w:r>
        <w:rPr>
          <w:rFonts w:hint="eastAsia" w:ascii="宋体" w:hAnsi="宋体" w:eastAsia="宋体" w:cs="宋体"/>
          <w:b/>
          <w:bCs/>
          <w:color w:val="auto"/>
          <w:sz w:val="24"/>
          <w:szCs w:val="24"/>
        </w:rPr>
        <w:t>定标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1.确定中标单位</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1.1中标候选人的选取原则和数量见招标文件第四章规定。</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1.2采购人应根据评委会推荐的中标候选人确定中标人。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 招标代理机构将在“江苏政府采购网”发布中标结果公告，公告期限为1个工作日。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 若有充分证据证明，中标人出现下列情况之一的，一经查实，将被取消中标资格：</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1.4.1提供虚假材料谋取中标的。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1.4.2向采购人或招标代理机构行贿或者评审专家提供其他不正当利益的。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1.4.3恶意竞争，报价明显低于其自身合理成本且又无法提供证明的。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1.4.4属于本文件规定的无效条件，但在评审过程中又未被评标委员会发现的。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1.4.5与评审专家、采购人、其他投标人或者招标代理机构工作人员恶意串通的。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1.4.6采取不正当手段诋毁、排挤其他投标人的。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1.4.7中标后无正当理由拒不与采购人签订政府采购合同或者未按照招标文件确定的事项签订政府采购合同的。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1.4.8将政府采购合同转包的。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1.5.有下列情形之一的，视为投标人串通参与投标，投标无效：</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1.5.1不同投标人的投标文件由同一单位或者个人编制；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1.5.2不同投标人委托同一单位或者个人办理投标事宜；</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1.5.3不同投标人的投标文件载明的项目管理成员或者联系人员为同一人；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1.5.4不同投标人的投标文件异常一致或者响应报价呈规律性差异；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1.5.5不同投标人的投标文件相互混装。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2.质疑处理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提出质疑的投标人应当是参与所质疑项目采购活动的投标人。潜在投标人依法获取其可质疑的招标文件的，可以对招标文件提出质疑。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投标人认为招标文件、采购过程和采购结果使自己的权益受到损害的，可以在知道或应知其权益受到损害之日起七个工作日内，以书面形式向采购人或招标代理机构提出质疑。上述应知其权益受到损害之日，是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2.2.1对可以质疑的招标文件提出质疑的，为收到招标文件之日或者招标文件公告期限届满之日；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2.2.2对采购过程提出质疑的，为各采购程序环节结束之日；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2.2.3对中标结果提出质疑的，为中标结果公告期限届满之日。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投标人应当在法定质疑期内一次性提出针对同一采购程序环节的质疑。投标人如在法定期限内对同一采购程序环节提出多次质疑的，采购人、招标代理机构将只对投标人第一次质疑作出答复。</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2.3质疑函必须按照本招标文件中《质疑函范本》要求的格式和内容进行填写。投标人如组成联合体参加投标，则《质疑函范本》中要求签字、盖章、加盖公章之处，联合体各方均须按要求签字、盖章、加盖公章。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2.4质疑答复依据《政府采购质疑和投诉办法》（财政部令第94号）。</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采购人或招标代理机构质疑接收人及联系方式，见招标文件第一章。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 以下情形的质疑不予受理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2.5.1 内容不符合《政府采购质疑和投诉办法》第十二条规定的质疑。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2.5.2 超出政府采购法定期限的质疑。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2.5.3 未参加投标活动的投标人或在投标活动中自身权益未受到损害的投标人所提出的质疑。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2.5.4投标人组成联合体参加投标，联合体中任何一方或多方未按要求签字、盖章、加盖公章的质疑。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2.6 投标人提出书面质疑必须有理、有据，不得捏造事实、提供虚假材料进行恶意质疑。否则，一经查实，采购人或招标代理机构有权依据政府采购的有关规定，报请政府采购监管部门对该投标人进行相应的行政处罚和记录该投标人的失信信息。</w:t>
      </w:r>
    </w:p>
    <w:p>
      <w:pPr>
        <w:spacing w:line="360" w:lineRule="auto"/>
        <w:ind w:firstLine="482"/>
        <w:contextualSpacing/>
        <w:rPr>
          <w:rFonts w:ascii="宋体" w:hAnsi="宋体" w:eastAsia="宋体"/>
          <w:b/>
          <w:color w:val="auto"/>
          <w:sz w:val="24"/>
          <w:szCs w:val="24"/>
        </w:rPr>
      </w:pPr>
      <w:r>
        <w:rPr>
          <w:rFonts w:hint="eastAsia" w:ascii="宋体" w:hAnsi="宋体" w:eastAsia="宋体"/>
          <w:bCs/>
          <w:color w:val="auto"/>
          <w:sz w:val="24"/>
          <w:szCs w:val="24"/>
        </w:rPr>
        <w:t>2.7投诉提起路径：江苏政府采购网-“办事指南”—“投诉办理指南”。</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lang w:val="zh-CN"/>
        </w:rPr>
        <w:t>十、</w:t>
      </w:r>
      <w:r>
        <w:rPr>
          <w:rFonts w:hint="eastAsia" w:ascii="宋体" w:hAnsi="宋体" w:eastAsia="宋体"/>
          <w:b/>
          <w:bCs/>
          <w:color w:val="auto"/>
          <w:sz w:val="24"/>
          <w:szCs w:val="24"/>
        </w:rPr>
        <w:t>中标通知书</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2.中标通知书将是合同的一个组成部分。对采购人和中标人均具有法律效力。中标通知书发出后，采购人改变中标结果的，或者中标人放弃中标项目的，应当依法承担法律责任。</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特别说明：中标人在下载或收到中标通知书后须提供3套加盖红章的系统内打印的纸质投标文件交给招标代理机构存档。</w:t>
      </w:r>
    </w:p>
    <w:p>
      <w:pPr>
        <w:spacing w:line="360" w:lineRule="auto"/>
        <w:ind w:firstLine="480"/>
        <w:contextualSpacing/>
        <w:rPr>
          <w:rFonts w:ascii="宋体" w:hAnsi="宋体" w:eastAsia="宋体"/>
          <w:b/>
          <w:bCs/>
          <w:color w:val="auto"/>
          <w:sz w:val="24"/>
          <w:szCs w:val="24"/>
          <w:lang w:val="zh-CN"/>
        </w:rPr>
      </w:pPr>
      <w:r>
        <w:rPr>
          <w:rFonts w:hint="eastAsia" w:ascii="宋体" w:hAnsi="宋体" w:eastAsia="宋体"/>
          <w:b/>
          <w:bCs/>
          <w:color w:val="auto"/>
          <w:sz w:val="24"/>
          <w:szCs w:val="24"/>
        </w:rPr>
        <w:t>十一、</w:t>
      </w:r>
      <w:r>
        <w:rPr>
          <w:rFonts w:ascii="宋体" w:hAnsi="宋体" w:eastAsia="宋体"/>
          <w:b/>
          <w:bCs/>
          <w:color w:val="auto"/>
          <w:sz w:val="24"/>
          <w:szCs w:val="24"/>
          <w:lang w:val="zh-CN"/>
        </w:rPr>
        <w:t>履约保证金</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1.本项目中标后的履约保证金为项目中标价的10%，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2.中标人全部履约合同义务，经采购单位验收合格无质量、进度等问题的，采购人在履约质保期满后一次性退还履约保证金，采购人若逾期退还履约保证金的，按照逾期部分的每日0.05%支付违约金；</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3.发生以下情况的，履约保证金不予退还或部分退还：</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a.签订合同后，中标人不履行合同义务的，采购单位有权全额扣除履约保证金，全额不予退还，同时采购单位亦有权终止合同，中标人还须承担相应的法律赔偿责任。</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b.中标人在履约过程中发生违约行为，给采购单位造成损失的，采购单位有权在中标人缴纳的履约保证金中予以扣款，以弥补采购单位经济损失，不足的部分中标人另外补齐。</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十二、授予合同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1.签订合同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1.l中标人应当在中标通知书发出之日起三十日内，按照招标文件确定的事项与采购人签订政府采购合同。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签订合同时需做好提交各类声明函、承诺函、业绩证明、资质、职称证书等相应原件的核查准备；核查后发现虚假或违背承诺的，依照相关法律法规规定处理。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1.2招标文件、中标人的投标文件及投标过程中有关澄清、承诺文件均应作为合同附件。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1.3签订合同后，中标人不得将合同标的进行转包。未经采购人同意，中标人也不得采用分包形式履行合同，否则采购人有权终止合同。转包或分包造成采购人损失的，中标人应承担相应赔偿责任。</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2.标的物的追加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2.1政府采购合同履行中，采购人需追加与合同标的相同的货物和服务的，在不改变合同其他条款的前提下，可以与中标人协商签订补充合同，但所有补充合同的采购金额不超过原合同金额10%。</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pPr>
        <w:spacing w:line="360" w:lineRule="auto"/>
        <w:ind w:firstLine="480"/>
        <w:contextualSpacing/>
        <w:rPr>
          <w:rFonts w:hint="eastAsia" w:ascii="宋体" w:hAnsi="宋体" w:eastAsia="宋体"/>
          <w:bCs/>
          <w:color w:val="auto"/>
          <w:sz w:val="24"/>
          <w:szCs w:val="24"/>
        </w:rPr>
      </w:pPr>
      <w:r>
        <w:rPr>
          <w:rFonts w:hint="eastAsia" w:ascii="宋体" w:hAnsi="宋体" w:eastAsia="宋体"/>
          <w:bCs/>
          <w:color w:val="auto"/>
          <w:sz w:val="24"/>
          <w:szCs w:val="24"/>
        </w:rPr>
        <w:t>3.办理政采贷和履约保函（保险）扶持政策</w:t>
      </w:r>
    </w:p>
    <w:p>
      <w:pPr>
        <w:spacing w:line="360" w:lineRule="auto"/>
        <w:ind w:firstLine="480"/>
        <w:contextualSpacing/>
        <w:rPr>
          <w:rFonts w:hint="eastAsia" w:ascii="宋体" w:hAnsi="宋体" w:eastAsia="宋体"/>
          <w:bCs/>
          <w:color w:val="auto"/>
          <w:sz w:val="24"/>
          <w:szCs w:val="24"/>
        </w:rPr>
      </w:pPr>
      <w:r>
        <w:rPr>
          <w:rFonts w:hint="eastAsia" w:ascii="宋体" w:hAnsi="宋体" w:eastAsia="宋体"/>
          <w:bCs/>
          <w:color w:val="auto"/>
          <w:sz w:val="24"/>
          <w:szCs w:val="24"/>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十三、电子招标投标交易平台</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电子招标投标交易平台（即“苏采云”系统，网址：</w:t>
      </w:r>
      <w:r>
        <w:rPr>
          <w:color w:val="auto"/>
        </w:rPr>
        <w:fldChar w:fldCharType="begin"/>
      </w:r>
      <w:r>
        <w:rPr>
          <w:color w:val="auto"/>
        </w:rPr>
        <w:instrText xml:space="preserve"> HYPERLINK "http://jszfcg.jsczt.cn/）相关要求是本招标文件的组成部分。" </w:instrText>
      </w:r>
      <w:r>
        <w:rPr>
          <w:color w:val="auto"/>
        </w:rPr>
        <w:fldChar w:fldCharType="separate"/>
      </w:r>
      <w:r>
        <w:rPr>
          <w:rStyle w:val="153"/>
          <w:rFonts w:hint="eastAsia" w:ascii="宋体" w:hAnsi="宋体" w:eastAsia="宋体"/>
          <w:bCs/>
          <w:color w:val="auto"/>
          <w:sz w:val="24"/>
          <w:szCs w:val="24"/>
        </w:rPr>
        <w:t>http://jszfcg.jsczt.cn/）相关要求是本招标文件的组成部分。</w:t>
      </w:r>
      <w:r>
        <w:rPr>
          <w:rStyle w:val="153"/>
          <w:rFonts w:hint="eastAsia" w:ascii="宋体" w:hAnsi="宋体" w:eastAsia="宋体"/>
          <w:bCs/>
          <w:color w:val="auto"/>
          <w:sz w:val="24"/>
          <w:szCs w:val="24"/>
        </w:rPr>
        <w:fldChar w:fldCharType="end"/>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十四、</w:t>
      </w:r>
      <w:r>
        <w:rPr>
          <w:rFonts w:ascii="宋体" w:hAnsi="宋体" w:eastAsia="宋体"/>
          <w:b/>
          <w:bCs/>
          <w:color w:val="auto"/>
          <w:sz w:val="24"/>
          <w:szCs w:val="24"/>
        </w:rPr>
        <w:t>未尽事宜</w:t>
      </w:r>
    </w:p>
    <w:p>
      <w:pPr>
        <w:spacing w:line="360" w:lineRule="auto"/>
        <w:ind w:firstLine="482"/>
        <w:contextualSpacing/>
        <w:jc w:val="left"/>
        <w:rPr>
          <w:rFonts w:ascii="宋体" w:hAnsi="宋体" w:eastAsia="宋体"/>
          <w:b/>
          <w:bCs/>
          <w:color w:val="auto"/>
          <w:sz w:val="21"/>
          <w:szCs w:val="21"/>
        </w:rPr>
        <w:sectPr>
          <w:headerReference r:id="rId9" w:type="default"/>
          <w:pgSz w:w="11906" w:h="16838"/>
          <w:pgMar w:top="1531" w:right="1304" w:bottom="1191" w:left="1304" w:header="851" w:footer="850" w:gutter="0"/>
          <w:cols w:space="1701" w:num="1"/>
          <w:docGrid w:linePitch="360" w:charSpace="0"/>
        </w:sectPr>
      </w:pPr>
      <w:r>
        <w:rPr>
          <w:rFonts w:hint="eastAsia" w:ascii="宋体" w:hAnsi="宋体" w:eastAsia="宋体"/>
          <w:color w:val="auto"/>
          <w:sz w:val="24"/>
          <w:szCs w:val="24"/>
        </w:rPr>
        <w:t>按《中华人民共和国政府采购法》及其他有关法律法规的规定执行。</w:t>
      </w:r>
    </w:p>
    <w:p>
      <w:pPr>
        <w:pStyle w:val="2"/>
        <w:jc w:val="center"/>
        <w:rPr>
          <w:rFonts w:ascii="宋体" w:hAnsi="宋体" w:eastAsia="宋体" w:cs="宋体"/>
          <w:b/>
          <w:bCs/>
          <w:color w:val="auto"/>
          <w:sz w:val="36"/>
          <w:szCs w:val="36"/>
        </w:rPr>
      </w:pPr>
      <w:bookmarkStart w:id="75" w:name="_Toc14572"/>
      <w:r>
        <w:rPr>
          <w:rFonts w:hint="eastAsia" w:ascii="宋体" w:hAnsi="宋体" w:eastAsia="宋体" w:cs="宋体"/>
          <w:b/>
          <w:bCs/>
          <w:color w:val="auto"/>
          <w:sz w:val="36"/>
          <w:szCs w:val="36"/>
        </w:rPr>
        <w:t>第三章 项目需求</w:t>
      </w:r>
      <w:bookmarkEnd w:id="75"/>
    </w:p>
    <w:p>
      <w:pPr>
        <w:pStyle w:val="66"/>
        <w:spacing w:line="360" w:lineRule="auto"/>
        <w:ind w:firstLine="482"/>
        <w:rPr>
          <w:rFonts w:eastAsia="宋体" w:cs="宋体"/>
          <w:b w:val="0"/>
          <w:color w:val="auto"/>
          <w:sz w:val="24"/>
          <w:szCs w:val="24"/>
          <w:lang w:val="zh-CN"/>
        </w:rPr>
      </w:pPr>
      <w:bookmarkStart w:id="76" w:name="_Toc182848996"/>
      <w:r>
        <w:rPr>
          <w:rFonts w:hint="eastAsia" w:eastAsia="宋体" w:cs="宋体"/>
          <w:b w:val="0"/>
          <w:color w:val="auto"/>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pPr>
        <w:pStyle w:val="66"/>
        <w:spacing w:line="360" w:lineRule="auto"/>
        <w:ind w:firstLine="0"/>
        <w:rPr>
          <w:rFonts w:hint="eastAsia" w:eastAsia="宋体" w:cs="宋体"/>
          <w:b w:val="0"/>
          <w:color w:val="auto"/>
          <w:sz w:val="24"/>
          <w:szCs w:val="24"/>
          <w:lang w:val="zh-CN"/>
        </w:rPr>
      </w:pPr>
      <w:r>
        <w:rPr>
          <w:rFonts w:hint="eastAsia" w:eastAsia="宋体" w:cs="宋体"/>
          <w:b w:val="0"/>
          <w:color w:val="auto"/>
          <w:sz w:val="24"/>
          <w:szCs w:val="24"/>
          <w:lang w:val="zh-CN"/>
        </w:rPr>
        <w:t>供应商不能简单照搬照抄采购文件项目需求说明中的技术、商务要求，必须作实事求是的响应。如供应商提供的货物和服务同采购人提出的项目需求说明中的技术、商务要求不同的，必须在《技术要求响应及偏离表》和《</w:t>
      </w:r>
      <w:r>
        <w:rPr>
          <w:rFonts w:hint="eastAsia" w:eastAsia="宋体" w:cs="宋体"/>
          <w:b w:val="0"/>
          <w:color w:val="auto"/>
          <w:sz w:val="24"/>
          <w:szCs w:val="24"/>
        </w:rPr>
        <w:t>商务</w:t>
      </w:r>
      <w:r>
        <w:rPr>
          <w:rFonts w:hint="eastAsia" w:eastAsia="宋体" w:cs="宋体"/>
          <w:b w:val="0"/>
          <w:color w:val="auto"/>
          <w:sz w:val="24"/>
          <w:szCs w:val="24"/>
          <w:lang w:val="zh-CN"/>
        </w:rPr>
        <w:t>要求响应及偏离表》上明示，如不明示的视同完全响应。</w:t>
      </w:r>
      <w:bookmarkStart w:id="77" w:name="_Toc16279"/>
    </w:p>
    <w:p>
      <w:pPr>
        <w:pStyle w:val="66"/>
        <w:spacing w:line="360" w:lineRule="auto"/>
        <w:ind w:firstLine="480" w:firstLineChars="20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一</w:t>
      </w:r>
      <w:r>
        <w:rPr>
          <w:rFonts w:hint="eastAsia" w:ascii="宋体" w:hAnsi="宋体" w:eastAsia="宋体" w:cs="宋体"/>
          <w:b/>
          <w:bCs/>
          <w:color w:val="auto"/>
          <w:sz w:val="24"/>
          <w:szCs w:val="24"/>
          <w:lang w:val="zh-CN"/>
        </w:rPr>
        <w:t>、项目范围</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东至同心圆路，西至长江，北至啬园路，南至军山路，包括五山片区、南通植物园、啬园在内的大部分区域，总面积</w:t>
      </w:r>
      <w:r>
        <w:rPr>
          <w:rFonts w:hint="eastAsia" w:eastAsia="宋体" w:cs="宋体"/>
          <w:b w:val="0"/>
          <w:color w:val="auto"/>
          <w:sz w:val="24"/>
          <w:szCs w:val="24"/>
          <w:lang w:val="zh-CN"/>
        </w:rPr>
        <w:t>约</w:t>
      </w:r>
      <w:r>
        <w:rPr>
          <w:rFonts w:hint="eastAsia" w:ascii="宋体" w:hAnsi="宋体" w:eastAsia="宋体" w:cs="宋体"/>
          <w:b w:val="0"/>
          <w:color w:val="auto"/>
          <w:sz w:val="24"/>
          <w:szCs w:val="24"/>
          <w:lang w:val="zh-CN"/>
        </w:rPr>
        <w:t>9</w:t>
      </w:r>
      <w:r>
        <w:rPr>
          <w:rFonts w:hint="eastAsia" w:eastAsia="宋体" w:cs="宋体"/>
          <w:b w:val="0"/>
          <w:color w:val="auto"/>
          <w:sz w:val="24"/>
          <w:szCs w:val="24"/>
          <w:lang w:val="en-US" w:eastAsia="zh-CN"/>
        </w:rPr>
        <w:t>.27平方公里</w:t>
      </w:r>
      <w:r>
        <w:rPr>
          <w:rFonts w:hint="eastAsia" w:ascii="宋体" w:hAnsi="宋体" w:eastAsia="宋体" w:cs="宋体"/>
          <w:b w:val="0"/>
          <w:color w:val="auto"/>
          <w:sz w:val="24"/>
          <w:szCs w:val="24"/>
          <w:lang w:val="zh-CN"/>
        </w:rPr>
        <w:t>。</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二</w:t>
      </w:r>
      <w:r>
        <w:rPr>
          <w:rFonts w:hint="eastAsia" w:ascii="宋体" w:hAnsi="宋体" w:eastAsia="宋体" w:cs="宋体"/>
          <w:b/>
          <w:bCs/>
          <w:color w:val="auto"/>
          <w:sz w:val="24"/>
          <w:szCs w:val="24"/>
          <w:lang w:val="zh-CN"/>
        </w:rPr>
        <w:t>、服务要求</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（一）服务内容：对狼山国家森林公园开展总体规划编制</w:t>
      </w:r>
    </w:p>
    <w:p>
      <w:pPr>
        <w:pStyle w:val="66"/>
        <w:spacing w:line="360" w:lineRule="auto"/>
        <w:ind w:firstLine="482"/>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zh-CN"/>
        </w:rPr>
        <w:t>（二）服务期：</w:t>
      </w:r>
      <w:r>
        <w:rPr>
          <w:rFonts w:hint="eastAsia" w:eastAsia="宋体" w:cs="宋体"/>
          <w:b w:val="0"/>
          <w:color w:val="auto"/>
          <w:sz w:val="24"/>
          <w:szCs w:val="24"/>
          <w:lang w:val="en-US" w:eastAsia="zh-CN"/>
        </w:rPr>
        <w:t>自合同签订后</w:t>
      </w:r>
      <w:r>
        <w:rPr>
          <w:rFonts w:hint="eastAsia" w:ascii="宋体" w:hAnsi="宋体" w:eastAsia="宋体" w:cs="宋体"/>
          <w:b w:val="0"/>
          <w:color w:val="auto"/>
          <w:sz w:val="24"/>
          <w:szCs w:val="24"/>
          <w:lang w:val="zh-CN"/>
        </w:rPr>
        <w:t>12 个月</w:t>
      </w:r>
      <w:r>
        <w:rPr>
          <w:rFonts w:hint="eastAsia" w:eastAsia="宋体" w:cs="宋体"/>
          <w:b w:val="0"/>
          <w:color w:val="auto"/>
          <w:sz w:val="24"/>
          <w:szCs w:val="24"/>
          <w:lang w:val="en-US" w:eastAsia="zh-CN"/>
        </w:rPr>
        <w:t>内修编完成并完成上报</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（三）质量标准：规划成果达到国家森林公园总体规划深度及招标人的要求，并通过</w:t>
      </w:r>
      <w:r>
        <w:rPr>
          <w:rFonts w:hint="eastAsia" w:eastAsia="宋体" w:cs="宋体"/>
          <w:b w:val="0"/>
          <w:color w:val="auto"/>
          <w:sz w:val="24"/>
          <w:szCs w:val="24"/>
          <w:lang w:val="en-US" w:eastAsia="zh-CN"/>
        </w:rPr>
        <w:t>省级</w:t>
      </w:r>
      <w:r>
        <w:rPr>
          <w:rFonts w:hint="eastAsia" w:ascii="宋体" w:hAnsi="宋体" w:eastAsia="宋体" w:cs="宋体"/>
          <w:b w:val="0"/>
          <w:color w:val="auto"/>
          <w:sz w:val="24"/>
          <w:szCs w:val="24"/>
          <w:lang w:val="zh-CN"/>
        </w:rPr>
        <w:t>主管部门审批。</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（四）工作任务：贯彻落实党中央国务院关于自然保护地体系建设的战略部署，依据《国家级森林公园总体规划规范》（LY/T 2005—2012）、《国家公园总体规划技术规范》（LY/T 3188-2020）等相关法律法规标准，对狼山国家森林公园的现状资源进行全面评估，全面分析目前的生态资源保护、旅游产业发展、存量资产盘活等方面的问题矛盾和发展条件，综合研究和确定森林公园的目标、性质、规模和空间发展布局，统筹安排森林公园各功能分区和项目布局，开展植物景观、环境保护、文化旅游、土地利用等专项规划工作，合理配置森林公园各项基础设施，科学指导森林公园的保护、利用与发展</w:t>
      </w:r>
      <w:r>
        <w:rPr>
          <w:rFonts w:hint="eastAsia" w:eastAsia="宋体" w:cs="宋体"/>
          <w:b w:val="0"/>
          <w:color w:val="auto"/>
          <w:sz w:val="24"/>
          <w:szCs w:val="24"/>
          <w:lang w:val="zh-CN"/>
        </w:rPr>
        <w:t>，优化保护范围，调整区域内资源和保护管理情况；不符合管控要求的矛盾冲突处置方案；调整后的综合影响评价</w:t>
      </w:r>
      <w:r>
        <w:rPr>
          <w:rFonts w:hint="eastAsia" w:ascii="宋体" w:hAnsi="宋体" w:eastAsia="宋体" w:cs="宋体"/>
          <w:b w:val="0"/>
          <w:color w:val="auto"/>
          <w:sz w:val="24"/>
          <w:szCs w:val="24"/>
          <w:lang w:val="zh-CN"/>
        </w:rPr>
        <w:t>。针对民博园西区等重点区域开展修建性详细规划，为存量资源的整合利用提供方向指引。</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三</w:t>
      </w:r>
      <w:r>
        <w:rPr>
          <w:rFonts w:hint="eastAsia" w:ascii="宋体" w:hAnsi="宋体" w:eastAsia="宋体" w:cs="宋体"/>
          <w:b/>
          <w:bCs/>
          <w:color w:val="auto"/>
          <w:sz w:val="24"/>
          <w:szCs w:val="24"/>
          <w:lang w:val="zh-CN"/>
        </w:rPr>
        <w:t>、规划设计成果</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按国家有关规定、标准进行规划设计，规划成果应包括规划文本、规划说明书及其他必要的补充材料，需满足相关法律规范和报批要求。最终提交规划设计的各阶段性成果叁套，全套电子文件壹套。</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bCs w:val="0"/>
          <w:color w:val="auto"/>
          <w:sz w:val="24"/>
          <w:szCs w:val="24"/>
          <w:lang w:val="zh-CN"/>
        </w:rPr>
        <w:t>（一</w:t>
      </w:r>
      <w:r>
        <w:rPr>
          <w:rFonts w:hint="eastAsia" w:ascii="宋体" w:hAnsi="宋体" w:eastAsia="宋体" w:cs="宋体"/>
          <w:b w:val="0"/>
          <w:color w:val="auto"/>
          <w:sz w:val="24"/>
          <w:szCs w:val="24"/>
          <w:lang w:val="zh-CN"/>
        </w:rPr>
        <w:t>）规划文本</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包括但不限于基本情况、生态环境及森林风景资源、发展条件分析、总则、总体布局与发展战略、容量估算及客源市场分析与预测、植被与森林景观规划、资源与环境保护规划、森林生态旅游与服务设施规划、土地利用规划</w:t>
      </w:r>
      <w:r>
        <w:rPr>
          <w:rFonts w:hint="eastAsia" w:eastAsia="宋体" w:cs="宋体"/>
          <w:b w:val="0"/>
          <w:color w:val="auto"/>
          <w:sz w:val="24"/>
          <w:szCs w:val="24"/>
          <w:lang w:val="zh-CN"/>
        </w:rPr>
        <w:t>、优化保护范围、调整区域内资源和保护管理情况、不符合管控要求的矛盾冲突处置方案、调整后的综合影响评价</w:t>
      </w:r>
      <w:r>
        <w:rPr>
          <w:rFonts w:hint="eastAsia" w:ascii="宋体" w:hAnsi="宋体" w:eastAsia="宋体" w:cs="宋体"/>
          <w:b w:val="0"/>
          <w:color w:val="auto"/>
          <w:sz w:val="24"/>
          <w:szCs w:val="24"/>
          <w:lang w:val="zh-CN"/>
        </w:rPr>
        <w:t>等内容。</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（二）规划图纸</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包括但不限于区位图、土地利用现状图、森林风景资源分布图、功能分区图、土地利用规划图、景区景点分布图、服务设施规划图、道路交通规划图等内容。</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val="zh-CN"/>
        </w:rPr>
        <w:t>、付款</w:t>
      </w:r>
      <w:r>
        <w:rPr>
          <w:rFonts w:hint="eastAsia" w:ascii="宋体" w:hAnsi="宋体" w:eastAsia="宋体" w:cs="宋体"/>
          <w:b/>
          <w:bCs/>
          <w:color w:val="auto"/>
          <w:sz w:val="24"/>
          <w:szCs w:val="24"/>
          <w:lang w:val="en-US" w:eastAsia="zh-CN"/>
        </w:rPr>
        <w:t>方式</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（1）设计合同生效后，支付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的30%；</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（2）提交规划设计的各阶段性成果</w:t>
      </w:r>
      <w:r>
        <w:rPr>
          <w:rFonts w:hint="eastAsia" w:ascii="宋体" w:hAnsi="宋体" w:eastAsia="宋体" w:cs="宋体"/>
          <w:b w:val="0"/>
          <w:color w:val="auto"/>
          <w:sz w:val="24"/>
          <w:szCs w:val="24"/>
          <w:lang w:val="en-US" w:eastAsia="zh-CN"/>
        </w:rPr>
        <w:t>并经采购人确认</w:t>
      </w:r>
      <w:r>
        <w:rPr>
          <w:rFonts w:hint="eastAsia" w:ascii="宋体" w:hAnsi="宋体" w:eastAsia="宋体" w:cs="宋体"/>
          <w:b w:val="0"/>
          <w:color w:val="auto"/>
          <w:sz w:val="24"/>
          <w:szCs w:val="24"/>
          <w:lang w:val="zh-CN"/>
        </w:rPr>
        <w:t>后十个日历日内，支付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w:t>
      </w:r>
      <w:r>
        <w:rPr>
          <w:rFonts w:hint="eastAsia" w:eastAsia="宋体" w:cs="宋体"/>
          <w:b w:val="0"/>
          <w:color w:val="auto"/>
          <w:sz w:val="24"/>
          <w:szCs w:val="24"/>
          <w:lang w:val="en-US" w:eastAsia="zh-CN"/>
        </w:rPr>
        <w:t>2</w:t>
      </w:r>
      <w:r>
        <w:rPr>
          <w:rFonts w:hint="eastAsia" w:ascii="宋体" w:hAnsi="宋体" w:eastAsia="宋体" w:cs="宋体"/>
          <w:b w:val="0"/>
          <w:color w:val="auto"/>
          <w:sz w:val="24"/>
          <w:szCs w:val="24"/>
          <w:lang w:val="zh-CN"/>
        </w:rPr>
        <w:t>0%；</w:t>
      </w:r>
    </w:p>
    <w:p>
      <w:pPr>
        <w:pStyle w:val="66"/>
        <w:spacing w:line="360" w:lineRule="auto"/>
        <w:ind w:firstLine="482"/>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zh-CN"/>
        </w:rPr>
        <w:t>（3）</w:t>
      </w:r>
      <w:r>
        <w:rPr>
          <w:rFonts w:hint="eastAsia" w:ascii="宋体" w:hAnsi="宋体" w:eastAsia="宋体" w:cs="宋体"/>
          <w:b w:val="0"/>
          <w:color w:val="auto"/>
          <w:sz w:val="24"/>
          <w:szCs w:val="24"/>
          <w:lang w:val="en-US" w:eastAsia="zh-CN"/>
        </w:rPr>
        <w:t>设计成果</w:t>
      </w:r>
      <w:r>
        <w:rPr>
          <w:rFonts w:hint="eastAsia" w:ascii="宋体" w:hAnsi="宋体" w:eastAsia="宋体" w:cs="宋体"/>
          <w:b w:val="0"/>
          <w:color w:val="auto"/>
          <w:sz w:val="24"/>
          <w:szCs w:val="24"/>
          <w:lang w:val="zh-CN"/>
        </w:rPr>
        <w:t>通过</w:t>
      </w:r>
      <w:r>
        <w:rPr>
          <w:rFonts w:hint="eastAsia" w:eastAsia="宋体" w:cs="宋体"/>
          <w:b w:val="0"/>
          <w:color w:val="auto"/>
          <w:sz w:val="24"/>
          <w:szCs w:val="24"/>
          <w:lang w:val="en-US" w:eastAsia="zh-CN"/>
        </w:rPr>
        <w:t>省级</w:t>
      </w:r>
      <w:r>
        <w:rPr>
          <w:rFonts w:hint="eastAsia" w:ascii="宋体" w:hAnsi="宋体" w:eastAsia="宋体" w:cs="宋体"/>
          <w:b w:val="0"/>
          <w:color w:val="auto"/>
          <w:sz w:val="24"/>
          <w:szCs w:val="24"/>
          <w:lang w:val="zh-CN"/>
        </w:rPr>
        <w:t>主管部门审批</w:t>
      </w:r>
      <w:r>
        <w:rPr>
          <w:rFonts w:hint="eastAsia" w:ascii="宋体" w:hAnsi="宋体" w:eastAsia="宋体" w:cs="宋体"/>
          <w:b w:val="0"/>
          <w:color w:val="auto"/>
          <w:sz w:val="24"/>
          <w:szCs w:val="24"/>
          <w:lang w:val="en-US" w:eastAsia="zh-CN"/>
        </w:rPr>
        <w:t>后</w:t>
      </w:r>
      <w:r>
        <w:rPr>
          <w:rFonts w:hint="eastAsia" w:ascii="宋体" w:hAnsi="宋体" w:eastAsia="宋体" w:cs="宋体"/>
          <w:b w:val="0"/>
          <w:color w:val="auto"/>
          <w:sz w:val="24"/>
          <w:szCs w:val="24"/>
          <w:lang w:val="zh-CN"/>
        </w:rPr>
        <w:t>十个日历日内，支付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w:t>
      </w:r>
      <w:r>
        <w:rPr>
          <w:rFonts w:hint="eastAsia" w:eastAsia="宋体" w:cs="宋体"/>
          <w:b w:val="0"/>
          <w:color w:val="auto"/>
          <w:sz w:val="24"/>
          <w:szCs w:val="24"/>
          <w:lang w:val="en-US" w:eastAsia="zh-CN"/>
        </w:rPr>
        <w:t>5</w:t>
      </w:r>
      <w:r>
        <w:rPr>
          <w:rFonts w:hint="eastAsia" w:ascii="宋体" w:hAnsi="宋体" w:eastAsia="宋体" w:cs="宋体"/>
          <w:b w:val="0"/>
          <w:color w:val="auto"/>
          <w:sz w:val="24"/>
          <w:szCs w:val="24"/>
          <w:lang w:val="zh-CN"/>
        </w:rPr>
        <w:t>0%</w:t>
      </w:r>
      <w:r>
        <w:rPr>
          <w:rFonts w:hint="eastAsia" w:ascii="宋体" w:hAnsi="宋体" w:eastAsia="宋体" w:cs="宋体"/>
          <w:b w:val="0"/>
          <w:color w:val="auto"/>
          <w:sz w:val="24"/>
          <w:szCs w:val="24"/>
          <w:lang w:val="en-US" w:eastAsia="zh-CN"/>
        </w:rPr>
        <w:t>。</w:t>
      </w:r>
    </w:p>
    <w:p>
      <w:pPr>
        <w:rPr>
          <w:rFonts w:ascii="宋体" w:hAnsi="宋体" w:eastAsia="宋体" w:cs="宋体"/>
          <w:b/>
          <w:bCs/>
          <w:color w:val="auto"/>
          <w:sz w:val="36"/>
          <w:szCs w:val="36"/>
        </w:rPr>
      </w:pPr>
      <w:r>
        <w:rPr>
          <w:rFonts w:hint="eastAsia" w:ascii="宋体" w:hAnsi="宋体" w:eastAsia="宋体" w:cs="宋体"/>
          <w:b/>
          <w:bCs/>
          <w:color w:val="auto"/>
          <w:sz w:val="36"/>
          <w:szCs w:val="36"/>
        </w:rPr>
        <w:br w:type="page"/>
      </w:r>
    </w:p>
    <w:p>
      <w:pPr>
        <w:pStyle w:val="2"/>
        <w:jc w:val="center"/>
        <w:rPr>
          <w:rFonts w:ascii="宋体" w:hAnsi="宋体" w:eastAsia="宋体" w:cs="宋体"/>
          <w:b/>
          <w:bCs/>
          <w:color w:val="auto"/>
          <w:sz w:val="36"/>
          <w:szCs w:val="36"/>
        </w:rPr>
      </w:pPr>
      <w:r>
        <w:rPr>
          <w:rFonts w:hint="eastAsia" w:ascii="宋体" w:hAnsi="宋体" w:eastAsia="宋体" w:cs="宋体"/>
          <w:b/>
          <w:bCs/>
          <w:color w:val="auto"/>
          <w:sz w:val="36"/>
          <w:szCs w:val="36"/>
        </w:rPr>
        <w:t>第四章  评审方法和程序</w:t>
      </w:r>
      <w:bookmarkEnd w:id="77"/>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一、采购人委托招标代理机构组织招标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1、成立评标委员会小组，评标委员会由采购人代表和评审专家组成，成员人数应当为5人及以上单数，其中评审专家不得少于成员总数的三分之二。</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二、开标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bCs/>
          <w:color w:val="auto"/>
          <w:sz w:val="24"/>
          <w:szCs w:val="24"/>
        </w:rPr>
        <w:t>不见面远程开标模式：开标当天各投标人在各自地点通过苏采云系统及时登录不见面开标大厅，参加投标活动。</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2、招标代理机构主持开标并记录，及时处理投标人代表提出的询问或者回避申请。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3、投标人不足3家的不得开标。</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三、资格审查</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1、开标后，采购人及其委托的采购代理机构依据相关法律政策的规定，根据招标文件载明的资格审查要求，对投标人的资格进行审查。</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2、资格审查合格的投标人进入评标。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3、合格投标人不足3家的，不得评标。</w:t>
      </w:r>
    </w:p>
    <w:p>
      <w:pPr>
        <w:spacing w:line="360" w:lineRule="auto"/>
        <w:ind w:firstLine="480"/>
        <w:contextualSpacing/>
        <w:outlineLvl w:val="1"/>
        <w:rPr>
          <w:rFonts w:ascii="宋体" w:hAnsi="宋体" w:eastAsia="宋体" w:cs="宋体"/>
          <w:b/>
          <w:color w:val="auto"/>
          <w:sz w:val="24"/>
          <w:szCs w:val="24"/>
        </w:rPr>
      </w:pPr>
      <w:r>
        <w:rPr>
          <w:rFonts w:hint="eastAsia" w:ascii="宋体" w:hAnsi="宋体" w:eastAsia="宋体" w:cs="宋体"/>
          <w:b/>
          <w:color w:val="auto"/>
          <w:sz w:val="24"/>
          <w:szCs w:val="24"/>
        </w:rPr>
        <w:t>四、评标</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1、评标时间</w:t>
      </w:r>
      <w:r>
        <w:rPr>
          <w:rFonts w:hint="eastAsia" w:ascii="宋体" w:hAnsi="宋体" w:eastAsia="宋体" w:cs="宋体"/>
          <w:b/>
          <w:color w:val="auto"/>
          <w:sz w:val="24"/>
          <w:szCs w:val="24"/>
        </w:rPr>
        <w:t>：资格审查结束以后。</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2、招标代理机构负责组织评标工作，并履行下列职责：</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（1）核对评审专家身份和采购人代表授权函，对评审专家在招标采购活动中的职责履行情况予以记录，并及时将有关违法违规行为向相关部门报告。</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（2）宣布评标纪律。</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（3）公布投标人名单，告知评审专家应当回避的情形。</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（4）组织评标委员会推选评标组长，采购人代表不得担任组长。</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（5）在评标期间采取必要的通讯管理措施，保证评标活动不受外界干扰；除采购人代表、评标现场组织人员外，采购人的其他工作人员以及与评标工作无关的人员不得进入评标现场。</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（6）根据评标委员会的要求介绍采购相关政策法规、招标文件。</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招标文件一并存档。</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（8）核对评标结果，有下列规定情形的，要求评标委员会复核或者书面说明理由，评标委员会拒绝的，则予以书面记录并向本级相关部门报告：</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① 分值汇总计算错误的；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② 分项评分超出评分标准范围的；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③ 评标委员会成员对客观评审因素评分不一致的；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④ 经评标委员会认定评分畸高、畸低的。</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（9）评审工作完成后，按照规定向评审专家支付劳务报酬和异地评审差旅费，不得向评审专家以外的其他人员支付评审劳务报酬；</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（10）处理与评标有关的其他事项。</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3、评标委员会负责具体评标事务：</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发现招标文件存在歧义、重大缺陷导致评标工作无法进行，或者招标文件内容违反国家有关强制性规定的，应当停止评标工作，与采购人或者招标代理机构沟通并作书面记录。采购人或者招标代理机构确认后，应当修改招标文件，重新组织采购活动。</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4、评标委员会成员独立履行以下职责与义务：</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（1）遵纪守法，客观、公正、廉洁地履行职责；</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（2）审查合格投标人的投标文件是否实质性响应招标文件要求，并做出评价；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（3）按照招标文件规定的评标办法和评标标准进行评标，对评审意见承担个人责任；</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（4）可以要求投标人对投标文件有关事项做出解释或澄清；</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（5）对评标过程和结果，以及投标人的商业秘密保密；</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（6）配合相关部门的投诉处理工作；</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（7）配合采购人或招标代理机构答复投标人提出的质疑。</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5、除采购人代表、评标现场组织人员外，采购人的其他工作人员以及与评标工作无关的人员不得进入评标现场；有关人员对评标情况以及在评标过程中获悉的国家秘密、商业秘密负有保密责任。</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pPr>
        <w:spacing w:line="360" w:lineRule="auto"/>
        <w:ind w:firstLine="482"/>
        <w:rPr>
          <w:rFonts w:ascii="宋体" w:hAnsi="宋体" w:eastAsia="宋体" w:cs="宋体"/>
          <w:b/>
          <w:color w:val="auto"/>
          <w:sz w:val="24"/>
          <w:szCs w:val="24"/>
        </w:rPr>
      </w:pPr>
      <w:r>
        <w:rPr>
          <w:rFonts w:hint="eastAsia" w:ascii="宋体" w:hAnsi="宋体" w:eastAsia="宋体" w:cs="宋体"/>
          <w:color w:val="auto"/>
          <w:sz w:val="24"/>
          <w:szCs w:val="24"/>
        </w:rPr>
        <w:t>7、评审期间，合格投标人的投标文件仍有可能被评标委员会根据规定判为无效投标。</w:t>
      </w:r>
    </w:p>
    <w:p>
      <w:pPr>
        <w:spacing w:line="360" w:lineRule="auto"/>
        <w:ind w:firstLine="482"/>
        <w:rPr>
          <w:rFonts w:ascii="宋体" w:hAnsi="宋体" w:eastAsia="宋体" w:cs="宋体"/>
          <w:b/>
          <w:color w:val="auto"/>
          <w:sz w:val="24"/>
          <w:szCs w:val="24"/>
        </w:rPr>
      </w:pPr>
      <w:r>
        <w:rPr>
          <w:rFonts w:hint="eastAsia" w:ascii="宋体" w:hAnsi="宋体" w:eastAsia="宋体" w:cs="宋体"/>
          <w:color w:val="auto"/>
          <w:sz w:val="24"/>
          <w:szCs w:val="24"/>
        </w:rPr>
        <w:t>8、在投标文件的评审、澄清、评价和比较以及授予合同的过程中，投标人对采购人和评标委员会成员有施加影响的任何行为，都将取消其可能的中标资格。</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五、评审原则</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1、本项目采用</w:t>
      </w:r>
      <w:r>
        <w:rPr>
          <w:rFonts w:hint="eastAsia" w:ascii="宋体" w:hAnsi="宋体" w:eastAsia="宋体" w:cs="宋体"/>
          <w:b/>
          <w:color w:val="auto"/>
          <w:sz w:val="24"/>
          <w:szCs w:val="24"/>
          <w:u w:val="single"/>
        </w:rPr>
        <w:t>综合评分法</w:t>
      </w:r>
      <w:r>
        <w:rPr>
          <w:rFonts w:hint="eastAsia" w:ascii="宋体" w:hAnsi="宋体" w:eastAsia="宋体" w:cs="宋体"/>
          <w:color w:val="auto"/>
          <w:sz w:val="24"/>
          <w:szCs w:val="24"/>
        </w:rPr>
        <w:t>，即指投标文件满足本项目招标文件全部实质性要求，且按照评审因素的量化指标，经评审后得分最高的投标人推荐为中标人的评标方法。</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3、评标委员会严格按照招标文件规定的要求、条件、评分标准，对投标人所提供的完整计划标的物的科学性、可行性、产品质量、服务质量的保证及承诺等实质性响应内容进行比较评价。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4、对投标文件的评审判定，只依据投标文件内容本身，不依靠开标后任何外来证明文件。</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六、评审方法</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1、评标程序：</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资格符合性评审——商务技术标评审——价格标评审——确定中标候选人。</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本次资格审查采用资格后审，各投标人资格审查通过后方能进入商务技术标的开标。先开商务技术标，商务技术标打分结束后再开价格标。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2、评标委员会将仅对按本招标文件载明的方法与规定，为实质上响应招标文件要求的投标文件评审并进行评价和比较。</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3、本次项目的技术标和价格标评审总分值为100分。两部分评审因素比重如下：</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商务技术标分值占总分值的比重为</w:t>
      </w:r>
      <w:r>
        <w:rPr>
          <w:rFonts w:hint="eastAsia" w:ascii="宋体" w:hAnsi="宋体" w:eastAsia="宋体" w:cs="宋体"/>
          <w:b/>
          <w:color w:val="auto"/>
          <w:sz w:val="24"/>
          <w:szCs w:val="24"/>
          <w:u w:val="single"/>
          <w:lang w:val="en-US" w:eastAsia="zh-CN"/>
        </w:rPr>
        <w:t>9</w:t>
      </w:r>
      <w:r>
        <w:rPr>
          <w:rFonts w:hint="eastAsia" w:ascii="宋体" w:hAnsi="宋体" w:eastAsia="宋体" w:cs="宋体"/>
          <w:b/>
          <w:color w:val="auto"/>
          <w:sz w:val="24"/>
          <w:szCs w:val="24"/>
          <w:u w:val="single"/>
        </w:rPr>
        <w:t>0%</w:t>
      </w:r>
      <w:r>
        <w:rPr>
          <w:rFonts w:hint="eastAsia" w:ascii="宋体" w:hAnsi="宋体" w:eastAsia="宋体" w:cs="宋体"/>
          <w:b/>
          <w:color w:val="auto"/>
          <w:sz w:val="24"/>
          <w:szCs w:val="24"/>
        </w:rPr>
        <w:t>（权重）</w:t>
      </w:r>
      <w:r>
        <w:rPr>
          <w:rFonts w:hint="eastAsia" w:ascii="宋体" w:hAnsi="宋体" w:eastAsia="宋体" w:cs="宋体"/>
          <w:color w:val="auto"/>
          <w:sz w:val="24"/>
          <w:szCs w:val="24"/>
        </w:rPr>
        <w:t>（计算结果均四舍五入保留两位小数）；</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价格标分值占总分值的比重为</w:t>
      </w:r>
      <w:r>
        <w:rPr>
          <w:rFonts w:hint="eastAsia" w:ascii="宋体" w:hAnsi="宋体" w:eastAsia="宋体" w:cs="宋体"/>
          <w:b/>
          <w:color w:val="auto"/>
          <w:sz w:val="24"/>
          <w:szCs w:val="24"/>
          <w:u w:val="single"/>
          <w:lang w:val="en-US" w:eastAsia="zh-CN"/>
        </w:rPr>
        <w:t>1</w:t>
      </w:r>
      <w:r>
        <w:rPr>
          <w:rFonts w:hint="eastAsia" w:ascii="宋体" w:hAnsi="宋体" w:eastAsia="宋体" w:cs="宋体"/>
          <w:b/>
          <w:color w:val="auto"/>
          <w:sz w:val="24"/>
          <w:szCs w:val="24"/>
          <w:u w:val="single"/>
        </w:rPr>
        <w:t>0%</w:t>
      </w:r>
      <w:r>
        <w:rPr>
          <w:rFonts w:hint="eastAsia" w:ascii="宋体" w:hAnsi="宋体" w:eastAsia="宋体" w:cs="宋体"/>
          <w:b/>
          <w:color w:val="auto"/>
          <w:sz w:val="24"/>
          <w:szCs w:val="24"/>
        </w:rPr>
        <w:t>（权重）</w:t>
      </w:r>
      <w:r>
        <w:rPr>
          <w:rFonts w:hint="eastAsia" w:ascii="宋体" w:hAnsi="宋体" w:eastAsia="宋体" w:cs="宋体"/>
          <w:color w:val="auto"/>
          <w:sz w:val="24"/>
          <w:szCs w:val="24"/>
        </w:rPr>
        <w:t xml:space="preserve">（计算结果均四舍五入保留两位小数）； </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4、评标委员会严格按照招标文件的要求、条件、评分标准，对投标人所提供服务的先进性、可靠性、售后服务承诺、质量保证承诺等实质性响应内容进行比较。</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5、评标专家确定方式：在专家库中随机抽取。评标委员会各成员独立对每个进入打分程序的有效投标人的投标文件的商务技术部分以打分的形式进行评审和评价。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6、商务技术分按评委的算术平均值计算（计算结果均四舍五入保留两位小数）。</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7、开启投标人的价格报价标，现场唱标后由投标人代表在苏采云系统确认。</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8、投标人的价格标评审得分直接计算取得，并与其商务技术标得分相加为该投标人的综合得分（计算结果均四舍五入保留两位小数）。</w:t>
      </w:r>
    </w:p>
    <w:p>
      <w:pPr>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9、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七、关于投标价格评审</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1、针对投标价格实质响应的评审</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2、针对投标价格合理性的评审</w:t>
      </w:r>
    </w:p>
    <w:bookmarkEnd w:id="76"/>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p>
    <w:p>
      <w:pPr>
        <w:spacing w:line="360" w:lineRule="auto"/>
        <w:ind w:firstLine="480"/>
        <w:rPr>
          <w:rFonts w:ascii="宋体" w:hAnsi="宋体" w:eastAsia="宋体" w:cs="宋体"/>
          <w:color w:val="auto"/>
          <w:sz w:val="24"/>
          <w:szCs w:val="24"/>
        </w:rPr>
      </w:pPr>
      <w:r>
        <w:rPr>
          <w:rFonts w:hint="eastAsia" w:ascii="宋体" w:hAnsi="宋体" w:eastAsia="宋体" w:cs="宋体"/>
          <w:b/>
          <w:bCs/>
          <w:color w:val="auto"/>
          <w:sz w:val="24"/>
          <w:szCs w:val="24"/>
        </w:rPr>
        <w:t xml:space="preserve">八、评审评分项 </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（一）商务技术标评分：（</w:t>
      </w:r>
      <w:r>
        <w:rPr>
          <w:rFonts w:hint="eastAsia" w:ascii="宋体" w:hAnsi="宋体" w:eastAsia="宋体" w:cs="宋体"/>
          <w:b/>
          <w:color w:val="auto"/>
          <w:sz w:val="24"/>
          <w:szCs w:val="24"/>
          <w:lang w:val="en-US" w:eastAsia="zh-CN"/>
        </w:rPr>
        <w:t>9</w:t>
      </w:r>
      <w:r>
        <w:rPr>
          <w:rFonts w:hint="eastAsia" w:ascii="宋体" w:hAnsi="宋体" w:eastAsia="宋体" w:cs="宋体"/>
          <w:b/>
          <w:color w:val="auto"/>
          <w:sz w:val="24"/>
          <w:szCs w:val="24"/>
        </w:rPr>
        <w:t>0分）</w:t>
      </w:r>
    </w:p>
    <w:tbl>
      <w:tblPr>
        <w:tblStyle w:val="43"/>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1291"/>
        <w:gridCol w:w="6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1269" w:type="dxa"/>
            <w:noWrap w:val="0"/>
            <w:vAlign w:val="center"/>
          </w:tcPr>
          <w:p>
            <w:pPr>
              <w:keepNext w:val="0"/>
              <w:keepLines w:val="0"/>
              <w:pageBreakBefore w:val="0"/>
              <w:widowControl/>
              <w:spacing w:line="360" w:lineRule="auto"/>
              <w:ind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序号</w:t>
            </w:r>
          </w:p>
        </w:tc>
        <w:tc>
          <w:tcPr>
            <w:tcW w:w="1291" w:type="dxa"/>
            <w:noWrap w:val="0"/>
            <w:vAlign w:val="center"/>
          </w:tcPr>
          <w:p>
            <w:pPr>
              <w:keepNext w:val="0"/>
              <w:keepLines w:val="0"/>
              <w:pageBreakBefore w:val="0"/>
              <w:widowControl/>
              <w:spacing w:line="360" w:lineRule="auto"/>
              <w:ind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6772"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评审因素细化和量化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269" w:type="dxa"/>
            <w:noWrap w:val="0"/>
            <w:vAlign w:val="center"/>
          </w:tcPr>
          <w:p>
            <w:pPr>
              <w:keepNext w:val="0"/>
              <w:keepLines w:val="0"/>
              <w:pageBreakBefore w:val="0"/>
              <w:widowControl/>
              <w:spacing w:line="360" w:lineRule="auto"/>
              <w:ind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91" w:type="dxa"/>
            <w:noWrap w:val="0"/>
            <w:vAlign w:val="center"/>
          </w:tcPr>
          <w:p>
            <w:pPr>
              <w:spacing w:line="360" w:lineRule="auto"/>
              <w:ind w:firstLine="0"/>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企业实力（2分）</w:t>
            </w:r>
          </w:p>
        </w:tc>
        <w:tc>
          <w:tcPr>
            <w:tcW w:w="6772" w:type="dxa"/>
            <w:noWrap w:val="0"/>
            <w:vAlign w:val="center"/>
          </w:tcPr>
          <w:p>
            <w:pPr>
              <w:numPr>
                <w:ilvl w:val="-1"/>
                <w:numId w:val="0"/>
              </w:numPr>
              <w:spacing w:line="360" w:lineRule="auto"/>
              <w:ind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具有质量管理体系认证证书且在有效期内的，得2分。提供证书复印件。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91" w:type="dxa"/>
            <w:noWrap w:val="0"/>
            <w:vAlign w:val="center"/>
          </w:tcPr>
          <w:p>
            <w:pPr>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类似业绩</w:t>
            </w:r>
          </w:p>
          <w:p>
            <w:pPr>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val="en-US" w:eastAsia="zh-CN"/>
              </w:rPr>
              <w:t>20</w:t>
            </w:r>
            <w:r>
              <w:rPr>
                <w:rFonts w:hint="eastAsia" w:ascii="宋体" w:hAnsi="宋体" w:eastAsia="宋体" w:cs="宋体"/>
                <w:color w:val="auto"/>
                <w:sz w:val="24"/>
                <w:szCs w:val="24"/>
                <w:u w:val="none"/>
              </w:rPr>
              <w:t>分）</w:t>
            </w:r>
          </w:p>
        </w:tc>
        <w:tc>
          <w:tcPr>
            <w:tcW w:w="6772" w:type="dxa"/>
            <w:noWrap w:val="0"/>
            <w:vAlign w:val="center"/>
          </w:tcPr>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供应商自2019年1月1日以来承担过国家级森林公园及以上等级自然保护地法律法规、规范制度编制。每有一个得1.5分，最高得3分；</w:t>
            </w:r>
          </w:p>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供应商自2019年1月1日以来（以合同签订时间为准）承担过国家级森林公园及以上总体规划的，每有一个得3分，最高得12分；</w:t>
            </w:r>
          </w:p>
          <w:p>
            <w:pPr>
              <w:numPr>
                <w:ilvl w:val="0"/>
                <w:numId w:val="3"/>
              </w:numPr>
              <w:spacing w:line="360" w:lineRule="auto"/>
              <w:ind w:left="0" w:leftChars="0" w:firstLine="0" w:firstLineChars="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供应商自2019年1月1日以来（以合同签订时间为准）承担过5A以上景区旅游规划的，每有一个得2分，最高得4分；</w:t>
            </w:r>
          </w:p>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供应商自2019年1月1日以来（以合同签订时间为准）承担过国土空间规划的，每有一个得1分，最高得1分.</w:t>
            </w:r>
            <w:r>
              <w:rPr>
                <w:rFonts w:hint="eastAsia" w:ascii="宋体" w:hAnsi="宋体" w:eastAsia="宋体" w:cs="宋体"/>
                <w:color w:val="auto"/>
                <w:sz w:val="24"/>
                <w:szCs w:val="24"/>
                <w:lang w:val="en-US" w:eastAsia="zh-CN" w:bidi="ar-SA"/>
              </w:rPr>
              <w:br w:type="textWrapping"/>
            </w:r>
            <w:r>
              <w:rPr>
                <w:rFonts w:hint="eastAsia" w:ascii="宋体" w:hAnsi="宋体" w:eastAsia="宋体" w:cs="宋体"/>
                <w:b/>
                <w:bCs/>
                <w:color w:val="auto"/>
                <w:sz w:val="24"/>
                <w:szCs w:val="24"/>
                <w:lang w:val="en-US" w:eastAsia="zh-CN" w:bidi="ar-SA"/>
              </w:rPr>
              <w:t>注：1.法律法规编制的业绩，需提供证明材料，否则不得分；</w:t>
            </w:r>
          </w:p>
          <w:p>
            <w:pPr>
              <w:numPr>
                <w:ilvl w:val="0"/>
                <w:numId w:val="4"/>
              </w:numPr>
              <w:spacing w:line="360" w:lineRule="auto"/>
              <w:ind w:left="0" w:leftChars="0" w:firstLine="0" w:firstLineChars="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总规编制业绩、旅游规划业绩、国土空间规划业绩，投标文件中提供中标（成交）公告网站截图、中标（成交）通知书及合同复印件并加盖公章，三者必须同时具备，否则不得分。如合同无法体现签订时间，则还需提供采购人提供的相关证明材料。</w:t>
            </w:r>
          </w:p>
          <w:p>
            <w:pPr>
              <w:numPr>
                <w:ilvl w:val="0"/>
                <w:numId w:val="4"/>
              </w:numPr>
              <w:spacing w:line="360" w:lineRule="auto"/>
              <w:ind w:left="0" w:leftChars="0" w:firstLine="0" w:firstLineChars="0"/>
              <w:rPr>
                <w:rFonts w:hint="default"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国家级森林公园及以上等级自然保护地指国家公园、国家级自然保护地（森林类）等。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0"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获奖情况</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6772" w:type="dxa"/>
            <w:noWrap w:val="0"/>
            <w:vAlign w:val="center"/>
          </w:tcPr>
          <w:p>
            <w:pPr>
              <w:numPr>
                <w:ilvl w:val="0"/>
                <w:numId w:val="5"/>
              </w:num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SA"/>
              </w:rPr>
              <w:t>供应商自2019年1月1日以承担自然保护地类总体规划项目获得国家级、省部级三等奖及以上奖项，每有一个得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最高得6</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pPr>
              <w:numPr>
                <w:ilvl w:val="0"/>
                <w:numId w:val="5"/>
              </w:num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供应商自2019年1月1日以承担项目获得旅游类规划国家级、省部级三等奖及以上奖项，每有一个得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最高得4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pPr>
              <w:widowControl/>
              <w:numPr>
                <w:ilvl w:val="0"/>
                <w:numId w:val="0"/>
              </w:numPr>
              <w:spacing w:line="360" w:lineRule="auto"/>
              <w:jc w:val="lef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注：</w:t>
            </w:r>
            <w:r>
              <w:rPr>
                <w:rFonts w:hint="eastAsia" w:ascii="宋体" w:hAnsi="宋体" w:eastAsia="宋体" w:cs="宋体"/>
                <w:b/>
                <w:bCs/>
                <w:color w:val="auto"/>
                <w:sz w:val="24"/>
                <w:szCs w:val="24"/>
                <w:lang w:val="en-US" w:eastAsia="zh-CN" w:bidi="ar-SA"/>
              </w:rPr>
              <w:t>投标文件中提供获奖相关证明材料。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项目实施方案（</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分）</w:t>
            </w:r>
          </w:p>
        </w:tc>
        <w:tc>
          <w:tcPr>
            <w:tcW w:w="6772" w:type="dxa"/>
            <w:noWrap w:val="0"/>
            <w:vAlign w:val="center"/>
          </w:tcPr>
          <w:p>
            <w:pPr>
              <w:keepNext w:val="0"/>
              <w:keepLines w:val="0"/>
              <w:pageBreakBefore w:val="0"/>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对项目思路理念、技术方法的全面性、科学性、可操作性等内容进行综合评定，</w:t>
            </w:r>
            <w:r>
              <w:rPr>
                <w:rFonts w:hint="eastAsia" w:ascii="宋体" w:hAnsi="宋体" w:eastAsia="宋体" w:cs="宋体"/>
                <w:bCs w:val="0"/>
                <w:color w:val="auto"/>
                <w:sz w:val="24"/>
                <w:szCs w:val="24"/>
              </w:rPr>
              <w:t>包括以下内容</w:t>
            </w:r>
            <w:r>
              <w:rPr>
                <w:rFonts w:hint="eastAsia" w:ascii="宋体" w:hAnsi="宋体" w:eastAsia="宋体" w:cs="宋体"/>
                <w:color w:val="auto"/>
                <w:sz w:val="24"/>
                <w:szCs w:val="24"/>
              </w:rPr>
              <w:t>：</w:t>
            </w:r>
          </w:p>
          <w:p>
            <w:pPr>
              <w:keepNext w:val="0"/>
              <w:keepLines w:val="0"/>
              <w:pageBreakBefore w:val="0"/>
              <w:widowControl/>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1、初步评估上一轮总规情况。</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分，全面性差的得1分，未提供不得分。</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b w:val="0"/>
                <w:color w:val="auto"/>
                <w:sz w:val="24"/>
                <w:szCs w:val="24"/>
                <w:lang w:val="en-US" w:eastAsia="zh-CN"/>
              </w:rPr>
              <w:t>2、</w:t>
            </w:r>
            <w:r>
              <w:rPr>
                <w:rFonts w:hint="eastAsia" w:ascii="宋体" w:hAnsi="宋体" w:eastAsia="宋体" w:cs="宋体"/>
                <w:b w:val="0"/>
                <w:color w:val="auto"/>
                <w:sz w:val="24"/>
                <w:szCs w:val="24"/>
                <w:lang w:eastAsia="zh-CN"/>
              </w:rPr>
              <w:t>根据</w:t>
            </w:r>
            <w:r>
              <w:rPr>
                <w:rFonts w:hint="eastAsia" w:ascii="宋体" w:hAnsi="宋体" w:eastAsia="宋体" w:cs="宋体"/>
                <w:b w:val="0"/>
                <w:color w:val="auto"/>
                <w:sz w:val="24"/>
                <w:szCs w:val="24"/>
              </w:rPr>
              <w:t>狼山国家森林公园</w:t>
            </w:r>
            <w:r>
              <w:rPr>
                <w:rFonts w:hint="eastAsia" w:ascii="宋体" w:hAnsi="宋体" w:eastAsia="宋体" w:cs="宋体"/>
                <w:b w:val="0"/>
                <w:color w:val="auto"/>
                <w:sz w:val="24"/>
                <w:szCs w:val="24"/>
                <w:lang w:eastAsia="zh-CN"/>
              </w:rPr>
              <w:t>最新现状，提出森林公园</w:t>
            </w:r>
            <w:r>
              <w:rPr>
                <w:rFonts w:hint="eastAsia" w:ascii="宋体" w:hAnsi="宋体" w:eastAsia="宋体" w:cs="宋体"/>
                <w:b w:val="0"/>
                <w:color w:val="auto"/>
                <w:sz w:val="24"/>
                <w:szCs w:val="24"/>
              </w:rPr>
              <w:t>总体目标</w:t>
            </w:r>
            <w:r>
              <w:rPr>
                <w:rFonts w:hint="eastAsia" w:ascii="宋体" w:hAnsi="宋体" w:eastAsia="宋体" w:cs="宋体"/>
                <w:b w:val="0"/>
                <w:color w:val="auto"/>
                <w:sz w:val="24"/>
                <w:szCs w:val="24"/>
                <w:lang w:eastAsia="zh-CN"/>
              </w:rPr>
              <w:t>及用地</w:t>
            </w:r>
            <w:r>
              <w:rPr>
                <w:rFonts w:hint="eastAsia" w:ascii="宋体" w:hAnsi="宋体" w:eastAsia="宋体" w:cs="宋体"/>
                <w:b w:val="0"/>
                <w:color w:val="auto"/>
                <w:sz w:val="24"/>
                <w:szCs w:val="24"/>
              </w:rPr>
              <w:t>布局；</w:t>
            </w:r>
            <w:r>
              <w:rPr>
                <w:rFonts w:hint="eastAsia" w:ascii="宋体" w:hAnsi="宋体" w:eastAsia="宋体" w:cs="宋体"/>
                <w:b w:val="0"/>
                <w:color w:val="auto"/>
                <w:sz w:val="24"/>
                <w:szCs w:val="24"/>
                <w:lang w:eastAsia="zh-CN"/>
              </w:rPr>
              <w:t>对</w:t>
            </w:r>
            <w:r>
              <w:rPr>
                <w:rFonts w:hint="eastAsia" w:ascii="宋体" w:hAnsi="宋体" w:eastAsia="宋体" w:cs="宋体"/>
                <w:b w:val="0"/>
                <w:color w:val="auto"/>
                <w:sz w:val="24"/>
                <w:szCs w:val="24"/>
                <w:lang w:val="en-US" w:eastAsia="zh-CN"/>
              </w:rPr>
              <w:t>森林景观、旅游设施、生态保护、基础设施</w:t>
            </w:r>
            <w:r>
              <w:rPr>
                <w:rFonts w:hint="eastAsia" w:ascii="宋体" w:hAnsi="宋体" w:eastAsia="宋体" w:cs="宋体"/>
                <w:b w:val="0"/>
                <w:color w:val="auto"/>
                <w:sz w:val="24"/>
                <w:szCs w:val="24"/>
              </w:rPr>
              <w:t>等</w:t>
            </w:r>
            <w:r>
              <w:rPr>
                <w:rFonts w:hint="eastAsia" w:ascii="宋体" w:hAnsi="宋体" w:eastAsia="宋体" w:cs="宋体"/>
                <w:b w:val="0"/>
                <w:color w:val="auto"/>
                <w:sz w:val="24"/>
                <w:szCs w:val="24"/>
                <w:lang w:val="en-US" w:eastAsia="zh-CN"/>
              </w:rPr>
              <w:t>公园更新提出最新方案</w:t>
            </w:r>
            <w:r>
              <w:rPr>
                <w:rFonts w:hint="eastAsia" w:ascii="宋体" w:hAnsi="宋体" w:eastAsia="宋体" w:cs="宋体"/>
                <w:b w:val="0"/>
                <w:color w:val="auto"/>
                <w:sz w:val="24"/>
                <w:szCs w:val="24"/>
              </w:rPr>
              <w:t>。</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分，未提供不得分。</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b w:val="0"/>
                <w:color w:val="auto"/>
                <w:sz w:val="24"/>
                <w:szCs w:val="24"/>
                <w:lang w:val="en-US" w:eastAsia="zh-CN"/>
              </w:rPr>
              <w:t>3、对</w:t>
            </w:r>
            <w:r>
              <w:rPr>
                <w:rFonts w:hint="eastAsia" w:ascii="宋体" w:hAnsi="宋体" w:eastAsia="宋体" w:cs="宋体"/>
                <w:b w:val="0"/>
                <w:color w:val="auto"/>
                <w:sz w:val="24"/>
                <w:szCs w:val="24"/>
                <w:lang w:eastAsia="zh-CN"/>
              </w:rPr>
              <w:t>民博园等地块总规调整、详</w:t>
            </w:r>
            <w:r>
              <w:rPr>
                <w:rFonts w:hint="eastAsia" w:ascii="宋体" w:hAnsi="宋体" w:eastAsia="宋体" w:cs="宋体"/>
                <w:b w:val="0"/>
                <w:color w:val="auto"/>
                <w:sz w:val="24"/>
                <w:szCs w:val="24"/>
                <w:lang w:val="en-US" w:eastAsia="zh-CN"/>
              </w:rPr>
              <w:t>规</w:t>
            </w:r>
            <w:r>
              <w:rPr>
                <w:rFonts w:hint="eastAsia" w:ascii="宋体" w:hAnsi="宋体" w:eastAsia="宋体" w:cs="宋体"/>
                <w:b w:val="0"/>
                <w:color w:val="auto"/>
                <w:sz w:val="24"/>
                <w:szCs w:val="24"/>
                <w:lang w:eastAsia="zh-CN"/>
              </w:rPr>
              <w:t>设计、手续完善提出具体解决方案。</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分，未提供不得分。</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4、其他总规相关</w:t>
            </w:r>
            <w:r>
              <w:rPr>
                <w:rFonts w:hint="eastAsia" w:ascii="宋体" w:hAnsi="宋体" w:eastAsia="宋体" w:cs="宋体"/>
                <w:color w:val="auto"/>
                <w:sz w:val="24"/>
                <w:szCs w:val="24"/>
              </w:rPr>
              <w:t>思路理念、技术方法</w:t>
            </w:r>
            <w:r>
              <w:rPr>
                <w:rFonts w:hint="eastAsia" w:ascii="宋体" w:hAnsi="宋体" w:eastAsia="宋体" w:cs="宋体"/>
                <w:color w:val="auto"/>
                <w:sz w:val="24"/>
                <w:szCs w:val="24"/>
                <w:lang w:eastAsia="zh-CN"/>
              </w:rPr>
              <w:t>、操作方法。</w:t>
            </w:r>
            <w:r>
              <w:rPr>
                <w:rFonts w:hint="eastAsia" w:ascii="宋体" w:hAnsi="宋体" w:eastAsia="宋体" w:cs="宋体"/>
                <w:b w:val="0"/>
                <w:color w:val="auto"/>
                <w:sz w:val="24"/>
                <w:szCs w:val="24"/>
                <w:lang w:eastAsia="zh-CN"/>
              </w:rPr>
              <w:t>（结合招标文件项目需求）</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分，全面性差的得1分，未提供不得分。</w:t>
            </w:r>
          </w:p>
          <w:p>
            <w:pPr>
              <w:keepNext w:val="0"/>
              <w:keepLines w:val="0"/>
              <w:pageBreakBefore w:val="0"/>
              <w:widowControl/>
              <w:spacing w:line="360" w:lineRule="auto"/>
              <w:ind w:firstLine="480"/>
              <w:rPr>
                <w:rFonts w:hint="eastAsia" w:ascii="宋体" w:hAnsi="宋体" w:eastAsia="宋体" w:cs="宋体"/>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38" w:hRule="atLeast"/>
          <w:jc w:val="center"/>
        </w:trPr>
        <w:tc>
          <w:tcPr>
            <w:tcW w:w="1269" w:type="dxa"/>
            <w:noWrap w:val="0"/>
            <w:vAlign w:val="center"/>
          </w:tcPr>
          <w:p>
            <w:pPr>
              <w:keepNext w:val="0"/>
              <w:keepLines w:val="0"/>
              <w:pageBreakBefore w:val="0"/>
              <w:widowControl/>
              <w:spacing w:line="360" w:lineRule="auto"/>
              <w:ind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质量保证措施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772" w:type="dxa"/>
            <w:noWrap w:val="0"/>
            <w:vAlign w:val="center"/>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spacing w:line="360" w:lineRule="auto"/>
              <w:ind w:firstLine="48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对供应商的质量保证措施进行评分</w:t>
            </w:r>
            <w:r>
              <w:rPr>
                <w:rFonts w:hint="eastAsia" w:ascii="宋体" w:hAnsi="宋体" w:eastAsia="宋体" w:cs="宋体"/>
                <w:color w:val="auto"/>
                <w:sz w:val="24"/>
                <w:szCs w:val="24"/>
                <w:lang w:val="en-US" w:eastAsia="zh-CN"/>
              </w:rPr>
              <w:t>：质量保证措施</w:t>
            </w:r>
            <w:r>
              <w:rPr>
                <w:rFonts w:hint="eastAsia" w:ascii="宋体" w:hAnsi="宋体" w:eastAsia="宋体" w:cs="宋体"/>
                <w:color w:val="auto"/>
                <w:sz w:val="24"/>
                <w:szCs w:val="24"/>
              </w:rPr>
              <w:t>全面，有质量控制、进度控制、资料管理、信息管理、工作协调等保证措施，且全面可行，得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全面性一般、可行性一般，得2分；全面性较差、可行性较差，得1分，不提供不得分。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strike w:val="0"/>
                <w:color w:val="auto"/>
                <w:sz w:val="24"/>
                <w:szCs w:val="24"/>
                <w:lang w:val="en-US" w:eastAsia="zh-CN"/>
              </w:rPr>
            </w:pPr>
            <w:r>
              <w:rPr>
                <w:rFonts w:hint="eastAsia" w:ascii="宋体" w:hAnsi="宋体" w:eastAsia="宋体" w:cs="宋体"/>
                <w:strike w:val="0"/>
                <w:color w:val="auto"/>
                <w:sz w:val="24"/>
                <w:szCs w:val="24"/>
                <w:lang w:val="en-US" w:eastAsia="zh-CN"/>
              </w:rPr>
              <w:t>6</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现场服务</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772" w:type="dxa"/>
            <w:noWrap w:val="0"/>
            <w:vAlign w:val="center"/>
          </w:tcPr>
          <w:p>
            <w:pPr>
              <w:numPr>
                <w:ilvl w:val="-1"/>
                <w:numId w:val="0"/>
              </w:numPr>
              <w:pBdr>
                <w:top w:val="none" w:color="auto" w:sz="0" w:space="0"/>
                <w:left w:val="none" w:color="auto" w:sz="0" w:space="0"/>
                <w:bottom w:val="none" w:color="auto" w:sz="0" w:space="0"/>
                <w:right w:val="none" w:color="auto" w:sz="0" w:space="0"/>
              </w:pBdr>
              <w:spacing w:before="0" w:after="0" w:line="360" w:lineRule="auto"/>
              <w:ind w:left="0"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有专职驻场工程师，得4分，提供承诺函（格式自拟）。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7" w:hRule="atLeast"/>
          <w:jc w:val="center"/>
        </w:trPr>
        <w:tc>
          <w:tcPr>
            <w:tcW w:w="1269" w:type="dxa"/>
            <w:noWrap w:val="0"/>
            <w:vAlign w:val="center"/>
          </w:tcPr>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p>
        </w:tc>
        <w:tc>
          <w:tcPr>
            <w:tcW w:w="1291" w:type="dxa"/>
            <w:noWrap w:val="0"/>
            <w:vAlign w:val="center"/>
          </w:tcPr>
          <w:p>
            <w:pPr>
              <w:keepNext w:val="0"/>
              <w:keepLines w:val="0"/>
              <w:pageBreakBefore w:val="0"/>
              <w:widowControl/>
              <w:spacing w:line="360" w:lineRule="auto"/>
              <w:ind w:right="0" w:firstLine="0"/>
              <w:jc w:val="lef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拟投入本项目的人员情况</w:t>
            </w:r>
          </w:p>
          <w:p>
            <w:pPr>
              <w:spacing w:line="360" w:lineRule="auto"/>
              <w:ind w:firstLine="0"/>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29分</w:t>
            </w:r>
            <w:r>
              <w:rPr>
                <w:rFonts w:hint="eastAsia" w:ascii="宋体" w:hAnsi="宋体" w:eastAsia="宋体" w:cs="宋体"/>
                <w:b w:val="0"/>
                <w:bCs w:val="0"/>
                <w:color w:val="auto"/>
                <w:sz w:val="24"/>
                <w:szCs w:val="24"/>
                <w:lang w:eastAsia="zh-CN"/>
              </w:rPr>
              <w:t>）</w:t>
            </w:r>
          </w:p>
        </w:tc>
        <w:tc>
          <w:tcPr>
            <w:tcW w:w="6772" w:type="dxa"/>
            <w:noWrap w:val="0"/>
            <w:vAlign w:val="center"/>
          </w:tcPr>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拟派项目负责人拥有</w:t>
            </w:r>
            <w:r>
              <w:rPr>
                <w:rFonts w:hint="eastAsia" w:ascii="宋体" w:hAnsi="宋体" w:eastAsia="宋体" w:cs="宋体"/>
                <w:color w:val="auto"/>
                <w:sz w:val="24"/>
                <w:szCs w:val="24"/>
                <w:lang w:eastAsia="zh-CN"/>
              </w:rPr>
              <w:t>正</w:t>
            </w:r>
            <w:r>
              <w:rPr>
                <w:rFonts w:hint="eastAsia" w:ascii="宋体" w:hAnsi="宋体" w:eastAsia="宋体" w:cs="宋体"/>
                <w:color w:val="auto"/>
                <w:sz w:val="24"/>
                <w:szCs w:val="24"/>
              </w:rPr>
              <w:t>高级职称</w:t>
            </w:r>
            <w:r>
              <w:rPr>
                <w:rFonts w:hint="eastAsia" w:ascii="宋体" w:hAnsi="宋体" w:eastAsia="宋体" w:cs="宋体"/>
                <w:color w:val="auto"/>
                <w:sz w:val="24"/>
                <w:szCs w:val="24"/>
                <w:lang w:val="en-US" w:eastAsia="zh-CN"/>
              </w:rPr>
              <w:t>且为</w:t>
            </w:r>
            <w:r>
              <w:rPr>
                <w:rFonts w:hint="eastAsia" w:ascii="宋体" w:hAnsi="宋体" w:eastAsia="宋体" w:cs="宋体"/>
                <w:color w:val="auto"/>
                <w:sz w:val="24"/>
                <w:szCs w:val="24"/>
                <w:lang w:eastAsia="zh-CN"/>
              </w:rPr>
              <w:t>注册规划师</w:t>
            </w:r>
            <w:r>
              <w:rPr>
                <w:rFonts w:hint="eastAsia" w:ascii="宋体" w:hAnsi="宋体" w:eastAsia="宋体" w:cs="宋体"/>
                <w:color w:val="auto"/>
                <w:sz w:val="24"/>
                <w:szCs w:val="24"/>
              </w:rPr>
              <w:t>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rPr>
              <w:t>。</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供应商对本项目拟派出的技术负责人（除项目负责人外）具有</w:t>
            </w:r>
            <w:r>
              <w:rPr>
                <w:rFonts w:hint="eastAsia" w:ascii="宋体" w:hAnsi="宋体" w:eastAsia="宋体" w:cs="宋体"/>
                <w:color w:val="auto"/>
                <w:sz w:val="24"/>
                <w:szCs w:val="24"/>
                <w:lang w:eastAsia="zh-CN"/>
              </w:rPr>
              <w:t>副</w:t>
            </w:r>
            <w:r>
              <w:rPr>
                <w:rFonts w:hint="eastAsia" w:ascii="宋体" w:hAnsi="宋体" w:eastAsia="宋体" w:cs="宋体"/>
                <w:color w:val="auto"/>
                <w:sz w:val="24"/>
                <w:szCs w:val="24"/>
              </w:rPr>
              <w:t>高级</w:t>
            </w:r>
            <w:r>
              <w:rPr>
                <w:rFonts w:hint="eastAsia" w:ascii="宋体" w:hAnsi="宋体" w:eastAsia="宋体" w:cs="宋体"/>
                <w:color w:val="auto"/>
                <w:sz w:val="24"/>
                <w:szCs w:val="24"/>
                <w:lang w:val="en-US" w:eastAsia="zh-CN"/>
              </w:rPr>
              <w:t>及以上</w:t>
            </w:r>
            <w:r>
              <w:rPr>
                <w:rFonts w:hint="eastAsia" w:ascii="宋体" w:hAnsi="宋体" w:eastAsia="宋体" w:cs="宋体"/>
                <w:color w:val="auto"/>
                <w:sz w:val="24"/>
                <w:szCs w:val="24"/>
              </w:rPr>
              <w:t>职称的得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分，中级职称的得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（相同专业最多计入</w:t>
            </w:r>
            <w:r>
              <w:rPr>
                <w:rFonts w:hint="eastAsia" w:ascii="宋体" w:hAnsi="宋体" w:eastAsia="宋体" w:cs="宋体"/>
                <w:color w:val="auto"/>
                <w:sz w:val="24"/>
                <w:szCs w:val="24"/>
                <w:lang w:val="en-US" w:eastAsia="zh-CN"/>
              </w:rPr>
              <w:t>2次</w:t>
            </w:r>
            <w:r>
              <w:rPr>
                <w:rFonts w:hint="eastAsia" w:ascii="宋体" w:hAnsi="宋体" w:eastAsia="宋体" w:cs="宋体"/>
                <w:color w:val="auto"/>
                <w:sz w:val="24"/>
                <w:szCs w:val="24"/>
                <w:lang w:eastAsia="zh-CN"/>
              </w:rPr>
              <w:t>）</w:t>
            </w:r>
          </w:p>
          <w:p>
            <w:pPr>
              <w:numPr>
                <w:ilvl w:val="-1"/>
                <w:numId w:val="0"/>
              </w:numPr>
              <w:spacing w:line="360" w:lineRule="auto"/>
              <w:ind w:firstLine="48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项目组成员</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注：包括项目负责人和技术负责人，每位成员最多承担1个专业，以最高分计分）</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1）项目组成员中</w:t>
            </w:r>
            <w:r>
              <w:rPr>
                <w:rFonts w:hint="eastAsia" w:ascii="宋体" w:hAnsi="宋体" w:eastAsia="宋体" w:cs="宋体"/>
                <w:color w:val="auto"/>
                <w:sz w:val="24"/>
                <w:szCs w:val="24"/>
              </w:rPr>
              <w:t>具有</w:t>
            </w:r>
            <w:r>
              <w:rPr>
                <w:rFonts w:hint="eastAsia" w:ascii="宋体" w:hAnsi="宋体" w:eastAsia="宋体" w:cs="宋体"/>
                <w:color w:val="auto"/>
                <w:sz w:val="24"/>
                <w:szCs w:val="24"/>
                <w:lang w:eastAsia="zh-CN"/>
              </w:rPr>
              <w:t>林学类（</w:t>
            </w:r>
            <w:r>
              <w:rPr>
                <w:rFonts w:hint="eastAsia" w:ascii="宋体" w:hAnsi="宋体" w:eastAsia="宋体" w:cs="宋体"/>
                <w:i w:val="0"/>
                <w:iCs w:val="0"/>
                <w:caps w:val="0"/>
                <w:color w:val="auto"/>
                <w:spacing w:val="0"/>
                <w:sz w:val="24"/>
                <w:szCs w:val="24"/>
                <w:shd w:val="clear"/>
              </w:rPr>
              <w:t>林学、园林、森林保护、智慧林业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园林植物与观赏园艺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野生动植物保护与利用</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每有一个专业得1分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满分3分，提供证明材料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2）项目组成员中具有</w:t>
            </w:r>
            <w:r>
              <w:rPr>
                <w:rFonts w:hint="eastAsia" w:ascii="宋体" w:hAnsi="宋体" w:eastAsia="宋体" w:cs="宋体"/>
                <w:color w:val="auto"/>
                <w:sz w:val="24"/>
                <w:szCs w:val="24"/>
              </w:rPr>
              <w:t>城市规划类</w:t>
            </w:r>
            <w:r>
              <w:rPr>
                <w:rFonts w:hint="eastAsia" w:ascii="宋体" w:hAnsi="宋体" w:eastAsia="宋体" w:cs="宋体"/>
                <w:color w:val="auto"/>
                <w:sz w:val="24"/>
                <w:szCs w:val="24"/>
                <w:lang w:eastAsia="zh-CN"/>
              </w:rPr>
              <w:t>（城市规划、风景园林等），</w:t>
            </w:r>
            <w:r>
              <w:rPr>
                <w:rFonts w:hint="eastAsia" w:ascii="宋体" w:hAnsi="宋体" w:eastAsia="宋体" w:cs="宋体"/>
                <w:color w:val="auto"/>
                <w:sz w:val="24"/>
                <w:szCs w:val="24"/>
                <w:lang w:val="en-US" w:eastAsia="zh-CN"/>
              </w:rPr>
              <w:t>每有一个专业得1分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，满分3分，提供证明材料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3）项目组成员中具有</w:t>
            </w:r>
            <w:r>
              <w:rPr>
                <w:rFonts w:hint="eastAsia" w:ascii="宋体" w:hAnsi="宋体" w:eastAsia="宋体" w:cs="宋体"/>
                <w:color w:val="auto"/>
                <w:sz w:val="24"/>
                <w:szCs w:val="24"/>
                <w:lang w:eastAsia="zh-CN"/>
              </w:rPr>
              <w:t>旅游类（经济学、旅游管理等），</w:t>
            </w:r>
            <w:r>
              <w:rPr>
                <w:rFonts w:hint="eastAsia" w:ascii="宋体" w:hAnsi="宋体" w:eastAsia="宋体" w:cs="宋体"/>
                <w:color w:val="auto"/>
                <w:sz w:val="24"/>
                <w:szCs w:val="24"/>
                <w:lang w:val="en-US" w:eastAsia="zh-CN"/>
              </w:rPr>
              <w:t>每有一个专业得0.5分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，满分1分，提供证明材料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4）项目组成员中具有</w:t>
            </w:r>
            <w:r>
              <w:rPr>
                <w:rFonts w:hint="eastAsia" w:ascii="宋体" w:hAnsi="宋体" w:eastAsia="宋体" w:cs="宋体"/>
                <w:color w:val="auto"/>
                <w:sz w:val="24"/>
                <w:szCs w:val="24"/>
              </w:rPr>
              <w:t>建筑类专业得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5）项目组成员中具有</w:t>
            </w:r>
            <w:r>
              <w:rPr>
                <w:rFonts w:hint="eastAsia" w:ascii="宋体" w:hAnsi="宋体" w:eastAsia="宋体" w:cs="宋体"/>
                <w:color w:val="auto"/>
                <w:sz w:val="24"/>
                <w:szCs w:val="24"/>
              </w:rPr>
              <w:t>交通类专业得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市政类专业得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环境工程类专业得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地理信息类专业得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lang w:eastAsia="zh-CN"/>
              </w:rPr>
              <w:t>测绘类</w:t>
            </w:r>
            <w:r>
              <w:rPr>
                <w:rFonts w:hint="eastAsia" w:ascii="宋体" w:hAnsi="宋体" w:eastAsia="宋体" w:cs="宋体"/>
                <w:color w:val="auto"/>
                <w:sz w:val="24"/>
                <w:szCs w:val="24"/>
              </w:rPr>
              <w:t>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供应商对本项目拟派出的</w:t>
            </w:r>
            <w:r>
              <w:rPr>
                <w:rFonts w:hint="eastAsia" w:ascii="宋体" w:hAnsi="宋体" w:eastAsia="宋体" w:cs="宋体"/>
                <w:color w:val="auto"/>
                <w:sz w:val="24"/>
                <w:szCs w:val="24"/>
                <w:lang w:eastAsia="zh-CN"/>
              </w:rPr>
              <w:t>人员</w:t>
            </w:r>
            <w:r>
              <w:rPr>
                <w:rFonts w:hint="eastAsia" w:ascii="宋体" w:hAnsi="宋体" w:eastAsia="宋体" w:cs="宋体"/>
                <w:color w:val="auto"/>
                <w:sz w:val="24"/>
                <w:szCs w:val="24"/>
              </w:rPr>
              <w:t>（除项目负责人外）具有</w:t>
            </w:r>
            <w:r>
              <w:rPr>
                <w:rFonts w:hint="eastAsia" w:ascii="宋体" w:hAnsi="宋体" w:eastAsia="宋体" w:cs="宋体"/>
                <w:color w:val="auto"/>
                <w:sz w:val="24"/>
                <w:szCs w:val="24"/>
                <w:lang w:eastAsia="zh-CN"/>
              </w:rPr>
              <w:t>博士学历</w:t>
            </w:r>
            <w:r>
              <w:rPr>
                <w:rFonts w:hint="eastAsia" w:ascii="宋体" w:hAnsi="宋体" w:eastAsia="宋体" w:cs="宋体"/>
                <w:color w:val="auto"/>
                <w:sz w:val="24"/>
                <w:szCs w:val="24"/>
              </w:rPr>
              <w:t>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，硕士学历得</w:t>
            </w:r>
            <w:r>
              <w:rPr>
                <w:rFonts w:hint="eastAsia" w:ascii="宋体" w:hAnsi="宋体" w:eastAsia="宋体" w:cs="宋体"/>
                <w:color w:val="auto"/>
                <w:sz w:val="24"/>
                <w:szCs w:val="24"/>
                <w:lang w:val="en-US" w:eastAsia="zh-CN"/>
              </w:rPr>
              <w:t>0.5分，</w:t>
            </w:r>
            <w:r>
              <w:rPr>
                <w:rFonts w:hint="eastAsia" w:ascii="宋体" w:hAnsi="宋体" w:eastAsia="宋体" w:cs="宋体"/>
                <w:color w:val="auto"/>
                <w:sz w:val="24"/>
                <w:szCs w:val="24"/>
              </w:rPr>
              <w:t>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同一个人只能计入一次。</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5、具有</w:t>
            </w:r>
            <w:r>
              <w:rPr>
                <w:rFonts w:hint="eastAsia" w:ascii="宋体" w:hAnsi="宋体" w:eastAsia="宋体" w:cs="宋体"/>
                <w:color w:val="auto"/>
                <w:sz w:val="24"/>
                <w:szCs w:val="24"/>
                <w:lang w:eastAsia="zh-CN"/>
              </w:rPr>
              <w:t>相关专业注册执照（</w:t>
            </w:r>
            <w:r>
              <w:rPr>
                <w:rFonts w:hint="eastAsia" w:ascii="宋体" w:hAnsi="宋体" w:eastAsia="宋体" w:cs="宋体"/>
                <w:color w:val="auto"/>
                <w:sz w:val="24"/>
                <w:szCs w:val="24"/>
                <w:lang w:val="en-US" w:eastAsia="zh-CN"/>
              </w:rPr>
              <w:t>如</w:t>
            </w:r>
            <w:r>
              <w:rPr>
                <w:rFonts w:hint="eastAsia" w:ascii="宋体" w:hAnsi="宋体" w:eastAsia="宋体" w:cs="宋体"/>
                <w:color w:val="auto"/>
                <w:sz w:val="24"/>
                <w:szCs w:val="24"/>
                <w:lang w:eastAsia="zh-CN"/>
              </w:rPr>
              <w:t>专业资格证书、执业证书</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一人至多申请两项注册证作为加分项，同一专业最多二人申报，项目负责人已在第一项得分注册规划师执照不计入此项）</w:t>
            </w:r>
          </w:p>
          <w:p>
            <w:pPr>
              <w:keepNext w:val="0"/>
              <w:keepLines w:val="0"/>
              <w:pageBreakBefore w:val="0"/>
              <w:widowControl/>
              <w:spacing w:line="360" w:lineRule="auto"/>
              <w:ind w:right="0" w:firstLine="480"/>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rPr>
              <w:t>注：</w:t>
            </w:r>
            <w:r>
              <w:rPr>
                <w:rFonts w:hint="eastAsia" w:ascii="宋体" w:hAnsi="宋体" w:eastAsia="宋体" w:cs="宋体"/>
                <w:b w:val="0"/>
                <w:color w:val="auto"/>
                <w:sz w:val="24"/>
                <w:szCs w:val="24"/>
                <w:lang w:val="en-US" w:eastAsia="zh-CN"/>
              </w:rPr>
              <w:t>1.</w:t>
            </w:r>
            <w:r>
              <w:rPr>
                <w:rFonts w:hint="eastAsia" w:ascii="宋体" w:hAnsi="宋体" w:eastAsia="宋体" w:cs="宋体"/>
                <w:b w:val="0"/>
                <w:color w:val="auto"/>
                <w:sz w:val="24"/>
                <w:szCs w:val="24"/>
              </w:rPr>
              <w:t>以上人员需为本单位正式员工，</w:t>
            </w:r>
            <w:r>
              <w:rPr>
                <w:rFonts w:hint="eastAsia" w:ascii="宋体" w:hAnsi="宋体" w:eastAsia="宋体" w:cs="宋体"/>
                <w:b w:val="0"/>
                <w:color w:val="auto"/>
                <w:sz w:val="24"/>
                <w:szCs w:val="24"/>
                <w:lang w:val="en-US" w:eastAsia="zh-CN"/>
              </w:rPr>
              <w:t>且均为</w:t>
            </w:r>
            <w:r>
              <w:rPr>
                <w:rFonts w:hint="eastAsia" w:ascii="宋体" w:hAnsi="宋体" w:eastAsia="宋体" w:cs="宋体"/>
                <w:b w:val="0"/>
                <w:color w:val="auto"/>
                <w:sz w:val="24"/>
                <w:szCs w:val="24"/>
                <w:lang w:eastAsia="zh-CN"/>
              </w:rPr>
              <w:t>本项目组</w:t>
            </w:r>
            <w:r>
              <w:rPr>
                <w:rFonts w:hint="eastAsia" w:ascii="宋体" w:hAnsi="宋体" w:eastAsia="宋体" w:cs="宋体"/>
                <w:b w:val="0"/>
                <w:color w:val="auto"/>
                <w:sz w:val="24"/>
                <w:szCs w:val="24"/>
                <w:lang w:val="en-US" w:eastAsia="zh-CN"/>
              </w:rPr>
              <w:t>成员</w:t>
            </w:r>
            <w:r>
              <w:rPr>
                <w:rFonts w:hint="eastAsia" w:ascii="宋体" w:hAnsi="宋体" w:eastAsia="宋体" w:cs="宋体"/>
                <w:b w:val="0"/>
                <w:color w:val="auto"/>
                <w:sz w:val="24"/>
                <w:szCs w:val="24"/>
                <w:lang w:eastAsia="zh-CN"/>
              </w:rPr>
              <w:t>，</w:t>
            </w:r>
            <w:r>
              <w:rPr>
                <w:rFonts w:hint="eastAsia" w:ascii="宋体" w:hAnsi="宋体" w:eastAsia="宋体" w:cs="宋体"/>
                <w:b/>
                <w:bCs/>
                <w:color w:val="auto"/>
                <w:sz w:val="24"/>
                <w:szCs w:val="24"/>
                <w:lang w:eastAsia="zh-CN"/>
              </w:rPr>
              <w:t>并提供2024年8月-2024年10月中任意一个月的由人社部门出具的社会保险证明</w:t>
            </w:r>
            <w:r>
              <w:rPr>
                <w:rFonts w:hint="eastAsia" w:ascii="宋体" w:hAnsi="宋体" w:eastAsia="宋体" w:cs="宋体"/>
                <w:b w:val="0"/>
                <w:color w:val="auto"/>
                <w:sz w:val="24"/>
                <w:szCs w:val="24"/>
                <w:lang w:eastAsia="zh-CN"/>
              </w:rPr>
              <w:t>，若</w:t>
            </w:r>
            <w:r>
              <w:rPr>
                <w:rFonts w:hint="eastAsia" w:ascii="宋体" w:hAnsi="宋体" w:eastAsia="宋体" w:cs="宋体"/>
                <w:b w:val="0"/>
                <w:color w:val="auto"/>
                <w:sz w:val="24"/>
                <w:szCs w:val="24"/>
              </w:rPr>
              <w:t>为退休人员，须提供</w:t>
            </w:r>
            <w:r>
              <w:rPr>
                <w:rFonts w:hint="eastAsia" w:ascii="宋体" w:hAnsi="宋体" w:eastAsia="宋体" w:cs="宋体"/>
                <w:b w:val="0"/>
                <w:color w:val="auto"/>
                <w:sz w:val="24"/>
                <w:szCs w:val="24"/>
                <w:lang w:eastAsia="zh-CN"/>
              </w:rPr>
              <w:t>供应商</w:t>
            </w:r>
            <w:r>
              <w:rPr>
                <w:rFonts w:hint="eastAsia" w:ascii="宋体" w:hAnsi="宋体" w:eastAsia="宋体" w:cs="宋体"/>
                <w:b w:val="0"/>
                <w:color w:val="auto"/>
                <w:sz w:val="24"/>
                <w:szCs w:val="24"/>
              </w:rPr>
              <w:t>与其签订的劳动合同证明及身份证资料</w:t>
            </w:r>
            <w:r>
              <w:rPr>
                <w:rFonts w:hint="eastAsia" w:ascii="宋体" w:hAnsi="宋体" w:eastAsia="宋体" w:cs="宋体"/>
                <w:b w:val="0"/>
                <w:color w:val="auto"/>
                <w:sz w:val="24"/>
                <w:szCs w:val="24"/>
                <w:lang w:eastAsia="zh-CN"/>
              </w:rPr>
              <w:t>，</w:t>
            </w:r>
            <w:r>
              <w:rPr>
                <w:rFonts w:hint="eastAsia" w:ascii="宋体" w:hAnsi="宋体" w:eastAsia="宋体" w:cs="宋体"/>
                <w:b w:val="0"/>
                <w:color w:val="auto"/>
                <w:sz w:val="24"/>
                <w:szCs w:val="24"/>
              </w:rPr>
              <w:t>否则不得分</w:t>
            </w:r>
            <w:r>
              <w:rPr>
                <w:rFonts w:hint="eastAsia" w:ascii="宋体" w:hAnsi="宋体" w:eastAsia="宋体" w:cs="宋体"/>
                <w:b w:val="0"/>
                <w:color w:val="auto"/>
                <w:sz w:val="24"/>
                <w:szCs w:val="24"/>
                <w:lang w:eastAsia="zh-CN"/>
              </w:rPr>
              <w:t>。</w:t>
            </w:r>
          </w:p>
          <w:p>
            <w:pPr>
              <w:keepNext w:val="0"/>
              <w:keepLines w:val="0"/>
              <w:pageBreakBefore w:val="0"/>
              <w:widowControl/>
              <w:spacing w:line="360" w:lineRule="auto"/>
              <w:ind w:right="0" w:firstLine="480"/>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2.供应商应确保所列出的所有人员与最终参与本项目的人员一致，如在合同履行过程中，采购人发现参与项目人员与所列人员不一致，采购人有权终止合同，并追究供应商经济和法律责任，由此产生的一切损失由供应商承担。</w:t>
            </w:r>
          </w:p>
        </w:tc>
      </w:tr>
    </w:tbl>
    <w:p>
      <w:pPr>
        <w:spacing w:line="360" w:lineRule="auto"/>
        <w:ind w:firstLine="480"/>
        <w:rPr>
          <w:rFonts w:hint="eastAsia" w:ascii="宋体" w:hAnsi="宋体" w:eastAsia="宋体" w:cs="宋体"/>
          <w:b/>
          <w:bCs/>
          <w:color w:val="auto"/>
          <w:sz w:val="24"/>
          <w:szCs w:val="24"/>
        </w:rPr>
      </w:pP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2.评委依据招标文件载明的方法评分，评分四舍五入精确到小数点后两位。</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（二）</w:t>
      </w:r>
      <w:r>
        <w:rPr>
          <w:rFonts w:hint="eastAsia" w:ascii="宋体" w:hAnsi="宋体" w:eastAsia="宋体" w:cs="宋体"/>
          <w:b/>
          <w:color w:val="auto"/>
          <w:sz w:val="24"/>
          <w:szCs w:val="24"/>
          <w:lang w:val="zh-CN"/>
        </w:rPr>
        <w:t>价格标</w:t>
      </w:r>
      <w:r>
        <w:rPr>
          <w:rFonts w:hint="eastAsia" w:ascii="宋体" w:hAnsi="宋体" w:eastAsia="宋体" w:cs="宋体"/>
          <w:b/>
          <w:color w:val="auto"/>
          <w:sz w:val="24"/>
          <w:szCs w:val="24"/>
        </w:rPr>
        <w:t>评分：（</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0分）</w:t>
      </w:r>
    </w:p>
    <w:p>
      <w:pPr>
        <w:spacing w:line="360" w:lineRule="auto"/>
        <w:ind w:firstLine="482"/>
        <w:contextualSpacing/>
        <w:rPr>
          <w:rFonts w:ascii="宋体" w:hAnsi="宋体" w:eastAsia="宋体"/>
          <w:b/>
          <w:bCs/>
          <w:color w:val="auto"/>
          <w:sz w:val="24"/>
          <w:szCs w:val="24"/>
        </w:rPr>
      </w:pPr>
      <w:r>
        <w:rPr>
          <w:rFonts w:hint="eastAsia" w:ascii="宋体" w:hAnsi="宋体" w:eastAsia="宋体" w:cs="宋体"/>
          <w:b/>
          <w:color w:val="auto"/>
          <w:sz w:val="24"/>
          <w:szCs w:val="24"/>
        </w:rPr>
        <w:t>1、本次项目最高限价：</w:t>
      </w:r>
      <w:r>
        <w:rPr>
          <w:rFonts w:hint="eastAsia" w:ascii="宋体" w:hAnsi="宋体" w:eastAsia="宋体" w:cs="宋体"/>
          <w:b/>
          <w:color w:val="auto"/>
          <w:sz w:val="24"/>
          <w:szCs w:val="24"/>
          <w:lang w:val="en-US" w:eastAsia="zh-CN"/>
        </w:rPr>
        <w:t>150万</w:t>
      </w:r>
      <w:r>
        <w:rPr>
          <w:rFonts w:hint="eastAsia" w:ascii="宋体" w:hAnsi="宋体" w:eastAsia="宋体" w:cs="宋体"/>
          <w:b/>
          <w:color w:val="auto"/>
          <w:sz w:val="24"/>
          <w:szCs w:val="24"/>
        </w:rPr>
        <w:t>元；超过限价作无效标处理。</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2、满足招标文件要求且投标报价最低的报价为评标基准价，其价格标得分为满分。</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3、其他投标供应商的价格标得分按照下列公式计算：</w:t>
      </w:r>
    </w:p>
    <w:p>
      <w:pPr>
        <w:spacing w:line="360" w:lineRule="auto"/>
        <w:ind w:firstLine="480"/>
        <w:contextualSpacing/>
        <w:rPr>
          <w:rFonts w:hint="eastAsia" w:ascii="宋体" w:hAnsi="宋体" w:eastAsia="宋体" w:cs="宋体"/>
          <w:color w:val="auto"/>
          <w:sz w:val="24"/>
          <w:szCs w:val="24"/>
        </w:rPr>
      </w:pPr>
      <w:r>
        <w:rPr>
          <w:rFonts w:hint="eastAsia" w:ascii="宋体" w:hAnsi="宋体" w:eastAsia="宋体" w:cs="宋体"/>
          <w:color w:val="auto"/>
          <w:sz w:val="24"/>
          <w:szCs w:val="24"/>
        </w:rPr>
        <w:t>价格标得分 =（评标基准价/投标报价）×</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0%×100</w:t>
      </w:r>
    </w:p>
    <w:p>
      <w:pPr>
        <w:spacing w:line="360" w:lineRule="auto"/>
        <w:ind w:firstLine="480"/>
        <w:contextualSpacing/>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特别提醒：规划审批中相关会务组织费用由中标人承担。请供应商自行考虑在报价内（不单列）。</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（三）政府采购政策功能落实</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1、小微型企业价格扣除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本次采购项目属于</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项目，其供应商符合：工信部联企业〔2011〕300号《关于印发中小企业划型标准规定的通知》中的中小企业“其他未列明行业”类的划型标准规定的，将享受中小企业扶持政策。</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b/>
          <w:bCs/>
          <w:color w:val="auto"/>
          <w:sz w:val="24"/>
          <w:szCs w:val="24"/>
        </w:rPr>
        <w:t>其他未列明行业中小企业划型标准：从业人员300人以下的为中小微型企业。其中，从业人员100人及以上的为中型企业；从业人员10人及以上的为小型企业；从业人员10人以下的为微型企业。</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（1）本项目对小型和微型企业产品给予10%的扣除价格，用扣除后的价格参与评审。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（2）供应商需按照《政府采购促进中小企业发展管理办法》（财库﹝2020﹞46 号）的规定提供相应的《中小企业声明函》。</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（3）企业标准请参照《关于印发中小企业划型标准规定的通知》（工信部联企业[2011]300号）文件规定自行填写。</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2、残疾人福利单位价格扣除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（1）本项目对残疾人福利性单位，给予10%的价格扣除，用扣除后的价格参与评审。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（2）残疾人福利单位需按照采购文件的要求提供《残疾人福利性单位声明函》。</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（3）残疾人福利单位标准请参照《关于促进残疾人就业政府采购政策的通知》（财库〔2017〕141号）。</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3、监狱和戒毒企业价格扣除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（1）本项目对监狱和戒毒企业（简称监狱企业）给予10%的价格扣除，用扣除后的价格参与评审。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（3）监狱企业标准请参照《关于政府采购支持监狱企业发展有关问题的通知》（财库[2014]68号）。</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4、残疾人福利单位、监狱企业属于小型、微型企业的，不重复享受政策。</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本项目不涉及）。</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6、联合体各方均为小型、微型企业（残疾人福利单位、监狱企业）的，联合体享受上述同类价格扣除，用扣除后的价格参与评审（本项目不涉及）。</w:t>
      </w:r>
    </w:p>
    <w:p>
      <w:pPr>
        <w:spacing w:line="360" w:lineRule="auto"/>
        <w:ind w:firstLine="480"/>
        <w:rPr>
          <w:rFonts w:hint="eastAsia" w:ascii="宋体" w:hAnsi="宋体" w:eastAsia="宋体" w:cs="宋体"/>
          <w:b/>
          <w:color w:val="auto"/>
          <w:sz w:val="24"/>
          <w:szCs w:val="24"/>
        </w:rPr>
      </w:pPr>
      <w:r>
        <w:rPr>
          <w:rFonts w:hint="eastAsia" w:ascii="宋体" w:hAnsi="宋体" w:eastAsia="宋体" w:cs="宋体"/>
          <w:color w:val="auto"/>
          <w:sz w:val="24"/>
          <w:szCs w:val="24"/>
        </w:rPr>
        <w:t>7、专门面向中小企业采购的项目或者采购包，不再执行价格评审优惠的扶持政策（本项目不涉及）。</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（四）中标人的确定</w:t>
      </w:r>
    </w:p>
    <w:p>
      <w:pPr>
        <w:spacing w:line="360" w:lineRule="auto"/>
        <w:ind w:firstLine="480"/>
        <w:rPr>
          <w:rFonts w:ascii="宋体" w:hAnsi="宋体" w:eastAsia="宋体" w:cs="宋体"/>
          <w:b/>
          <w:color w:val="auto"/>
          <w:sz w:val="24"/>
          <w:szCs w:val="24"/>
        </w:rPr>
      </w:pPr>
      <w:r>
        <w:rPr>
          <w:rFonts w:hint="eastAsia" w:ascii="宋体" w:hAnsi="宋体" w:eastAsia="宋体" w:cs="宋体"/>
          <w:color w:val="auto"/>
          <w:sz w:val="24"/>
          <w:szCs w:val="24"/>
        </w:rPr>
        <w:t>评委会汇总各评委评分后，按照综合得分从高到低的顺序推荐前三名中标候选人，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eastAsia="宋体" w:cs="宋体"/>
          <w:b/>
          <w:color w:val="auto"/>
          <w:sz w:val="24"/>
          <w:szCs w:val="24"/>
        </w:rPr>
        <w:t>采购人委托评标委员会直接确定中标人。</w:t>
      </w:r>
    </w:p>
    <w:p>
      <w:pPr>
        <w:spacing w:line="360" w:lineRule="auto"/>
        <w:ind w:firstLine="482"/>
        <w:rPr>
          <w:rFonts w:ascii="宋体" w:hAnsi="宋体" w:eastAsia="宋体"/>
          <w:b/>
          <w:bCs/>
          <w:color w:val="auto"/>
          <w:sz w:val="24"/>
          <w:szCs w:val="24"/>
        </w:rPr>
      </w:pPr>
      <w:r>
        <w:rPr>
          <w:rFonts w:hint="eastAsia" w:ascii="宋体" w:hAnsi="宋体" w:eastAsia="宋体"/>
          <w:b/>
          <w:bCs/>
          <w:color w:val="auto"/>
          <w:sz w:val="24"/>
          <w:szCs w:val="24"/>
        </w:rPr>
        <w:t>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九、评标争议</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评标时评委对评标的细则若有争议，由评标委员会评委集体讨论确定，并对未尽情况有最终解释权。</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十、落标原因</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评标委员会不对落标的投标人做落标原因的解释。</w:t>
      </w:r>
    </w:p>
    <w:bookmarkEnd w:id="13"/>
    <w:p>
      <w:pPr>
        <w:rPr>
          <w:rFonts w:hint="eastAsia" w:ascii="宋体" w:hAnsi="宋体" w:eastAsia="宋体" w:cs="宋体"/>
          <w:b/>
          <w:bCs/>
          <w:color w:val="auto"/>
          <w:sz w:val="36"/>
          <w:szCs w:val="36"/>
        </w:rPr>
      </w:pPr>
      <w:bookmarkStart w:id="78" w:name="_Toc23653"/>
      <w:bookmarkStart w:id="79" w:name="_Toc363573857"/>
      <w:r>
        <w:rPr>
          <w:rFonts w:hint="eastAsia" w:ascii="宋体" w:hAnsi="宋体" w:eastAsia="宋体" w:cs="宋体"/>
          <w:b/>
          <w:bCs/>
          <w:color w:val="auto"/>
          <w:sz w:val="36"/>
          <w:szCs w:val="36"/>
        </w:rPr>
        <w:br w:type="page"/>
      </w:r>
    </w:p>
    <w:p>
      <w:pPr>
        <w:pStyle w:val="2"/>
        <w:jc w:val="center"/>
        <w:rPr>
          <w:rFonts w:ascii="宋体" w:hAnsi="宋体" w:eastAsia="宋体" w:cs="宋体"/>
          <w:b/>
          <w:color w:val="auto"/>
          <w:sz w:val="36"/>
          <w:szCs w:val="36"/>
        </w:rPr>
      </w:pPr>
      <w:r>
        <w:rPr>
          <w:rFonts w:hint="eastAsia" w:ascii="宋体" w:hAnsi="宋体" w:eastAsia="宋体" w:cs="宋体"/>
          <w:b/>
          <w:bCs/>
          <w:color w:val="auto"/>
          <w:sz w:val="36"/>
          <w:szCs w:val="36"/>
        </w:rPr>
        <w:t>第五章 合同主要条款</w:t>
      </w:r>
      <w:bookmarkEnd w:id="78"/>
    </w:p>
    <w:p>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w:t>
      </w:r>
    </w:p>
    <w:p>
      <w:pPr>
        <w:spacing w:line="360" w:lineRule="auto"/>
        <w:rPr>
          <w:rFonts w:ascii="宋体" w:hAnsi="宋体" w:eastAsia="宋体" w:cs="宋体"/>
          <w:color w:val="auto"/>
          <w:sz w:val="24"/>
          <w:szCs w:val="24"/>
        </w:rPr>
      </w:pPr>
    </w:p>
    <w:p>
      <w:pPr>
        <w:pStyle w:val="26"/>
        <w:tabs>
          <w:tab w:val="center" w:pos="4153"/>
          <w:tab w:val="right" w:pos="8306"/>
          <w:tab w:val="clear" w:pos="7143"/>
          <w:tab w:val="clear" w:pos="14287"/>
        </w:tabs>
        <w:spacing w:line="440" w:lineRule="exact"/>
        <w:ind w:firstLine="480"/>
        <w:rPr>
          <w:rFonts w:ascii="宋体" w:hAnsi="宋体" w:cs="宋体"/>
          <w:color w:val="auto"/>
          <w:sz w:val="28"/>
          <w:szCs w:val="28"/>
        </w:rPr>
      </w:pPr>
    </w:p>
    <w:p>
      <w:pPr>
        <w:pStyle w:val="19"/>
        <w:spacing w:line="360" w:lineRule="auto"/>
        <w:jc w:val="center"/>
        <w:rPr>
          <w:rFonts w:hint="eastAsia" w:asciiTheme="minorEastAsia" w:hAnsiTheme="minorEastAsia" w:eastAsiaTheme="minorEastAsia" w:cstheme="minorEastAsia"/>
          <w:color w:val="auto"/>
          <w:sz w:val="28"/>
          <w:szCs w:val="28"/>
          <w:highlight w:val="yellow"/>
        </w:rPr>
      </w:pPr>
      <w:r>
        <w:rPr>
          <w:rFonts w:hint="eastAsia" w:asciiTheme="minorEastAsia" w:hAnsiTheme="minorEastAsia" w:eastAsiaTheme="minorEastAsia" w:cstheme="minorEastAsia"/>
          <w:b/>
          <w:bCs/>
          <w:color w:val="auto"/>
          <w:sz w:val="28"/>
          <w:szCs w:val="28"/>
        </w:rPr>
        <w:t>政府采购合同</w:t>
      </w:r>
    </w:p>
    <w:p>
      <w:pPr>
        <w:pStyle w:val="19"/>
        <w:spacing w:line="360" w:lineRule="auto"/>
        <w:ind w:left="255" w:firstLine="2064"/>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pPr>
        <w:pStyle w:val="19"/>
        <w:spacing w:line="360" w:lineRule="auto"/>
        <w:ind w:left="0"/>
        <w:rPr>
          <w:rFonts w:hint="eastAsia" w:asciiTheme="minorEastAsia" w:hAnsiTheme="minorEastAsia" w:eastAsiaTheme="minorEastAsia" w:cstheme="minorEastAsia"/>
          <w:color w:val="auto"/>
          <w:sz w:val="28"/>
          <w:szCs w:val="28"/>
        </w:rPr>
      </w:pPr>
    </w:p>
    <w:p>
      <w:pPr>
        <w:spacing w:line="360" w:lineRule="auto"/>
        <w:rPr>
          <w:rFonts w:hint="eastAsia" w:asciiTheme="minorEastAsia" w:hAnsiTheme="minorEastAsia" w:eastAsiaTheme="minorEastAsia" w:cstheme="minorEastAsia"/>
          <w:color w:val="auto"/>
          <w:sz w:val="28"/>
          <w:szCs w:val="28"/>
        </w:rPr>
      </w:pPr>
    </w:p>
    <w:p>
      <w:pPr>
        <w:pStyle w:val="19"/>
        <w:spacing w:line="360" w:lineRule="auto"/>
        <w:rPr>
          <w:rFonts w:hint="eastAsia" w:asciiTheme="minorEastAsia" w:hAnsiTheme="minorEastAsia" w:eastAsiaTheme="minorEastAsia" w:cstheme="minorEastAsia"/>
          <w:color w:val="auto"/>
          <w:sz w:val="28"/>
          <w:szCs w:val="28"/>
        </w:rPr>
      </w:pPr>
    </w:p>
    <w:p>
      <w:pPr>
        <w:pStyle w:val="91"/>
        <w:spacing w:line="360" w:lineRule="auto"/>
        <w:ind w:firstLine="843"/>
        <w:jc w:val="left"/>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项目名称：</w:t>
      </w:r>
      <w:r>
        <w:rPr>
          <w:rFonts w:hint="eastAsia" w:asciiTheme="minorEastAsia" w:hAnsiTheme="minorEastAsia" w:eastAsiaTheme="minorEastAsia" w:cstheme="minorEastAsia"/>
          <w:b/>
          <w:bCs/>
          <w:color w:val="auto"/>
          <w:sz w:val="28"/>
          <w:szCs w:val="28"/>
          <w:lang w:eastAsia="zh-CN"/>
        </w:rPr>
        <w:t>南通狼山国家森林公园总体规划（二次）</w:t>
      </w:r>
    </w:p>
    <w:p>
      <w:pPr>
        <w:spacing w:line="360" w:lineRule="auto"/>
        <w:ind w:firstLine="843"/>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项目编号：</w:t>
      </w:r>
      <w:r>
        <w:rPr>
          <w:rFonts w:hint="eastAsia" w:asciiTheme="minorEastAsia" w:hAnsiTheme="minorEastAsia" w:eastAsiaTheme="minorEastAsia" w:cstheme="minorEastAsia"/>
          <w:b/>
          <w:bCs/>
          <w:color w:val="auto"/>
          <w:sz w:val="28"/>
          <w:szCs w:val="28"/>
          <w:lang w:eastAsia="zh-CN"/>
        </w:rPr>
        <w:t>JSZC-320600-DFHX-G2024-0033</w:t>
      </w:r>
    </w:p>
    <w:p>
      <w:pPr>
        <w:spacing w:line="360" w:lineRule="auto"/>
        <w:ind w:firstLine="843"/>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采购单位：</w:t>
      </w:r>
      <w:r>
        <w:rPr>
          <w:rFonts w:hint="eastAsia" w:asciiTheme="minorEastAsia" w:hAnsiTheme="minorEastAsia" w:eastAsiaTheme="minorEastAsia" w:cstheme="minorEastAsia"/>
          <w:b/>
          <w:bCs/>
          <w:color w:val="auto"/>
          <w:sz w:val="28"/>
          <w:szCs w:val="28"/>
          <w:lang w:eastAsia="zh-CN"/>
        </w:rPr>
        <w:t>江苏省南通狼山旅游度假区管理办公室</w:t>
      </w:r>
    </w:p>
    <w:p>
      <w:pPr>
        <w:spacing w:line="360" w:lineRule="auto"/>
        <w:ind w:firstLine="843"/>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中标</w:t>
      </w:r>
      <w:r>
        <w:rPr>
          <w:rFonts w:hint="eastAsia" w:asciiTheme="minorEastAsia" w:hAnsiTheme="minorEastAsia" w:eastAsiaTheme="minorEastAsia" w:cstheme="minorEastAsia"/>
          <w:b/>
          <w:bCs/>
          <w:color w:val="auto"/>
          <w:sz w:val="28"/>
          <w:szCs w:val="28"/>
        </w:rPr>
        <w:t>供应商：</w:t>
      </w:r>
    </w:p>
    <w:p>
      <w:pPr>
        <w:spacing w:line="360" w:lineRule="auto"/>
        <w:ind w:firstLine="843"/>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签订日期：     年  月  日</w:t>
      </w:r>
    </w:p>
    <w:p>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pPr>
        <w:spacing w:line="360" w:lineRule="auto"/>
        <w:rPr>
          <w:rFonts w:hint="eastAsia" w:asciiTheme="minorEastAsia" w:hAnsiTheme="minorEastAsia" w:eastAsiaTheme="minorEastAsia" w:cstheme="minorEastAsia"/>
          <w:color w:val="auto"/>
          <w:sz w:val="24"/>
          <w:szCs w:val="24"/>
        </w:rPr>
      </w:pPr>
    </w:p>
    <w:p>
      <w:pPr>
        <w:pStyle w:val="19"/>
        <w:spacing w:line="360" w:lineRule="auto"/>
        <w:rPr>
          <w:rFonts w:hint="eastAsia" w:asciiTheme="minorEastAsia" w:hAnsiTheme="minorEastAsia" w:eastAsiaTheme="minorEastAsia" w:cstheme="minorEastAsia"/>
          <w:color w:val="auto"/>
          <w:szCs w:val="24"/>
        </w:rPr>
      </w:pPr>
    </w:p>
    <w:p>
      <w:pPr>
        <w:pStyle w:val="19"/>
        <w:spacing w:line="360" w:lineRule="auto"/>
        <w:rPr>
          <w:rFonts w:hint="eastAsia" w:asciiTheme="minorEastAsia" w:hAnsiTheme="minorEastAsia" w:eastAsiaTheme="minorEastAsia" w:cstheme="minorEastAsia"/>
          <w:color w:val="auto"/>
          <w:szCs w:val="24"/>
        </w:rPr>
      </w:pPr>
    </w:p>
    <w:p>
      <w:pPr>
        <w:pStyle w:val="19"/>
        <w:spacing w:line="360" w:lineRule="auto"/>
        <w:ind w:left="0" w:right="0"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b/>
          <w:bCs/>
          <w:color w:val="auto"/>
          <w:szCs w:val="24"/>
        </w:rPr>
        <w:br w:type="page" w:clear="all"/>
      </w:r>
    </w:p>
    <w:p>
      <w:pPr>
        <w:keepNext w:val="0"/>
        <w:keepLines w:val="0"/>
        <w:pageBreakBefore w:val="0"/>
        <w:widowControl/>
        <w:spacing w:line="360" w:lineRule="auto"/>
        <w:ind w:firstLine="48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lang w:eastAsia="zh-CN"/>
        </w:rPr>
        <w:t>江苏省南通狼山旅游度假区管理办公室</w:t>
      </w:r>
    </w:p>
    <w:p>
      <w:pPr>
        <w:keepNext w:val="0"/>
        <w:keepLines w:val="0"/>
        <w:pageBreakBefore w:val="0"/>
        <w:widowControl/>
        <w:spacing w:line="360"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乙方：</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highlight w:val="none"/>
          <w:u w:val="single"/>
        </w:rPr>
      </w:pP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w:t>
      </w:r>
      <w:r>
        <w:rPr>
          <w:rFonts w:hint="eastAsia" w:asciiTheme="minorEastAsia" w:hAnsiTheme="minorEastAsia" w:eastAsiaTheme="minorEastAsia" w:cstheme="minorEastAsia"/>
          <w:color w:val="auto"/>
          <w:sz w:val="24"/>
          <w:szCs w:val="24"/>
          <w:highlight w:val="none"/>
        </w:rPr>
        <w:t>《中华人民共和国政府采购法》、《中华人民共和国民法典》</w:t>
      </w:r>
      <w:r>
        <w:rPr>
          <w:rFonts w:hint="eastAsia" w:asciiTheme="minorEastAsia" w:hAnsiTheme="minorEastAsia" w:eastAsiaTheme="minorEastAsia" w:cstheme="minorEastAsia"/>
          <w:color w:val="auto"/>
          <w:sz w:val="24"/>
          <w:szCs w:val="24"/>
        </w:rPr>
        <w:t>及相关法律、行政法规规定，本着自愿、平等、公平、诚信原则，甲乙双方就合同采购事项，签署本合同。</w:t>
      </w:r>
    </w:p>
    <w:p>
      <w:pPr>
        <w:keepNext w:val="0"/>
        <w:keepLines w:val="0"/>
        <w:pageBreakBefore w:val="0"/>
        <w:numPr>
          <w:ilvl w:val="0"/>
          <w:numId w:val="7"/>
        </w:numPr>
        <w:tabs>
          <w:tab w:val="left" w:pos="0"/>
          <w:tab w:val="clear" w:pos="720"/>
        </w:tabs>
        <w:spacing w:line="360" w:lineRule="auto"/>
        <w:ind w:left="0"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 </w:t>
      </w:r>
      <w:r>
        <w:rPr>
          <w:rFonts w:hint="eastAsia" w:asciiTheme="minorEastAsia" w:hAnsiTheme="minorEastAsia" w:eastAsiaTheme="minorEastAsia" w:cstheme="minorEastAsia"/>
          <w:b/>
          <w:color w:val="auto"/>
          <w:sz w:val="24"/>
          <w:szCs w:val="24"/>
        </w:rPr>
        <w:t>合同文件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下列与本次采购活动有关的文件及附件是本合同不可分割的组成部分，与本合同具有同等法律效力，这些文件包括但不限于：</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r>
        <w:rPr>
          <w:rFonts w:hint="eastAsia" w:asciiTheme="minorEastAsia" w:hAnsiTheme="minorEastAsia" w:eastAsiaTheme="minorEastAsia" w:cstheme="minorEastAsia"/>
          <w:color w:val="auto"/>
          <w:sz w:val="24"/>
          <w:szCs w:val="24"/>
          <w:lang w:val="en-US" w:eastAsia="zh-CN"/>
        </w:rPr>
        <w:t>招标</w:t>
      </w:r>
      <w:r>
        <w:rPr>
          <w:rFonts w:hint="eastAsia" w:asciiTheme="minorEastAsia" w:hAnsiTheme="minorEastAsia" w:eastAsiaTheme="minorEastAsia" w:cstheme="minorEastAsia"/>
          <w:color w:val="auto"/>
          <w:sz w:val="24"/>
          <w:szCs w:val="24"/>
        </w:rPr>
        <w:t>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r>
        <w:rPr>
          <w:rFonts w:hint="eastAsia" w:asciiTheme="minorEastAsia" w:hAnsiTheme="minorEastAsia" w:eastAsiaTheme="minorEastAsia" w:cstheme="minorEastAsia"/>
          <w:color w:val="auto"/>
          <w:sz w:val="24"/>
          <w:szCs w:val="24"/>
          <w:lang w:val="en-US" w:eastAsia="zh-CN"/>
        </w:rPr>
        <w:t>投标</w:t>
      </w:r>
      <w:r>
        <w:rPr>
          <w:rFonts w:hint="eastAsia" w:asciiTheme="minorEastAsia" w:hAnsiTheme="minorEastAsia" w:eastAsiaTheme="minorEastAsia" w:cstheme="minorEastAsia"/>
          <w:color w:val="auto"/>
          <w:sz w:val="24"/>
          <w:szCs w:val="24"/>
        </w:rPr>
        <w:t>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1.3乙方在投标时的书面承诺</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w:t>
      </w:r>
      <w:r>
        <w:rPr>
          <w:rFonts w:hint="eastAsia" w:asciiTheme="minorEastAsia" w:hAnsiTheme="minorEastAsia" w:eastAsiaTheme="minorEastAsia" w:cstheme="minorEastAsia"/>
          <w:color w:val="auto"/>
          <w:sz w:val="24"/>
          <w:szCs w:val="24"/>
          <w:lang w:val="en-US" w:eastAsia="zh-CN"/>
        </w:rPr>
        <w:t>中标</w:t>
      </w:r>
      <w:r>
        <w:rPr>
          <w:rFonts w:hint="eastAsia" w:asciiTheme="minorEastAsia" w:hAnsiTheme="minorEastAsia" w:eastAsiaTheme="minorEastAsia" w:cstheme="minorEastAsia"/>
          <w:color w:val="auto"/>
          <w:sz w:val="24"/>
          <w:szCs w:val="24"/>
        </w:rPr>
        <w:t>通知书</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1.5合同补充条款或说明</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1.6保密协议或条款</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1.7相关附件、图纸及电子版资料</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rPr>
        <w:t>第二条  合同内</w:t>
      </w:r>
      <w:r>
        <w:rPr>
          <w:rFonts w:hint="eastAsia" w:asciiTheme="minorEastAsia" w:hAnsiTheme="minorEastAsia" w:eastAsiaTheme="minorEastAsia" w:cstheme="minorEastAsia"/>
          <w:b/>
          <w:color w:val="auto"/>
          <w:sz w:val="24"/>
          <w:szCs w:val="24"/>
          <w:highlight w:val="none"/>
        </w:rPr>
        <w:t>容</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rPr>
        <w:t>2.1</w:t>
      </w:r>
      <w:r>
        <w:rPr>
          <w:rFonts w:hint="eastAsia" w:asciiTheme="minorEastAsia" w:hAnsiTheme="minorEastAsia" w:eastAsiaTheme="minorEastAsia" w:cstheme="minorEastAsia"/>
          <w:color w:val="auto"/>
          <w:sz w:val="24"/>
          <w:szCs w:val="24"/>
          <w:highlight w:val="none"/>
          <w:lang w:eastAsia="zh-CN"/>
        </w:rPr>
        <w:t>项目</w:t>
      </w: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lang w:eastAsia="zh-CN"/>
        </w:rPr>
        <w:t>南通狼山国家森林公园总体规划（二次）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2.2服务主要内容：</w:t>
      </w:r>
      <w:r>
        <w:rPr>
          <w:rFonts w:hint="eastAsia" w:asciiTheme="minorEastAsia" w:hAnsiTheme="minorEastAsia" w:eastAsiaTheme="minorEastAsia" w:cstheme="minorEastAsia"/>
          <w:color w:val="auto"/>
          <w:sz w:val="24"/>
          <w:szCs w:val="24"/>
        </w:rPr>
        <w:t>详见</w:t>
      </w:r>
      <w:r>
        <w:rPr>
          <w:rFonts w:hint="eastAsia" w:asciiTheme="minorEastAsia" w:hAnsiTheme="minorEastAsia" w:eastAsiaTheme="minorEastAsia" w:cstheme="minorEastAsia"/>
          <w:color w:val="auto"/>
          <w:sz w:val="24"/>
          <w:szCs w:val="24"/>
          <w:lang w:val="en-US" w:eastAsia="zh-CN"/>
        </w:rPr>
        <w:t>招标</w:t>
      </w:r>
      <w:r>
        <w:rPr>
          <w:rFonts w:hint="eastAsia" w:asciiTheme="minorEastAsia" w:hAnsiTheme="minorEastAsia" w:eastAsiaTheme="minorEastAsia" w:cstheme="minorEastAsia"/>
          <w:color w:val="auto"/>
          <w:sz w:val="24"/>
          <w:szCs w:val="24"/>
        </w:rPr>
        <w:t>文件采购需求。</w:t>
      </w:r>
    </w:p>
    <w:p>
      <w:pPr>
        <w:keepNext w:val="0"/>
        <w:keepLines w:val="0"/>
        <w:pageBreakBefore w:val="0"/>
        <w:widowControl w:val="0"/>
        <w:spacing w:line="360" w:lineRule="auto"/>
        <w:ind w:firstLine="48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lang w:val="en-US" w:eastAsia="zh-CN"/>
        </w:rPr>
        <w:t>2.3服务期：自合同签订后12 个月内修编完成并完成上报</w:t>
      </w:r>
    </w:p>
    <w:p>
      <w:pPr>
        <w:keepNext w:val="0"/>
        <w:keepLines w:val="0"/>
        <w:pageBreakBefore w:val="0"/>
        <w:spacing w:line="360" w:lineRule="auto"/>
        <w:ind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第三条  合同价款及支付方式：</w:t>
      </w:r>
    </w:p>
    <w:p>
      <w:pPr>
        <w:pStyle w:val="23"/>
        <w:keepNext w:val="0"/>
        <w:keepLines w:val="0"/>
        <w:pageBreakBefore w:val="0"/>
        <w:spacing w:after="0" w:line="360" w:lineRule="auto"/>
        <w:ind w:left="480" w:firstLine="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本合同总金额为人民币大写金额</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元（小写金额：</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元）</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lang w:val="en-US" w:eastAsia="zh-CN"/>
        </w:rPr>
        <w:t>付款方式：</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lang w:val="en-US" w:eastAsia="zh-CN"/>
        </w:rPr>
        <w:t>。</w:t>
      </w:r>
    </w:p>
    <w:p>
      <w:pPr>
        <w:pStyle w:val="23"/>
        <w:keepNext w:val="0"/>
        <w:keepLines w:val="0"/>
        <w:pageBreakBefore w:val="0"/>
        <w:spacing w:after="0" w:line="360" w:lineRule="auto"/>
        <w:ind w:left="0"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乙方需提交的支付文件包括：</w:t>
      </w:r>
    </w:p>
    <w:p>
      <w:pPr>
        <w:pStyle w:val="23"/>
        <w:keepNext w:val="0"/>
        <w:keepLines w:val="0"/>
        <w:pageBreakBefore w:val="0"/>
        <w:spacing w:after="0" w:line="360" w:lineRule="auto"/>
        <w:ind w:left="0"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乙方出具的正式发票。</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第四条  甲方的权利和义务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4.1甲方应负责向乙方提供所需相关基础技术资料及材料，并指定专人作为甲方联系人予以协调工作，加强与乙方沟通，交流情况，互通信息。</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4.2甲方有权向乙方询问工作进展情况及相关的内容，有权阐述对具体问题的意见和建议。</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4.3当甲方认定乙方专业人员不按合同履行其职责，或与第三人串通给甲方造成经济损失的，甲方有权要求更换乙方专业人员，直至终止合同并要求乙方承担相应的赔偿责任。</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4.4甲方应及时按合同准备资金，按时进行项目验收。</w:t>
      </w:r>
    </w:p>
    <w:p>
      <w:pPr>
        <w:keepNext w:val="0"/>
        <w:keepLines w:val="0"/>
        <w:pageBreakBefore w:val="0"/>
        <w:spacing w:line="360" w:lineRule="auto"/>
        <w:ind w:firstLine="47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第五条 乙方的权利和义务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5.1乙方应按国家规定的技术规范、标准提供服务。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5.2乙方应按合同规定，派遣合格的项目经理及相关专业人员为该项目服务。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5.3乙方应按合同约定及时向甲方交付资料及文件，并对工作成果的质量负责。因乙方原因造成工作成果中出现的遗漏或错误，乙方负责修改或补充，并承担相应的费用。</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5.4乙方需对甲方要求保密的资料负有保密责任，不得泄露与本合同规定业务活动有关的保密资料。</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5.5乙方需确保投标人员与最终设计人员一致。</w:t>
      </w:r>
    </w:p>
    <w:p>
      <w:pPr>
        <w:keepNext w:val="0"/>
        <w:keepLines w:val="0"/>
        <w:pageBreakBefore w:val="0"/>
        <w:spacing w:line="360" w:lineRule="auto"/>
        <w:ind w:firstLine="480"/>
        <w:rPr>
          <w:rFonts w:hint="default"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sz w:val="24"/>
          <w:szCs w:val="24"/>
          <w:lang w:val="en-US" w:eastAsia="zh-CN"/>
        </w:rPr>
        <w:t>5.6</w:t>
      </w:r>
      <w:r>
        <w:rPr>
          <w:rFonts w:hint="eastAsia" w:asciiTheme="minorEastAsia" w:hAnsiTheme="minorEastAsia" w:eastAsiaTheme="minorEastAsia" w:cstheme="minorEastAsia"/>
          <w:color w:val="auto"/>
          <w:sz w:val="24"/>
          <w:szCs w:val="24"/>
          <w:lang w:val="en-US" w:eastAsia="zh-CN"/>
        </w:rPr>
        <w:t>乙方需承担规划审批中相关会务组织费用。</w:t>
      </w:r>
    </w:p>
    <w:p>
      <w:pPr>
        <w:keepNext w:val="0"/>
        <w:keepLines w:val="0"/>
        <w:pageBreakBefore w:val="0"/>
        <w:numPr>
          <w:ilvl w:val="0"/>
          <w:numId w:val="8"/>
        </w:numPr>
        <w:spacing w:line="360" w:lineRule="auto"/>
        <w:ind w:firstLine="47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违约责任 </w:t>
      </w:r>
    </w:p>
    <w:p>
      <w:pPr>
        <w:keepNext w:val="0"/>
        <w:keepLines w:val="0"/>
        <w:pageBreakBefore w:val="0"/>
        <w:numPr>
          <w:ilvl w:val="0"/>
          <w:numId w:val="0"/>
        </w:num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t>6.1未经甲方同意，</w:t>
      </w:r>
      <w:r>
        <w:rPr>
          <w:rFonts w:hint="eastAsia" w:asciiTheme="minorEastAsia" w:hAnsiTheme="minorEastAsia" w:eastAsiaTheme="minorEastAsia" w:cstheme="minorEastAsia"/>
          <w:color w:val="auto"/>
          <w:sz w:val="24"/>
          <w:szCs w:val="24"/>
          <w:highlight w:val="none"/>
        </w:rPr>
        <w:t>如乙方单方面终止服务项目，甲方有权要求乙方退还已收取的未完成服务部分的相应经费，并要求乙方赔偿甲方全部损失，包括但不限于重新确定服务承办方的全部支出。</w:t>
      </w:r>
    </w:p>
    <w:p>
      <w:pPr>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highlight w:val="none"/>
          <w:lang w:val="en-US" w:eastAsia="zh-CN"/>
        </w:rPr>
        <w:t>6.2</w:t>
      </w:r>
      <w:r>
        <w:rPr>
          <w:rFonts w:hint="eastAsia" w:asciiTheme="minorEastAsia" w:hAnsiTheme="minorEastAsia" w:eastAsiaTheme="minorEastAsia" w:cstheme="minorEastAsia"/>
          <w:color w:val="auto"/>
          <w:sz w:val="24"/>
          <w:szCs w:val="24"/>
          <w:lang w:eastAsia="zh-CN"/>
        </w:rPr>
        <w:t>甲方无正当理由拒绝验收项目的，甲方向乙方偿付拒收合同总价的百分之五违约金。</w:t>
      </w:r>
    </w:p>
    <w:p>
      <w:pPr>
        <w:pStyle w:val="23"/>
        <w:keepNext w:val="0"/>
        <w:keepLines w:val="0"/>
        <w:pageBreakBefore w:val="0"/>
        <w:spacing w:after="0" w:line="360" w:lineRule="auto"/>
        <w:ind w:left="0" w:firstLine="48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6.3</w:t>
      </w:r>
      <w:r>
        <w:rPr>
          <w:rFonts w:hint="eastAsia" w:asciiTheme="minorEastAsia" w:hAnsiTheme="minorEastAsia" w:eastAsiaTheme="minorEastAsia" w:cstheme="minorEastAsia"/>
          <w:color w:val="auto"/>
          <w:sz w:val="24"/>
          <w:szCs w:val="24"/>
        </w:rPr>
        <w:t>甲方</w:t>
      </w:r>
      <w:r>
        <w:rPr>
          <w:rFonts w:hint="eastAsia" w:asciiTheme="minorEastAsia" w:hAnsiTheme="minorEastAsia" w:eastAsiaTheme="minorEastAsia" w:cstheme="minorEastAsia"/>
          <w:color w:val="auto"/>
          <w:sz w:val="24"/>
          <w:szCs w:val="24"/>
          <w:lang w:eastAsia="zh-CN"/>
        </w:rPr>
        <w:t>无故逾期验收和办理合同款项支付手续的，甲方应按逾期付款总额每日万分之五向乙方支付违约金。</w:t>
      </w:r>
    </w:p>
    <w:p>
      <w:pPr>
        <w:keepNext w:val="0"/>
        <w:keepLines w:val="0"/>
        <w:pageBreakBefore w:val="0"/>
        <w:widowControl w:val="0"/>
        <w:spacing w:line="360" w:lineRule="auto"/>
        <w:ind w:firstLine="480"/>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6.4</w:t>
      </w:r>
      <w:r>
        <w:rPr>
          <w:rFonts w:hint="eastAsia" w:asciiTheme="minorEastAsia" w:hAnsiTheme="minorEastAsia" w:eastAsiaTheme="minorEastAsia" w:cstheme="minorEastAsia"/>
          <w:color w:val="auto"/>
          <w:sz w:val="24"/>
          <w:szCs w:val="24"/>
          <w:highlight w:val="none"/>
        </w:rPr>
        <w:t>乙方提供的服务不符合</w:t>
      </w:r>
      <w:r>
        <w:rPr>
          <w:rFonts w:hint="eastAsia" w:asciiTheme="minorEastAsia" w:hAnsiTheme="minorEastAsia" w:eastAsiaTheme="minorEastAsia" w:cstheme="minorEastAsia"/>
          <w:color w:val="auto"/>
          <w:sz w:val="24"/>
          <w:szCs w:val="24"/>
          <w:highlight w:val="none"/>
          <w:lang w:eastAsia="zh-CN"/>
        </w:rPr>
        <w:t>采购</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文件或本合同规定的，乙方须向甲方支付已结算服务金额5%的违约金并返还已结算</w:t>
      </w:r>
      <w:r>
        <w:rPr>
          <w:rFonts w:hint="eastAsia" w:asciiTheme="minorEastAsia" w:hAnsiTheme="minorEastAsia" w:eastAsiaTheme="minorEastAsia" w:cstheme="minorEastAsia"/>
          <w:color w:val="auto"/>
          <w:sz w:val="24"/>
          <w:szCs w:val="24"/>
          <w:highlight w:val="none"/>
          <w:lang w:eastAsia="zh-CN"/>
        </w:rPr>
        <w:t>的</w:t>
      </w:r>
      <w:r>
        <w:rPr>
          <w:rFonts w:hint="eastAsia" w:asciiTheme="minorEastAsia" w:hAnsiTheme="minorEastAsia" w:eastAsiaTheme="minorEastAsia" w:cstheme="minorEastAsia"/>
          <w:color w:val="auto"/>
          <w:sz w:val="24"/>
          <w:szCs w:val="24"/>
          <w:highlight w:val="none"/>
        </w:rPr>
        <w:t>服务金额。</w:t>
      </w:r>
    </w:p>
    <w:p>
      <w:pPr>
        <w:pStyle w:val="23"/>
        <w:keepNext w:val="0"/>
        <w:keepLines w:val="0"/>
        <w:pageBreakBefore w:val="0"/>
        <w:spacing w:after="0" w:line="360" w:lineRule="auto"/>
        <w:ind w:left="0" w:firstLine="48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6.5</w:t>
      </w:r>
      <w:r>
        <w:rPr>
          <w:rFonts w:hint="eastAsia" w:asciiTheme="minorEastAsia" w:hAnsiTheme="minorEastAsia" w:eastAsiaTheme="minorEastAsia" w:cstheme="minorEastAsia"/>
          <w:color w:val="auto"/>
          <w:sz w:val="24"/>
          <w:szCs w:val="24"/>
          <w:lang w:eastAsia="zh-CN"/>
        </w:rPr>
        <w:t>乙方逾期提供服务的，乙方应按逾期交付项目总额每日千分之六向甲方支付违约金，由甲方从合同款项中扣除。逾期超过约定日期</w:t>
      </w:r>
      <w:r>
        <w:rPr>
          <w:rFonts w:hint="eastAsia" w:asciiTheme="minorEastAsia" w:hAnsiTheme="minorEastAsia" w:eastAsiaTheme="minorEastAsia" w:cstheme="minorEastAsia"/>
          <w:color w:val="auto"/>
          <w:sz w:val="24"/>
          <w:szCs w:val="24"/>
          <w:lang w:val="en-US" w:eastAsia="zh-CN"/>
        </w:rPr>
        <w:t>10个工作日不能交付的，甲方可解除本合同。乙方因逾期交付或因其他违约行为导致甲方解除合同的，乙方应向甲方支付合同总价值5%的违约金，如造成甲方损失超过违约金的，超出部分由乙方继续承担赔偿责任。</w:t>
      </w:r>
    </w:p>
    <w:p>
      <w:pPr>
        <w:keepNext w:val="0"/>
        <w:keepLines w:val="0"/>
        <w:pageBreakBefore w:val="0"/>
        <w:widowControl/>
        <w:numPr>
          <w:ilvl w:val="0"/>
          <w:numId w:val="0"/>
        </w:numPr>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6.6乙方应确保投标文件中所列出的所有人员与最终参与本项目的人员一致，如在合同履行过程中，甲方发现参与项目人员与所列人员不一致，甲方有权终止合同，并追究乙方经济和法律责任，由此产生的一切损失由供应商承担。</w:t>
      </w:r>
    </w:p>
    <w:p>
      <w:pPr>
        <w:keepNext w:val="0"/>
        <w:keepLines w:val="0"/>
        <w:pageBreakBefore w:val="0"/>
        <w:widowControl/>
        <w:numPr>
          <w:ilvl w:val="0"/>
          <w:numId w:val="0"/>
        </w:numPr>
        <w:spacing w:line="360" w:lineRule="auto"/>
        <w:ind w:firstLine="48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lang w:val="en-US" w:eastAsia="zh-CN"/>
        </w:rPr>
        <w:t>6.7乙方擅自转包本合同标的，甲方有权解除合同，并由乙方承担相关责任。</w:t>
      </w:r>
      <w:r>
        <w:rPr>
          <w:rFonts w:hint="eastAsia" w:asciiTheme="minorEastAsia" w:hAnsiTheme="minorEastAsia" w:eastAsiaTheme="minorEastAsia" w:cstheme="minorEastAsia"/>
          <w:b/>
          <w:color w:val="auto"/>
          <w:sz w:val="24"/>
          <w:szCs w:val="24"/>
        </w:rPr>
        <w:t xml:space="preserve"> </w:t>
      </w:r>
    </w:p>
    <w:p>
      <w:pPr>
        <w:keepNext w:val="0"/>
        <w:keepLines w:val="0"/>
        <w:pageBreakBefore w:val="0"/>
        <w:widowControl/>
        <w:numPr>
          <w:ilvl w:val="0"/>
          <w:numId w:val="0"/>
        </w:numPr>
        <w:spacing w:line="360" w:lineRule="auto"/>
        <w:ind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第七条</w:t>
      </w:r>
      <w:r>
        <w:rPr>
          <w:rFonts w:hint="eastAsia" w:asciiTheme="minorEastAsia" w:hAnsiTheme="minorEastAsia" w:eastAsiaTheme="minorEastAsia" w:cstheme="minorEastAsia"/>
          <w:b/>
          <w:color w:val="auto"/>
          <w:sz w:val="24"/>
          <w:szCs w:val="24"/>
          <w:lang w:val="en-US" w:eastAsia="zh-CN"/>
        </w:rPr>
        <w:t xml:space="preserve"> </w:t>
      </w:r>
      <w:r>
        <w:rPr>
          <w:rFonts w:hint="eastAsia" w:asciiTheme="minorEastAsia" w:hAnsiTheme="minorEastAsia" w:eastAsiaTheme="minorEastAsia" w:cstheme="minorEastAsia"/>
          <w:b/>
          <w:color w:val="auto"/>
          <w:sz w:val="24"/>
          <w:szCs w:val="24"/>
        </w:rPr>
        <w:t>权利保证及保密</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7.1技术成果归双方所有。甲乙双方须妥善保管各自持有的相关资料。除非得到另一方的书面许可，甲乙双方均不得将本合同中的内容及在本合同执行过程中获得的对方的商业信息向第三方泄露。</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7.2乙方应对甲方提供的技术资料承担技术保密义务，并严格遵守以下原则：（1）乙方只有在为甲方提供咨询服务的过程中有使用权，没有其他权利；（2）乙方不得复制甲方提供的技术资料；（3）乙方应保证该技术只限该项目的相关人员了解，并将保密工作落实到人。</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第八条  不可抗力</w:t>
      </w:r>
    </w:p>
    <w:p>
      <w:pPr>
        <w:pStyle w:val="14"/>
        <w:keepNext w:val="0"/>
        <w:keepLines w:val="0"/>
        <w:pageBreakBefore w:val="0"/>
        <w:spacing w:after="0"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8.1</w:t>
      </w:r>
      <w:r>
        <w:rPr>
          <w:rFonts w:hint="eastAsia" w:asciiTheme="minorEastAsia" w:hAnsiTheme="minorEastAsia" w:eastAsiaTheme="minorEastAsia" w:cstheme="minorEastAsia"/>
          <w:color w:val="auto"/>
          <w:sz w:val="24"/>
          <w:szCs w:val="24"/>
        </w:rPr>
        <w:t>因不可抗力不能履行合同的，根据不可抗力的影响，部分或者全部免除责任。但合同一方延迟履行后发生不可抗力的，不能免除责任。</w:t>
      </w:r>
    </w:p>
    <w:p>
      <w:pPr>
        <w:pStyle w:val="14"/>
        <w:keepNext w:val="0"/>
        <w:keepLines w:val="0"/>
        <w:pageBreakBefore w:val="0"/>
        <w:spacing w:after="0" w:line="360" w:lineRule="auto"/>
        <w:ind w:firstLine="48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color w:val="auto"/>
          <w:sz w:val="24"/>
          <w:szCs w:val="24"/>
          <w:lang w:val="en-US" w:eastAsia="zh-CN"/>
        </w:rPr>
        <w:t>8.2</w:t>
      </w:r>
      <w:r>
        <w:rPr>
          <w:rFonts w:hint="eastAsia" w:asciiTheme="minorEastAsia" w:hAnsiTheme="minorEastAsia" w:eastAsiaTheme="minorEastAsia" w:cstheme="minorEastAsia"/>
          <w:color w:val="auto"/>
          <w:sz w:val="24"/>
          <w:szCs w:val="24"/>
        </w:rPr>
        <w:t>合同一方因不可抗力不能履行合同的，应当及时通知对方，以减轻可能给对方造成的损失，并应当在合理期限内提供证明。</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第九条  </w:t>
      </w:r>
      <w:bookmarkStart w:id="80" w:name="_Hlk36582013"/>
      <w:r>
        <w:rPr>
          <w:rFonts w:hint="eastAsia" w:asciiTheme="minorEastAsia" w:hAnsiTheme="minorEastAsia" w:eastAsiaTheme="minorEastAsia" w:cstheme="minorEastAsia"/>
          <w:b/>
          <w:color w:val="auto"/>
          <w:sz w:val="24"/>
          <w:szCs w:val="24"/>
        </w:rPr>
        <w:t>其他</w:t>
      </w:r>
      <w:bookmarkEnd w:id="80"/>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.1本合同任何一方给另一方的通知，都应以书面形式发送，而另一方也应以书面形式确认并发送到对方明确的地址。</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.2 甲乙双方任何一方应当将其通讯联系方式及地址的任何变化书面通知另一方，否则以本合同约定通讯联系方式对本合同约定原地址的送达视为已经送达。</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.3本合同一式</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份，具有同等法律效力。买卖双方各执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份。</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.4本合同一切税费由乙方承担。</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.5本合同未尽事宜，甲乙双方可以协商签订补充协议，所签订的补充合同与本合同具有同等法律效力。</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    方：（公章）　　　　　　　　　乙    方：（公章）</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                          法定代表人</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或委托代表人（签字）：              或委托代表人（签字）：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签字日期： 年   月    日            签字日期：年   月    日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                            联系人：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　话：                            电　话：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电子信箱：                          电子信箱：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                          地　　址：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邮政编码：                          邮政编码：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开户银行：                          开户银行：              </w:t>
      </w:r>
    </w:p>
    <w:p>
      <w:pPr>
        <w:pStyle w:val="70"/>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xml:space="preserve">账　　号：                          账　　号：  </w:t>
      </w:r>
      <w:r>
        <w:rPr>
          <w:rFonts w:hint="eastAsia" w:asciiTheme="minorEastAsia" w:hAnsiTheme="minorEastAsia" w:eastAsiaTheme="minorEastAsia" w:cstheme="minorEastAsia"/>
          <w:b/>
          <w:color w:val="auto"/>
          <w:sz w:val="24"/>
          <w:szCs w:val="24"/>
        </w:rPr>
        <w:t xml:space="preserve">  </w:t>
      </w:r>
    </w:p>
    <w:p>
      <w:pPr>
        <w:adjustRightInd w:val="0"/>
        <w:snapToGrid w:val="0"/>
        <w:spacing w:before="120" w:after="120" w:line="360" w:lineRule="auto"/>
        <w:jc w:val="left"/>
        <w:rPr>
          <w:rFonts w:ascii="宋体" w:hAnsi="宋体" w:eastAsia="宋体" w:cs="宋体"/>
          <w:b/>
          <w:bCs/>
          <w:color w:val="auto"/>
          <w:sz w:val="24"/>
          <w:szCs w:val="24"/>
        </w:rPr>
      </w:pPr>
    </w:p>
    <w:p>
      <w:pPr>
        <w:adjustRightInd w:val="0"/>
        <w:snapToGrid w:val="0"/>
        <w:spacing w:before="120" w:after="120" w:line="360" w:lineRule="auto"/>
        <w:jc w:val="left"/>
        <w:rPr>
          <w:rFonts w:hint="eastAsia" w:ascii="宋体" w:hAnsi="宋体" w:eastAsia="宋体" w:cs="宋体"/>
          <w:b/>
          <w:bCs/>
          <w:color w:val="auto"/>
          <w:sz w:val="24"/>
          <w:szCs w:val="24"/>
        </w:rPr>
      </w:pPr>
    </w:p>
    <w:p>
      <w:pPr>
        <w:adjustRightInd w:val="0"/>
        <w:snapToGrid w:val="0"/>
        <w:spacing w:before="120" w:after="120"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注：采购人保留调整合同条款的权利。</w:t>
      </w:r>
    </w:p>
    <w:p>
      <w:pPr>
        <w:adjustRightInd w:val="0"/>
        <w:snapToGrid w:val="0"/>
        <w:spacing w:before="120" w:after="120" w:line="360" w:lineRule="auto"/>
        <w:jc w:val="left"/>
        <w:rPr>
          <w:rFonts w:hint="eastAsia" w:ascii="宋体" w:hAnsi="宋体" w:eastAsia="宋体" w:cs="宋体"/>
          <w:b/>
          <w:bCs/>
          <w:color w:val="auto"/>
          <w:sz w:val="24"/>
          <w:szCs w:val="24"/>
        </w:rPr>
      </w:pPr>
    </w:p>
    <w:p>
      <w:pPr>
        <w:adjustRightInd w:val="0"/>
        <w:snapToGrid w:val="0"/>
        <w:spacing w:before="120" w:after="120" w:line="360" w:lineRule="auto"/>
        <w:jc w:val="lef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附件：参与本项目人员列表</w:t>
      </w:r>
    </w:p>
    <w:p>
      <w:pPr>
        <w:pStyle w:val="2"/>
        <w:jc w:val="center"/>
        <w:rPr>
          <w:rFonts w:ascii="宋体" w:hAnsi="宋体" w:eastAsia="宋体" w:cs="宋体"/>
          <w:b/>
          <w:color w:val="auto"/>
          <w:sz w:val="36"/>
          <w:szCs w:val="36"/>
        </w:rPr>
      </w:pPr>
      <w:r>
        <w:rPr>
          <w:rFonts w:hint="eastAsia" w:ascii="宋体" w:hAnsi="宋体" w:eastAsia="宋体" w:cs="宋体"/>
          <w:b/>
          <w:bCs/>
          <w:color w:val="auto"/>
          <w:sz w:val="24"/>
          <w:szCs w:val="24"/>
        </w:rPr>
        <w:br w:type="page" w:clear="all"/>
      </w:r>
      <w:bookmarkEnd w:id="79"/>
      <w:bookmarkStart w:id="81" w:name="_Toc12536"/>
      <w:bookmarkStart w:id="82" w:name="_Toc363573859"/>
      <w:r>
        <w:rPr>
          <w:rFonts w:hint="eastAsia" w:ascii="宋体" w:hAnsi="宋体" w:eastAsia="宋体" w:cs="宋体"/>
          <w:b/>
          <w:bCs/>
          <w:color w:val="auto"/>
          <w:sz w:val="36"/>
          <w:szCs w:val="36"/>
        </w:rPr>
        <w:t>第六章 合同授予</w:t>
      </w:r>
      <w:bookmarkEnd w:id="81"/>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一、</w:t>
      </w:r>
      <w:r>
        <w:rPr>
          <w:rFonts w:hint="eastAsia" w:ascii="宋体" w:hAnsi="宋体" w:eastAsia="宋体" w:cs="宋体"/>
          <w:bCs/>
          <w:color w:val="auto"/>
          <w:sz w:val="24"/>
          <w:szCs w:val="24"/>
        </w:rPr>
        <w:t>自中标通知书发出之日起30日内，中标人凭“中标通知书”及履约缴纳凭证与采购人签订合同。</w:t>
      </w:r>
      <w:r>
        <w:rPr>
          <w:rFonts w:hint="eastAsia" w:ascii="宋体" w:hAnsi="宋体" w:eastAsia="宋体" w:cs="宋体"/>
          <w:color w:val="auto"/>
          <w:sz w:val="24"/>
          <w:szCs w:val="21"/>
        </w:rPr>
        <w:t>合同一式肆份，采购人、中标人各贰份。所签合同不得对招标文件作实质性修改。采购人不得向中标人提出不合理的要求作为签订合同的条件，不得与中标人私下订立背离招标文件实质性内容的协议。</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二、采购人按合同约定积极配合中标人履约，中标人履约到位后，请以书面形式向采购人提出验收申请。</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三、中标人出现违约情形，应当及时纠正或补偿；造成损失的，按合同约定追究违约责任。</w:t>
      </w:r>
    </w:p>
    <w:bookmarkEnd w:id="82"/>
    <w:p>
      <w:pPr>
        <w:spacing w:line="360" w:lineRule="auto"/>
        <w:ind w:firstLine="482"/>
        <w:contextualSpacing/>
        <w:rPr>
          <w:rFonts w:ascii="宋体" w:hAnsi="宋体" w:eastAsia="宋体" w:cs="宋体"/>
          <w:color w:val="auto"/>
          <w:sz w:val="24"/>
          <w:szCs w:val="21"/>
        </w:rPr>
      </w:pPr>
      <w:bookmarkStart w:id="83" w:name="_Toc363573860"/>
      <w:r>
        <w:rPr>
          <w:rFonts w:hint="eastAsia" w:ascii="宋体" w:hAnsi="宋体" w:eastAsia="宋体" w:cs="宋体"/>
          <w:color w:val="auto"/>
          <w:sz w:val="24"/>
          <w:szCs w:val="21"/>
        </w:rPr>
        <w:t>四、不响应付款方式的，视同投标文件无效，按无效投标文件处理。</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五、付款方式详见招标文件，以上项目款的支付不计息。</w:t>
      </w:r>
    </w:p>
    <w:p>
      <w:pPr>
        <w:spacing w:line="360" w:lineRule="auto"/>
        <w:ind w:firstLine="482"/>
        <w:contextualSpacing/>
        <w:rPr>
          <w:rFonts w:ascii="宋体" w:hAnsi="宋体" w:eastAsia="宋体" w:cs="宋体"/>
          <w:color w:val="auto"/>
          <w:sz w:val="24"/>
          <w:szCs w:val="21"/>
        </w:rPr>
      </w:pPr>
    </w:p>
    <w:p>
      <w:pPr>
        <w:pStyle w:val="120"/>
        <w:spacing w:line="360" w:lineRule="auto"/>
        <w:rPr>
          <w:rFonts w:ascii="宋体" w:hAnsi="宋体" w:eastAsia="宋体" w:cs="宋体"/>
          <w:color w:val="auto"/>
        </w:rPr>
      </w:pPr>
    </w:p>
    <w:p>
      <w:pPr>
        <w:pStyle w:val="2"/>
        <w:jc w:val="center"/>
        <w:rPr>
          <w:rFonts w:ascii="宋体" w:hAnsi="宋体" w:eastAsia="宋体" w:cs="宋体"/>
          <w:b/>
          <w:color w:val="auto"/>
          <w:sz w:val="36"/>
          <w:szCs w:val="36"/>
        </w:rPr>
      </w:pPr>
      <w:r>
        <w:rPr>
          <w:rFonts w:hint="eastAsia" w:ascii="宋体" w:hAnsi="宋体" w:eastAsia="宋体" w:cs="宋体"/>
          <w:b/>
          <w:color w:val="auto"/>
          <w:sz w:val="36"/>
          <w:szCs w:val="36"/>
        </w:rPr>
        <w:br w:type="page" w:clear="all"/>
      </w:r>
      <w:bookmarkStart w:id="84" w:name="_Toc14837"/>
      <w:r>
        <w:rPr>
          <w:rFonts w:hint="eastAsia" w:ascii="宋体" w:hAnsi="宋体" w:eastAsia="宋体" w:cs="宋体"/>
          <w:b/>
          <w:bCs/>
          <w:color w:val="auto"/>
          <w:sz w:val="36"/>
          <w:szCs w:val="36"/>
        </w:rPr>
        <w:t>第七章 质疑与投诉</w:t>
      </w:r>
      <w:bookmarkEnd w:id="84"/>
    </w:p>
    <w:p>
      <w:pPr>
        <w:spacing w:line="360" w:lineRule="auto"/>
        <w:ind w:firstLine="480"/>
        <w:contextualSpacing/>
        <w:rPr>
          <w:rFonts w:ascii="宋体" w:hAnsi="宋体" w:eastAsia="宋体" w:cs="宋体"/>
          <w:b/>
          <w:color w:val="auto"/>
          <w:sz w:val="24"/>
          <w:szCs w:val="21"/>
        </w:rPr>
      </w:pPr>
      <w:r>
        <w:rPr>
          <w:rFonts w:hint="eastAsia" w:ascii="宋体" w:hAnsi="宋体" w:eastAsia="宋体" w:cs="宋体"/>
          <w:b/>
          <w:color w:val="auto"/>
          <w:sz w:val="24"/>
          <w:szCs w:val="21"/>
        </w:rPr>
        <w:t>一、质疑的提出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1、提出质疑的投标人应当是参与所质疑项目采购活动的投标人。潜在投标人依法获取其可质疑的招标文件的，可以对招标文件提出质疑。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2、投标人认为招标文件、招投标过程和招标结果使自己的权益受到损害的，可以在知道或应知其权益受到损害之日起七个工作日内，以书面形式向采购人提出质疑。上述应知其权益受到损害之日，是指：</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2.1对可以质疑的招标文件提出质疑的，为收到招标文件之日或者招标文件公告期限届满之日；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2.2对采购过程提出质疑的，为各采购程序环节结束之日；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2.3对中标结果提出质疑的，为中标结果公告期限届满之日。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投标人应当在法定质疑期内一次性提出针对同一采购程序环节的质疑。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4、对招标方式、招标文件中项目需求、投标人资格条件、评审方法和评审标准、资格审查结果等应当由采购人答复的质疑，请向采购人提出，由采购人负责答复。</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采购人质疑接收人及联系方式，见招标文件第一章。</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 以下情形的质疑不予受理</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5.1 内容不符合《政府采购质疑和投诉办法》财政部第94号令第十二条规定的质疑。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5.2 超出政府采购法定期限的质疑。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5.3 未参加招投标活动的投标人。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5.4投标人组成联合体参加招投标活动，联合体中任何一方或多方未按要求签字、盖章、加盖公章的质疑。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br w:type="page" w:clear="all"/>
      </w:r>
      <w:r>
        <w:rPr>
          <w:rFonts w:hint="eastAsia" w:ascii="宋体" w:hAnsi="宋体" w:eastAsia="宋体" w:cs="宋体"/>
          <w:color w:val="auto"/>
          <w:sz w:val="24"/>
          <w:szCs w:val="21"/>
        </w:rPr>
        <w:t>附件：</w:t>
      </w:r>
    </w:p>
    <w:p>
      <w:pPr>
        <w:spacing w:line="360" w:lineRule="auto"/>
        <w:ind w:firstLine="482"/>
        <w:contextualSpacing/>
        <w:jc w:val="center"/>
        <w:rPr>
          <w:rFonts w:ascii="宋体" w:hAnsi="宋体" w:eastAsia="宋体" w:cs="宋体"/>
          <w:bCs/>
          <w:color w:val="auto"/>
          <w:sz w:val="24"/>
          <w:szCs w:val="21"/>
        </w:rPr>
      </w:pPr>
      <w:r>
        <w:rPr>
          <w:rFonts w:hint="eastAsia" w:ascii="宋体" w:hAnsi="宋体" w:eastAsia="宋体" w:cs="宋体"/>
          <w:bCs/>
          <w:color w:val="auto"/>
          <w:sz w:val="24"/>
          <w:szCs w:val="21"/>
        </w:rPr>
        <w:t>质疑函范本</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一、质疑</w:t>
      </w:r>
      <w:r>
        <w:rPr>
          <w:rFonts w:hint="eastAsia" w:ascii="宋体" w:hAnsi="宋体" w:eastAsia="宋体" w:cs="宋体"/>
          <w:color w:val="auto"/>
          <w:sz w:val="24"/>
          <w:szCs w:val="21"/>
        </w:rPr>
        <w:t>投标人</w:t>
      </w:r>
      <w:r>
        <w:rPr>
          <w:rFonts w:hint="eastAsia" w:ascii="宋体" w:hAnsi="宋体" w:eastAsia="宋体" w:cs="宋体"/>
          <w:bCs/>
          <w:color w:val="auto"/>
          <w:sz w:val="24"/>
          <w:szCs w:val="21"/>
        </w:rPr>
        <w:t>基本信息</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质疑投标人：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地址：邮编：</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联系人：联系电话：</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授权代表：</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联系电话：</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地址：邮编：</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二、质疑项目基本情况</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质疑项目的名称：</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质疑项目的编号：包号：</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采购人名称：</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招标文件获取日期：</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三、质疑事项具体内容</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质疑事项1：</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事实依据：</w:t>
      </w:r>
    </w:p>
    <w:p>
      <w:pPr>
        <w:spacing w:line="360" w:lineRule="auto"/>
        <w:ind w:firstLine="482"/>
        <w:contextualSpacing/>
        <w:rPr>
          <w:rFonts w:ascii="宋体" w:hAnsi="宋体" w:eastAsia="宋体" w:cs="宋体"/>
          <w:color w:val="auto"/>
          <w:sz w:val="24"/>
          <w:szCs w:val="21"/>
        </w:rPr>
      </w:pP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法律依据：</w:t>
      </w:r>
    </w:p>
    <w:p>
      <w:pPr>
        <w:spacing w:line="360" w:lineRule="auto"/>
        <w:ind w:firstLine="482"/>
        <w:contextualSpacing/>
        <w:rPr>
          <w:rFonts w:ascii="宋体" w:hAnsi="宋体" w:eastAsia="宋体" w:cs="宋体"/>
          <w:color w:val="auto"/>
          <w:sz w:val="24"/>
          <w:szCs w:val="21"/>
          <w:u w:val="single"/>
        </w:rPr>
      </w:pP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质疑事项2</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四、与质疑事项相关的质疑请求</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请求：</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 xml:space="preserve">签字(签章)：                   公章：                      </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 xml:space="preserve">日期：    </w:t>
      </w:r>
    </w:p>
    <w:p>
      <w:pPr>
        <w:spacing w:line="360" w:lineRule="auto"/>
        <w:ind w:firstLine="482"/>
        <w:contextualSpacing/>
        <w:rPr>
          <w:rFonts w:ascii="宋体" w:hAnsi="宋体" w:eastAsia="宋体" w:cs="宋体"/>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r>
        <w:rPr>
          <w:rFonts w:hint="eastAsia" w:ascii="宋体" w:hAnsi="宋体" w:eastAsia="宋体" w:cs="宋体"/>
          <w:b/>
          <w:color w:val="auto"/>
          <w:sz w:val="24"/>
          <w:szCs w:val="21"/>
        </w:rPr>
        <w:t>质疑函制作说明：</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1、投标人提出质疑时，应提交质疑函和必要的证明材料。</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3、质疑投标人若对项目的某一分包进行质疑，质疑函中应列明具体分包号。</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4、质疑函的质疑事项应具体、明确，并有必要的事实依据和法律依据。</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5、质疑函的质疑请求应与质疑事项相关。</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6、质疑投标人为自然人的，质疑函应由本人签字；质疑投标人为法人或者其他组织的，质疑函应由法定代表人、主要负责人，或者其授权代表签字或者盖章，并加盖公章。</w:t>
      </w:r>
    </w:p>
    <w:p>
      <w:pPr>
        <w:pStyle w:val="2"/>
        <w:jc w:val="center"/>
        <w:rPr>
          <w:rFonts w:ascii="宋体" w:hAnsi="宋体" w:eastAsia="宋体" w:cs="宋体"/>
          <w:b/>
          <w:color w:val="auto"/>
          <w:sz w:val="36"/>
          <w:szCs w:val="36"/>
        </w:rPr>
      </w:pPr>
      <w:r>
        <w:rPr>
          <w:rFonts w:hint="eastAsia" w:ascii="宋体" w:hAnsi="宋体" w:eastAsia="宋体" w:cs="宋体"/>
          <w:b/>
          <w:color w:val="auto"/>
          <w:sz w:val="24"/>
          <w:szCs w:val="21"/>
        </w:rPr>
        <w:br w:type="page" w:clear="all"/>
      </w:r>
      <w:bookmarkStart w:id="85" w:name="_Toc13262"/>
      <w:r>
        <w:rPr>
          <w:rFonts w:hint="eastAsia" w:ascii="宋体" w:hAnsi="宋体" w:eastAsia="宋体" w:cs="宋体"/>
          <w:b/>
          <w:bCs/>
          <w:color w:val="auto"/>
          <w:sz w:val="36"/>
          <w:szCs w:val="36"/>
        </w:rPr>
        <w:t>第八章 投标文件组成及格式</w:t>
      </w:r>
      <w:bookmarkEnd w:id="83"/>
      <w:bookmarkEnd w:id="85"/>
    </w:p>
    <w:p>
      <w:pPr>
        <w:spacing w:line="360" w:lineRule="auto"/>
        <w:ind w:firstLine="480"/>
        <w:contextualSpacing/>
        <w:jc w:val="left"/>
        <w:rPr>
          <w:rFonts w:ascii="宋体" w:hAnsi="宋体" w:eastAsia="宋体" w:cs="宋体"/>
          <w:b/>
          <w:color w:val="auto"/>
          <w:sz w:val="24"/>
          <w:szCs w:val="21"/>
        </w:rPr>
      </w:pPr>
      <w:r>
        <w:rPr>
          <w:rFonts w:hint="eastAsia" w:ascii="宋体" w:hAnsi="宋体" w:eastAsia="宋体" w:cs="宋体"/>
          <w:b/>
          <w:color w:val="auto"/>
          <w:sz w:val="24"/>
          <w:szCs w:val="21"/>
        </w:rPr>
        <w:t>一、投标文件组成</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投标文件由资格审查文件、商务技术标、价格标三部分组成。</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（一）资格审查文件（不能出现价格文件）</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1、供应商具有独立承担民事责任的能力，提供法人或者其他组织的营业执照等证明文件，有能力按本招标文件规定的要求提供专业服务。</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2、如为法定代表人参加投标的，必须提供法定代表人身份证明；非法定代表人参加投标的，必须提供法定代表人签字或盖章的授权委托书（格式参见第八章）。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3、投标人符合《政府采购法》第二十二条规定条件的声明函（格式参见第八章）。</w:t>
      </w:r>
    </w:p>
    <w:p>
      <w:pPr>
        <w:spacing w:line="360" w:lineRule="auto"/>
        <w:ind w:firstLine="482"/>
        <w:contextualSpacing/>
        <w:rPr>
          <w:rFonts w:hint="eastAsia" w:ascii="宋体" w:hAnsi="宋体" w:eastAsia="宋体" w:cs="宋体"/>
          <w:bCs/>
          <w:color w:val="auto"/>
          <w:sz w:val="24"/>
          <w:szCs w:val="24"/>
        </w:rPr>
      </w:pPr>
      <w:r>
        <w:rPr>
          <w:rFonts w:hint="eastAsia" w:ascii="宋体" w:hAnsi="宋体" w:eastAsia="宋体" w:cs="宋体"/>
          <w:bCs/>
          <w:color w:val="auto"/>
          <w:sz w:val="24"/>
          <w:szCs w:val="24"/>
        </w:rPr>
        <w:t>4、投标人须提供诚信承诺书（格式参见第八章）。</w:t>
      </w:r>
    </w:p>
    <w:p>
      <w:pPr>
        <w:spacing w:line="360" w:lineRule="auto"/>
        <w:ind w:firstLine="482"/>
        <w:contextualSpacing/>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投标人具备有效的：林业调查规划设计甲级资质或城乡规划编制甲级资质，提供相关证明材料复印件。</w:t>
      </w:r>
    </w:p>
    <w:p>
      <w:pPr>
        <w:spacing w:line="360" w:lineRule="auto"/>
        <w:ind w:firstLine="480"/>
        <w:contextualSpacing/>
        <w:rPr>
          <w:rFonts w:ascii="宋体" w:hAnsi="宋体" w:eastAsia="宋体" w:cs="宋体"/>
          <w:b/>
          <w:color w:val="auto"/>
          <w:sz w:val="24"/>
          <w:szCs w:val="24"/>
        </w:rPr>
      </w:pPr>
      <w:r>
        <w:rPr>
          <w:rFonts w:hint="eastAsia" w:ascii="宋体" w:hAnsi="宋体" w:eastAsia="宋体" w:cs="宋体"/>
          <w:b/>
          <w:color w:val="auto"/>
          <w:sz w:val="24"/>
          <w:szCs w:val="24"/>
        </w:rPr>
        <w:t>注：以上材料如为复印件均需加盖投标人公章。</w:t>
      </w:r>
    </w:p>
    <w:p>
      <w:pPr>
        <w:spacing w:line="360" w:lineRule="auto"/>
        <w:ind w:firstLine="480"/>
        <w:contextualSpacing/>
        <w:jc w:val="left"/>
        <w:rPr>
          <w:rFonts w:ascii="宋体" w:hAnsi="宋体" w:eastAsia="宋体" w:cs="宋体"/>
          <w:b/>
          <w:bCs/>
          <w:color w:val="auto"/>
          <w:sz w:val="24"/>
          <w:szCs w:val="21"/>
        </w:rPr>
      </w:pPr>
      <w:r>
        <w:rPr>
          <w:rFonts w:hint="eastAsia" w:ascii="宋体" w:hAnsi="宋体" w:eastAsia="宋体" w:cs="宋体"/>
          <w:b/>
          <w:color w:val="auto"/>
          <w:sz w:val="24"/>
          <w:szCs w:val="21"/>
        </w:rPr>
        <w:t>（二）技术标（不得出现报价）</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1、投标响应函（格式参见第八章）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2、投标人一般情况表（格式参见第八章）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3、技术要求响应及偏离表（格式参见第八章）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4、商务要求响应及偏离表（格式参见第八章）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5、项目需求及评标办法中所涉及的事项需提供的所有资料。</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、招标文件中未涉及的事项，投标人认为需要提交的其他资料。</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注：为方便评委评审，请投标人按评标办法中所涉及的事项顺序进行编制，可以补充相关材料。</w:t>
      </w:r>
    </w:p>
    <w:p>
      <w:pPr>
        <w:spacing w:line="360" w:lineRule="auto"/>
        <w:ind w:firstLine="480"/>
        <w:contextualSpacing/>
        <w:jc w:val="left"/>
        <w:rPr>
          <w:rFonts w:ascii="宋体" w:hAnsi="宋体" w:eastAsia="宋体" w:cs="宋体"/>
          <w:b/>
          <w:bCs/>
          <w:color w:val="auto"/>
          <w:sz w:val="24"/>
          <w:szCs w:val="21"/>
        </w:rPr>
      </w:pPr>
      <w:r>
        <w:rPr>
          <w:rFonts w:hint="eastAsia" w:ascii="宋体" w:hAnsi="宋体" w:eastAsia="宋体" w:cs="宋体"/>
          <w:b/>
          <w:bCs/>
          <w:color w:val="auto"/>
          <w:sz w:val="24"/>
          <w:szCs w:val="21"/>
        </w:rPr>
        <w:t>（三）价格标</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1、投标报价表（格式参见第八章）；</w:t>
      </w:r>
    </w:p>
    <w:p>
      <w:pPr>
        <w:spacing w:line="360" w:lineRule="auto"/>
        <w:ind w:firstLine="482"/>
        <w:contextualSpacing/>
        <w:rPr>
          <w:rFonts w:hint="eastAsia" w:ascii="宋体" w:hAnsi="宋体" w:eastAsia="宋体" w:cs="宋体"/>
          <w:bCs/>
          <w:color w:val="auto"/>
          <w:sz w:val="24"/>
          <w:szCs w:val="21"/>
          <w:lang w:eastAsia="zh-CN"/>
        </w:rPr>
      </w:pPr>
      <w:r>
        <w:rPr>
          <w:rFonts w:hint="eastAsia" w:ascii="宋体" w:hAnsi="宋体" w:eastAsia="宋体" w:cs="宋体"/>
          <w:bCs/>
          <w:color w:val="auto"/>
          <w:sz w:val="24"/>
          <w:szCs w:val="21"/>
        </w:rPr>
        <w:t>2、供应商信用承诺书（格式参见第八章）</w:t>
      </w:r>
      <w:r>
        <w:rPr>
          <w:rFonts w:hint="eastAsia" w:ascii="宋体" w:hAnsi="宋体" w:eastAsia="宋体" w:cs="宋体"/>
          <w:bCs/>
          <w:color w:val="auto"/>
          <w:sz w:val="24"/>
          <w:szCs w:val="21"/>
          <w:lang w:eastAsia="zh-CN"/>
        </w:rPr>
        <w:t>；</w:t>
      </w:r>
    </w:p>
    <w:p>
      <w:pPr>
        <w:spacing w:line="360" w:lineRule="auto"/>
        <w:ind w:firstLine="482"/>
        <w:contextualSpacing/>
        <w:rPr>
          <w:rFonts w:hint="eastAsia" w:ascii="宋体" w:hAnsi="宋体" w:eastAsia="宋体" w:cs="宋体"/>
          <w:bCs/>
          <w:color w:val="auto"/>
          <w:sz w:val="24"/>
          <w:szCs w:val="24"/>
        </w:rPr>
      </w:pPr>
      <w:r>
        <w:rPr>
          <w:rFonts w:hint="eastAsia" w:ascii="宋体" w:hAnsi="宋体" w:eastAsia="宋体" w:cs="宋体"/>
          <w:bCs/>
          <w:color w:val="auto"/>
          <w:sz w:val="24"/>
          <w:szCs w:val="21"/>
          <w:lang w:val="en-US" w:eastAsia="zh-CN"/>
        </w:rPr>
        <w:t>3、</w:t>
      </w:r>
      <w:r>
        <w:rPr>
          <w:rFonts w:hint="eastAsia" w:ascii="宋体" w:hAnsi="宋体" w:eastAsia="宋体" w:cs="宋体"/>
          <w:bCs/>
          <w:color w:val="auto"/>
          <w:sz w:val="24"/>
          <w:szCs w:val="24"/>
        </w:rPr>
        <w:t>中小企业声明函或残疾人福利性单位声明函或监狱和戒毒企业证明材料（格式参见第八章）。</w:t>
      </w:r>
    </w:p>
    <w:p>
      <w:pPr>
        <w:spacing w:line="360" w:lineRule="auto"/>
        <w:ind w:firstLine="482"/>
        <w:contextualSpacing/>
        <w:rPr>
          <w:rFonts w:ascii="宋体" w:hAnsi="宋体" w:eastAsia="宋体" w:cs="宋体"/>
          <w:bCs/>
          <w:color w:val="auto"/>
          <w:sz w:val="24"/>
          <w:szCs w:val="21"/>
        </w:rPr>
      </w:pPr>
    </w:p>
    <w:p>
      <w:pPr>
        <w:spacing w:line="360" w:lineRule="auto"/>
        <w:ind w:firstLine="482"/>
        <w:contextualSpacing/>
        <w:jc w:val="left"/>
        <w:rPr>
          <w:rFonts w:ascii="宋体" w:hAnsi="宋体" w:eastAsia="宋体" w:cs="宋体"/>
          <w:b/>
          <w:bCs/>
          <w:color w:val="auto"/>
          <w:sz w:val="24"/>
          <w:szCs w:val="21"/>
        </w:rPr>
      </w:pPr>
    </w:p>
    <w:p>
      <w:pPr>
        <w:spacing w:line="360" w:lineRule="auto"/>
        <w:ind w:firstLine="482"/>
        <w:contextualSpacing/>
        <w:jc w:val="left"/>
        <w:rPr>
          <w:rFonts w:ascii="宋体" w:hAnsi="宋体" w:eastAsia="宋体" w:cs="宋体"/>
          <w:b/>
          <w:bCs/>
          <w:color w:val="auto"/>
          <w:sz w:val="24"/>
          <w:szCs w:val="21"/>
        </w:rPr>
      </w:pPr>
    </w:p>
    <w:p>
      <w:pPr>
        <w:rPr>
          <w:rFonts w:ascii="宋体" w:hAnsi="宋体" w:eastAsia="宋体" w:cs="宋体"/>
          <w:b/>
          <w:bCs/>
          <w:color w:val="auto"/>
          <w:sz w:val="24"/>
          <w:szCs w:val="21"/>
        </w:rPr>
      </w:pPr>
      <w:r>
        <w:rPr>
          <w:rFonts w:hint="eastAsia" w:ascii="宋体" w:hAnsi="宋体" w:eastAsia="宋体" w:cs="宋体"/>
          <w:b/>
          <w:bCs/>
          <w:color w:val="auto"/>
          <w:sz w:val="24"/>
          <w:szCs w:val="21"/>
        </w:rPr>
        <w:br w:type="page"/>
      </w:r>
    </w:p>
    <w:p>
      <w:pPr>
        <w:spacing w:line="360" w:lineRule="auto"/>
        <w:ind w:firstLine="482"/>
        <w:contextualSpacing/>
        <w:jc w:val="left"/>
        <w:rPr>
          <w:rFonts w:ascii="宋体" w:hAnsi="宋体" w:eastAsia="宋体" w:cs="宋体"/>
          <w:color w:val="auto"/>
          <w:sz w:val="24"/>
          <w:szCs w:val="24"/>
        </w:rPr>
      </w:pPr>
      <w:r>
        <w:rPr>
          <w:rFonts w:hint="eastAsia" w:ascii="宋体" w:hAnsi="宋体" w:eastAsia="宋体" w:cs="宋体"/>
          <w:b/>
          <w:bCs/>
          <w:color w:val="auto"/>
          <w:sz w:val="24"/>
          <w:szCs w:val="21"/>
        </w:rPr>
        <w:t>附件：相关格式</w:t>
      </w:r>
    </w:p>
    <w:p>
      <w:pPr>
        <w:spacing w:line="360" w:lineRule="auto"/>
        <w:ind w:firstLine="480"/>
        <w:outlineLvl w:val="1"/>
        <w:rPr>
          <w:rFonts w:ascii="宋体" w:hAnsi="宋体" w:eastAsia="宋体" w:cs="宋体"/>
          <w:b/>
          <w:bCs/>
          <w:color w:val="auto"/>
          <w:sz w:val="24"/>
          <w:szCs w:val="21"/>
        </w:rPr>
      </w:pPr>
      <w:r>
        <w:rPr>
          <w:rFonts w:hint="eastAsia" w:ascii="宋体" w:hAnsi="宋体" w:eastAsia="宋体" w:cs="宋体"/>
          <w:b/>
          <w:bCs/>
          <w:color w:val="auto"/>
          <w:sz w:val="24"/>
          <w:szCs w:val="21"/>
        </w:rPr>
        <w:t>A资格审查文件相关的格式文件及表格</w:t>
      </w:r>
    </w:p>
    <w:p>
      <w:pPr>
        <w:spacing w:line="360" w:lineRule="auto"/>
        <w:ind w:firstLine="480"/>
        <w:jc w:val="center"/>
        <w:rPr>
          <w:rFonts w:ascii="宋体" w:hAnsi="宋体" w:eastAsia="宋体" w:cs="宋体"/>
          <w:b/>
          <w:bCs/>
          <w:color w:val="auto"/>
          <w:sz w:val="24"/>
          <w:szCs w:val="21"/>
        </w:rPr>
      </w:pP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t>1、法定代表人身份证明</w:t>
      </w:r>
    </w:p>
    <w:p>
      <w:pPr>
        <w:spacing w:line="360" w:lineRule="auto"/>
        <w:ind w:firstLine="482"/>
        <w:jc w:val="center"/>
        <w:rPr>
          <w:rFonts w:ascii="宋体" w:hAnsi="宋体" w:eastAsia="宋体" w:cs="宋体"/>
          <w:color w:val="auto"/>
          <w:sz w:val="24"/>
          <w:szCs w:val="21"/>
          <w:u w:val="single"/>
        </w:rPr>
      </w:pPr>
      <w:r>
        <w:rPr>
          <w:rFonts w:hint="eastAsia" w:ascii="宋体" w:hAnsi="宋体" w:eastAsia="宋体" w:cs="宋体"/>
          <w:color w:val="auto"/>
          <w:sz w:val="24"/>
          <w:szCs w:val="21"/>
          <w:u w:val="single"/>
        </w:rPr>
        <w:t>（法定代表人参加投标时，须出示此证明）</w:t>
      </w:r>
    </w:p>
    <w:p>
      <w:pPr>
        <w:spacing w:line="360" w:lineRule="auto"/>
        <w:ind w:firstLine="482"/>
        <w:jc w:val="center"/>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我公司法定代表人</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参加贵单位组织的（招标项目名称）的项目投标活动，全权代表我公司处理投标的有关事宜。</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附：法定代表人情况：</w:t>
      </w:r>
    </w:p>
    <w:p>
      <w:pPr>
        <w:spacing w:line="360" w:lineRule="auto"/>
        <w:ind w:firstLine="482"/>
        <w:rPr>
          <w:rFonts w:ascii="宋体" w:hAnsi="宋体" w:eastAsia="宋体" w:cs="宋体"/>
          <w:color w:val="auto"/>
          <w:sz w:val="24"/>
          <w:szCs w:val="21"/>
          <w:u w:val="single"/>
        </w:rPr>
      </w:pPr>
      <w:r>
        <w:rPr>
          <w:rFonts w:hint="eastAsia" w:ascii="宋体" w:hAnsi="宋体" w:eastAsia="宋体" w:cs="宋体"/>
          <w:color w:val="auto"/>
          <w:sz w:val="24"/>
          <w:szCs w:val="21"/>
        </w:rPr>
        <w:t>姓名：性别：年龄：职务：</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身份证号码：</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手机：传真：</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单位名称（公章）               法定代表人（签字或盖章）</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xml:space="preserve">年   月   日                            年   月    日  </w:t>
      </w:r>
    </w:p>
    <w:p>
      <w:pPr>
        <w:spacing w:line="360" w:lineRule="auto"/>
        <w:ind w:firstLine="482"/>
        <w:rPr>
          <w:rFonts w:ascii="宋体" w:hAnsi="宋体" w:eastAsia="宋体" w:cs="宋体"/>
          <w:color w:val="auto"/>
          <w:sz w:val="24"/>
          <w:szCs w:val="21"/>
        </w:rPr>
      </w:pPr>
    </w:p>
    <w:p>
      <w:pPr>
        <w:pStyle w:val="51"/>
        <w:ind w:firstLine="960"/>
        <w:rPr>
          <w:rFonts w:eastAsia="宋体"/>
          <w:color w:val="auto"/>
          <w:lang w:eastAsia="zh-CN"/>
        </w:rPr>
      </w:pP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法定代表人身份证正反面复印件</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2"/>
        <w:rPr>
          <w:rFonts w:ascii="宋体" w:hAnsi="宋体" w:eastAsia="宋体" w:cs="宋体"/>
          <w:color w:val="auto"/>
          <w:sz w:val="24"/>
          <w:szCs w:val="21"/>
        </w:rPr>
      </w:pPr>
    </w:p>
    <w:p>
      <w:pPr>
        <w:rPr>
          <w:rFonts w:ascii="宋体" w:hAnsi="宋体" w:eastAsia="宋体" w:cs="宋体"/>
          <w:b/>
          <w:bCs/>
          <w:color w:val="auto"/>
          <w:sz w:val="24"/>
          <w:szCs w:val="21"/>
        </w:rPr>
      </w:pPr>
      <w:r>
        <w:rPr>
          <w:rFonts w:hint="eastAsia" w:ascii="宋体" w:hAnsi="宋体" w:eastAsia="宋体" w:cs="宋体"/>
          <w:b/>
          <w:bCs/>
          <w:color w:val="auto"/>
          <w:sz w:val="24"/>
          <w:szCs w:val="21"/>
        </w:rPr>
        <w:br w:type="page"/>
      </w: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t>2、授权委托书</w:t>
      </w:r>
    </w:p>
    <w:p>
      <w:pPr>
        <w:spacing w:line="360" w:lineRule="auto"/>
        <w:ind w:firstLine="482"/>
        <w:jc w:val="center"/>
        <w:rPr>
          <w:rFonts w:ascii="宋体" w:hAnsi="宋体" w:eastAsia="宋体" w:cs="宋体"/>
          <w:color w:val="auto"/>
          <w:sz w:val="24"/>
          <w:szCs w:val="21"/>
          <w:u w:val="single"/>
        </w:rPr>
      </w:pPr>
      <w:r>
        <w:rPr>
          <w:rFonts w:hint="eastAsia" w:ascii="宋体" w:hAnsi="宋体" w:eastAsia="宋体" w:cs="宋体"/>
          <w:color w:val="auto"/>
          <w:sz w:val="24"/>
          <w:szCs w:val="21"/>
          <w:u w:val="single"/>
        </w:rPr>
        <w:t>（被授权人参加投标时，须出示此证明）</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兹授权</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被授权人的姓名）代表我公司参加</w:t>
      </w:r>
      <w:r>
        <w:rPr>
          <w:rFonts w:hint="eastAsia" w:ascii="宋体" w:hAnsi="宋体" w:eastAsia="宋体" w:cs="宋体"/>
          <w:color w:val="auto"/>
          <w:sz w:val="24"/>
          <w:szCs w:val="21"/>
          <w:u w:val="double"/>
          <w:lang w:val="en-US" w:eastAsia="zh-CN"/>
        </w:rPr>
        <w:t xml:space="preserve">   </w:t>
      </w:r>
      <w:r>
        <w:rPr>
          <w:rFonts w:hint="eastAsia" w:ascii="宋体" w:hAnsi="宋体" w:eastAsia="宋体" w:cs="宋体"/>
          <w:color w:val="auto"/>
          <w:sz w:val="24"/>
          <w:szCs w:val="21"/>
        </w:rPr>
        <w:t>（招标项目名称）项目的投标活动，全权处理一切与该项目投标有关的事务。其在办理上述事宜过程中所签署的所有文件我公司均予以承认。</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被授权人无转委托权。特此委托。</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附：被授权人情况：</w:t>
      </w:r>
    </w:p>
    <w:p>
      <w:pPr>
        <w:spacing w:line="360" w:lineRule="auto"/>
        <w:ind w:firstLine="482"/>
        <w:rPr>
          <w:rFonts w:ascii="宋体" w:hAnsi="宋体" w:eastAsia="宋体" w:cs="宋体"/>
          <w:color w:val="auto"/>
          <w:sz w:val="24"/>
          <w:szCs w:val="21"/>
          <w:u w:val="single"/>
        </w:rPr>
      </w:pPr>
      <w:r>
        <w:rPr>
          <w:rFonts w:hint="eastAsia" w:ascii="宋体" w:hAnsi="宋体" w:eastAsia="宋体" w:cs="宋体"/>
          <w:color w:val="auto"/>
          <w:sz w:val="24"/>
          <w:szCs w:val="21"/>
        </w:rPr>
        <w:t>姓名</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：性别：</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年龄：</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职务：</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身份证号码：</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手机：</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传真：</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单位名称（公章）                      法定代表人（签字或盖章）</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年   月   日                        年   月   日</w:t>
      </w:r>
    </w:p>
    <w:p>
      <w:pPr>
        <w:spacing w:line="360" w:lineRule="auto"/>
        <w:ind w:firstLine="482"/>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法定代表人身份证正反面复印件</w:t>
      </w: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2"/>
        <w:jc w:val="center"/>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被授权人身份证正反面复印件</w:t>
      </w: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0"/>
        <w:rPr>
          <w:rFonts w:ascii="宋体" w:hAnsi="宋体" w:eastAsia="宋体" w:cs="宋体"/>
          <w:b/>
          <w:bCs/>
          <w:color w:val="auto"/>
          <w:sz w:val="24"/>
          <w:szCs w:val="21"/>
        </w:rPr>
      </w:pP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br w:type="page" w:clear="all"/>
      </w:r>
      <w:r>
        <w:rPr>
          <w:rFonts w:hint="eastAsia" w:ascii="宋体" w:hAnsi="宋体" w:eastAsia="宋体" w:cs="宋体"/>
          <w:b/>
          <w:bCs/>
          <w:color w:val="auto"/>
          <w:sz w:val="24"/>
          <w:szCs w:val="21"/>
        </w:rPr>
        <w:t>3、投标人符合《政府采购法》第二十二条规定条件的声明函</w:t>
      </w:r>
    </w:p>
    <w:p>
      <w:pPr>
        <w:spacing w:line="360" w:lineRule="auto"/>
        <w:ind w:firstLine="482"/>
        <w:rPr>
          <w:rFonts w:ascii="宋体" w:hAnsi="宋体" w:eastAsia="宋体" w:cs="宋体"/>
          <w:color w:val="auto"/>
          <w:sz w:val="24"/>
          <w:szCs w:val="21"/>
          <w:u w:val="single"/>
        </w:rPr>
      </w:pPr>
    </w:p>
    <w:p>
      <w:pPr>
        <w:spacing w:line="360" w:lineRule="auto"/>
        <w:ind w:firstLine="482"/>
        <w:rPr>
          <w:rFonts w:ascii="宋体" w:hAnsi="宋体" w:eastAsia="宋体" w:cs="宋体"/>
          <w:bCs/>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bCs/>
          <w:color w:val="auto"/>
          <w:sz w:val="24"/>
          <w:szCs w:val="21"/>
        </w:rPr>
        <w:t>：</w:t>
      </w:r>
    </w:p>
    <w:p>
      <w:pPr>
        <w:spacing w:line="360" w:lineRule="auto"/>
        <w:ind w:firstLine="482"/>
        <w:rPr>
          <w:rFonts w:ascii="宋体" w:hAnsi="宋体" w:eastAsia="宋体" w:cs="宋体"/>
          <w:b/>
          <w:bCs/>
          <w:color w:val="auto"/>
          <w:sz w:val="24"/>
          <w:szCs w:val="21"/>
        </w:rPr>
      </w:pPr>
      <w:r>
        <w:rPr>
          <w:rFonts w:hint="eastAsia" w:ascii="宋体" w:hAnsi="宋体" w:eastAsia="宋体" w:cs="宋体"/>
          <w:bCs/>
          <w:color w:val="auto"/>
          <w:sz w:val="24"/>
          <w:szCs w:val="21"/>
        </w:rPr>
        <w:t>我单位参加</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（项目名称）投标活动。针对《中华人民共和国政府采购法》第二十二条规定做出如下声明：</w:t>
      </w:r>
    </w:p>
    <w:p>
      <w:pPr>
        <w:spacing w:line="360" w:lineRule="auto"/>
        <w:ind w:firstLine="482"/>
        <w:rPr>
          <w:rFonts w:ascii="宋体" w:hAnsi="宋体" w:eastAsia="宋体" w:cs="宋体"/>
          <w:color w:val="auto"/>
          <w:sz w:val="24"/>
          <w:szCs w:val="21"/>
        </w:rPr>
      </w:pPr>
      <w:r>
        <w:rPr>
          <w:rFonts w:hint="eastAsia" w:ascii="宋体" w:hAnsi="宋体" w:eastAsia="宋体" w:cs="宋体"/>
          <w:bCs/>
          <w:color w:val="auto"/>
          <w:sz w:val="24"/>
          <w:szCs w:val="21"/>
        </w:rPr>
        <w:t>1.我单位具有独立承担民事责任的能力；</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2.我单位具有良好的商业信誉和健全的财务会计制度；</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3.我单位具有履行合同所必需的设备和专业技术能力；</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4.我单位有依法缴纳税收和社会保障资金的良好记录；</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360" w:lineRule="auto"/>
        <w:ind w:firstLine="482"/>
        <w:rPr>
          <w:rFonts w:ascii="宋体" w:hAnsi="宋体" w:eastAsia="宋体" w:cs="宋体"/>
          <w:bCs/>
          <w:color w:val="auto"/>
          <w:sz w:val="24"/>
          <w:szCs w:val="21"/>
        </w:rPr>
      </w:pPr>
      <w:r>
        <w:rPr>
          <w:rFonts w:hint="eastAsia" w:ascii="宋体" w:hAnsi="宋体" w:eastAsia="宋体" w:cs="宋体"/>
          <w:color w:val="auto"/>
          <w:sz w:val="24"/>
          <w:szCs w:val="21"/>
        </w:rPr>
        <w:t>6.我单位满足法律、行政法规规定的其他条件。</w:t>
      </w:r>
    </w:p>
    <w:p>
      <w:pPr>
        <w:pStyle w:val="90"/>
        <w:spacing w:line="360" w:lineRule="auto"/>
        <w:ind w:firstLine="562"/>
        <w:rPr>
          <w:rFonts w:ascii="宋体" w:hAnsi="宋体" w:eastAsia="宋体" w:cs="宋体"/>
          <w:color w:val="auto"/>
        </w:rPr>
      </w:pP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年      月     日</w:t>
      </w:r>
    </w:p>
    <w:p>
      <w:pPr>
        <w:pStyle w:val="90"/>
        <w:spacing w:line="360" w:lineRule="auto"/>
        <w:ind w:firstLine="562"/>
        <w:rPr>
          <w:rFonts w:ascii="宋体" w:hAnsi="宋体" w:eastAsia="宋体" w:cs="宋体"/>
          <w:color w:val="auto"/>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br w:type="page" w:clear="all"/>
      </w:r>
      <w:r>
        <w:rPr>
          <w:rFonts w:hint="eastAsia" w:ascii="宋体" w:hAnsi="宋体" w:eastAsia="宋体" w:cs="宋体"/>
          <w:b/>
          <w:bCs/>
          <w:color w:val="auto"/>
          <w:sz w:val="24"/>
          <w:szCs w:val="21"/>
        </w:rPr>
        <w:t>4、诚信承诺书</w:t>
      </w:r>
    </w:p>
    <w:p>
      <w:pPr>
        <w:spacing w:line="360" w:lineRule="auto"/>
        <w:ind w:firstLine="482"/>
        <w:jc w:val="center"/>
        <w:rPr>
          <w:rFonts w:ascii="宋体" w:hAnsi="宋体" w:eastAsia="宋体" w:cs="宋体"/>
          <w:color w:val="auto"/>
          <w:sz w:val="24"/>
          <w:szCs w:val="21"/>
        </w:rPr>
      </w:pPr>
    </w:p>
    <w:p>
      <w:pPr>
        <w:spacing w:line="360" w:lineRule="auto"/>
        <w:ind w:firstLine="482"/>
        <w:jc w:val="left"/>
        <w:rPr>
          <w:rFonts w:ascii="宋体" w:hAnsi="宋体" w:eastAsia="宋体" w:cs="宋体"/>
          <w:color w:val="auto"/>
          <w:sz w:val="24"/>
          <w:szCs w:val="21"/>
          <w:u w:val="single"/>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我单位在参加贵单位组织的</w:t>
      </w:r>
      <w:r>
        <w:rPr>
          <w:rFonts w:hint="eastAsia" w:ascii="宋体" w:hAnsi="宋体" w:eastAsia="宋体" w:cs="宋体"/>
          <w:color w:val="auto"/>
          <w:sz w:val="24"/>
          <w:szCs w:val="24"/>
          <w:u w:val="single"/>
        </w:rPr>
        <w:t xml:space="preserve">             项目</w:t>
      </w:r>
      <w:r>
        <w:rPr>
          <w:rFonts w:hint="eastAsia" w:ascii="宋体" w:hAnsi="宋体" w:eastAsia="宋体" w:cs="宋体"/>
          <w:color w:val="auto"/>
          <w:sz w:val="24"/>
          <w:szCs w:val="24"/>
        </w:rPr>
        <w:t>的招投标活动中，郑重承诺如下：</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1、我方申报的所有资料都是真实、准确、完整的；</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2、我方无资质挂靠或参与串标、围标、及抬标情形；</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3、我方没有被各级行政主管部门做出停止市场行为的处罚；</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4、若我方中标，将严格按照规定及时与招标单位签订合同；</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5、若我方中标，将严格按照投标文件所承诺的报价、服务等内容组织实施；</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pPr>
        <w:spacing w:line="360" w:lineRule="auto"/>
        <w:ind w:firstLine="482"/>
        <w:jc w:val="left"/>
        <w:rPr>
          <w:rFonts w:ascii="宋体" w:hAnsi="宋体" w:eastAsia="宋体" w:cs="宋体"/>
          <w:color w:val="auto"/>
          <w:sz w:val="24"/>
          <w:szCs w:val="21"/>
        </w:rPr>
      </w:pPr>
    </w:p>
    <w:p>
      <w:pPr>
        <w:spacing w:line="360" w:lineRule="auto"/>
        <w:ind w:firstLine="482"/>
        <w:jc w:val="left"/>
        <w:rPr>
          <w:rFonts w:ascii="宋体" w:hAnsi="宋体" w:eastAsia="宋体" w:cs="宋体"/>
          <w:color w:val="auto"/>
          <w:sz w:val="24"/>
          <w:szCs w:val="21"/>
        </w:rPr>
      </w:pP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pPr>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pPr>
        <w:widowControl/>
        <w:spacing w:line="360" w:lineRule="auto"/>
        <w:ind w:firstLine="480"/>
        <w:jc w:val="center"/>
        <w:rPr>
          <w:rFonts w:ascii="宋体" w:hAnsi="宋体" w:eastAsia="宋体" w:cs="宋体"/>
          <w:b/>
          <w:bCs/>
          <w:color w:val="auto"/>
          <w:sz w:val="24"/>
          <w:szCs w:val="21"/>
        </w:rPr>
      </w:pPr>
      <w:r>
        <w:rPr>
          <w:rFonts w:hint="eastAsia" w:ascii="宋体" w:hAnsi="宋体" w:eastAsia="宋体" w:cs="宋体"/>
          <w:b/>
          <w:bCs/>
          <w:color w:val="auto"/>
          <w:sz w:val="24"/>
          <w:szCs w:val="21"/>
        </w:rPr>
        <w:t>B技术标</w:t>
      </w:r>
    </w:p>
    <w:p>
      <w:pPr>
        <w:spacing w:line="360" w:lineRule="auto"/>
        <w:ind w:firstLine="480"/>
        <w:jc w:val="center"/>
        <w:outlineLvl w:val="3"/>
        <w:rPr>
          <w:rFonts w:ascii="宋体" w:hAnsi="宋体" w:eastAsia="宋体" w:cs="宋体"/>
          <w:b/>
          <w:bCs/>
          <w:color w:val="auto"/>
          <w:sz w:val="24"/>
          <w:szCs w:val="21"/>
        </w:rPr>
      </w:pPr>
      <w:r>
        <w:rPr>
          <w:rFonts w:hint="eastAsia" w:ascii="宋体" w:hAnsi="宋体" w:eastAsia="宋体" w:cs="宋体"/>
          <w:b/>
          <w:bCs/>
          <w:color w:val="auto"/>
          <w:sz w:val="24"/>
          <w:szCs w:val="21"/>
        </w:rPr>
        <w:t>1、投标响应函（</w:t>
      </w:r>
      <w:r>
        <w:rPr>
          <w:rFonts w:hint="eastAsia" w:ascii="宋体" w:hAnsi="宋体" w:eastAsia="宋体" w:cs="宋体"/>
          <w:b/>
          <w:bCs/>
          <w:color w:val="auto"/>
          <w:sz w:val="24"/>
          <w:szCs w:val="21"/>
          <w:u w:val="single"/>
        </w:rPr>
        <w:t>格式不得变动</w:t>
      </w:r>
      <w:r>
        <w:rPr>
          <w:rFonts w:hint="eastAsia" w:ascii="宋体" w:hAnsi="宋体" w:eastAsia="宋体" w:cs="宋体"/>
          <w:b/>
          <w:bCs/>
          <w:color w:val="auto"/>
          <w:sz w:val="24"/>
          <w:szCs w:val="21"/>
        </w:rPr>
        <w:t>）</w:t>
      </w:r>
    </w:p>
    <w:p>
      <w:pPr>
        <w:spacing w:line="360" w:lineRule="auto"/>
        <w:ind w:firstLine="482"/>
        <w:jc w:val="left"/>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依据贵单位</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（招标项目名称）项目公开招标采购的邀请，我方授权</w:t>
      </w:r>
      <w:r>
        <w:rPr>
          <w:rFonts w:hint="eastAsia" w:ascii="宋体" w:hAnsi="宋体" w:eastAsia="宋体" w:cs="宋体"/>
          <w:color w:val="auto"/>
          <w:sz w:val="24"/>
          <w:szCs w:val="21"/>
          <w:u w:val="single"/>
        </w:rPr>
        <w:t>（姓名）（职务）</w:t>
      </w:r>
      <w:r>
        <w:rPr>
          <w:rFonts w:hint="eastAsia" w:ascii="宋体" w:hAnsi="宋体" w:eastAsia="宋体" w:cs="宋体"/>
          <w:color w:val="auto"/>
          <w:sz w:val="24"/>
          <w:szCs w:val="21"/>
        </w:rPr>
        <w:t>为全权代表参加该项目的投标工作，全权处理本次投标的有关事宜。同时，我公司声明如下：</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1、我方同意并接受本项目招标文件的各项要求，遵守招标文件中的各项规定，按招标文件的要求提供报价。</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2、我方已经详细审查了全部招标文件，我方已完全清晰理解招标文件的要求，不存在任何含糊不清和误解之处，同意放弃对这些文件所提出的异议和质疑的权利。</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3、我方愿意提供采购人在招标文件中要求的所有资料。</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4、我方承诺在本次招标响应中提供的一切文件，无论是原件还是复印件均真实有效，绝无任何虚假、伪造和夸大的成份。否则，愿承担相应的后果和法律责任。</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5、我方尊重评标小组所作的评定结果，同时也清楚理解到投标报价最低并非意味着必定获得中标资格。</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xml:space="preserve">6、一旦我方中标，我方将根据招标文件的规定，严格履行招标文件中规定的每一项要求，按期、按质、按量履行合同的义务。 </w:t>
      </w:r>
    </w:p>
    <w:p>
      <w:pPr>
        <w:spacing w:line="360" w:lineRule="auto"/>
        <w:ind w:firstLine="482"/>
        <w:jc w:val="right"/>
        <w:rPr>
          <w:rFonts w:ascii="宋体" w:hAnsi="宋体" w:eastAsia="宋体" w:cs="宋体"/>
          <w:color w:val="auto"/>
          <w:sz w:val="24"/>
          <w:szCs w:val="21"/>
        </w:rPr>
      </w:pP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投标人：（加盖公章）</w:t>
      </w: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法定代表人或被授权人：（签字或盖章）</w:t>
      </w: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年      月     日</w:t>
      </w:r>
    </w:p>
    <w:p>
      <w:pPr>
        <w:pStyle w:val="70"/>
        <w:rPr>
          <w:color w:val="auto"/>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 w:val="24"/>
          <w:szCs w:val="24"/>
        </w:rPr>
      </w:pPr>
    </w:p>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color w:val="auto"/>
          <w:sz w:val="24"/>
          <w:szCs w:val="24"/>
        </w:rPr>
        <w:t>技术要求响应及偏离表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技术要求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bl>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 </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备注：</w:t>
      </w:r>
    </w:p>
    <w:p>
      <w:pPr>
        <w:pBdr>
          <w:top w:val="none" w:color="000000" w:sz="0" w:space="0"/>
          <w:left w:val="none" w:color="000000" w:sz="0" w:space="0"/>
          <w:bottom w:val="none" w:color="000000" w:sz="0" w:space="0"/>
          <w:right w:val="none" w:color="000000" w:sz="0" w:space="0"/>
        </w:pBd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1.投标人需对技术要求逐条做出明确响应。</w:t>
      </w:r>
      <w:r>
        <w:rPr>
          <w:rFonts w:hint="eastAsia" w:ascii="宋体" w:hAnsi="宋体" w:eastAsia="宋体" w:cs="宋体"/>
          <w:color w:val="auto"/>
          <w:sz w:val="24"/>
          <w:szCs w:val="24"/>
          <w:lang w:val="en-US" w:eastAsia="zh-CN"/>
        </w:rPr>
        <w:t>如完全响应，可空表列示。</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 </w:t>
      </w:r>
    </w:p>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b/>
          <w:color w:val="auto"/>
          <w:sz w:val="24"/>
          <w:szCs w:val="24"/>
        </w:rPr>
        <w:t>3、商务要求响应及偏离表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商务要求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bl>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备注：</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1.投标人需对商务要求逐条做出明确响应。</w:t>
      </w:r>
      <w:r>
        <w:rPr>
          <w:rFonts w:hint="eastAsia" w:ascii="宋体" w:hAnsi="宋体" w:eastAsia="宋体" w:cs="宋体"/>
          <w:color w:val="auto"/>
          <w:sz w:val="24"/>
          <w:szCs w:val="24"/>
          <w:lang w:val="en-US" w:eastAsia="zh-CN"/>
        </w:rPr>
        <w:t>如完全响应，可空表列示。</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sectPr>
          <w:pgSz w:w="11907" w:h="16839"/>
          <w:pgMar w:top="1440" w:right="1800" w:bottom="1440" w:left="1800" w:header="720" w:footer="720" w:gutter="0"/>
          <w:cols w:space="1701" w:num="1"/>
          <w:docGrid w:linePitch="360" w:charSpace="0"/>
        </w:sectPr>
      </w:pPr>
    </w:p>
    <w:p>
      <w:pPr>
        <w:pStyle w:val="70"/>
        <w:rPr>
          <w:color w:val="auto"/>
        </w:rPr>
      </w:pPr>
      <w:r>
        <w:rPr>
          <w:rFonts w:hint="eastAsia"/>
          <w:color w:val="auto"/>
        </w:rPr>
        <w:t>4、投标人一般情况表</w:t>
      </w:r>
    </w:p>
    <w:tbl>
      <w:tblPr>
        <w:tblStyle w:val="43"/>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企业名称</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总部地址</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分支机构</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当地代表处地址</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电话</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联系人</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传真</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电子邮件</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注册地</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注册年份</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资质等级</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公司具备的相关资质等级及相应的证书号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（请附有关证书的复印件）</w:t>
            </w: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质量管理体系</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公司</w:t>
            </w:r>
            <w:r>
              <w:rPr>
                <w:rFonts w:hint="eastAsia" w:ascii="宋体" w:hAnsi="宋体" w:eastAsia="宋体" w:cs="宋体"/>
                <w:color w:val="auto"/>
                <w:sz w:val="24"/>
                <w:szCs w:val="24"/>
                <w:u w:val="single"/>
              </w:rPr>
              <w:t xml:space="preserve">   （是否通过，何种）   </w:t>
            </w:r>
            <w:r>
              <w:rPr>
                <w:rFonts w:hint="eastAsia" w:ascii="宋体" w:hAnsi="宋体" w:eastAsia="宋体" w:cs="宋体"/>
                <w:color w:val="auto"/>
                <w:sz w:val="24"/>
                <w:szCs w:val="24"/>
              </w:rPr>
              <w:t>质量保证体系认证（如通过请附相关在有效期内的证书复印件）</w:t>
            </w: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项目负责人</w:t>
            </w:r>
          </w:p>
        </w:tc>
        <w:tc>
          <w:tcPr>
            <w:tcW w:w="1559"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c>
          <w:tcPr>
            <w:tcW w:w="1417"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年龄</w:t>
            </w:r>
          </w:p>
        </w:tc>
        <w:tc>
          <w:tcPr>
            <w:tcW w:w="1466"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c>
          <w:tcPr>
            <w:tcW w:w="1320" w:type="dxa"/>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性别</w:t>
            </w:r>
          </w:p>
        </w:tc>
        <w:tc>
          <w:tcPr>
            <w:tcW w:w="1467" w:type="dxa"/>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职务职称</w:t>
            </w:r>
          </w:p>
        </w:tc>
        <w:tc>
          <w:tcPr>
            <w:tcW w:w="2976" w:type="dxa"/>
            <w:gridSpan w:val="4"/>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466" w:type="dxa"/>
            <w:gridSpan w:val="2"/>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执业资格</w:t>
            </w:r>
          </w:p>
        </w:tc>
        <w:tc>
          <w:tcPr>
            <w:tcW w:w="2787" w:type="dxa"/>
            <w:gridSpan w:val="2"/>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经营范围</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营业执照载明：</w:t>
            </w:r>
          </w:p>
          <w:p>
            <w:pPr>
              <w:spacing w:line="360" w:lineRule="auto"/>
              <w:ind w:firstLine="482"/>
              <w:rPr>
                <w:rFonts w:ascii="宋体" w:hAnsi="宋体" w:eastAsia="宋体" w:cs="宋体"/>
                <w:color w:val="auto"/>
                <w:sz w:val="24"/>
                <w:szCs w:val="24"/>
                <w:u w:val="single"/>
              </w:rPr>
            </w:pPr>
            <w:r>
              <w:rPr>
                <w:rFonts w:hint="eastAsia" w:ascii="宋体" w:hAnsi="宋体" w:eastAsia="宋体" w:cs="宋体"/>
                <w:color w:val="auto"/>
                <w:sz w:val="24"/>
                <w:szCs w:val="24"/>
              </w:rPr>
              <w:t>1.</w:t>
            </w:r>
          </w:p>
          <w:p>
            <w:pPr>
              <w:spacing w:line="360" w:lineRule="auto"/>
              <w:ind w:firstLine="482"/>
              <w:rPr>
                <w:rFonts w:ascii="宋体" w:hAnsi="宋体" w:eastAsia="宋体" w:cs="宋体"/>
                <w:color w:val="auto"/>
                <w:sz w:val="24"/>
                <w:szCs w:val="24"/>
                <w:u w:val="single"/>
              </w:rPr>
            </w:pPr>
            <w:r>
              <w:rPr>
                <w:rFonts w:hint="eastAsia" w:ascii="宋体" w:hAnsi="宋体" w:eastAsia="宋体" w:cs="宋体"/>
                <w:color w:val="auto"/>
                <w:sz w:val="24"/>
                <w:szCs w:val="24"/>
              </w:rPr>
              <w:t>2.</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w:t>
            </w:r>
          </w:p>
        </w:tc>
      </w:tr>
      <w:tr>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bl>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年      月     日</w:t>
      </w:r>
    </w:p>
    <w:p>
      <w:pPr>
        <w:widowControl/>
        <w:spacing w:line="360" w:lineRule="auto"/>
        <w:ind w:firstLine="482"/>
        <w:rPr>
          <w:rFonts w:ascii="宋体" w:hAnsi="宋体" w:eastAsia="宋体" w:cs="宋体"/>
          <w:bCs/>
          <w:color w:val="auto"/>
          <w:sz w:val="24"/>
          <w:szCs w:val="22"/>
        </w:rPr>
      </w:pPr>
    </w:p>
    <w:p>
      <w:pPr>
        <w:widowControl/>
        <w:spacing w:line="360" w:lineRule="auto"/>
        <w:jc w:val="left"/>
        <w:rPr>
          <w:rFonts w:ascii="宋体" w:hAnsi="宋体" w:eastAsia="宋体" w:cs="宋体"/>
          <w:b/>
          <w:bCs/>
          <w:color w:val="auto"/>
          <w:sz w:val="24"/>
          <w:szCs w:val="21"/>
        </w:rPr>
      </w:pPr>
      <w:r>
        <w:rPr>
          <w:rFonts w:ascii="宋体" w:hAnsi="宋体" w:eastAsia="宋体" w:cs="宋体"/>
          <w:b/>
          <w:bCs/>
          <w:color w:val="auto"/>
          <w:sz w:val="24"/>
          <w:szCs w:val="21"/>
        </w:rPr>
        <w:br w:type="page" w:clear="all"/>
      </w:r>
    </w:p>
    <w:p>
      <w:pPr>
        <w:spacing w:line="360" w:lineRule="auto"/>
        <w:ind w:firstLine="480"/>
        <w:jc w:val="center"/>
        <w:rPr>
          <w:rFonts w:ascii="宋体" w:hAnsi="宋体" w:eastAsia="宋体" w:cs="宋体"/>
          <w:b/>
          <w:bCs/>
          <w:color w:val="auto"/>
          <w:sz w:val="24"/>
          <w:szCs w:val="21"/>
        </w:rPr>
      </w:pPr>
      <w:r>
        <w:rPr>
          <w:rFonts w:hint="eastAsia" w:ascii="宋体" w:hAnsi="宋体" w:eastAsia="宋体" w:cs="宋体"/>
          <w:b/>
          <w:bCs/>
          <w:color w:val="auto"/>
          <w:sz w:val="24"/>
          <w:szCs w:val="21"/>
        </w:rPr>
        <w:t>C、价格标</w:t>
      </w:r>
    </w:p>
    <w:p>
      <w:pPr>
        <w:spacing w:line="360" w:lineRule="auto"/>
        <w:ind w:firstLine="480"/>
        <w:jc w:val="center"/>
        <w:rPr>
          <w:rFonts w:ascii="宋体" w:hAnsi="宋体" w:eastAsia="宋体"/>
          <w:b/>
          <w:bCs/>
          <w:color w:val="auto"/>
          <w:sz w:val="24"/>
          <w:szCs w:val="21"/>
        </w:rPr>
      </w:pPr>
      <w:r>
        <w:rPr>
          <w:rFonts w:ascii="宋体" w:hAnsi="宋体" w:eastAsia="宋体"/>
          <w:b/>
          <w:bCs/>
          <w:color w:val="auto"/>
          <w:sz w:val="24"/>
          <w:szCs w:val="21"/>
        </w:rPr>
        <w:t>1、投标响应报价表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925"/>
        <w:gridCol w:w="435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92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rPr>
            </w:pPr>
            <w:r>
              <w:rPr>
                <w:rFonts w:hint="eastAsia" w:ascii="宋体" w:hAnsi="宋体" w:eastAsia="宋体" w:cs="宋体"/>
                <w:color w:val="auto"/>
                <w:sz w:val="28"/>
              </w:rPr>
              <w:t>投标货物、服务名称</w:t>
            </w:r>
          </w:p>
        </w:tc>
        <w:tc>
          <w:tcPr>
            <w:tcW w:w="4356"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rPr>
            </w:pPr>
            <w:r>
              <w:rPr>
                <w:rFonts w:hint="eastAsia" w:ascii="宋体" w:hAnsi="宋体" w:eastAsia="宋体" w:cs="宋体"/>
                <w:color w:val="auto"/>
                <w:sz w:val="28"/>
              </w:rPr>
              <w:t>投标总报价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091" w:hRule="atLeast"/>
        </w:trPr>
        <w:tc>
          <w:tcPr>
            <w:tcW w:w="392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 </w:t>
            </w:r>
          </w:p>
        </w:tc>
        <w:tc>
          <w:tcPr>
            <w:tcW w:w="4356"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大写：</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小写：    元（人民币）</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92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主要货物、服务制造商及产地</w:t>
            </w:r>
          </w:p>
        </w:tc>
        <w:tc>
          <w:tcPr>
            <w:tcW w:w="4356"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 </w:t>
            </w:r>
          </w:p>
        </w:tc>
      </w:tr>
    </w:tbl>
    <w:p>
      <w:pPr>
        <w:spacing w:line="360" w:lineRule="auto"/>
        <w:ind w:firstLine="482"/>
        <w:jc w:val="center"/>
        <w:rPr>
          <w:rFonts w:ascii="宋体" w:hAnsi="宋体" w:eastAsia="宋体"/>
          <w:color w:val="auto"/>
          <w:sz w:val="24"/>
          <w:szCs w:val="21"/>
        </w:rPr>
      </w:pPr>
    </w:p>
    <w:p>
      <w:pPr>
        <w:spacing w:line="360" w:lineRule="auto"/>
        <w:ind w:firstLine="482"/>
        <w:rPr>
          <w:rFonts w:ascii="宋体" w:hAnsi="宋体" w:eastAsia="宋体"/>
          <w:color w:val="auto"/>
          <w:sz w:val="24"/>
          <w:szCs w:val="21"/>
        </w:rPr>
      </w:pPr>
      <w:r>
        <w:rPr>
          <w:rFonts w:ascii="宋体" w:hAnsi="宋体" w:eastAsia="宋体"/>
          <w:color w:val="auto"/>
          <w:sz w:val="24"/>
          <w:szCs w:val="21"/>
        </w:rPr>
        <w:t xml:space="preserve">投标供应商：（盖章）             </w:t>
      </w:r>
    </w:p>
    <w:p>
      <w:pPr>
        <w:spacing w:line="360" w:lineRule="auto"/>
        <w:ind w:firstLine="482"/>
        <w:rPr>
          <w:rFonts w:ascii="宋体" w:hAnsi="宋体" w:eastAsia="宋体"/>
          <w:color w:val="auto"/>
          <w:sz w:val="24"/>
          <w:szCs w:val="21"/>
        </w:rPr>
      </w:pPr>
      <w:r>
        <w:rPr>
          <w:rFonts w:ascii="宋体" w:hAnsi="宋体" w:eastAsia="宋体"/>
          <w:color w:val="auto"/>
          <w:sz w:val="24"/>
          <w:szCs w:val="21"/>
        </w:rPr>
        <w:t>法定代表人或被授权人（签字或盖章）：</w:t>
      </w:r>
    </w:p>
    <w:p>
      <w:pPr>
        <w:spacing w:line="360" w:lineRule="auto"/>
        <w:ind w:firstLine="482"/>
        <w:rPr>
          <w:rFonts w:ascii="宋体" w:hAnsi="宋体" w:eastAsia="宋体"/>
          <w:color w:val="auto"/>
          <w:sz w:val="24"/>
          <w:szCs w:val="21"/>
        </w:rPr>
      </w:pPr>
      <w:r>
        <w:rPr>
          <w:rFonts w:ascii="宋体" w:hAnsi="宋体" w:eastAsia="宋体"/>
          <w:color w:val="auto"/>
          <w:sz w:val="24"/>
          <w:szCs w:val="21"/>
        </w:rPr>
        <w:t>日期：</w:t>
      </w:r>
    </w:p>
    <w:p>
      <w:pPr>
        <w:spacing w:line="360" w:lineRule="auto"/>
        <w:ind w:firstLine="480"/>
        <w:rPr>
          <w:rFonts w:ascii="宋体" w:hAnsi="宋体" w:eastAsia="宋体"/>
          <w:b/>
          <w:bCs/>
          <w:color w:val="auto"/>
          <w:sz w:val="24"/>
          <w:szCs w:val="21"/>
        </w:rPr>
      </w:pPr>
    </w:p>
    <w:p>
      <w:pPr>
        <w:spacing w:line="360" w:lineRule="auto"/>
        <w:ind w:firstLine="496"/>
        <w:rPr>
          <w:rFonts w:ascii="宋体" w:hAnsi="宋体" w:eastAsia="宋体"/>
          <w:bCs/>
          <w:color w:val="auto"/>
          <w:sz w:val="24"/>
          <w:szCs w:val="21"/>
        </w:rPr>
      </w:pPr>
      <w:r>
        <w:rPr>
          <w:rFonts w:ascii="宋体" w:hAnsi="宋体" w:eastAsia="宋体"/>
          <w:b/>
          <w:bCs/>
          <w:color w:val="auto"/>
          <w:sz w:val="24"/>
          <w:szCs w:val="21"/>
        </w:rPr>
        <w:t>注：</w:t>
      </w:r>
    </w:p>
    <w:p>
      <w:pPr>
        <w:spacing w:line="360" w:lineRule="auto"/>
        <w:ind w:firstLine="482"/>
        <w:rPr>
          <w:rFonts w:ascii="宋体" w:hAnsi="宋体" w:eastAsia="宋体"/>
          <w:color w:val="auto"/>
          <w:sz w:val="24"/>
          <w:szCs w:val="21"/>
        </w:rPr>
      </w:pPr>
      <w:r>
        <w:rPr>
          <w:rFonts w:ascii="宋体" w:hAnsi="宋体" w:eastAsia="宋体"/>
          <w:color w:val="auto"/>
          <w:sz w:val="24"/>
          <w:szCs w:val="21"/>
        </w:rPr>
        <w:t>（1）本表为格式表，不得自行改动，必须提供。</w:t>
      </w:r>
    </w:p>
    <w:p>
      <w:pPr>
        <w:spacing w:line="360" w:lineRule="auto"/>
        <w:ind w:firstLine="482"/>
        <w:rPr>
          <w:rFonts w:ascii="宋体" w:hAnsi="宋体" w:eastAsia="宋体" w:cs="宋体"/>
          <w:color w:val="auto"/>
          <w:sz w:val="24"/>
          <w:szCs w:val="24"/>
        </w:rPr>
      </w:pPr>
      <w:r>
        <w:rPr>
          <w:rFonts w:hint="eastAsia" w:ascii="宋体" w:hAnsi="宋体" w:eastAsia="宋体"/>
          <w:color w:val="auto"/>
          <w:sz w:val="24"/>
          <w:szCs w:val="21"/>
        </w:rPr>
        <w:t>（2）</w:t>
      </w:r>
      <w:r>
        <w:rPr>
          <w:rFonts w:ascii="宋体" w:hAnsi="宋体" w:eastAsia="宋体"/>
          <w:color w:val="auto"/>
          <w:sz w:val="24"/>
          <w:szCs w:val="21"/>
        </w:rPr>
        <w:t>本表投标报价（以人民币计价）</w:t>
      </w:r>
      <w:r>
        <w:rPr>
          <w:rFonts w:hint="eastAsia" w:ascii="宋体" w:hAnsi="宋体" w:eastAsia="宋体"/>
          <w:bCs/>
          <w:color w:val="auto"/>
          <w:sz w:val="24"/>
          <w:szCs w:val="24"/>
        </w:rPr>
        <w:t>包含但不限于</w:t>
      </w:r>
      <w:r>
        <w:rPr>
          <w:rFonts w:hint="eastAsia" w:ascii="宋体" w:hAnsi="宋体" w:eastAsia="宋体" w:cs="宋体"/>
          <w:color w:val="auto"/>
          <w:sz w:val="24"/>
          <w:szCs w:val="24"/>
        </w:rPr>
        <w:t>完成该项工作所需的人工工资、劳动保险、公积金、设备、各种税费、维护费、利润、税金、政策性文件规定及合同包含的所有风险、责任等各项应有费用。</w:t>
      </w:r>
    </w:p>
    <w:p>
      <w:pPr>
        <w:spacing w:line="360" w:lineRule="auto"/>
        <w:ind w:firstLine="482"/>
        <w:jc w:val="left"/>
        <w:rPr>
          <w:rFonts w:ascii="宋体" w:hAnsi="宋体" w:eastAsia="宋体" w:cs="宋体"/>
          <w:b/>
          <w:color w:val="auto"/>
        </w:rPr>
      </w:pPr>
      <w:r>
        <w:rPr>
          <w:rFonts w:ascii="宋体" w:hAnsi="宋体" w:eastAsia="宋体" w:cs="宋体"/>
          <w:b/>
          <w:color w:val="auto"/>
        </w:rPr>
        <w:br w:type="page" w:clear="all"/>
      </w:r>
    </w:p>
    <w:p>
      <w:pPr>
        <w:pBdr>
          <w:top w:val="none" w:color="000000" w:sz="0" w:space="0"/>
          <w:left w:val="none" w:color="000000" w:sz="0" w:space="0"/>
          <w:bottom w:val="none" w:color="000000" w:sz="0" w:space="0"/>
          <w:right w:val="none" w:color="000000" w:sz="0" w:space="0"/>
        </w:pBdr>
        <w:spacing w:before="240"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供应商信用承诺书</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为营造公开、公平、公正的公共资源交易环境，树立诚信守法的供应商形象，本人代表本单位作出以下承诺：</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一、本单位对所提交的单位基本信息、单位负责人、项目负责人、技术负责人、从业资质和资格、业绩、财务状况、信誉等所有资料，均合法、真实、准确、有效，无任何伪造、修改、虚假成分；</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二、严格依照国家和省、市、县关于政府采购等方面的法律、法规、规章、规范性文件，参加公共资源交易招标投标活动；积极履行社会责任，促进廉政建设；</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三、严格遵守即时信息公示规定，及时更新公共资源交易中心主体信息库中信息；</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四、自我约束、自我管理，守合同、重信用，不参与围标串标、弄虚作假、骗取成交、干扰评标、违约毁约、恶意投诉等行为，主动维护公共资源交易招标投标的良好秩序；</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六、自觉接受政府部门、行业组织、社会公众、新闻舆论等监督；</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七、上述承诺已向本单位员工作了宣传教育；</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b/>
          <w:bCs/>
          <w:color w:val="auto"/>
          <w:sz w:val="28"/>
          <w:szCs w:val="28"/>
        </w:rPr>
      </w:pPr>
      <w:r>
        <w:rPr>
          <w:rFonts w:hint="eastAsia" w:ascii="宋体" w:hAnsi="宋体" w:eastAsia="宋体" w:cs="宋体"/>
          <w:b/>
          <w:bCs/>
          <w:color w:val="auto"/>
          <w:sz w:val="28"/>
          <w:szCs w:val="28"/>
        </w:rPr>
        <w:t>如有违反上述承诺的不良行为，本单位同意将其予以上网公示。</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  </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投标供应商全称(盖公章)：</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法定代表人（签字或盖章）：</w:t>
      </w:r>
    </w:p>
    <w:p>
      <w:pPr>
        <w:pBdr>
          <w:top w:val="none" w:color="000000" w:sz="0" w:space="0"/>
          <w:left w:val="none" w:color="000000" w:sz="0" w:space="0"/>
          <w:bottom w:val="none" w:color="000000" w:sz="0" w:space="0"/>
          <w:right w:val="none" w:color="000000" w:sz="0" w:space="0"/>
        </w:pBdr>
        <w:spacing w:line="360" w:lineRule="auto"/>
        <w:ind w:firstLine="3080"/>
        <w:rPr>
          <w:rFonts w:hint="eastAsia" w:ascii="宋体" w:hAnsi="宋体" w:eastAsia="宋体" w:cs="宋体"/>
          <w:color w:val="auto"/>
          <w:sz w:val="28"/>
          <w:szCs w:val="28"/>
        </w:rPr>
      </w:pPr>
      <w:r>
        <w:rPr>
          <w:rFonts w:hint="eastAsia" w:ascii="宋体" w:hAnsi="宋体" w:eastAsia="宋体" w:cs="宋体"/>
          <w:color w:val="auto"/>
          <w:sz w:val="28"/>
          <w:szCs w:val="28"/>
        </w:rPr>
        <w:t>时间：年月日</w:t>
      </w:r>
    </w:p>
    <w:p>
      <w:pPr>
        <w:pBdr>
          <w:top w:val="none" w:color="auto" w:sz="0" w:space="0"/>
          <w:left w:val="none" w:color="auto" w:sz="0" w:space="0"/>
          <w:bottom w:val="none" w:color="auto" w:sz="0" w:space="0"/>
          <w:right w:val="none" w:color="auto" w:sz="0" w:space="0"/>
        </w:pBdr>
        <w:spacing w:line="240" w:lineRule="auto"/>
        <w:ind w:firstLine="0"/>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pPr>
        <w:widowControl/>
        <w:spacing w:line="360" w:lineRule="auto"/>
        <w:ind w:firstLine="480"/>
        <w:jc w:val="center"/>
        <w:rPr>
          <w:rFonts w:eastAsia="宋体"/>
          <w:color w:val="auto"/>
        </w:rPr>
      </w:pPr>
      <w:r>
        <w:rPr>
          <w:rFonts w:hint="eastAsia" w:eastAsia="宋体" w:cs="宋体"/>
          <w:b/>
          <w:bCs/>
          <w:color w:val="auto"/>
          <w:sz w:val="24"/>
          <w:szCs w:val="21"/>
          <w:lang w:val="en-US" w:eastAsia="zh-CN"/>
        </w:rPr>
        <w:t>3</w:t>
      </w:r>
      <w:r>
        <w:rPr>
          <w:rFonts w:hint="eastAsia" w:eastAsia="宋体" w:cs="宋体"/>
          <w:b/>
          <w:bCs/>
          <w:color w:val="auto"/>
          <w:sz w:val="24"/>
          <w:szCs w:val="21"/>
        </w:rPr>
        <w:t>、</w:t>
      </w:r>
      <w:r>
        <w:rPr>
          <w:rFonts w:hint="eastAsia" w:eastAsia="宋体" w:cs="宋体"/>
          <w:b/>
          <w:color w:val="auto"/>
          <w:sz w:val="24"/>
          <w:szCs w:val="24"/>
        </w:rPr>
        <w:t>中小企业声明函（服务）</w:t>
      </w:r>
    </w:p>
    <w:p>
      <w:pPr>
        <w:spacing w:line="360" w:lineRule="auto"/>
        <w:ind w:firstLine="480"/>
        <w:outlineLvl w:val="0"/>
        <w:rPr>
          <w:rFonts w:eastAsia="宋体"/>
          <w:color w:val="auto"/>
          <w:sz w:val="24"/>
          <w:szCs w:val="28"/>
          <w:lang w:bidi="zh-CN"/>
        </w:rPr>
      </w:pPr>
      <w:r>
        <w:rPr>
          <w:rFonts w:eastAsia="宋体"/>
          <w:color w:val="auto"/>
          <w:sz w:val="24"/>
          <w:szCs w:val="28"/>
          <w:lang w:bidi="zh-CN"/>
        </w:rPr>
        <w:t>本公司（联合体）郑重声明，根据《政府采购促进中小企业发展管理办法》（财库</w:t>
      </w:r>
      <w:r>
        <w:rPr>
          <w:rFonts w:hint="eastAsia" w:eastAsia="宋体"/>
          <w:color w:val="auto"/>
          <w:sz w:val="24"/>
          <w:szCs w:val="28"/>
          <w:lang w:bidi="zh-CN"/>
        </w:rPr>
        <w:t>﹝</w:t>
      </w:r>
      <w:r>
        <w:rPr>
          <w:rFonts w:eastAsia="宋体"/>
          <w:color w:val="auto"/>
          <w:sz w:val="24"/>
          <w:szCs w:val="28"/>
          <w:lang w:bidi="zh-CN"/>
        </w:rPr>
        <w:t>2020</w:t>
      </w:r>
      <w:r>
        <w:rPr>
          <w:rFonts w:hint="eastAsia" w:eastAsia="宋体"/>
          <w:color w:val="auto"/>
          <w:sz w:val="24"/>
          <w:szCs w:val="28"/>
          <w:lang w:bidi="zh-CN"/>
        </w:rPr>
        <w:t>﹞</w:t>
      </w:r>
      <w:r>
        <w:rPr>
          <w:rFonts w:eastAsia="宋体"/>
          <w:color w:val="auto"/>
          <w:sz w:val="24"/>
          <w:szCs w:val="28"/>
          <w:lang w:bidi="zh-CN"/>
        </w:rPr>
        <w:t>46 号）的规定，本公司（联合体）参加</w:t>
      </w:r>
      <w:r>
        <w:rPr>
          <w:rFonts w:eastAsia="宋体"/>
          <w:color w:val="auto"/>
          <w:sz w:val="24"/>
          <w:szCs w:val="28"/>
          <w:u w:val="single"/>
          <w:lang w:bidi="zh-CN"/>
        </w:rPr>
        <w:t>（单位名称）</w:t>
      </w:r>
      <w:r>
        <w:rPr>
          <w:rFonts w:eastAsia="宋体"/>
          <w:color w:val="auto"/>
          <w:sz w:val="24"/>
          <w:szCs w:val="28"/>
          <w:lang w:bidi="zh-CN"/>
        </w:rPr>
        <w:t>的</w:t>
      </w:r>
      <w:r>
        <w:rPr>
          <w:rFonts w:eastAsia="宋体"/>
          <w:color w:val="auto"/>
          <w:sz w:val="24"/>
          <w:szCs w:val="28"/>
          <w:u w:val="single"/>
          <w:lang w:bidi="zh-CN"/>
        </w:rPr>
        <w:t>（项目名称）</w:t>
      </w:r>
      <w:r>
        <w:rPr>
          <w:rFonts w:eastAsia="宋体"/>
          <w:color w:val="auto"/>
          <w:sz w:val="24"/>
          <w:szCs w:val="28"/>
          <w:lang w:bidi="zh-CN"/>
        </w:rPr>
        <w:t>采购活动，服务全部由符合政策要求的中小企业承接。相关企业（含联合 体中的中小企业、签订分包意向协议的中小企业）的具体情况如下：</w:t>
      </w:r>
    </w:p>
    <w:p>
      <w:pPr>
        <w:spacing w:line="360" w:lineRule="auto"/>
        <w:ind w:firstLine="480"/>
        <w:outlineLvl w:val="0"/>
        <w:rPr>
          <w:rFonts w:eastAsia="宋体"/>
          <w:color w:val="auto"/>
          <w:sz w:val="24"/>
          <w:szCs w:val="28"/>
          <w:lang w:bidi="zh-CN"/>
        </w:rPr>
      </w:pPr>
      <w:r>
        <w:rPr>
          <w:rFonts w:hint="eastAsia" w:eastAsia="宋体"/>
          <w:color w:val="auto"/>
          <w:sz w:val="24"/>
          <w:szCs w:val="28"/>
          <w:lang w:bidi="zh-CN"/>
        </w:rPr>
        <w:t>1.</w:t>
      </w:r>
      <w:r>
        <w:rPr>
          <w:rFonts w:eastAsia="宋体"/>
          <w:color w:val="auto"/>
          <w:sz w:val="24"/>
          <w:szCs w:val="28"/>
          <w:u w:val="single"/>
          <w:lang w:bidi="zh-CN"/>
        </w:rPr>
        <w:t>（标的名称）</w:t>
      </w:r>
      <w:r>
        <w:rPr>
          <w:rFonts w:eastAsia="宋体"/>
          <w:color w:val="auto"/>
          <w:sz w:val="24"/>
          <w:szCs w:val="28"/>
          <w:lang w:bidi="zh-CN"/>
        </w:rPr>
        <w:t>，属于（</w:t>
      </w:r>
      <w:r>
        <w:rPr>
          <w:rFonts w:eastAsia="宋体"/>
          <w:color w:val="auto"/>
          <w:sz w:val="24"/>
          <w:szCs w:val="28"/>
          <w:u w:val="single"/>
          <w:lang w:bidi="zh-CN"/>
        </w:rPr>
        <w:t>采购文件中明确的所属行业）</w:t>
      </w:r>
      <w:r>
        <w:rPr>
          <w:rFonts w:eastAsia="宋体"/>
          <w:color w:val="auto"/>
          <w:sz w:val="24"/>
          <w:szCs w:val="28"/>
          <w:lang w:bidi="zh-CN"/>
        </w:rPr>
        <w:t>；承建（承接）企业为</w:t>
      </w:r>
      <w:r>
        <w:rPr>
          <w:rFonts w:eastAsia="宋体"/>
          <w:color w:val="auto"/>
          <w:sz w:val="24"/>
          <w:szCs w:val="28"/>
          <w:u w:val="single"/>
          <w:lang w:bidi="zh-CN"/>
        </w:rPr>
        <w:t>（企业名称）</w:t>
      </w:r>
      <w:r>
        <w:rPr>
          <w:rFonts w:eastAsia="宋体"/>
          <w:color w:val="auto"/>
          <w:sz w:val="24"/>
          <w:szCs w:val="28"/>
          <w:lang w:bidi="zh-CN"/>
        </w:rPr>
        <w:t>，从业人员</w:t>
      </w:r>
      <w:r>
        <w:rPr>
          <w:rFonts w:eastAsia="宋体"/>
          <w:color w:val="auto"/>
          <w:sz w:val="24"/>
          <w:szCs w:val="28"/>
          <w:u w:val="single"/>
          <w:lang w:bidi="zh-CN"/>
        </w:rPr>
        <w:tab/>
      </w:r>
      <w:r>
        <w:rPr>
          <w:rFonts w:eastAsia="宋体"/>
          <w:color w:val="auto"/>
          <w:sz w:val="24"/>
          <w:szCs w:val="28"/>
          <w:lang w:bidi="zh-CN"/>
        </w:rPr>
        <w:t>人，营业收入为</w:t>
      </w:r>
      <w:r>
        <w:rPr>
          <w:rFonts w:eastAsia="宋体"/>
          <w:color w:val="auto"/>
          <w:sz w:val="24"/>
          <w:szCs w:val="28"/>
          <w:u w:val="single"/>
          <w:lang w:bidi="zh-CN"/>
        </w:rPr>
        <w:tab/>
      </w:r>
      <w:r>
        <w:rPr>
          <w:rFonts w:eastAsia="宋体"/>
          <w:color w:val="auto"/>
          <w:sz w:val="24"/>
          <w:szCs w:val="28"/>
          <w:lang w:bidi="zh-CN"/>
        </w:rPr>
        <w:t>万元，资产总额为</w:t>
      </w:r>
      <w:r>
        <w:rPr>
          <w:rFonts w:eastAsia="宋体"/>
          <w:color w:val="auto"/>
          <w:sz w:val="24"/>
          <w:szCs w:val="28"/>
          <w:u w:val="single"/>
          <w:lang w:bidi="zh-CN"/>
        </w:rPr>
        <w:tab/>
      </w:r>
      <w:r>
        <w:rPr>
          <w:rFonts w:eastAsia="宋体"/>
          <w:color w:val="auto"/>
          <w:sz w:val="24"/>
          <w:szCs w:val="28"/>
          <w:lang w:bidi="zh-CN"/>
        </w:rPr>
        <w:t>万元，属于</w:t>
      </w:r>
      <w:r>
        <w:rPr>
          <w:rFonts w:eastAsia="宋体"/>
          <w:color w:val="auto"/>
          <w:sz w:val="24"/>
          <w:szCs w:val="28"/>
          <w:u w:val="single"/>
          <w:lang w:bidi="zh-CN"/>
        </w:rPr>
        <w:t>（中型企业、小型企业、微型企业）</w:t>
      </w: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hint="eastAsia" w:eastAsia="宋体"/>
          <w:color w:val="auto"/>
          <w:sz w:val="24"/>
          <w:szCs w:val="28"/>
          <w:lang w:bidi="zh-CN"/>
        </w:rPr>
        <w:t>2.</w:t>
      </w:r>
      <w:r>
        <w:rPr>
          <w:rFonts w:eastAsia="宋体"/>
          <w:color w:val="auto"/>
          <w:sz w:val="24"/>
          <w:szCs w:val="28"/>
          <w:u w:val="single"/>
          <w:lang w:bidi="zh-CN"/>
        </w:rPr>
        <w:t>（标的名称）</w:t>
      </w:r>
      <w:r>
        <w:rPr>
          <w:rFonts w:eastAsia="宋体"/>
          <w:color w:val="auto"/>
          <w:sz w:val="24"/>
          <w:szCs w:val="28"/>
          <w:lang w:bidi="zh-CN"/>
        </w:rPr>
        <w:t>，属于（</w:t>
      </w:r>
      <w:r>
        <w:rPr>
          <w:rFonts w:eastAsia="宋体"/>
          <w:color w:val="auto"/>
          <w:sz w:val="24"/>
          <w:szCs w:val="28"/>
          <w:u w:val="single"/>
          <w:lang w:bidi="zh-CN"/>
        </w:rPr>
        <w:t>采购文件中明确的所属行业）</w:t>
      </w:r>
      <w:r>
        <w:rPr>
          <w:rFonts w:eastAsia="宋体"/>
          <w:color w:val="auto"/>
          <w:sz w:val="24"/>
          <w:szCs w:val="28"/>
          <w:lang w:bidi="zh-CN"/>
        </w:rPr>
        <w:t>；承建（承接）企业为</w:t>
      </w:r>
      <w:r>
        <w:rPr>
          <w:rFonts w:eastAsia="宋体"/>
          <w:color w:val="auto"/>
          <w:sz w:val="24"/>
          <w:szCs w:val="28"/>
          <w:u w:val="single"/>
          <w:lang w:bidi="zh-CN"/>
        </w:rPr>
        <w:t>（企业名称）</w:t>
      </w:r>
      <w:r>
        <w:rPr>
          <w:rFonts w:eastAsia="宋体"/>
          <w:color w:val="auto"/>
          <w:sz w:val="24"/>
          <w:szCs w:val="28"/>
          <w:lang w:bidi="zh-CN"/>
        </w:rPr>
        <w:t>，从业人员</w:t>
      </w:r>
      <w:r>
        <w:rPr>
          <w:rFonts w:eastAsia="宋体"/>
          <w:color w:val="auto"/>
          <w:sz w:val="24"/>
          <w:szCs w:val="28"/>
          <w:u w:val="single"/>
          <w:lang w:bidi="zh-CN"/>
        </w:rPr>
        <w:tab/>
      </w:r>
      <w:r>
        <w:rPr>
          <w:rFonts w:eastAsia="宋体"/>
          <w:color w:val="auto"/>
          <w:sz w:val="24"/>
          <w:szCs w:val="28"/>
          <w:lang w:bidi="zh-CN"/>
        </w:rPr>
        <w:t>人，营业收入为</w:t>
      </w:r>
      <w:r>
        <w:rPr>
          <w:rFonts w:eastAsia="宋体"/>
          <w:color w:val="auto"/>
          <w:sz w:val="24"/>
          <w:szCs w:val="28"/>
          <w:u w:val="single"/>
          <w:lang w:bidi="zh-CN"/>
        </w:rPr>
        <w:tab/>
      </w:r>
      <w:r>
        <w:rPr>
          <w:rFonts w:eastAsia="宋体"/>
          <w:color w:val="auto"/>
          <w:sz w:val="24"/>
          <w:szCs w:val="28"/>
          <w:lang w:bidi="zh-CN"/>
        </w:rPr>
        <w:t>万元，资产总额为</w:t>
      </w:r>
      <w:r>
        <w:rPr>
          <w:rFonts w:eastAsia="宋体"/>
          <w:color w:val="auto"/>
          <w:sz w:val="24"/>
          <w:szCs w:val="28"/>
          <w:u w:val="single"/>
          <w:lang w:bidi="zh-CN"/>
        </w:rPr>
        <w:tab/>
      </w:r>
      <w:r>
        <w:rPr>
          <w:rFonts w:eastAsia="宋体"/>
          <w:color w:val="auto"/>
          <w:sz w:val="24"/>
          <w:szCs w:val="28"/>
          <w:lang w:bidi="zh-CN"/>
        </w:rPr>
        <w:t>万元，属于</w:t>
      </w:r>
      <w:r>
        <w:rPr>
          <w:rFonts w:eastAsia="宋体"/>
          <w:color w:val="auto"/>
          <w:sz w:val="24"/>
          <w:szCs w:val="28"/>
          <w:u w:val="single"/>
          <w:lang w:bidi="zh-CN"/>
        </w:rPr>
        <w:t>（中型企业、小型企业、微型企业）</w:t>
      </w: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eastAsia="宋体"/>
          <w:color w:val="auto"/>
          <w:sz w:val="24"/>
          <w:szCs w:val="28"/>
          <w:lang w:bidi="zh-CN"/>
        </w:rPr>
        <w:t>以上企业，不属于大企业的分支机构，不存在控股股东为大企业的情形，也不存在与大企业的负责人为同一人的情形。</w:t>
      </w:r>
    </w:p>
    <w:p>
      <w:pPr>
        <w:spacing w:line="360" w:lineRule="auto"/>
        <w:ind w:firstLine="480"/>
        <w:outlineLvl w:val="0"/>
        <w:rPr>
          <w:rFonts w:eastAsia="宋体"/>
          <w:color w:val="auto"/>
          <w:sz w:val="24"/>
          <w:szCs w:val="28"/>
          <w:lang w:bidi="zh-CN"/>
        </w:rPr>
      </w:pPr>
      <w:r>
        <w:rPr>
          <w:rFonts w:eastAsia="宋体"/>
          <w:color w:val="auto"/>
          <w:sz w:val="24"/>
          <w:szCs w:val="28"/>
          <w:lang w:bidi="zh-CN"/>
        </w:rPr>
        <w:t>本企业对上述声明内容的真实性负责。如有虚假，将依法承担相应责任。</w:t>
      </w: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200"/>
        <w:jc w:val="right"/>
        <w:outlineLvl w:val="0"/>
        <w:rPr>
          <w:rFonts w:eastAsia="宋体"/>
          <w:color w:val="auto"/>
          <w:sz w:val="24"/>
          <w:szCs w:val="28"/>
          <w:lang w:bidi="zh-CN"/>
        </w:rPr>
      </w:pPr>
      <w:r>
        <w:rPr>
          <w:rFonts w:eastAsia="宋体"/>
          <w:color w:val="auto"/>
          <w:sz w:val="24"/>
          <w:szCs w:val="28"/>
          <w:lang w:bidi="zh-CN"/>
        </w:rPr>
        <w:t>企业名称（盖章）：</w:t>
      </w:r>
    </w:p>
    <w:p>
      <w:pPr>
        <w:spacing w:line="300" w:lineRule="auto"/>
        <w:ind w:firstLine="4200"/>
        <w:jc w:val="right"/>
        <w:outlineLvl w:val="0"/>
        <w:rPr>
          <w:rFonts w:eastAsia="宋体"/>
          <w:color w:val="auto"/>
          <w:sz w:val="24"/>
          <w:szCs w:val="28"/>
          <w:lang w:bidi="zh-CN"/>
        </w:rPr>
      </w:pPr>
      <w:r>
        <w:rPr>
          <w:rFonts w:eastAsia="宋体"/>
          <w:color w:val="auto"/>
          <w:sz w:val="24"/>
          <w:szCs w:val="28"/>
          <w:lang w:bidi="zh-CN"/>
        </w:rPr>
        <w:t>日期：</w:t>
      </w:r>
    </w:p>
    <w:p>
      <w:pPr>
        <w:spacing w:line="360" w:lineRule="auto"/>
        <w:ind w:right="561" w:firstLine="482"/>
        <w:rPr>
          <w:rFonts w:eastAsia="宋体"/>
          <w:color w:val="auto"/>
          <w:sz w:val="24"/>
          <w:szCs w:val="21"/>
        </w:rPr>
      </w:pPr>
      <w:r>
        <w:rPr>
          <w:rFonts w:hint="eastAsia" w:eastAsia="宋体"/>
          <w:color w:val="auto"/>
          <w:sz w:val="24"/>
          <w:szCs w:val="21"/>
        </w:rPr>
        <w:t>注1：从业人员、营业收入、资产总额填报上一年度数据，无上一年度数据的新成立企业可不填报。</w:t>
      </w:r>
    </w:p>
    <w:p>
      <w:pPr>
        <w:spacing w:before="360" w:after="360" w:line="360" w:lineRule="auto"/>
        <w:ind w:firstLine="480"/>
        <w:jc w:val="center"/>
        <w:rPr>
          <w:rFonts w:eastAsia="宋体" w:cs="宋体"/>
          <w:b/>
          <w:color w:val="auto"/>
          <w:sz w:val="28"/>
          <w:szCs w:val="28"/>
        </w:rPr>
      </w:pPr>
      <w:r>
        <w:rPr>
          <w:rFonts w:eastAsia="宋体" w:cs="宋体"/>
          <w:b/>
          <w:bCs/>
          <w:color w:val="auto"/>
          <w:sz w:val="24"/>
          <w:szCs w:val="21"/>
        </w:rPr>
        <w:br w:type="page" w:clear="all"/>
      </w:r>
      <w:r>
        <w:rPr>
          <w:rFonts w:hint="eastAsia" w:eastAsia="宋体" w:cs="宋体"/>
          <w:b/>
          <w:bCs/>
          <w:color w:val="auto"/>
          <w:sz w:val="24"/>
          <w:szCs w:val="21"/>
          <w:lang w:val="en-US" w:eastAsia="zh-CN"/>
        </w:rPr>
        <w:t>4</w:t>
      </w:r>
      <w:r>
        <w:rPr>
          <w:rFonts w:hint="eastAsia" w:eastAsia="宋体" w:cs="宋体"/>
          <w:b/>
          <w:bCs/>
          <w:color w:val="auto"/>
          <w:sz w:val="24"/>
          <w:szCs w:val="21"/>
        </w:rPr>
        <w:t>、</w:t>
      </w:r>
      <w:r>
        <w:rPr>
          <w:rFonts w:hint="eastAsia" w:eastAsia="宋体" w:cs="宋体"/>
          <w:b/>
          <w:bCs/>
          <w:color w:val="auto"/>
          <w:sz w:val="28"/>
          <w:szCs w:val="28"/>
        </w:rPr>
        <w:t>残疾人福利性单位声明函</w:t>
      </w:r>
      <w:r>
        <w:rPr>
          <w:rFonts w:hint="eastAsia" w:eastAsia="宋体" w:cs="宋体"/>
          <w:b/>
          <w:color w:val="auto"/>
          <w:sz w:val="28"/>
          <w:szCs w:val="28"/>
        </w:rPr>
        <w:t>（如涉有，则提供）</w:t>
      </w:r>
    </w:p>
    <w:p>
      <w:pPr>
        <w:spacing w:line="360" w:lineRule="auto"/>
        <w:ind w:firstLine="482"/>
        <w:rPr>
          <w:rFonts w:eastAsia="宋体" w:cs="宋体"/>
          <w:color w:val="auto"/>
          <w:sz w:val="24"/>
          <w:szCs w:val="24"/>
        </w:rPr>
      </w:pPr>
      <w:r>
        <w:rPr>
          <w:rFonts w:hint="eastAsia"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eastAsia="宋体" w:cs="宋体"/>
          <w:color w:val="auto"/>
          <w:sz w:val="24"/>
          <w:szCs w:val="24"/>
          <w:u w:val="single"/>
          <w:lang w:bidi="zh-CN"/>
        </w:rPr>
        <w:t>（单位名称）</w:t>
      </w:r>
      <w:r>
        <w:rPr>
          <w:rFonts w:hint="eastAsia" w:eastAsia="宋体" w:cs="宋体"/>
          <w:color w:val="auto"/>
          <w:sz w:val="24"/>
          <w:szCs w:val="24"/>
          <w:lang w:bidi="zh-CN"/>
        </w:rPr>
        <w:t>的</w:t>
      </w:r>
      <w:r>
        <w:rPr>
          <w:rFonts w:hint="eastAsia" w:eastAsia="宋体" w:cs="宋体"/>
          <w:color w:val="auto"/>
          <w:sz w:val="24"/>
          <w:szCs w:val="24"/>
          <w:u w:val="single"/>
          <w:lang w:bidi="zh-CN"/>
        </w:rPr>
        <w:t>（项目名称）</w:t>
      </w:r>
      <w:r>
        <w:rPr>
          <w:rFonts w:hint="eastAsia" w:eastAsia="宋体" w:cs="宋体"/>
          <w:color w:val="auto"/>
          <w:sz w:val="24"/>
          <w:szCs w:val="24"/>
          <w:lang w:bidi="zh-CN"/>
        </w:rPr>
        <w:t>采购活动</w:t>
      </w:r>
      <w:r>
        <w:rPr>
          <w:rFonts w:hint="eastAsia" w:eastAsia="宋体" w:cs="宋体"/>
          <w:color w:val="auto"/>
          <w:sz w:val="24"/>
          <w:szCs w:val="24"/>
        </w:rPr>
        <w:t>，</w:t>
      </w:r>
      <w:r>
        <w:rPr>
          <w:rFonts w:hint="eastAsia" w:eastAsia="宋体" w:cs="宋体"/>
          <w:color w:val="auto"/>
          <w:sz w:val="24"/>
          <w:szCs w:val="24"/>
          <w:lang w:bidi="zh-CN"/>
        </w:rPr>
        <w:t>服务全部由符合政策要求的</w:t>
      </w:r>
      <w:r>
        <w:rPr>
          <w:rFonts w:hint="eastAsia" w:eastAsia="宋体" w:cs="宋体"/>
          <w:color w:val="auto"/>
          <w:sz w:val="24"/>
          <w:szCs w:val="24"/>
        </w:rPr>
        <w:t>残疾人福利性单位</w:t>
      </w:r>
      <w:r>
        <w:rPr>
          <w:rFonts w:hint="eastAsia" w:eastAsia="宋体" w:cs="宋体"/>
          <w:color w:val="auto"/>
          <w:sz w:val="24"/>
          <w:szCs w:val="24"/>
          <w:lang w:bidi="zh-CN"/>
        </w:rPr>
        <w:t>承接</w:t>
      </w:r>
      <w:r>
        <w:rPr>
          <w:rFonts w:hint="eastAsia" w:eastAsia="宋体" w:cs="宋体"/>
          <w:color w:val="auto"/>
          <w:sz w:val="24"/>
          <w:szCs w:val="24"/>
        </w:rPr>
        <w:t>。</w:t>
      </w:r>
    </w:p>
    <w:p>
      <w:pPr>
        <w:spacing w:line="360" w:lineRule="auto"/>
        <w:ind w:firstLine="482"/>
        <w:rPr>
          <w:rFonts w:eastAsia="宋体" w:cs="宋体"/>
          <w:color w:val="auto"/>
          <w:sz w:val="24"/>
          <w:szCs w:val="24"/>
        </w:rPr>
      </w:pPr>
      <w:r>
        <w:rPr>
          <w:rFonts w:hint="eastAsia" w:eastAsia="宋体" w:cs="宋体"/>
          <w:color w:val="auto"/>
          <w:sz w:val="24"/>
          <w:szCs w:val="24"/>
        </w:rPr>
        <w:t>本单位对上述声明的真实性负责。如有虚假，将依法承担相应责任。</w:t>
      </w:r>
    </w:p>
    <w:p>
      <w:pPr>
        <w:spacing w:line="360" w:lineRule="auto"/>
        <w:ind w:firstLine="482"/>
        <w:rPr>
          <w:rFonts w:eastAsia="宋体" w:cs="宋体"/>
          <w:color w:val="auto"/>
          <w:sz w:val="24"/>
          <w:szCs w:val="24"/>
        </w:rPr>
      </w:pPr>
    </w:p>
    <w:p>
      <w:pPr>
        <w:spacing w:line="360" w:lineRule="auto"/>
        <w:ind w:firstLine="482"/>
        <w:rPr>
          <w:rFonts w:eastAsia="宋体" w:cs="宋体"/>
          <w:color w:val="auto"/>
          <w:sz w:val="24"/>
          <w:szCs w:val="24"/>
        </w:rPr>
      </w:pPr>
    </w:p>
    <w:p>
      <w:pPr>
        <w:spacing w:line="360" w:lineRule="auto"/>
        <w:ind w:firstLine="482"/>
        <w:jc w:val="left"/>
        <w:rPr>
          <w:rFonts w:eastAsia="宋体" w:cs="宋体"/>
          <w:color w:val="auto"/>
          <w:sz w:val="24"/>
          <w:szCs w:val="24"/>
        </w:rPr>
      </w:pPr>
      <w:r>
        <w:rPr>
          <w:rFonts w:hint="eastAsia" w:eastAsia="宋体" w:cs="宋体"/>
          <w:color w:val="auto"/>
          <w:sz w:val="24"/>
          <w:szCs w:val="24"/>
        </w:rPr>
        <w:t>响应供应商：（盖章）</w:t>
      </w:r>
    </w:p>
    <w:p>
      <w:pPr>
        <w:spacing w:line="360" w:lineRule="auto"/>
        <w:ind w:firstLine="482"/>
        <w:jc w:val="left"/>
        <w:rPr>
          <w:rFonts w:eastAsia="宋体" w:cs="宋体"/>
          <w:color w:val="auto"/>
          <w:sz w:val="24"/>
          <w:szCs w:val="24"/>
        </w:rPr>
      </w:pPr>
      <w:r>
        <w:rPr>
          <w:rFonts w:hint="eastAsia" w:eastAsia="宋体" w:cs="宋体"/>
          <w:color w:val="auto"/>
          <w:sz w:val="24"/>
          <w:szCs w:val="24"/>
        </w:rPr>
        <w:t>法定代表人或被授权人（签字或盖章）：</w:t>
      </w:r>
    </w:p>
    <w:p>
      <w:pPr>
        <w:spacing w:line="360" w:lineRule="auto"/>
        <w:ind w:firstLine="482"/>
        <w:jc w:val="left"/>
        <w:rPr>
          <w:rFonts w:eastAsia="宋体" w:cs="宋体"/>
          <w:color w:val="auto"/>
          <w:sz w:val="24"/>
          <w:szCs w:val="24"/>
        </w:rPr>
      </w:pPr>
    </w:p>
    <w:p>
      <w:pPr>
        <w:spacing w:line="360" w:lineRule="auto"/>
        <w:ind w:firstLine="482"/>
        <w:jc w:val="left"/>
        <w:rPr>
          <w:rFonts w:eastAsia="宋体" w:cs="宋体"/>
          <w:color w:val="auto"/>
          <w:sz w:val="24"/>
          <w:szCs w:val="24"/>
        </w:rPr>
      </w:pPr>
      <w:r>
        <w:rPr>
          <w:rFonts w:hint="eastAsia" w:eastAsia="宋体" w:cs="宋体"/>
          <w:color w:val="auto"/>
          <w:sz w:val="24"/>
          <w:szCs w:val="24"/>
        </w:rPr>
        <w:t>日期：</w:t>
      </w:r>
    </w:p>
    <w:p>
      <w:pPr>
        <w:spacing w:line="360" w:lineRule="auto"/>
        <w:ind w:firstLine="480"/>
        <w:jc w:val="center"/>
        <w:outlineLvl w:val="3"/>
        <w:rPr>
          <w:rFonts w:eastAsia="宋体" w:cs="宋体"/>
          <w:color w:val="auto"/>
          <w:sz w:val="28"/>
          <w:szCs w:val="28"/>
        </w:rPr>
      </w:pPr>
      <w:r>
        <w:rPr>
          <w:rFonts w:hint="eastAsia" w:eastAsia="宋体" w:cs="宋体"/>
          <w:b/>
          <w:bCs/>
          <w:color w:val="auto"/>
          <w:sz w:val="24"/>
          <w:szCs w:val="24"/>
        </w:rPr>
        <w:br w:type="page" w:clear="all"/>
      </w:r>
      <w:r>
        <w:rPr>
          <w:rFonts w:hint="eastAsia" w:eastAsia="宋体" w:cs="宋体"/>
          <w:b/>
          <w:bCs/>
          <w:color w:val="auto"/>
          <w:sz w:val="24"/>
          <w:szCs w:val="24"/>
          <w:lang w:val="en-US" w:eastAsia="zh-CN"/>
        </w:rPr>
        <w:t>5</w:t>
      </w:r>
      <w:r>
        <w:rPr>
          <w:rFonts w:hint="eastAsia" w:eastAsia="宋体" w:cs="宋体"/>
          <w:b/>
          <w:bCs/>
          <w:color w:val="auto"/>
          <w:sz w:val="24"/>
          <w:szCs w:val="24"/>
        </w:rPr>
        <w:t>、</w:t>
      </w:r>
      <w:r>
        <w:rPr>
          <w:rFonts w:hint="eastAsia" w:eastAsia="宋体" w:cs="宋体"/>
          <w:b/>
          <w:color w:val="auto"/>
          <w:sz w:val="28"/>
          <w:szCs w:val="28"/>
        </w:rPr>
        <w:t>监狱企业的证明（如涉有，则提供）</w:t>
      </w:r>
    </w:p>
    <w:p>
      <w:pPr>
        <w:spacing w:line="360" w:lineRule="auto"/>
        <w:ind w:firstLine="482"/>
        <w:rPr>
          <w:rFonts w:eastAsia="宋体" w:cs="宋体"/>
          <w:color w:val="auto"/>
          <w:sz w:val="24"/>
          <w:szCs w:val="24"/>
        </w:rPr>
      </w:pPr>
      <w:r>
        <w:rPr>
          <w:rFonts w:hint="eastAsia" w:eastAsia="宋体" w:cs="宋体"/>
          <w:color w:val="auto"/>
          <w:sz w:val="24"/>
          <w:szCs w:val="24"/>
        </w:rPr>
        <w:t>（格式自拟）</w:t>
      </w:r>
    </w:p>
    <w:p>
      <w:pPr>
        <w:spacing w:line="360" w:lineRule="auto"/>
        <w:ind w:firstLine="482"/>
        <w:rPr>
          <w:rFonts w:eastAsia="宋体" w:cs="宋体"/>
          <w:color w:val="auto"/>
          <w:sz w:val="24"/>
          <w:szCs w:val="24"/>
        </w:rPr>
      </w:pPr>
      <w:r>
        <w:rPr>
          <w:rFonts w:hint="eastAsia" w:eastAsia="宋体" w:cs="宋体"/>
          <w:color w:val="auto"/>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60" w:lineRule="auto"/>
        <w:ind w:firstLine="482"/>
        <w:jc w:val="right"/>
        <w:rPr>
          <w:rFonts w:hint="eastAsia" w:ascii="宋体" w:hAnsi="宋体" w:eastAsia="宋体" w:cs="宋体"/>
          <w:color w:val="auto"/>
          <w:sz w:val="24"/>
          <w:szCs w:val="24"/>
        </w:rPr>
      </w:pPr>
    </w:p>
    <w:p>
      <w:pPr>
        <w:spacing w:line="360" w:lineRule="auto"/>
        <w:ind w:firstLine="482"/>
        <w:rPr>
          <w:rFonts w:ascii="宋体" w:hAnsi="宋体" w:eastAsia="宋体" w:cs="宋体"/>
          <w:color w:val="auto"/>
        </w:rPr>
      </w:pPr>
    </w:p>
    <w:p>
      <w:pPr>
        <w:pBdr>
          <w:top w:val="none" w:color="000000" w:sz="0" w:space="0"/>
          <w:left w:val="none" w:color="000000" w:sz="0" w:space="0"/>
          <w:bottom w:val="none" w:color="000000" w:sz="0" w:space="0"/>
          <w:right w:val="none" w:color="000000" w:sz="0" w:space="0"/>
        </w:pBdr>
        <w:spacing w:line="360" w:lineRule="auto"/>
        <w:ind w:firstLine="3080"/>
        <w:rPr>
          <w:rFonts w:hint="eastAsia" w:ascii="宋体" w:hAnsi="宋体" w:eastAsia="宋体" w:cs="宋体"/>
          <w:color w:val="auto"/>
          <w:sz w:val="28"/>
          <w:szCs w:val="28"/>
        </w:rPr>
      </w:pPr>
    </w:p>
    <w:sectPr>
      <w:headerReference r:id="rId10" w:type="default"/>
      <w:footerReference r:id="rId11" w:type="default"/>
      <w:pgSz w:w="11906" w:h="16838"/>
      <w:pgMar w:top="1418" w:right="1418" w:bottom="1418"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_GB2312">
    <w:altName w:val="汉仪楷体简"/>
    <w:panose1 w:val="02010609030101010101"/>
    <w:charset w:val="86"/>
    <w:family w:val="modern"/>
    <w:pitch w:val="default"/>
    <w:sig w:usb0="00000000" w:usb1="00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Menlo">
    <w:panose1 w:val="020B0609030804020204"/>
    <w:charset w:val="00"/>
    <w:family w:val="auto"/>
    <w:pitch w:val="default"/>
    <w:sig w:usb0="E60022FF" w:usb1="D200F9FB"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panose1 w:val="02000000000000000000"/>
    <w:charset w:val="86"/>
    <w:family w:val="auto"/>
    <w:pitch w:val="default"/>
    <w:sig w:usb0="A00002BF" w:usb1="184F6CFA" w:usb2="00000012" w:usb3="00000000" w:csb0="00040001" w:csb1="00000000"/>
  </w:font>
  <w:font w:name="创艺简仿宋">
    <w:altName w:val="方正仿宋_GBK"/>
    <w:panose1 w:val="00000000000000000000"/>
    <w:charset w:val="00"/>
    <w:family w:val="auto"/>
    <w:pitch w:val="default"/>
    <w:sig w:usb0="00000000" w:usb1="00000000" w:usb2="00000000" w:usb3="00000000" w:csb0="00000000" w:csb1="00000000"/>
  </w:font>
  <w:font w:name="微软雅黑">
    <w:altName w:val="汉仪旗黑"/>
    <w:panose1 w:val="020B0503020204020204"/>
    <w:charset w:val="86"/>
    <w:family w:val="swiss"/>
    <w:pitch w:val="default"/>
    <w:sig w:usb0="00000000" w:usb1="00000000" w:usb2="00000016" w:usb3="00000000" w:csb0="0004001F" w:csb1="00000000"/>
  </w:font>
  <w:font w:name="Tahoma">
    <w:panose1 w:val="020B0804030504040204"/>
    <w:charset w:val="00"/>
    <w:family w:val="swiss"/>
    <w:pitch w:val="default"/>
    <w:sig w:usb0="E1002A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旗黑">
    <w:panose1 w:val="00020600040101010101"/>
    <w:charset w:val="86"/>
    <w:family w:val="auto"/>
    <w:pitch w:val="default"/>
    <w:sig w:usb0="A00002BF" w:usb1="1ACF7CFA" w:usb2="00000016" w:usb3="00000000" w:csb0="0004009F" w:csb1="DFD7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framePr w:wrap="around" w:vAnchor="text" w:hAnchor="margin" w:xAlign="right" w:y="1"/>
      <w:rPr>
        <w:rStyle w:val="148"/>
      </w:rPr>
    </w:pPr>
    <w:r>
      <w:fldChar w:fldCharType="begin"/>
    </w:r>
    <w:r>
      <w:rPr>
        <w:rStyle w:val="148"/>
      </w:rPr>
      <w:instrText xml:space="preserve">PAGE  </w:instrText>
    </w:r>
    <w:r>
      <w:fldChar w:fldCharType="end"/>
    </w:r>
  </w:p>
  <w:p>
    <w:pPr>
      <w:pStyle w:val="1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76906651"/>
    </w:sdtPr>
    <w:sdtContent>
      <w:p>
        <w:pPr>
          <w:pStyle w:val="26"/>
          <w:jc w:val="center"/>
        </w:pPr>
        <w:r>
          <w:fldChar w:fldCharType="begin"/>
        </w:r>
        <w:r>
          <w:instrText xml:space="preserve">PAGE   \* MERGEFORMAT</w:instrText>
        </w:r>
        <w:r>
          <w:fldChar w:fldCharType="separate"/>
        </w:r>
        <w:r>
          <w:rPr>
            <w:lang w:val="zh-CN"/>
          </w:rPr>
          <w:t>19</w:t>
        </w:r>
        <w:r>
          <w:fldChar w:fldCharType="end"/>
        </w:r>
      </w:p>
    </w:sdtContent>
  </w:sdt>
  <w:p>
    <w:pPr>
      <w:pStyle w:val="1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ind w:firstLine="3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0075" cy="287655"/>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600075" cy="287655"/>
                      </a:xfrm>
                      <a:prstGeom prst="rect">
                        <a:avLst/>
                      </a:prstGeom>
                      <a:noFill/>
                      <a:ln>
                        <a:noFill/>
                      </a:ln>
                    </wps:spPr>
                    <wps:txbx>
                      <w:txbxContent>
                        <w:p>
                          <w:pPr>
                            <w:pStyle w:val="26"/>
                            <w:jc w:val="center"/>
                          </w:pPr>
                          <w:r>
                            <w:fldChar w:fldCharType="begin"/>
                          </w:r>
                          <w:r>
                            <w:instrText xml:space="preserve"> PAGE  \* MERGEFORMAT </w:instrText>
                          </w:r>
                          <w:r>
                            <w:fldChar w:fldCharType="separate"/>
                          </w:r>
                          <w:r>
                            <w:t>76</w:t>
                          </w:r>
                          <w:r>
                            <w:fldChar w:fldCharType="end"/>
                          </w:r>
                        </w:p>
                      </w:txbxContent>
                    </wps:txbx>
                    <wps:bodyPr lIns="0" tIns="0" rIns="0" bIns="0" upright="1"/>
                  </wps:wsp>
                </a:graphicData>
              </a:graphic>
            </wp:anchor>
          </w:drawing>
        </mc:Choice>
        <mc:Fallback>
          <w:pict>
            <v:shape id="文本框 1026" o:spid="_x0000_s1026" o:spt="202" type="#_x0000_t202" style="position:absolute;left:0pt;margin-top:0pt;height:22.65pt;width:47.25pt;mso-position-horizontal:center;mso-position-horizontal-relative:margin;z-index:251659264;mso-width-relative:page;mso-height-relative:page;" filled="f" stroked="f" coordsize="21600,21600" o:gfxdata="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qeX2aNQAAAADAQAADwAAAAAAAAABACAAAAA4AAAA&#10;ZHJzL2Rvd25yZXYueG1sUEsBAhQAFAAAAAgAh07iQIoCz928AQAAdAMAAA4AAAAAAAAAAQAgAAAA&#10;OQEAAGRycy9lMm9Eb2MueG1sUEsFBgAAAAAGAAYAWQEAAGcFAAAAAA==&#10;">
              <v:fill on="f" focussize="0,0"/>
              <v:stroke on="f"/>
              <v:imagedata o:title=""/>
              <o:lock v:ext="edit" aspectratio="f"/>
              <v:textbox inset="0mm,0mm,0mm,0mm">
                <w:txbxContent>
                  <w:p>
                    <w:pPr>
                      <w:pStyle w:val="26"/>
                      <w:jc w:val="center"/>
                    </w:pPr>
                    <w:r>
                      <w:fldChar w:fldCharType="begin"/>
                    </w:r>
                    <w:r>
                      <w:instrText xml:space="preserve"> PAGE  \* MERGEFORMAT </w:instrText>
                    </w:r>
                    <w:r>
                      <w:fldChar w:fldCharType="separate"/>
                    </w:r>
                    <w:r>
                      <w:t>76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2FC90B1"/>
    <w:multiLevelType w:val="singleLevel"/>
    <w:tmpl w:val="B2FC90B1"/>
    <w:lvl w:ilvl="0" w:tentative="0">
      <w:start w:val="6"/>
      <w:numFmt w:val="decimal"/>
      <w:suff w:val="nothing"/>
      <w:lvlText w:val="（%1）"/>
      <w:lvlJc w:val="left"/>
    </w:lvl>
  </w:abstractNum>
  <w:abstractNum w:abstractNumId="2">
    <w:nsid w:val="DDF7B822"/>
    <w:multiLevelType w:val="singleLevel"/>
    <w:tmpl w:val="DDF7B822"/>
    <w:lvl w:ilvl="0" w:tentative="0">
      <w:start w:val="1"/>
      <w:numFmt w:val="decimal"/>
      <w:suff w:val="nothing"/>
      <w:lvlText w:val="%1、"/>
      <w:lvlJc w:val="left"/>
    </w:lvl>
  </w:abstractNum>
  <w:abstractNum w:abstractNumId="3">
    <w:nsid w:val="FF4C6C64"/>
    <w:multiLevelType w:val="multilevel"/>
    <w:tmpl w:val="FF4C6C64"/>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9A0D9AC"/>
    <w:multiLevelType w:val="multilevel"/>
    <w:tmpl w:val="39A0D9AC"/>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69"/>
      <w:lvlText w:val="%1.%2.%3.%4.%5"/>
      <w:lvlJc w:val="left"/>
      <w:pPr>
        <w:tabs>
          <w:tab w:val="left" w:pos="1008"/>
        </w:tabs>
        <w:ind w:left="1008" w:hanging="1008"/>
      </w:pPr>
    </w:lvl>
    <w:lvl w:ilvl="5" w:tentative="0">
      <w:start w:val="1"/>
      <w:numFmt w:val="decimal"/>
      <w:pStyle w:val="71"/>
      <w:lvlText w:val="%1.%2.%3.%4.%5.%6"/>
      <w:lvlJc w:val="left"/>
      <w:pPr>
        <w:tabs>
          <w:tab w:val="left" w:pos="1152"/>
        </w:tabs>
        <w:ind w:left="1152" w:hanging="1152"/>
      </w:pPr>
    </w:lvl>
    <w:lvl w:ilvl="6" w:tentative="0">
      <w:start w:val="1"/>
      <w:numFmt w:val="decimal"/>
      <w:pStyle w:val="72"/>
      <w:lvlText w:val="%1.%2.%3.%4.%5.%6.%7"/>
      <w:lvlJc w:val="left"/>
      <w:pPr>
        <w:tabs>
          <w:tab w:val="left" w:pos="1296"/>
        </w:tabs>
        <w:ind w:left="1296" w:hanging="1296"/>
      </w:pPr>
    </w:lvl>
    <w:lvl w:ilvl="7" w:tentative="0">
      <w:start w:val="1"/>
      <w:numFmt w:val="decimal"/>
      <w:pStyle w:val="73"/>
      <w:lvlText w:val="%1.%2.%3.%4.%5.%6.%7.%8"/>
      <w:lvlJc w:val="left"/>
      <w:pPr>
        <w:tabs>
          <w:tab w:val="left" w:pos="1440"/>
        </w:tabs>
        <w:ind w:left="1440" w:hanging="1440"/>
      </w:pPr>
    </w:lvl>
    <w:lvl w:ilvl="8" w:tentative="0">
      <w:start w:val="1"/>
      <w:numFmt w:val="decimal"/>
      <w:pStyle w:val="74"/>
      <w:lvlText w:val="%1.%2.%3.%4.%5.%6.%7.%8.%9"/>
      <w:lvlJc w:val="left"/>
      <w:pPr>
        <w:tabs>
          <w:tab w:val="left" w:pos="1584"/>
        </w:tabs>
        <w:ind w:left="1584" w:hanging="1584"/>
      </w:pPr>
    </w:lvl>
  </w:abstractNum>
  <w:abstractNum w:abstractNumId="5">
    <w:nsid w:val="52471CD4"/>
    <w:multiLevelType w:val="singleLevel"/>
    <w:tmpl w:val="52471CD4"/>
    <w:lvl w:ilvl="0" w:tentative="0">
      <w:start w:val="1"/>
      <w:numFmt w:val="decimal"/>
      <w:suff w:val="nothing"/>
      <w:lvlText w:val="%1、"/>
      <w:lvlJc w:val="left"/>
    </w:lvl>
  </w:abstractNum>
  <w:abstractNum w:abstractNumId="6">
    <w:nsid w:val="64FF2E6C"/>
    <w:multiLevelType w:val="singleLevel"/>
    <w:tmpl w:val="64FF2E6C"/>
    <w:lvl w:ilvl="0" w:tentative="0">
      <w:start w:val="2"/>
      <w:numFmt w:val="decimal"/>
      <w:lvlText w:val="%1."/>
      <w:lvlJc w:val="left"/>
      <w:pPr>
        <w:tabs>
          <w:tab w:val="left" w:pos="312"/>
        </w:tabs>
      </w:pPr>
    </w:lvl>
  </w:abstractNum>
  <w:abstractNum w:abstractNumId="7">
    <w:nsid w:val="6FDC7FF1"/>
    <w:multiLevelType w:val="multilevel"/>
    <w:tmpl w:val="6FDC7FF1"/>
    <w:lvl w:ilvl="0" w:tentative="0">
      <w:start w:val="6"/>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xMDIxODNmNmU2YTQ1NGNjOTQ3NWI4Yjc3NjRhNGMifQ=="/>
  </w:docVars>
  <w:rsids>
    <w:rsidRoot w:val="00F91582"/>
    <w:rsid w:val="00002A40"/>
    <w:rsid w:val="0009246A"/>
    <w:rsid w:val="000C0D31"/>
    <w:rsid w:val="000F7CD7"/>
    <w:rsid w:val="001019F6"/>
    <w:rsid w:val="00152EAF"/>
    <w:rsid w:val="001F14E1"/>
    <w:rsid w:val="00244090"/>
    <w:rsid w:val="00257489"/>
    <w:rsid w:val="002A7AE4"/>
    <w:rsid w:val="002D775A"/>
    <w:rsid w:val="002E11A3"/>
    <w:rsid w:val="00373C34"/>
    <w:rsid w:val="00377974"/>
    <w:rsid w:val="00383718"/>
    <w:rsid w:val="003E31F0"/>
    <w:rsid w:val="004213B9"/>
    <w:rsid w:val="00443CF6"/>
    <w:rsid w:val="00454CB1"/>
    <w:rsid w:val="00490148"/>
    <w:rsid w:val="004A3255"/>
    <w:rsid w:val="005255B0"/>
    <w:rsid w:val="005539D1"/>
    <w:rsid w:val="00584BEB"/>
    <w:rsid w:val="005850B3"/>
    <w:rsid w:val="005D2253"/>
    <w:rsid w:val="005D2FFF"/>
    <w:rsid w:val="00611A36"/>
    <w:rsid w:val="006C65F0"/>
    <w:rsid w:val="00721892"/>
    <w:rsid w:val="0072242B"/>
    <w:rsid w:val="007245CC"/>
    <w:rsid w:val="00735664"/>
    <w:rsid w:val="00735F7B"/>
    <w:rsid w:val="007427FB"/>
    <w:rsid w:val="0078306F"/>
    <w:rsid w:val="007B4168"/>
    <w:rsid w:val="00823AAF"/>
    <w:rsid w:val="00845351"/>
    <w:rsid w:val="008D7120"/>
    <w:rsid w:val="008E7B07"/>
    <w:rsid w:val="009017C5"/>
    <w:rsid w:val="00915C12"/>
    <w:rsid w:val="0098625F"/>
    <w:rsid w:val="009A2AB8"/>
    <w:rsid w:val="009B0070"/>
    <w:rsid w:val="009D61AB"/>
    <w:rsid w:val="009F1FF2"/>
    <w:rsid w:val="009F3E57"/>
    <w:rsid w:val="00A63ED6"/>
    <w:rsid w:val="00AA3E5F"/>
    <w:rsid w:val="00AB53E0"/>
    <w:rsid w:val="00B00E6C"/>
    <w:rsid w:val="00B1666D"/>
    <w:rsid w:val="00B41EFC"/>
    <w:rsid w:val="00B91C32"/>
    <w:rsid w:val="00BB7E8E"/>
    <w:rsid w:val="00C23157"/>
    <w:rsid w:val="00C23A75"/>
    <w:rsid w:val="00C53CC5"/>
    <w:rsid w:val="00C80FC0"/>
    <w:rsid w:val="00C9267A"/>
    <w:rsid w:val="00CB135D"/>
    <w:rsid w:val="00DA284B"/>
    <w:rsid w:val="00DA42A7"/>
    <w:rsid w:val="00E1744C"/>
    <w:rsid w:val="00E53C50"/>
    <w:rsid w:val="00E62B16"/>
    <w:rsid w:val="00EC68CA"/>
    <w:rsid w:val="00F03BB6"/>
    <w:rsid w:val="00F1222D"/>
    <w:rsid w:val="00F12F9A"/>
    <w:rsid w:val="00F17B5E"/>
    <w:rsid w:val="00F4429D"/>
    <w:rsid w:val="00F7544E"/>
    <w:rsid w:val="00F91582"/>
    <w:rsid w:val="01D05BE5"/>
    <w:rsid w:val="02414BA8"/>
    <w:rsid w:val="049E2A54"/>
    <w:rsid w:val="06154AA3"/>
    <w:rsid w:val="061834A6"/>
    <w:rsid w:val="067D77AC"/>
    <w:rsid w:val="07283B25"/>
    <w:rsid w:val="073D0CEA"/>
    <w:rsid w:val="07941252"/>
    <w:rsid w:val="08A454C4"/>
    <w:rsid w:val="08CF5676"/>
    <w:rsid w:val="0B1E5034"/>
    <w:rsid w:val="0B8E7F8D"/>
    <w:rsid w:val="0B906D1E"/>
    <w:rsid w:val="0C3C0E6C"/>
    <w:rsid w:val="0C4C2498"/>
    <w:rsid w:val="0CAC331E"/>
    <w:rsid w:val="0CD7592C"/>
    <w:rsid w:val="0CE2480D"/>
    <w:rsid w:val="0CF42658"/>
    <w:rsid w:val="0D005C6E"/>
    <w:rsid w:val="0DEA1BCB"/>
    <w:rsid w:val="0E7B120A"/>
    <w:rsid w:val="0E921DB5"/>
    <w:rsid w:val="0EAD4424"/>
    <w:rsid w:val="0EFB5712"/>
    <w:rsid w:val="0F2D3EAF"/>
    <w:rsid w:val="102173FB"/>
    <w:rsid w:val="108B1923"/>
    <w:rsid w:val="12181ABA"/>
    <w:rsid w:val="129F0AAB"/>
    <w:rsid w:val="164228C1"/>
    <w:rsid w:val="16ED3E08"/>
    <w:rsid w:val="17BB77C1"/>
    <w:rsid w:val="199E386A"/>
    <w:rsid w:val="19B37C7C"/>
    <w:rsid w:val="1A660973"/>
    <w:rsid w:val="1BF323A5"/>
    <w:rsid w:val="1C1A5F6A"/>
    <w:rsid w:val="1C221D98"/>
    <w:rsid w:val="1C4C7E05"/>
    <w:rsid w:val="1E6D7BEA"/>
    <w:rsid w:val="1F2E3506"/>
    <w:rsid w:val="1F417171"/>
    <w:rsid w:val="20710FD8"/>
    <w:rsid w:val="21423675"/>
    <w:rsid w:val="215B4C46"/>
    <w:rsid w:val="22294C58"/>
    <w:rsid w:val="228A52D3"/>
    <w:rsid w:val="23874E71"/>
    <w:rsid w:val="239D4B92"/>
    <w:rsid w:val="24AB3C21"/>
    <w:rsid w:val="24B148C6"/>
    <w:rsid w:val="24B9679C"/>
    <w:rsid w:val="251E449B"/>
    <w:rsid w:val="26696741"/>
    <w:rsid w:val="26DA14A4"/>
    <w:rsid w:val="28180C8B"/>
    <w:rsid w:val="285C501C"/>
    <w:rsid w:val="286D7229"/>
    <w:rsid w:val="29D830B9"/>
    <w:rsid w:val="2A780A7A"/>
    <w:rsid w:val="2A9C2048"/>
    <w:rsid w:val="2AC31E08"/>
    <w:rsid w:val="2C0A4D8F"/>
    <w:rsid w:val="2C4A4B03"/>
    <w:rsid w:val="2C6A6EB3"/>
    <w:rsid w:val="2D162B95"/>
    <w:rsid w:val="2D164014"/>
    <w:rsid w:val="2E8A2A9B"/>
    <w:rsid w:val="2F6A001E"/>
    <w:rsid w:val="30F1701C"/>
    <w:rsid w:val="30FB4CDA"/>
    <w:rsid w:val="3104265F"/>
    <w:rsid w:val="311A1F18"/>
    <w:rsid w:val="328C7D19"/>
    <w:rsid w:val="32A95302"/>
    <w:rsid w:val="33801AA9"/>
    <w:rsid w:val="34B30F87"/>
    <w:rsid w:val="34CD05B2"/>
    <w:rsid w:val="357F234A"/>
    <w:rsid w:val="3655044E"/>
    <w:rsid w:val="36637EBD"/>
    <w:rsid w:val="36A302BA"/>
    <w:rsid w:val="36FF338D"/>
    <w:rsid w:val="37B679AC"/>
    <w:rsid w:val="384E3871"/>
    <w:rsid w:val="38AF73EA"/>
    <w:rsid w:val="38C94955"/>
    <w:rsid w:val="39A84565"/>
    <w:rsid w:val="39DB054C"/>
    <w:rsid w:val="39FA2B01"/>
    <w:rsid w:val="3A993035"/>
    <w:rsid w:val="3AEF3B34"/>
    <w:rsid w:val="3BAE2FF9"/>
    <w:rsid w:val="3BD11425"/>
    <w:rsid w:val="3C0B5E53"/>
    <w:rsid w:val="3C5D71E2"/>
    <w:rsid w:val="3CD14C23"/>
    <w:rsid w:val="3D202058"/>
    <w:rsid w:val="3D25335F"/>
    <w:rsid w:val="3DC2302E"/>
    <w:rsid w:val="3E581DDA"/>
    <w:rsid w:val="3EDB96C8"/>
    <w:rsid w:val="3F3F2C7B"/>
    <w:rsid w:val="3F9DB561"/>
    <w:rsid w:val="40364AE1"/>
    <w:rsid w:val="403B5E01"/>
    <w:rsid w:val="40CD06B9"/>
    <w:rsid w:val="410B5C39"/>
    <w:rsid w:val="413420EB"/>
    <w:rsid w:val="41465EAC"/>
    <w:rsid w:val="41780CC1"/>
    <w:rsid w:val="41AD64D2"/>
    <w:rsid w:val="41BB6E00"/>
    <w:rsid w:val="41E37DAD"/>
    <w:rsid w:val="423E34D2"/>
    <w:rsid w:val="43993170"/>
    <w:rsid w:val="4484172B"/>
    <w:rsid w:val="448B4867"/>
    <w:rsid w:val="44A616A1"/>
    <w:rsid w:val="4673169B"/>
    <w:rsid w:val="472B40E0"/>
    <w:rsid w:val="477D57A4"/>
    <w:rsid w:val="4A951CC2"/>
    <w:rsid w:val="4B3B68BB"/>
    <w:rsid w:val="4C9B38E1"/>
    <w:rsid w:val="4D094EC3"/>
    <w:rsid w:val="4D9F3131"/>
    <w:rsid w:val="4DCB3110"/>
    <w:rsid w:val="4DE14BC4"/>
    <w:rsid w:val="4EA056A9"/>
    <w:rsid w:val="4EDB6F8F"/>
    <w:rsid w:val="4F282F31"/>
    <w:rsid w:val="4F6208BA"/>
    <w:rsid w:val="4FA178AA"/>
    <w:rsid w:val="52932B68"/>
    <w:rsid w:val="53CD50EA"/>
    <w:rsid w:val="545C3DB1"/>
    <w:rsid w:val="54C80CBE"/>
    <w:rsid w:val="56A7044E"/>
    <w:rsid w:val="58C63F0B"/>
    <w:rsid w:val="596C0CB3"/>
    <w:rsid w:val="596D4A2C"/>
    <w:rsid w:val="59B1F7BE"/>
    <w:rsid w:val="5A895E45"/>
    <w:rsid w:val="5C1B79F1"/>
    <w:rsid w:val="5C270EC2"/>
    <w:rsid w:val="5CF57D91"/>
    <w:rsid w:val="5E653F23"/>
    <w:rsid w:val="5F1E062E"/>
    <w:rsid w:val="5F7D3B60"/>
    <w:rsid w:val="60EE6452"/>
    <w:rsid w:val="64EF1DA3"/>
    <w:rsid w:val="64F64031"/>
    <w:rsid w:val="650941B9"/>
    <w:rsid w:val="655724E2"/>
    <w:rsid w:val="65FC58C9"/>
    <w:rsid w:val="663829B2"/>
    <w:rsid w:val="679C6C08"/>
    <w:rsid w:val="67ED7AF6"/>
    <w:rsid w:val="68C17922"/>
    <w:rsid w:val="6AD40467"/>
    <w:rsid w:val="6B5F15DE"/>
    <w:rsid w:val="6B991E4E"/>
    <w:rsid w:val="6BFFBC67"/>
    <w:rsid w:val="6C132789"/>
    <w:rsid w:val="6E960ECA"/>
    <w:rsid w:val="6F3E1DFB"/>
    <w:rsid w:val="6FA616B6"/>
    <w:rsid w:val="703F5A70"/>
    <w:rsid w:val="70560330"/>
    <w:rsid w:val="713163C4"/>
    <w:rsid w:val="73214465"/>
    <w:rsid w:val="7480323E"/>
    <w:rsid w:val="7520725B"/>
    <w:rsid w:val="75AC10EA"/>
    <w:rsid w:val="763C479A"/>
    <w:rsid w:val="764D47D1"/>
    <w:rsid w:val="7685319E"/>
    <w:rsid w:val="768946F7"/>
    <w:rsid w:val="768B3D3A"/>
    <w:rsid w:val="76A167E3"/>
    <w:rsid w:val="76DF08BF"/>
    <w:rsid w:val="770A7035"/>
    <w:rsid w:val="77770B1D"/>
    <w:rsid w:val="777BB72B"/>
    <w:rsid w:val="77F40705"/>
    <w:rsid w:val="783E3DBF"/>
    <w:rsid w:val="7849797E"/>
    <w:rsid w:val="78D549B2"/>
    <w:rsid w:val="79833858"/>
    <w:rsid w:val="7A6942F4"/>
    <w:rsid w:val="7A7903E9"/>
    <w:rsid w:val="7BCE0F02"/>
    <w:rsid w:val="7C0121E8"/>
    <w:rsid w:val="7C36145F"/>
    <w:rsid w:val="7CEE35AC"/>
    <w:rsid w:val="7D14035D"/>
    <w:rsid w:val="7D3FBD13"/>
    <w:rsid w:val="7D6D7FBA"/>
    <w:rsid w:val="7DF509C8"/>
    <w:rsid w:val="7EEF5FBD"/>
    <w:rsid w:val="7FEB02EA"/>
    <w:rsid w:val="ABEE84AD"/>
    <w:rsid w:val="AD4F41C4"/>
    <w:rsid w:val="C67BC6BD"/>
    <w:rsid w:val="DF3FA2BA"/>
    <w:rsid w:val="EFAE95C5"/>
    <w:rsid w:val="EFFFFC6D"/>
    <w:rsid w:val="F3FD5945"/>
    <w:rsid w:val="F79C4FC4"/>
    <w:rsid w:val="FF7A3823"/>
    <w:rsid w:val="FF9F052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8"/>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1"/>
    <w:basedOn w:val="1"/>
    <w:next w:val="1"/>
    <w:link w:val="160"/>
    <w:qFormat/>
    <w:uiPriority w:val="9"/>
    <w:pPr>
      <w:keepNext/>
      <w:keepLines/>
      <w:spacing w:before="480" w:after="200"/>
      <w:outlineLvl w:val="0"/>
    </w:pPr>
    <w:rPr>
      <w:rFonts w:ascii="Arial" w:hAnsi="Arial" w:eastAsia="Arial"/>
      <w:sz w:val="40"/>
      <w:szCs w:val="40"/>
    </w:rPr>
  </w:style>
  <w:style w:type="paragraph" w:styleId="3">
    <w:name w:val="heading 2"/>
    <w:basedOn w:val="1"/>
    <w:next w:val="1"/>
    <w:link w:val="161"/>
    <w:unhideWhenUsed/>
    <w:qFormat/>
    <w:uiPriority w:val="9"/>
    <w:pPr>
      <w:keepNext/>
      <w:keepLines/>
      <w:spacing w:before="360" w:after="200"/>
      <w:outlineLvl w:val="1"/>
    </w:pPr>
    <w:rPr>
      <w:rFonts w:ascii="Arial" w:hAnsi="Arial" w:eastAsia="Arial"/>
      <w:sz w:val="34"/>
    </w:rPr>
  </w:style>
  <w:style w:type="paragraph" w:styleId="4">
    <w:name w:val="heading 3"/>
    <w:basedOn w:val="1"/>
    <w:next w:val="1"/>
    <w:link w:val="162"/>
    <w:unhideWhenUsed/>
    <w:qFormat/>
    <w:uiPriority w:val="9"/>
    <w:pPr>
      <w:keepNext/>
      <w:keepLines/>
      <w:spacing w:before="320" w:after="200"/>
      <w:outlineLvl w:val="2"/>
    </w:pPr>
    <w:rPr>
      <w:rFonts w:ascii="Arial" w:hAnsi="Arial" w:eastAsia="Arial"/>
      <w:sz w:val="30"/>
      <w:szCs w:val="30"/>
    </w:rPr>
  </w:style>
  <w:style w:type="paragraph" w:styleId="5">
    <w:name w:val="heading 4"/>
    <w:basedOn w:val="1"/>
    <w:next w:val="1"/>
    <w:link w:val="163"/>
    <w:unhideWhenUsed/>
    <w:qFormat/>
    <w:uiPriority w:val="9"/>
    <w:pPr>
      <w:keepNext/>
      <w:keepLines/>
      <w:spacing w:before="320" w:after="200"/>
      <w:outlineLvl w:val="3"/>
    </w:pPr>
    <w:rPr>
      <w:rFonts w:ascii="Arial" w:hAnsi="Arial" w:eastAsia="Arial"/>
      <w:b/>
      <w:bCs/>
      <w:szCs w:val="26"/>
    </w:rPr>
  </w:style>
  <w:style w:type="paragraph" w:styleId="6">
    <w:name w:val="heading 5"/>
    <w:basedOn w:val="1"/>
    <w:next w:val="1"/>
    <w:link w:val="164"/>
    <w:unhideWhenUsed/>
    <w:qFormat/>
    <w:uiPriority w:val="9"/>
    <w:pPr>
      <w:keepNext/>
      <w:keepLines/>
      <w:spacing w:before="320" w:after="200"/>
      <w:outlineLvl w:val="4"/>
    </w:pPr>
    <w:rPr>
      <w:rFonts w:ascii="Arial" w:hAnsi="Arial" w:eastAsia="Arial"/>
      <w:b/>
      <w:bCs/>
      <w:sz w:val="24"/>
      <w:szCs w:val="24"/>
    </w:rPr>
  </w:style>
  <w:style w:type="paragraph" w:styleId="7">
    <w:name w:val="heading 6"/>
    <w:basedOn w:val="1"/>
    <w:next w:val="1"/>
    <w:link w:val="165"/>
    <w:unhideWhenUsed/>
    <w:qFormat/>
    <w:uiPriority w:val="9"/>
    <w:pPr>
      <w:keepNext/>
      <w:keepLines/>
      <w:spacing w:before="320" w:after="200"/>
      <w:outlineLvl w:val="5"/>
    </w:pPr>
    <w:rPr>
      <w:rFonts w:ascii="Arial" w:hAnsi="Arial" w:eastAsia="Arial"/>
      <w:b/>
      <w:bCs/>
      <w:sz w:val="22"/>
      <w:szCs w:val="22"/>
    </w:rPr>
  </w:style>
  <w:style w:type="paragraph" w:styleId="8">
    <w:name w:val="heading 7"/>
    <w:basedOn w:val="1"/>
    <w:next w:val="1"/>
    <w:link w:val="166"/>
    <w:unhideWhenUsed/>
    <w:qFormat/>
    <w:uiPriority w:val="9"/>
    <w:pPr>
      <w:keepNext/>
      <w:keepLines/>
      <w:spacing w:before="320" w:after="200"/>
      <w:outlineLvl w:val="6"/>
    </w:pPr>
    <w:rPr>
      <w:rFonts w:ascii="Arial" w:hAnsi="Arial" w:eastAsia="Arial"/>
      <w:b/>
      <w:bCs/>
      <w:i/>
      <w:iCs/>
      <w:sz w:val="22"/>
      <w:szCs w:val="22"/>
    </w:rPr>
  </w:style>
  <w:style w:type="paragraph" w:styleId="9">
    <w:name w:val="heading 8"/>
    <w:basedOn w:val="1"/>
    <w:next w:val="1"/>
    <w:link w:val="167"/>
    <w:unhideWhenUsed/>
    <w:qFormat/>
    <w:uiPriority w:val="9"/>
    <w:pPr>
      <w:keepNext/>
      <w:keepLines/>
      <w:spacing w:before="320" w:after="200"/>
      <w:outlineLvl w:val="7"/>
    </w:pPr>
    <w:rPr>
      <w:rFonts w:ascii="Arial" w:hAnsi="Arial" w:eastAsia="Arial"/>
      <w:i/>
      <w:iCs/>
      <w:sz w:val="22"/>
      <w:szCs w:val="22"/>
    </w:rPr>
  </w:style>
  <w:style w:type="paragraph" w:styleId="10">
    <w:name w:val="heading 9"/>
    <w:basedOn w:val="1"/>
    <w:next w:val="1"/>
    <w:link w:val="168"/>
    <w:unhideWhenUsed/>
    <w:qFormat/>
    <w:uiPriority w:val="9"/>
    <w:pPr>
      <w:keepNext/>
      <w:keepLines/>
      <w:spacing w:before="320" w:after="200"/>
      <w:outlineLvl w:val="8"/>
    </w:pPr>
    <w:rPr>
      <w:rFonts w:ascii="Arial" w:hAnsi="Arial" w:eastAsia="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472"/>
    <w:unhideWhenUsed/>
    <w:qFormat/>
    <w:uiPriority w:val="99"/>
    <w:pPr>
      <w:jc w:val="left"/>
    </w:pPr>
  </w:style>
  <w:style w:type="paragraph" w:styleId="14">
    <w:name w:val="Body Text"/>
    <w:basedOn w:val="1"/>
    <w:next w:val="15"/>
    <w:unhideWhenUsed/>
    <w:qFormat/>
    <w:uiPriority w:val="99"/>
    <w:pPr>
      <w:spacing w:after="120"/>
    </w:pPr>
  </w:style>
  <w:style w:type="paragraph" w:customStyle="1" w:styleId="15">
    <w:name w:val="一级条标题"/>
    <w:basedOn w:val="16"/>
    <w:next w:val="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7">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18">
    <w:name w:val="Body Text Indent"/>
    <w:basedOn w:val="1"/>
    <w:qFormat/>
    <w:uiPriority w:val="0"/>
    <w:pPr>
      <w:ind w:left="765"/>
    </w:pPr>
    <w:rPr>
      <w:rFonts w:ascii="仿宋_GB2312" w:eastAsia="仿宋_GB2312"/>
      <w:sz w:val="28"/>
    </w:rPr>
  </w:style>
  <w:style w:type="paragraph" w:styleId="19">
    <w:name w:val="Block Text"/>
    <w:basedOn w:val="1"/>
    <w:qFormat/>
    <w:uiPriority w:val="0"/>
    <w:pPr>
      <w:ind w:left="420" w:right="33"/>
    </w:pPr>
    <w:rPr>
      <w:sz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Body Text Indent 2"/>
    <w:basedOn w:val="1"/>
    <w:qFormat/>
    <w:uiPriority w:val="0"/>
    <w:pPr>
      <w:spacing w:after="120" w:line="480" w:lineRule="auto"/>
      <w:ind w:left="420"/>
    </w:pPr>
  </w:style>
  <w:style w:type="paragraph" w:styleId="24">
    <w:name w:val="endnote text"/>
    <w:basedOn w:val="1"/>
    <w:link w:val="63"/>
    <w:semiHidden/>
    <w:unhideWhenUsed/>
    <w:qFormat/>
    <w:uiPriority w:val="99"/>
    <w:rPr>
      <w:sz w:val="20"/>
    </w:rPr>
  </w:style>
  <w:style w:type="paragraph" w:styleId="25">
    <w:name w:val="Balloon Text"/>
    <w:basedOn w:val="1"/>
    <w:link w:val="469"/>
    <w:semiHidden/>
    <w:unhideWhenUsed/>
    <w:qFormat/>
    <w:uiPriority w:val="99"/>
    <w:rPr>
      <w:sz w:val="18"/>
      <w:szCs w:val="18"/>
    </w:rPr>
  </w:style>
  <w:style w:type="paragraph" w:styleId="26">
    <w:name w:val="footer"/>
    <w:basedOn w:val="1"/>
    <w:link w:val="471"/>
    <w:unhideWhenUsed/>
    <w:qFormat/>
    <w:uiPriority w:val="99"/>
    <w:pPr>
      <w:tabs>
        <w:tab w:val="center" w:pos="7143"/>
        <w:tab w:val="right" w:pos="14287"/>
      </w:tabs>
    </w:pPr>
  </w:style>
  <w:style w:type="paragraph" w:styleId="27">
    <w:name w:val="envelope return"/>
    <w:basedOn w:val="1"/>
    <w:unhideWhenUsed/>
    <w:qFormat/>
    <w:uiPriority w:val="0"/>
    <w:pPr>
      <w:snapToGrid w:val="0"/>
    </w:pPr>
    <w:rPr>
      <w:rFonts w:ascii="Arial" w:hAnsi="Arial"/>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62"/>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HTML Preformatted"/>
    <w:basedOn w:val="1"/>
    <w:qFormat/>
    <w:uiPriority w:val="0"/>
    <w:rPr>
      <w:rFonts w:ascii="Courier New" w:hAnsi="Courier New"/>
      <w:sz w:val="20"/>
    </w:rPr>
  </w:style>
  <w:style w:type="paragraph" w:styleId="38">
    <w:name w:val="Normal (Web)"/>
    <w:basedOn w:val="1"/>
    <w:qFormat/>
    <w:uiPriority w:val="99"/>
    <w:pPr>
      <w:spacing w:before="100" w:beforeAutospacing="1" w:after="100" w:afterAutospacing="1"/>
    </w:pPr>
    <w:rPr>
      <w:rFonts w:ascii="宋体" w:hAnsi="宋体" w:cs="宋体"/>
      <w:sz w:val="24"/>
      <w:szCs w:val="24"/>
    </w:rPr>
  </w:style>
  <w:style w:type="paragraph" w:styleId="39">
    <w:name w:val="Title"/>
    <w:basedOn w:val="1"/>
    <w:next w:val="1"/>
    <w:link w:val="56"/>
    <w:qFormat/>
    <w:uiPriority w:val="10"/>
    <w:pPr>
      <w:spacing w:before="300" w:after="200"/>
      <w:contextualSpacing/>
    </w:pPr>
    <w:rPr>
      <w:sz w:val="48"/>
      <w:szCs w:val="48"/>
    </w:rPr>
  </w:style>
  <w:style w:type="paragraph" w:styleId="40">
    <w:name w:val="annotation subject"/>
    <w:basedOn w:val="13"/>
    <w:next w:val="13"/>
    <w:link w:val="473"/>
    <w:semiHidden/>
    <w:unhideWhenUsed/>
    <w:qFormat/>
    <w:uiPriority w:val="99"/>
    <w:rPr>
      <w:b/>
      <w:bCs/>
    </w:rPr>
  </w:style>
  <w:style w:type="paragraph" w:styleId="41">
    <w:name w:val="Body Text First Indent"/>
    <w:basedOn w:val="14"/>
    <w:next w:val="1"/>
    <w:qFormat/>
    <w:uiPriority w:val="0"/>
    <w:pPr>
      <w:ind w:firstLine="420" w:firstLineChars="100"/>
    </w:pPr>
    <w:rPr>
      <w:rFonts w:eastAsia="宋体"/>
      <w:szCs w:val="24"/>
    </w:rPr>
  </w:style>
  <w:style w:type="paragraph" w:styleId="42">
    <w:name w:val="Body Text First Indent 2"/>
    <w:basedOn w:val="18"/>
    <w:semiHidden/>
    <w:unhideWhenUsed/>
    <w:qFormat/>
    <w:uiPriority w:val="99"/>
    <w:pPr>
      <w:spacing w:after="120"/>
      <w:ind w:left="420" w:leftChars="200" w:firstLine="420" w:firstLineChars="200"/>
    </w:pPr>
    <w:rPr>
      <w:rFonts w:ascii="Times New Roman" w:eastAsia="宋体"/>
      <w:szCs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Emphasis"/>
    <w:basedOn w:val="45"/>
    <w:qFormat/>
    <w:uiPriority w:val="20"/>
    <w:rPr>
      <w:i/>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首行缩进 211"/>
    <w:basedOn w:val="52"/>
    <w:link w:val="144"/>
    <w:unhideWhenUsed/>
    <w:qFormat/>
    <w:uiPriority w:val="0"/>
    <w:pPr>
      <w:spacing w:line="360" w:lineRule="auto"/>
      <w:ind w:left="0"/>
      <w:jc w:val="center"/>
    </w:pPr>
    <w:rPr>
      <w:rFonts w:ascii="宋体" w:hAnsi="宋体"/>
      <w:sz w:val="20"/>
    </w:rPr>
  </w:style>
  <w:style w:type="paragraph" w:customStyle="1" w:styleId="52">
    <w:name w:val="正文文本缩进1"/>
    <w:basedOn w:val="1"/>
    <w:next w:val="53"/>
    <w:unhideWhenUsed/>
    <w:qFormat/>
    <w:uiPriority w:val="0"/>
    <w:pPr>
      <w:spacing w:after="120"/>
      <w:ind w:left="420"/>
    </w:pPr>
    <w:rPr>
      <w:lang w:eastAsia="en-US"/>
    </w:rPr>
  </w:style>
  <w:style w:type="paragraph" w:customStyle="1" w:styleId="53">
    <w:name w:val="寄信人地址1"/>
    <w:basedOn w:val="1"/>
    <w:unhideWhenUsed/>
    <w:qFormat/>
    <w:uiPriority w:val="99"/>
    <w:rPr>
      <w:rFonts w:ascii="Arial" w:hAnsi="Arial"/>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
    <w:link w:val="39"/>
    <w:qFormat/>
    <w:uiPriority w:val="10"/>
    <w:rPr>
      <w:sz w:val="48"/>
      <w:szCs w:val="48"/>
    </w:rPr>
  </w:style>
  <w:style w:type="character" w:customStyle="1" w:styleId="57">
    <w:name w:val="副标题 字符"/>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脚注文本 字符"/>
    <w:link w:val="32"/>
    <w:qFormat/>
    <w:uiPriority w:val="99"/>
    <w:rPr>
      <w:sz w:val="18"/>
    </w:rPr>
  </w:style>
  <w:style w:type="character" w:customStyle="1" w:styleId="63">
    <w:name w:val="尾注文本 字符"/>
    <w:link w:val="24"/>
    <w:qFormat/>
    <w:uiPriority w:val="99"/>
    <w:rPr>
      <w:sz w:val="20"/>
    </w:rPr>
  </w:style>
  <w:style w:type="paragraph" w:customStyle="1" w:styleId="64">
    <w:name w:val="TOC 标题1"/>
    <w:unhideWhenUsed/>
    <w:qFormat/>
    <w:uiPriority w:val="39"/>
    <w:rPr>
      <w:rFonts w:ascii="Times New Roman" w:hAnsi="Times New Roman" w:eastAsia="宋体" w:cs="Times New Roman"/>
      <w:lang w:val="en-US" w:eastAsia="zh-CN" w:bidi="ar-SA"/>
    </w:rPr>
  </w:style>
  <w:style w:type="paragraph" w:customStyle="1" w:styleId="65">
    <w:name w:val="标题 11"/>
    <w:basedOn w:val="1"/>
    <w:next w:val="1"/>
    <w:link w:val="77"/>
    <w:qFormat/>
    <w:uiPriority w:val="0"/>
    <w:pPr>
      <w:keepNext/>
      <w:keepLines/>
      <w:spacing w:before="340" w:after="330" w:line="578" w:lineRule="auto"/>
      <w:outlineLvl w:val="0"/>
    </w:pPr>
    <w:rPr>
      <w:b/>
      <w:sz w:val="44"/>
    </w:rPr>
  </w:style>
  <w:style w:type="paragraph" w:customStyle="1" w:styleId="66">
    <w:name w:val="标题 21"/>
    <w:basedOn w:val="1"/>
    <w:next w:val="1"/>
    <w:link w:val="78"/>
    <w:qFormat/>
    <w:uiPriority w:val="0"/>
    <w:pPr>
      <w:keepNext/>
      <w:keepLines/>
      <w:jc w:val="left"/>
      <w:outlineLvl w:val="1"/>
    </w:pPr>
    <w:rPr>
      <w:rFonts w:ascii="宋体" w:hAnsi="宋体"/>
      <w:b/>
    </w:rPr>
  </w:style>
  <w:style w:type="paragraph" w:customStyle="1" w:styleId="67">
    <w:name w:val="标题 31"/>
    <w:basedOn w:val="1"/>
    <w:next w:val="1"/>
    <w:link w:val="79"/>
    <w:qFormat/>
    <w:uiPriority w:val="99"/>
    <w:pPr>
      <w:keepNext/>
      <w:keepLines/>
      <w:jc w:val="left"/>
      <w:outlineLvl w:val="2"/>
    </w:pPr>
    <w:rPr>
      <w:b/>
    </w:rPr>
  </w:style>
  <w:style w:type="paragraph" w:customStyle="1" w:styleId="68">
    <w:name w:val="标题 41"/>
    <w:basedOn w:val="1"/>
    <w:next w:val="1"/>
    <w:link w:val="80"/>
    <w:qFormat/>
    <w:uiPriority w:val="0"/>
    <w:pPr>
      <w:keepNext/>
      <w:keepLines/>
      <w:spacing w:before="280" w:after="290" w:line="372" w:lineRule="auto"/>
      <w:ind w:firstLine="200"/>
      <w:outlineLvl w:val="3"/>
    </w:pPr>
    <w:rPr>
      <w:rFonts w:ascii="Arial" w:hAnsi="Arial" w:eastAsia="黑体"/>
      <w:b/>
      <w:sz w:val="28"/>
    </w:rPr>
  </w:style>
  <w:style w:type="paragraph" w:customStyle="1" w:styleId="69">
    <w:name w:val="标题 51"/>
    <w:basedOn w:val="1"/>
    <w:next w:val="70"/>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70">
    <w:name w:val="正文缩进1"/>
    <w:basedOn w:val="1"/>
    <w:link w:val="81"/>
    <w:qFormat/>
    <w:uiPriority w:val="0"/>
    <w:pPr>
      <w:spacing w:line="360" w:lineRule="auto"/>
      <w:jc w:val="center"/>
    </w:pPr>
    <w:rPr>
      <w:rFonts w:ascii="宋体" w:hAnsi="宋体" w:eastAsia="宋体"/>
      <w:b/>
      <w:sz w:val="24"/>
      <w:szCs w:val="24"/>
    </w:rPr>
  </w:style>
  <w:style w:type="paragraph" w:customStyle="1" w:styleId="71">
    <w:name w:val="标题 61"/>
    <w:basedOn w:val="1"/>
    <w:next w:val="70"/>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72">
    <w:name w:val="标题 71"/>
    <w:basedOn w:val="1"/>
    <w:next w:val="70"/>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73">
    <w:name w:val="标题 81"/>
    <w:basedOn w:val="1"/>
    <w:next w:val="70"/>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74">
    <w:name w:val="标题 91"/>
    <w:basedOn w:val="1"/>
    <w:next w:val="70"/>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character" w:customStyle="1" w:styleId="75">
    <w:name w:val="默认段落字体1"/>
    <w:unhideWhenUsed/>
    <w:qFormat/>
    <w:uiPriority w:val="1"/>
  </w:style>
  <w:style w:type="table" w:customStyle="1" w:styleId="76">
    <w:name w:val="普通表格1"/>
    <w:unhideWhenUsed/>
    <w:qFormat/>
    <w:uiPriority w:val="99"/>
    <w:tblPr>
      <w:tblCellMar>
        <w:top w:w="0" w:type="dxa"/>
        <w:left w:w="0" w:type="dxa"/>
        <w:bottom w:w="0" w:type="dxa"/>
        <w:right w:w="0" w:type="dxa"/>
      </w:tblCellMar>
    </w:tblPr>
  </w:style>
  <w:style w:type="character" w:customStyle="1" w:styleId="77">
    <w:name w:val="标题 1 Char"/>
    <w:link w:val="65"/>
    <w:qFormat/>
    <w:uiPriority w:val="0"/>
    <w:rPr>
      <w:rFonts w:eastAsia="楷体_GB2312"/>
      <w:b/>
      <w:sz w:val="44"/>
    </w:rPr>
  </w:style>
  <w:style w:type="character" w:customStyle="1" w:styleId="78">
    <w:name w:val="标题 2 Char"/>
    <w:link w:val="66"/>
    <w:qFormat/>
    <w:uiPriority w:val="0"/>
    <w:rPr>
      <w:rFonts w:ascii="宋体" w:hAnsi="宋体" w:eastAsia="楷体_GB2312"/>
      <w:b/>
      <w:sz w:val="26"/>
      <w:lang w:val="en-US" w:eastAsia="zh-CN" w:bidi="ar-SA"/>
    </w:rPr>
  </w:style>
  <w:style w:type="character" w:customStyle="1" w:styleId="79">
    <w:name w:val="标题 3 Char"/>
    <w:link w:val="67"/>
    <w:qFormat/>
    <w:uiPriority w:val="99"/>
    <w:rPr>
      <w:rFonts w:eastAsia="楷体_GB2312"/>
      <w:b/>
      <w:sz w:val="26"/>
    </w:rPr>
  </w:style>
  <w:style w:type="character" w:customStyle="1" w:styleId="80">
    <w:name w:val="标题 4 Char"/>
    <w:link w:val="68"/>
    <w:qFormat/>
    <w:uiPriority w:val="0"/>
    <w:rPr>
      <w:rFonts w:ascii="Arial" w:hAnsi="Arial" w:eastAsia="黑体"/>
      <w:b/>
      <w:sz w:val="28"/>
    </w:rPr>
  </w:style>
  <w:style w:type="character" w:customStyle="1" w:styleId="81">
    <w:name w:val="正文缩进 Char"/>
    <w:link w:val="70"/>
    <w:qFormat/>
    <w:uiPriority w:val="0"/>
    <w:rPr>
      <w:rFonts w:ascii="宋体" w:hAnsi="宋体"/>
      <w:b/>
      <w:sz w:val="24"/>
      <w:szCs w:val="24"/>
    </w:rPr>
  </w:style>
  <w:style w:type="paragraph" w:customStyle="1" w:styleId="82">
    <w:name w:val="目录 71"/>
    <w:basedOn w:val="1"/>
    <w:next w:val="1"/>
    <w:qFormat/>
    <w:uiPriority w:val="0"/>
    <w:pPr>
      <w:ind w:left="2520"/>
    </w:pPr>
  </w:style>
  <w:style w:type="paragraph" w:customStyle="1" w:styleId="83">
    <w:name w:val="索引 81"/>
    <w:basedOn w:val="1"/>
    <w:next w:val="1"/>
    <w:qFormat/>
    <w:uiPriority w:val="0"/>
    <w:pPr>
      <w:ind w:left="2940"/>
    </w:pPr>
  </w:style>
  <w:style w:type="paragraph" w:customStyle="1" w:styleId="84">
    <w:name w:val="索引 51"/>
    <w:basedOn w:val="1"/>
    <w:next w:val="1"/>
    <w:qFormat/>
    <w:uiPriority w:val="0"/>
    <w:pPr>
      <w:ind w:left="1680"/>
    </w:pPr>
  </w:style>
  <w:style w:type="paragraph" w:customStyle="1" w:styleId="85">
    <w:name w:val="文档结构图1"/>
    <w:basedOn w:val="1"/>
    <w:link w:val="86"/>
    <w:qFormat/>
    <w:uiPriority w:val="0"/>
    <w:pPr>
      <w:shd w:val="clear" w:color="auto" w:fill="000080"/>
    </w:pPr>
  </w:style>
  <w:style w:type="character" w:customStyle="1" w:styleId="86">
    <w:name w:val="文档结构图 Char"/>
    <w:link w:val="85"/>
    <w:qFormat/>
    <w:uiPriority w:val="0"/>
    <w:rPr>
      <w:rFonts w:eastAsia="楷体_GB2312"/>
      <w:sz w:val="26"/>
      <w:shd w:val="clear" w:color="auto" w:fill="000080"/>
    </w:rPr>
  </w:style>
  <w:style w:type="paragraph" w:customStyle="1" w:styleId="87">
    <w:name w:val="批注文字1"/>
    <w:basedOn w:val="1"/>
    <w:link w:val="88"/>
    <w:qFormat/>
    <w:uiPriority w:val="0"/>
    <w:pPr>
      <w:jc w:val="left"/>
    </w:pPr>
  </w:style>
  <w:style w:type="character" w:customStyle="1" w:styleId="88">
    <w:name w:val="批注文字 Char"/>
    <w:link w:val="87"/>
    <w:qFormat/>
    <w:uiPriority w:val="0"/>
    <w:rPr>
      <w:rFonts w:eastAsia="楷体_GB2312"/>
      <w:sz w:val="26"/>
    </w:rPr>
  </w:style>
  <w:style w:type="paragraph" w:customStyle="1" w:styleId="89">
    <w:name w:val="索引 61"/>
    <w:basedOn w:val="1"/>
    <w:next w:val="1"/>
    <w:qFormat/>
    <w:uiPriority w:val="0"/>
    <w:pPr>
      <w:ind w:left="2100"/>
    </w:pPr>
  </w:style>
  <w:style w:type="paragraph" w:customStyle="1" w:styleId="90">
    <w:name w:val="正文文本1"/>
    <w:basedOn w:val="91"/>
    <w:next w:val="95"/>
    <w:link w:val="96"/>
    <w:qFormat/>
    <w:uiPriority w:val="0"/>
    <w:pPr>
      <w:spacing w:line="400" w:lineRule="exact"/>
    </w:pPr>
    <w:rPr>
      <w:rFonts w:ascii="楷体_GB2312"/>
      <w:sz w:val="28"/>
    </w:rPr>
  </w:style>
  <w:style w:type="paragraph" w:customStyle="1" w:styleId="91">
    <w:name w:val="正文1"/>
    <w:basedOn w:val="92"/>
    <w:next w:val="90"/>
    <w:qFormat/>
    <w:uiPriority w:val="0"/>
    <w:pPr>
      <w:spacing w:line="240" w:lineRule="atLeast"/>
      <w:ind w:firstLine="200"/>
      <w:jc w:val="both"/>
    </w:pPr>
    <w:rPr>
      <w:rFonts w:ascii="Times New Roman" w:hAnsi="Times New Roman" w:eastAsia="宋体" w:cs="Times New Roman"/>
      <w:sz w:val="21"/>
      <w:szCs w:val="21"/>
      <w:lang w:val="en-US" w:eastAsia="zh-CN" w:bidi="ar-SA"/>
    </w:rPr>
  </w:style>
  <w:style w:type="paragraph" w:customStyle="1" w:styleId="92">
    <w:name w:val="正文111"/>
    <w:next w:val="9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3">
    <w:name w:val="脚注文本2"/>
    <w:basedOn w:val="92"/>
    <w:next w:val="94"/>
    <w:qFormat/>
    <w:uiPriority w:val="0"/>
    <w:pPr>
      <w:jc w:val="left"/>
    </w:pPr>
    <w:rPr>
      <w:rFonts w:ascii="宋体" w:eastAsia="Times New Roman"/>
      <w:sz w:val="18"/>
      <w:szCs w:val="18"/>
    </w:rPr>
  </w:style>
  <w:style w:type="paragraph" w:customStyle="1" w:styleId="94">
    <w:name w:val="索引 52"/>
    <w:basedOn w:val="92"/>
    <w:next w:val="92"/>
    <w:qFormat/>
    <w:uiPriority w:val="0"/>
    <w:pPr>
      <w:ind w:left="798"/>
      <w:jc w:val="left"/>
    </w:pPr>
    <w:rPr>
      <w:rFonts w:ascii="Calibri" w:hAnsi="Calibri"/>
    </w:rPr>
  </w:style>
  <w:style w:type="paragraph" w:customStyle="1" w:styleId="95">
    <w:name w:val="正文11"/>
    <w:next w:val="9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96">
    <w:name w:val="正文文本 Char"/>
    <w:link w:val="90"/>
    <w:qFormat/>
    <w:uiPriority w:val="0"/>
    <w:rPr>
      <w:rFonts w:ascii="楷体_GB2312" w:eastAsia="楷体_GB2312"/>
      <w:sz w:val="28"/>
    </w:rPr>
  </w:style>
  <w:style w:type="paragraph" w:customStyle="1" w:styleId="97">
    <w:name w:val="正文文本缩进11"/>
    <w:basedOn w:val="1"/>
    <w:next w:val="98"/>
    <w:link w:val="99"/>
    <w:qFormat/>
    <w:uiPriority w:val="0"/>
    <w:pPr>
      <w:spacing w:line="520" w:lineRule="exact"/>
      <w:ind w:left="570"/>
    </w:pPr>
    <w:rPr>
      <w:rFonts w:hint="eastAsia" w:ascii="楷体_GB2312"/>
    </w:rPr>
  </w:style>
  <w:style w:type="paragraph" w:customStyle="1" w:styleId="98">
    <w:name w:val="寄信人地址11"/>
    <w:basedOn w:val="1"/>
    <w:unhideWhenUsed/>
    <w:qFormat/>
    <w:uiPriority w:val="99"/>
    <w:rPr>
      <w:rFonts w:ascii="Arial" w:hAnsi="Arial"/>
    </w:rPr>
  </w:style>
  <w:style w:type="character" w:customStyle="1" w:styleId="99">
    <w:name w:val="正文文本缩进 Char"/>
    <w:link w:val="97"/>
    <w:qFormat/>
    <w:uiPriority w:val="0"/>
    <w:rPr>
      <w:rFonts w:hint="eastAsia" w:ascii="楷体_GB2312" w:eastAsia="楷体_GB2312" w:cs="楷体_GB2312"/>
      <w:sz w:val="26"/>
    </w:rPr>
  </w:style>
  <w:style w:type="paragraph" w:customStyle="1" w:styleId="100">
    <w:name w:val="索引 41"/>
    <w:basedOn w:val="1"/>
    <w:next w:val="1"/>
    <w:qFormat/>
    <w:uiPriority w:val="0"/>
    <w:pPr>
      <w:ind w:left="1260"/>
    </w:pPr>
  </w:style>
  <w:style w:type="paragraph" w:customStyle="1" w:styleId="101">
    <w:name w:val="目录 51"/>
    <w:basedOn w:val="1"/>
    <w:next w:val="1"/>
    <w:qFormat/>
    <w:uiPriority w:val="0"/>
    <w:pPr>
      <w:ind w:left="1680"/>
    </w:pPr>
  </w:style>
  <w:style w:type="paragraph" w:customStyle="1" w:styleId="102">
    <w:name w:val="目录 31"/>
    <w:basedOn w:val="1"/>
    <w:next w:val="1"/>
    <w:link w:val="103"/>
    <w:qFormat/>
    <w:uiPriority w:val="0"/>
    <w:pPr>
      <w:ind w:left="840"/>
    </w:pPr>
  </w:style>
  <w:style w:type="character" w:customStyle="1" w:styleId="103">
    <w:name w:val="目录 3 Char"/>
    <w:link w:val="102"/>
    <w:qFormat/>
    <w:uiPriority w:val="0"/>
    <w:rPr>
      <w:rFonts w:eastAsia="楷体_GB2312"/>
      <w:sz w:val="26"/>
    </w:rPr>
  </w:style>
  <w:style w:type="paragraph" w:customStyle="1" w:styleId="104">
    <w:name w:val="纯文本11"/>
    <w:basedOn w:val="1"/>
    <w:link w:val="105"/>
    <w:qFormat/>
    <w:uiPriority w:val="0"/>
    <w:rPr>
      <w:rFonts w:ascii="宋体" w:hAnsi="Courier New"/>
    </w:rPr>
  </w:style>
  <w:style w:type="character" w:customStyle="1" w:styleId="105">
    <w:name w:val="纯文本 Char"/>
    <w:link w:val="104"/>
    <w:qFormat/>
    <w:uiPriority w:val="0"/>
    <w:rPr>
      <w:rFonts w:ascii="宋体" w:hAnsi="Courier New" w:eastAsia="楷体_GB2312"/>
      <w:sz w:val="26"/>
      <w:lang w:val="en-US" w:eastAsia="zh-CN" w:bidi="ar-SA"/>
    </w:rPr>
  </w:style>
  <w:style w:type="paragraph" w:customStyle="1" w:styleId="106">
    <w:name w:val="目录 81"/>
    <w:basedOn w:val="1"/>
    <w:next w:val="1"/>
    <w:qFormat/>
    <w:uiPriority w:val="0"/>
    <w:pPr>
      <w:ind w:left="2940"/>
    </w:pPr>
  </w:style>
  <w:style w:type="paragraph" w:customStyle="1" w:styleId="107">
    <w:name w:val="索引 31"/>
    <w:basedOn w:val="1"/>
    <w:next w:val="1"/>
    <w:qFormat/>
    <w:uiPriority w:val="0"/>
    <w:pPr>
      <w:ind w:left="840"/>
    </w:pPr>
  </w:style>
  <w:style w:type="paragraph" w:customStyle="1" w:styleId="108">
    <w:name w:val="日期1"/>
    <w:basedOn w:val="1"/>
    <w:next w:val="1"/>
    <w:link w:val="109"/>
    <w:qFormat/>
    <w:uiPriority w:val="0"/>
    <w:rPr>
      <w:rFonts w:ascii="宋体" w:hAnsi="宋体"/>
      <w:sz w:val="24"/>
    </w:rPr>
  </w:style>
  <w:style w:type="character" w:customStyle="1" w:styleId="109">
    <w:name w:val="日期 Char"/>
    <w:link w:val="108"/>
    <w:qFormat/>
    <w:uiPriority w:val="0"/>
    <w:rPr>
      <w:rFonts w:ascii="宋体" w:hAnsi="宋体" w:eastAsia="楷体_GB2312"/>
      <w:sz w:val="24"/>
    </w:rPr>
  </w:style>
  <w:style w:type="paragraph" w:customStyle="1" w:styleId="110">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111">
    <w:name w:val="尾注文本1"/>
    <w:basedOn w:val="1"/>
    <w:link w:val="112"/>
    <w:unhideWhenUsed/>
    <w:qFormat/>
    <w:uiPriority w:val="99"/>
    <w:rPr>
      <w:rFonts w:eastAsia="宋体"/>
      <w:sz w:val="20"/>
    </w:rPr>
  </w:style>
  <w:style w:type="character" w:customStyle="1" w:styleId="112">
    <w:name w:val="尾注文本 Char"/>
    <w:link w:val="111"/>
    <w:qFormat/>
    <w:uiPriority w:val="99"/>
    <w:rPr>
      <w:sz w:val="20"/>
    </w:rPr>
  </w:style>
  <w:style w:type="paragraph" w:customStyle="1" w:styleId="113">
    <w:name w:val="批注框文本1"/>
    <w:basedOn w:val="1"/>
    <w:link w:val="114"/>
    <w:qFormat/>
    <w:uiPriority w:val="0"/>
    <w:rPr>
      <w:sz w:val="18"/>
      <w:szCs w:val="18"/>
    </w:rPr>
  </w:style>
  <w:style w:type="character" w:customStyle="1" w:styleId="114">
    <w:name w:val="批注框文本 Char"/>
    <w:link w:val="113"/>
    <w:qFormat/>
    <w:uiPriority w:val="0"/>
    <w:rPr>
      <w:rFonts w:eastAsia="楷体_GB2312"/>
      <w:sz w:val="18"/>
      <w:szCs w:val="18"/>
    </w:rPr>
  </w:style>
  <w:style w:type="paragraph" w:customStyle="1" w:styleId="115">
    <w:name w:val="页脚1"/>
    <w:basedOn w:val="1"/>
    <w:link w:val="116"/>
    <w:qFormat/>
    <w:uiPriority w:val="99"/>
    <w:pPr>
      <w:tabs>
        <w:tab w:val="center" w:pos="4153"/>
        <w:tab w:val="right" w:pos="8306"/>
      </w:tabs>
      <w:jc w:val="left"/>
    </w:pPr>
    <w:rPr>
      <w:sz w:val="18"/>
    </w:rPr>
  </w:style>
  <w:style w:type="character" w:customStyle="1" w:styleId="116">
    <w:name w:val="页脚 Char"/>
    <w:link w:val="115"/>
    <w:qFormat/>
    <w:uiPriority w:val="99"/>
    <w:rPr>
      <w:rFonts w:eastAsia="楷体_GB2312"/>
      <w:sz w:val="18"/>
    </w:rPr>
  </w:style>
  <w:style w:type="paragraph" w:customStyle="1" w:styleId="117">
    <w:name w:val="页眉1"/>
    <w:basedOn w:val="1"/>
    <w:link w:val="118"/>
    <w:qFormat/>
    <w:uiPriority w:val="99"/>
    <w:pPr>
      <w:pBdr>
        <w:bottom w:val="single" w:color="000000" w:sz="6" w:space="1"/>
      </w:pBdr>
      <w:tabs>
        <w:tab w:val="center" w:pos="4153"/>
        <w:tab w:val="right" w:pos="8306"/>
      </w:tabs>
      <w:jc w:val="center"/>
    </w:pPr>
    <w:rPr>
      <w:sz w:val="18"/>
    </w:rPr>
  </w:style>
  <w:style w:type="character" w:customStyle="1" w:styleId="118">
    <w:name w:val="页眉 Char"/>
    <w:link w:val="117"/>
    <w:qFormat/>
    <w:uiPriority w:val="99"/>
    <w:rPr>
      <w:rFonts w:eastAsia="楷体_GB2312"/>
      <w:sz w:val="18"/>
    </w:rPr>
  </w:style>
  <w:style w:type="paragraph" w:customStyle="1" w:styleId="119">
    <w:name w:val="签名1"/>
    <w:basedOn w:val="1"/>
    <w:qFormat/>
    <w:uiPriority w:val="0"/>
    <w:pPr>
      <w:spacing w:after="600" w:line="312" w:lineRule="atLeast"/>
      <w:jc w:val="center"/>
    </w:pPr>
    <w:rPr>
      <w:rFonts w:eastAsia="仿宋_GB2312"/>
      <w:sz w:val="24"/>
    </w:rPr>
  </w:style>
  <w:style w:type="paragraph" w:customStyle="1" w:styleId="120">
    <w:name w:val="目录 11"/>
    <w:basedOn w:val="1"/>
    <w:next w:val="1"/>
    <w:qFormat/>
    <w:uiPriority w:val="0"/>
    <w:pPr>
      <w:jc w:val="left"/>
    </w:pPr>
    <w:rPr>
      <w:sz w:val="24"/>
    </w:rPr>
  </w:style>
  <w:style w:type="paragraph" w:customStyle="1" w:styleId="121">
    <w:name w:val="目录 41"/>
    <w:basedOn w:val="1"/>
    <w:next w:val="1"/>
    <w:qFormat/>
    <w:uiPriority w:val="0"/>
    <w:pPr>
      <w:ind w:left="1260"/>
    </w:pPr>
  </w:style>
  <w:style w:type="paragraph" w:customStyle="1" w:styleId="122">
    <w:name w:val="索引标题1"/>
    <w:basedOn w:val="1"/>
    <w:next w:val="123"/>
    <w:qFormat/>
    <w:uiPriority w:val="0"/>
  </w:style>
  <w:style w:type="paragraph" w:customStyle="1" w:styleId="123">
    <w:name w:val="索引 11"/>
    <w:basedOn w:val="1"/>
    <w:next w:val="1"/>
    <w:qFormat/>
    <w:uiPriority w:val="0"/>
  </w:style>
  <w:style w:type="paragraph" w:customStyle="1" w:styleId="124">
    <w:name w:val="副标题1"/>
    <w:basedOn w:val="1"/>
    <w:next w:val="1"/>
    <w:link w:val="125"/>
    <w:qFormat/>
    <w:uiPriority w:val="11"/>
    <w:pPr>
      <w:spacing w:before="200" w:after="200"/>
    </w:pPr>
    <w:rPr>
      <w:rFonts w:eastAsia="宋体"/>
      <w:sz w:val="24"/>
      <w:szCs w:val="24"/>
    </w:rPr>
  </w:style>
  <w:style w:type="character" w:customStyle="1" w:styleId="125">
    <w:name w:val="副标题 Char"/>
    <w:link w:val="124"/>
    <w:qFormat/>
    <w:uiPriority w:val="11"/>
    <w:rPr>
      <w:sz w:val="24"/>
      <w:szCs w:val="24"/>
    </w:rPr>
  </w:style>
  <w:style w:type="paragraph" w:customStyle="1" w:styleId="126">
    <w:name w:val="脚注文本1"/>
    <w:basedOn w:val="1"/>
    <w:link w:val="127"/>
    <w:qFormat/>
    <w:uiPriority w:val="99"/>
    <w:pPr>
      <w:jc w:val="left"/>
    </w:pPr>
    <w:rPr>
      <w:rFonts w:eastAsia="宋体"/>
      <w:sz w:val="18"/>
    </w:rPr>
  </w:style>
  <w:style w:type="character" w:customStyle="1" w:styleId="127">
    <w:name w:val="脚注文本 Char"/>
    <w:link w:val="126"/>
    <w:qFormat/>
    <w:uiPriority w:val="99"/>
    <w:rPr>
      <w:sz w:val="18"/>
    </w:rPr>
  </w:style>
  <w:style w:type="paragraph" w:customStyle="1" w:styleId="128">
    <w:name w:val="目录 61"/>
    <w:basedOn w:val="1"/>
    <w:next w:val="1"/>
    <w:qFormat/>
    <w:uiPriority w:val="0"/>
    <w:pPr>
      <w:ind w:left="2100"/>
    </w:pPr>
  </w:style>
  <w:style w:type="paragraph" w:customStyle="1" w:styleId="129">
    <w:name w:val="正文文本缩进 31"/>
    <w:basedOn w:val="1"/>
    <w:qFormat/>
    <w:uiPriority w:val="0"/>
    <w:pPr>
      <w:spacing w:line="360" w:lineRule="auto"/>
      <w:ind w:firstLine="617"/>
    </w:pPr>
    <w:rPr>
      <w:rFonts w:eastAsia="宋体"/>
      <w:sz w:val="24"/>
      <w:szCs w:val="24"/>
    </w:rPr>
  </w:style>
  <w:style w:type="paragraph" w:customStyle="1" w:styleId="130">
    <w:name w:val="索引 71"/>
    <w:basedOn w:val="1"/>
    <w:next w:val="1"/>
    <w:qFormat/>
    <w:uiPriority w:val="0"/>
    <w:pPr>
      <w:ind w:left="2520"/>
    </w:pPr>
  </w:style>
  <w:style w:type="paragraph" w:customStyle="1" w:styleId="131">
    <w:name w:val="索引 91"/>
    <w:basedOn w:val="1"/>
    <w:next w:val="1"/>
    <w:qFormat/>
    <w:uiPriority w:val="0"/>
    <w:pPr>
      <w:ind w:left="3360"/>
    </w:pPr>
  </w:style>
  <w:style w:type="paragraph" w:customStyle="1" w:styleId="132">
    <w:name w:val="图表目录1"/>
    <w:basedOn w:val="1"/>
    <w:next w:val="1"/>
    <w:qFormat/>
    <w:uiPriority w:val="0"/>
    <w:pPr>
      <w:ind w:left="420" w:hanging="420"/>
      <w:jc w:val="left"/>
    </w:pPr>
    <w:rPr>
      <w:smallCaps/>
      <w:sz w:val="24"/>
    </w:rPr>
  </w:style>
  <w:style w:type="paragraph" w:customStyle="1" w:styleId="133">
    <w:name w:val="目录 21"/>
    <w:basedOn w:val="1"/>
    <w:next w:val="1"/>
    <w:qFormat/>
    <w:uiPriority w:val="0"/>
    <w:pPr>
      <w:ind w:left="420"/>
    </w:pPr>
  </w:style>
  <w:style w:type="paragraph" w:customStyle="1" w:styleId="134">
    <w:name w:val="目录 91"/>
    <w:basedOn w:val="1"/>
    <w:next w:val="1"/>
    <w:qFormat/>
    <w:uiPriority w:val="0"/>
    <w:pPr>
      <w:ind w:left="3360"/>
    </w:pPr>
  </w:style>
  <w:style w:type="paragraph" w:customStyle="1" w:styleId="13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36">
    <w:name w:val="普通(网站)1"/>
    <w:basedOn w:val="1"/>
    <w:link w:val="137"/>
    <w:qFormat/>
    <w:uiPriority w:val="0"/>
    <w:rPr>
      <w:sz w:val="24"/>
      <w:szCs w:val="24"/>
    </w:rPr>
  </w:style>
  <w:style w:type="character" w:customStyle="1" w:styleId="137">
    <w:name w:val="普通(网站) Char"/>
    <w:link w:val="136"/>
    <w:qFormat/>
    <w:uiPriority w:val="0"/>
    <w:rPr>
      <w:rFonts w:eastAsia="楷体_GB2312"/>
      <w:sz w:val="24"/>
      <w:szCs w:val="24"/>
    </w:rPr>
  </w:style>
  <w:style w:type="paragraph" w:customStyle="1" w:styleId="138">
    <w:name w:val="索引 21"/>
    <w:basedOn w:val="1"/>
    <w:next w:val="1"/>
    <w:qFormat/>
    <w:uiPriority w:val="0"/>
    <w:pPr>
      <w:ind w:left="420"/>
    </w:pPr>
  </w:style>
  <w:style w:type="paragraph" w:customStyle="1" w:styleId="139">
    <w:name w:val="标题1"/>
    <w:basedOn w:val="1"/>
    <w:next w:val="1"/>
    <w:link w:val="140"/>
    <w:qFormat/>
    <w:uiPriority w:val="10"/>
    <w:pPr>
      <w:spacing w:before="300" w:after="200"/>
      <w:contextualSpacing/>
    </w:pPr>
    <w:rPr>
      <w:rFonts w:eastAsia="宋体"/>
      <w:sz w:val="48"/>
      <w:szCs w:val="48"/>
    </w:rPr>
  </w:style>
  <w:style w:type="character" w:customStyle="1" w:styleId="140">
    <w:name w:val="标题 Char"/>
    <w:link w:val="139"/>
    <w:qFormat/>
    <w:uiPriority w:val="10"/>
    <w:rPr>
      <w:sz w:val="48"/>
      <w:szCs w:val="48"/>
    </w:rPr>
  </w:style>
  <w:style w:type="paragraph" w:customStyle="1" w:styleId="141">
    <w:name w:val="批注主题1"/>
    <w:basedOn w:val="87"/>
    <w:next w:val="87"/>
    <w:qFormat/>
    <w:uiPriority w:val="0"/>
    <w:rPr>
      <w:b/>
      <w:bCs/>
    </w:rPr>
  </w:style>
  <w:style w:type="paragraph" w:customStyle="1" w:styleId="142">
    <w:name w:val="正文首行缩进1"/>
    <w:basedOn w:val="90"/>
    <w:link w:val="143"/>
    <w:qFormat/>
    <w:uiPriority w:val="0"/>
    <w:pPr>
      <w:spacing w:after="120" w:line="240" w:lineRule="auto"/>
      <w:ind w:firstLine="420"/>
    </w:pPr>
    <w:rPr>
      <w:rFonts w:ascii="Calibri"/>
      <w:sz w:val="26"/>
    </w:rPr>
  </w:style>
  <w:style w:type="character" w:customStyle="1" w:styleId="143">
    <w:name w:val="正文首行缩进 Char"/>
    <w:link w:val="142"/>
    <w:qFormat/>
    <w:uiPriority w:val="0"/>
  </w:style>
  <w:style w:type="character" w:customStyle="1" w:styleId="144">
    <w:name w:val="正文首行缩进 2 Char"/>
    <w:link w:val="51"/>
    <w:qFormat/>
    <w:uiPriority w:val="0"/>
    <w:rPr>
      <w:rFonts w:cs="宋体"/>
      <w:b/>
      <w:color w:val="000000"/>
      <w:sz w:val="48"/>
      <w:szCs w:val="48"/>
    </w:rPr>
  </w:style>
  <w:style w:type="table" w:customStyle="1" w:styleId="145">
    <w:name w:val="网格型11"/>
    <w:basedOn w:val="76"/>
    <w:qFormat/>
    <w:uiPriority w:val="0"/>
    <w:pPr>
      <w:widowControl w:val="0"/>
      <w:jc w:val="both"/>
    </w:pPr>
  </w:style>
  <w:style w:type="character" w:customStyle="1" w:styleId="146">
    <w:name w:val="要点1"/>
    <w:qFormat/>
    <w:uiPriority w:val="22"/>
    <w:rPr>
      <w:b/>
    </w:rPr>
  </w:style>
  <w:style w:type="character" w:customStyle="1" w:styleId="147">
    <w:name w:val="尾注引用1"/>
    <w:unhideWhenUsed/>
    <w:qFormat/>
    <w:uiPriority w:val="99"/>
    <w:rPr>
      <w:vertAlign w:val="superscript"/>
    </w:rPr>
  </w:style>
  <w:style w:type="character" w:customStyle="1" w:styleId="148">
    <w:name w:val="页码1"/>
    <w:qFormat/>
    <w:uiPriority w:val="0"/>
  </w:style>
  <w:style w:type="character" w:customStyle="1" w:styleId="149">
    <w:name w:val="已访问的超链接1"/>
    <w:qFormat/>
    <w:uiPriority w:val="99"/>
    <w:rPr>
      <w:color w:val="333333"/>
      <w:u w:val="none"/>
    </w:rPr>
  </w:style>
  <w:style w:type="character" w:customStyle="1" w:styleId="150">
    <w:name w:val="强调1"/>
    <w:qFormat/>
    <w:uiPriority w:val="0"/>
    <w:rPr>
      <w:i/>
      <w:iCs/>
    </w:rPr>
  </w:style>
  <w:style w:type="character" w:customStyle="1" w:styleId="151">
    <w:name w:val="行号1"/>
    <w:qFormat/>
    <w:uiPriority w:val="0"/>
  </w:style>
  <w:style w:type="character" w:customStyle="1" w:styleId="152">
    <w:name w:val="HTML 定义1"/>
    <w:qFormat/>
    <w:uiPriority w:val="0"/>
    <w:rPr>
      <w:i/>
    </w:rPr>
  </w:style>
  <w:style w:type="character" w:customStyle="1" w:styleId="153">
    <w:name w:val="超链接1"/>
    <w:qFormat/>
    <w:uiPriority w:val="99"/>
    <w:rPr>
      <w:color w:val="333333"/>
      <w:u w:val="none"/>
    </w:rPr>
  </w:style>
  <w:style w:type="character" w:customStyle="1" w:styleId="154">
    <w:name w:val="HTML 代码1"/>
    <w:qFormat/>
    <w:uiPriority w:val="0"/>
    <w:rPr>
      <w:rFonts w:ascii="Menlo" w:hAnsi="Menlo" w:eastAsia="Menlo" w:cs="Menlo"/>
      <w:color w:val="C7254E"/>
      <w:sz w:val="21"/>
      <w:szCs w:val="21"/>
      <w:shd w:val="clear" w:color="auto" w:fill="F9F2F4"/>
    </w:rPr>
  </w:style>
  <w:style w:type="character" w:customStyle="1" w:styleId="155">
    <w:name w:val="批注引用1"/>
    <w:qFormat/>
    <w:uiPriority w:val="0"/>
    <w:rPr>
      <w:sz w:val="21"/>
      <w:szCs w:val="21"/>
    </w:rPr>
  </w:style>
  <w:style w:type="character" w:customStyle="1" w:styleId="156">
    <w:name w:val="HTML 引文1"/>
    <w:qFormat/>
    <w:uiPriority w:val="0"/>
  </w:style>
  <w:style w:type="character" w:customStyle="1" w:styleId="157">
    <w:name w:val="脚注引用1"/>
    <w:qFormat/>
    <w:uiPriority w:val="0"/>
    <w:rPr>
      <w:vertAlign w:val="superscript"/>
    </w:rPr>
  </w:style>
  <w:style w:type="character" w:customStyle="1" w:styleId="158">
    <w:name w:val="HTML 键盘1"/>
    <w:qFormat/>
    <w:uiPriority w:val="0"/>
    <w:rPr>
      <w:rFonts w:ascii="Menlo" w:hAnsi="Menlo" w:eastAsia="Menlo" w:cs="Menlo"/>
      <w:sz w:val="21"/>
      <w:szCs w:val="21"/>
    </w:rPr>
  </w:style>
  <w:style w:type="character" w:customStyle="1" w:styleId="159">
    <w:name w:val="HTML 样本1"/>
    <w:qFormat/>
    <w:uiPriority w:val="0"/>
    <w:rPr>
      <w:rFonts w:ascii="Menlo" w:hAnsi="Menlo" w:eastAsia="Menlo" w:cs="Menlo"/>
      <w:sz w:val="21"/>
      <w:szCs w:val="21"/>
    </w:rPr>
  </w:style>
  <w:style w:type="character" w:customStyle="1" w:styleId="160">
    <w:name w:val="标题 1 字符"/>
    <w:link w:val="2"/>
    <w:qFormat/>
    <w:uiPriority w:val="9"/>
    <w:rPr>
      <w:rFonts w:ascii="Arial" w:hAnsi="Arial" w:eastAsia="Arial" w:cs="Arial"/>
      <w:sz w:val="40"/>
      <w:szCs w:val="40"/>
    </w:rPr>
  </w:style>
  <w:style w:type="character" w:customStyle="1" w:styleId="161">
    <w:name w:val="标题 2 字符"/>
    <w:link w:val="3"/>
    <w:qFormat/>
    <w:uiPriority w:val="9"/>
    <w:rPr>
      <w:rFonts w:ascii="Arial" w:hAnsi="Arial" w:eastAsia="Arial" w:cs="Arial"/>
      <w:sz w:val="34"/>
    </w:rPr>
  </w:style>
  <w:style w:type="character" w:customStyle="1" w:styleId="162">
    <w:name w:val="标题 3 字符"/>
    <w:link w:val="4"/>
    <w:qFormat/>
    <w:uiPriority w:val="9"/>
    <w:rPr>
      <w:rFonts w:ascii="Arial" w:hAnsi="Arial" w:eastAsia="Arial" w:cs="Arial"/>
      <w:sz w:val="30"/>
      <w:szCs w:val="30"/>
    </w:rPr>
  </w:style>
  <w:style w:type="character" w:customStyle="1" w:styleId="163">
    <w:name w:val="标题 4 字符"/>
    <w:link w:val="5"/>
    <w:qFormat/>
    <w:uiPriority w:val="9"/>
    <w:rPr>
      <w:rFonts w:ascii="Arial" w:hAnsi="Arial" w:eastAsia="Arial" w:cs="Arial"/>
      <w:b/>
      <w:bCs/>
      <w:sz w:val="26"/>
      <w:szCs w:val="26"/>
    </w:rPr>
  </w:style>
  <w:style w:type="character" w:customStyle="1" w:styleId="164">
    <w:name w:val="标题 5 字符"/>
    <w:link w:val="6"/>
    <w:qFormat/>
    <w:uiPriority w:val="9"/>
    <w:rPr>
      <w:rFonts w:ascii="Arial" w:hAnsi="Arial" w:eastAsia="Arial" w:cs="Arial"/>
      <w:b/>
      <w:bCs/>
      <w:sz w:val="24"/>
      <w:szCs w:val="24"/>
    </w:rPr>
  </w:style>
  <w:style w:type="character" w:customStyle="1" w:styleId="165">
    <w:name w:val="标题 6 字符"/>
    <w:link w:val="7"/>
    <w:qFormat/>
    <w:uiPriority w:val="9"/>
    <w:rPr>
      <w:rFonts w:ascii="Arial" w:hAnsi="Arial" w:eastAsia="Arial" w:cs="Arial"/>
      <w:b/>
      <w:bCs/>
      <w:sz w:val="22"/>
      <w:szCs w:val="22"/>
    </w:rPr>
  </w:style>
  <w:style w:type="character" w:customStyle="1" w:styleId="166">
    <w:name w:val="标题 7 字符"/>
    <w:link w:val="8"/>
    <w:qFormat/>
    <w:uiPriority w:val="9"/>
    <w:rPr>
      <w:rFonts w:ascii="Arial" w:hAnsi="Arial" w:eastAsia="Arial" w:cs="Arial"/>
      <w:b/>
      <w:bCs/>
      <w:i/>
      <w:iCs/>
      <w:sz w:val="22"/>
      <w:szCs w:val="22"/>
    </w:rPr>
  </w:style>
  <w:style w:type="character" w:customStyle="1" w:styleId="167">
    <w:name w:val="标题 8 字符"/>
    <w:link w:val="9"/>
    <w:qFormat/>
    <w:uiPriority w:val="9"/>
    <w:rPr>
      <w:rFonts w:ascii="Arial" w:hAnsi="Arial" w:eastAsia="Arial" w:cs="Arial"/>
      <w:i/>
      <w:iCs/>
      <w:sz w:val="22"/>
      <w:szCs w:val="22"/>
    </w:rPr>
  </w:style>
  <w:style w:type="character" w:customStyle="1" w:styleId="168">
    <w:name w:val="标题 9 字符"/>
    <w:link w:val="10"/>
    <w:qFormat/>
    <w:uiPriority w:val="9"/>
    <w:rPr>
      <w:rFonts w:ascii="Arial" w:hAnsi="Arial" w:eastAsia="Arial" w:cs="Arial"/>
      <w:i/>
      <w:iCs/>
      <w:sz w:val="21"/>
      <w:szCs w:val="21"/>
    </w:rPr>
  </w:style>
  <w:style w:type="paragraph" w:customStyle="1" w:styleId="169">
    <w:name w:val="列出段落1"/>
    <w:basedOn w:val="1"/>
    <w:link w:val="170"/>
    <w:qFormat/>
    <w:uiPriority w:val="0"/>
    <w:pPr>
      <w:ind w:firstLine="420"/>
    </w:pPr>
    <w:rPr>
      <w:rFonts w:eastAsia="宋体"/>
      <w:sz w:val="21"/>
      <w:szCs w:val="24"/>
    </w:rPr>
  </w:style>
  <w:style w:type="character" w:customStyle="1" w:styleId="170">
    <w:name w:val="列出段落 Char"/>
    <w:link w:val="169"/>
    <w:qFormat/>
    <w:uiPriority w:val="0"/>
    <w:rPr>
      <w:sz w:val="21"/>
      <w:szCs w:val="24"/>
    </w:rPr>
  </w:style>
  <w:style w:type="paragraph" w:customStyle="1" w:styleId="171">
    <w:name w:val="无间隔1"/>
    <w:qFormat/>
    <w:uiPriority w:val="99"/>
    <w:pPr>
      <w:widowControl w:val="0"/>
      <w:jc w:val="both"/>
    </w:pPr>
    <w:rPr>
      <w:rFonts w:ascii="Times New Roman" w:hAnsi="Times New Roman" w:eastAsia="楷体_GB2312" w:cs="Times New Roman"/>
      <w:sz w:val="26"/>
      <w:lang w:val="en-US" w:eastAsia="zh-CN" w:bidi="ar-SA"/>
    </w:rPr>
  </w:style>
  <w:style w:type="paragraph" w:customStyle="1" w:styleId="172">
    <w:name w:val="引用1"/>
    <w:basedOn w:val="1"/>
    <w:next w:val="1"/>
    <w:link w:val="173"/>
    <w:qFormat/>
    <w:uiPriority w:val="29"/>
    <w:pPr>
      <w:ind w:left="720" w:right="720"/>
    </w:pPr>
    <w:rPr>
      <w:rFonts w:eastAsia="宋体"/>
      <w:i/>
      <w:sz w:val="20"/>
    </w:rPr>
  </w:style>
  <w:style w:type="character" w:customStyle="1" w:styleId="173">
    <w:name w:val="引用 Char"/>
    <w:link w:val="172"/>
    <w:qFormat/>
    <w:uiPriority w:val="29"/>
    <w:rPr>
      <w:i/>
    </w:rPr>
  </w:style>
  <w:style w:type="paragraph" w:customStyle="1" w:styleId="174">
    <w:name w:val="明显引用1"/>
    <w:basedOn w:val="1"/>
    <w:next w:val="1"/>
    <w:link w:val="1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175">
    <w:name w:val="明显引用 Char"/>
    <w:link w:val="174"/>
    <w:qFormat/>
    <w:uiPriority w:val="30"/>
    <w:rPr>
      <w:i/>
    </w:rPr>
  </w:style>
  <w:style w:type="paragraph" w:customStyle="1" w:styleId="176">
    <w:name w:val="Header1"/>
    <w:basedOn w:val="1"/>
    <w:link w:val="177"/>
    <w:unhideWhenUsed/>
    <w:qFormat/>
    <w:uiPriority w:val="0"/>
    <w:pPr>
      <w:tabs>
        <w:tab w:val="center" w:pos="7143"/>
        <w:tab w:val="right" w:pos="14287"/>
      </w:tabs>
    </w:pPr>
    <w:rPr>
      <w:rFonts w:eastAsia="宋体"/>
      <w:sz w:val="18"/>
    </w:rPr>
  </w:style>
  <w:style w:type="character" w:customStyle="1" w:styleId="177">
    <w:name w:val="Header Char"/>
    <w:link w:val="176"/>
    <w:qFormat/>
    <w:uiPriority w:val="0"/>
    <w:rPr>
      <w:sz w:val="18"/>
    </w:rPr>
  </w:style>
  <w:style w:type="paragraph" w:customStyle="1" w:styleId="178">
    <w:name w:val="Footer1"/>
    <w:basedOn w:val="1"/>
    <w:link w:val="179"/>
    <w:unhideWhenUsed/>
    <w:qFormat/>
    <w:uiPriority w:val="99"/>
    <w:pPr>
      <w:tabs>
        <w:tab w:val="center" w:pos="7143"/>
        <w:tab w:val="right" w:pos="14287"/>
      </w:tabs>
    </w:pPr>
  </w:style>
  <w:style w:type="character" w:customStyle="1" w:styleId="179">
    <w:name w:val="Caption Char"/>
    <w:link w:val="178"/>
    <w:qFormat/>
    <w:uiPriority w:val="99"/>
  </w:style>
  <w:style w:type="character" w:customStyle="1" w:styleId="180">
    <w:name w:val="Footer Char"/>
    <w:qFormat/>
    <w:uiPriority w:val="99"/>
  </w:style>
  <w:style w:type="paragraph" w:customStyle="1" w:styleId="181">
    <w:name w:val="Caption1"/>
    <w:basedOn w:val="1"/>
    <w:next w:val="1"/>
    <w:unhideWhenUsed/>
    <w:qFormat/>
    <w:uiPriority w:val="35"/>
    <w:pPr>
      <w:spacing w:line="276" w:lineRule="auto"/>
    </w:pPr>
    <w:rPr>
      <w:b/>
      <w:bCs/>
      <w:color w:val="4F81BD"/>
      <w:sz w:val="18"/>
      <w:szCs w:val="18"/>
    </w:rPr>
  </w:style>
  <w:style w:type="table" w:customStyle="1" w:styleId="182">
    <w:name w:val="Table Grid Light"/>
    <w:qFormat/>
    <w:uiPriority w:val="59"/>
    <w:tblPr>
      <w:tblCellMar>
        <w:top w:w="0" w:type="dxa"/>
        <w:left w:w="0" w:type="dxa"/>
        <w:bottom w:w="0" w:type="dxa"/>
        <w:right w:w="0" w:type="dxa"/>
      </w:tblCellMar>
    </w:tblPr>
  </w:style>
  <w:style w:type="table" w:customStyle="1" w:styleId="183">
    <w:name w:val="无格式表格 11"/>
    <w:qFormat/>
    <w:uiPriority w:val="59"/>
    <w:tblPr>
      <w:tblCellMar>
        <w:top w:w="0" w:type="dxa"/>
        <w:left w:w="0" w:type="dxa"/>
        <w:bottom w:w="0" w:type="dxa"/>
        <w:right w:w="0" w:type="dxa"/>
      </w:tblCellMar>
    </w:tblPr>
  </w:style>
  <w:style w:type="table" w:customStyle="1" w:styleId="184">
    <w:name w:val="无格式表格 21"/>
    <w:qFormat/>
    <w:uiPriority w:val="59"/>
    <w:tblPr>
      <w:tblCellMar>
        <w:top w:w="0" w:type="dxa"/>
        <w:left w:w="0" w:type="dxa"/>
        <w:bottom w:w="0" w:type="dxa"/>
        <w:right w:w="0" w:type="dxa"/>
      </w:tblCellMar>
    </w:tblPr>
  </w:style>
  <w:style w:type="table" w:customStyle="1" w:styleId="185">
    <w:name w:val="无格式表格 31"/>
    <w:qFormat/>
    <w:uiPriority w:val="99"/>
    <w:tblPr>
      <w:tblCellMar>
        <w:top w:w="0" w:type="dxa"/>
        <w:left w:w="0" w:type="dxa"/>
        <w:bottom w:w="0" w:type="dxa"/>
        <w:right w:w="0" w:type="dxa"/>
      </w:tblCellMar>
    </w:tblPr>
  </w:style>
  <w:style w:type="table" w:customStyle="1" w:styleId="186">
    <w:name w:val="无格式表格 41"/>
    <w:qFormat/>
    <w:uiPriority w:val="99"/>
    <w:tblPr>
      <w:tblCellMar>
        <w:top w:w="0" w:type="dxa"/>
        <w:left w:w="0" w:type="dxa"/>
        <w:bottom w:w="0" w:type="dxa"/>
        <w:right w:w="0" w:type="dxa"/>
      </w:tblCellMar>
    </w:tblPr>
  </w:style>
  <w:style w:type="table" w:customStyle="1" w:styleId="187">
    <w:name w:val="无格式表格 51"/>
    <w:qFormat/>
    <w:uiPriority w:val="99"/>
    <w:tblPr>
      <w:tblCellMar>
        <w:top w:w="0" w:type="dxa"/>
        <w:left w:w="0" w:type="dxa"/>
        <w:bottom w:w="0" w:type="dxa"/>
        <w:right w:w="0" w:type="dxa"/>
      </w:tblCellMar>
    </w:tblPr>
  </w:style>
  <w:style w:type="table" w:customStyle="1" w:styleId="188">
    <w:name w:val="网格表 1 浅色1"/>
    <w:qFormat/>
    <w:uiPriority w:val="99"/>
    <w:tblPr>
      <w:tblCellMar>
        <w:top w:w="0" w:type="dxa"/>
        <w:left w:w="0" w:type="dxa"/>
        <w:bottom w:w="0" w:type="dxa"/>
        <w:right w:w="0" w:type="dxa"/>
      </w:tblCellMar>
    </w:tblPr>
  </w:style>
  <w:style w:type="table" w:customStyle="1" w:styleId="189">
    <w:name w:val="Grid Table 1 Light - Accent 1"/>
    <w:qFormat/>
    <w:uiPriority w:val="99"/>
    <w:tblPr>
      <w:tblCellMar>
        <w:top w:w="0" w:type="dxa"/>
        <w:left w:w="0" w:type="dxa"/>
        <w:bottom w:w="0" w:type="dxa"/>
        <w:right w:w="0" w:type="dxa"/>
      </w:tblCellMar>
    </w:tblPr>
  </w:style>
  <w:style w:type="table" w:customStyle="1" w:styleId="190">
    <w:name w:val="Grid Table 1 Light - Accent 2"/>
    <w:qFormat/>
    <w:uiPriority w:val="99"/>
    <w:tblPr>
      <w:tblCellMar>
        <w:top w:w="0" w:type="dxa"/>
        <w:left w:w="0" w:type="dxa"/>
        <w:bottom w:w="0" w:type="dxa"/>
        <w:right w:w="0" w:type="dxa"/>
      </w:tblCellMar>
    </w:tblPr>
  </w:style>
  <w:style w:type="table" w:customStyle="1" w:styleId="191">
    <w:name w:val="Grid Table 1 Light - Accent 3"/>
    <w:qFormat/>
    <w:uiPriority w:val="99"/>
    <w:tblPr>
      <w:tblCellMar>
        <w:top w:w="0" w:type="dxa"/>
        <w:left w:w="0" w:type="dxa"/>
        <w:bottom w:w="0" w:type="dxa"/>
        <w:right w:w="0" w:type="dxa"/>
      </w:tblCellMar>
    </w:tblPr>
  </w:style>
  <w:style w:type="table" w:customStyle="1" w:styleId="192">
    <w:name w:val="Grid Table 1 Light - Accent 4"/>
    <w:qFormat/>
    <w:uiPriority w:val="99"/>
    <w:tblPr>
      <w:tblCellMar>
        <w:top w:w="0" w:type="dxa"/>
        <w:left w:w="0" w:type="dxa"/>
        <w:bottom w:w="0" w:type="dxa"/>
        <w:right w:w="0" w:type="dxa"/>
      </w:tblCellMar>
    </w:tblPr>
  </w:style>
  <w:style w:type="table" w:customStyle="1" w:styleId="193">
    <w:name w:val="Grid Table 1 Light - Accent 5"/>
    <w:qFormat/>
    <w:uiPriority w:val="99"/>
    <w:tblPr>
      <w:tblCellMar>
        <w:top w:w="0" w:type="dxa"/>
        <w:left w:w="0" w:type="dxa"/>
        <w:bottom w:w="0" w:type="dxa"/>
        <w:right w:w="0" w:type="dxa"/>
      </w:tblCellMar>
    </w:tblPr>
  </w:style>
  <w:style w:type="table" w:customStyle="1" w:styleId="194">
    <w:name w:val="Grid Table 1 Light - Accent 6"/>
    <w:qFormat/>
    <w:uiPriority w:val="99"/>
    <w:tblPr>
      <w:tblCellMar>
        <w:top w:w="0" w:type="dxa"/>
        <w:left w:w="0" w:type="dxa"/>
        <w:bottom w:w="0" w:type="dxa"/>
        <w:right w:w="0" w:type="dxa"/>
      </w:tblCellMar>
    </w:tblPr>
  </w:style>
  <w:style w:type="table" w:customStyle="1" w:styleId="195">
    <w:name w:val="网格表 21"/>
    <w:qFormat/>
    <w:uiPriority w:val="99"/>
    <w:tblPr>
      <w:tblCellMar>
        <w:top w:w="0" w:type="dxa"/>
        <w:left w:w="0" w:type="dxa"/>
        <w:bottom w:w="0" w:type="dxa"/>
        <w:right w:w="0" w:type="dxa"/>
      </w:tblCellMar>
    </w:tblPr>
  </w:style>
  <w:style w:type="table" w:customStyle="1" w:styleId="196">
    <w:name w:val="Grid Table 2 - Accent 1"/>
    <w:qFormat/>
    <w:uiPriority w:val="99"/>
    <w:tblPr>
      <w:tblCellMar>
        <w:top w:w="0" w:type="dxa"/>
        <w:left w:w="0" w:type="dxa"/>
        <w:bottom w:w="0" w:type="dxa"/>
        <w:right w:w="0" w:type="dxa"/>
      </w:tblCellMar>
    </w:tblPr>
  </w:style>
  <w:style w:type="table" w:customStyle="1" w:styleId="197">
    <w:name w:val="Grid Table 2 - Accent 2"/>
    <w:qFormat/>
    <w:uiPriority w:val="99"/>
    <w:tblPr>
      <w:tblCellMar>
        <w:top w:w="0" w:type="dxa"/>
        <w:left w:w="0" w:type="dxa"/>
        <w:bottom w:w="0" w:type="dxa"/>
        <w:right w:w="0" w:type="dxa"/>
      </w:tblCellMar>
    </w:tblPr>
  </w:style>
  <w:style w:type="table" w:customStyle="1" w:styleId="198">
    <w:name w:val="Grid Table 2 - Accent 3"/>
    <w:qFormat/>
    <w:uiPriority w:val="99"/>
    <w:tblPr>
      <w:tblCellMar>
        <w:top w:w="0" w:type="dxa"/>
        <w:left w:w="0" w:type="dxa"/>
        <w:bottom w:w="0" w:type="dxa"/>
        <w:right w:w="0" w:type="dxa"/>
      </w:tblCellMar>
    </w:tblPr>
  </w:style>
  <w:style w:type="table" w:customStyle="1" w:styleId="199">
    <w:name w:val="Grid Table 2 - Accent 4"/>
    <w:qFormat/>
    <w:uiPriority w:val="99"/>
    <w:tblPr>
      <w:tblCellMar>
        <w:top w:w="0" w:type="dxa"/>
        <w:left w:w="0" w:type="dxa"/>
        <w:bottom w:w="0" w:type="dxa"/>
        <w:right w:w="0" w:type="dxa"/>
      </w:tblCellMar>
    </w:tblPr>
  </w:style>
  <w:style w:type="table" w:customStyle="1" w:styleId="200">
    <w:name w:val="Grid Table 2 - Accent 5"/>
    <w:qFormat/>
    <w:uiPriority w:val="99"/>
    <w:tblPr>
      <w:tblCellMar>
        <w:top w:w="0" w:type="dxa"/>
        <w:left w:w="0" w:type="dxa"/>
        <w:bottom w:w="0" w:type="dxa"/>
        <w:right w:w="0" w:type="dxa"/>
      </w:tblCellMar>
    </w:tblPr>
  </w:style>
  <w:style w:type="table" w:customStyle="1" w:styleId="201">
    <w:name w:val="Grid Table 2 - Accent 6"/>
    <w:qFormat/>
    <w:uiPriority w:val="99"/>
    <w:tblPr>
      <w:tblCellMar>
        <w:top w:w="0" w:type="dxa"/>
        <w:left w:w="0" w:type="dxa"/>
        <w:bottom w:w="0" w:type="dxa"/>
        <w:right w:w="0" w:type="dxa"/>
      </w:tblCellMar>
    </w:tblPr>
  </w:style>
  <w:style w:type="table" w:customStyle="1" w:styleId="202">
    <w:name w:val="网格表 31"/>
    <w:qFormat/>
    <w:uiPriority w:val="99"/>
    <w:tblPr>
      <w:tblCellMar>
        <w:top w:w="0" w:type="dxa"/>
        <w:left w:w="0" w:type="dxa"/>
        <w:bottom w:w="0" w:type="dxa"/>
        <w:right w:w="0" w:type="dxa"/>
      </w:tblCellMar>
    </w:tblPr>
  </w:style>
  <w:style w:type="table" w:customStyle="1" w:styleId="203">
    <w:name w:val="Grid Table 3 - Accent 1"/>
    <w:qFormat/>
    <w:uiPriority w:val="99"/>
    <w:tblPr>
      <w:tblCellMar>
        <w:top w:w="0" w:type="dxa"/>
        <w:left w:w="0" w:type="dxa"/>
        <w:bottom w:w="0" w:type="dxa"/>
        <w:right w:w="0" w:type="dxa"/>
      </w:tblCellMar>
    </w:tblPr>
  </w:style>
  <w:style w:type="table" w:customStyle="1" w:styleId="204">
    <w:name w:val="Grid Table 3 - Accent 2"/>
    <w:qFormat/>
    <w:uiPriority w:val="99"/>
    <w:tblPr>
      <w:tblCellMar>
        <w:top w:w="0" w:type="dxa"/>
        <w:left w:w="0" w:type="dxa"/>
        <w:bottom w:w="0" w:type="dxa"/>
        <w:right w:w="0" w:type="dxa"/>
      </w:tblCellMar>
    </w:tblPr>
  </w:style>
  <w:style w:type="table" w:customStyle="1" w:styleId="205">
    <w:name w:val="Grid Table 3 - Accent 3"/>
    <w:qFormat/>
    <w:uiPriority w:val="99"/>
    <w:tblPr>
      <w:tblCellMar>
        <w:top w:w="0" w:type="dxa"/>
        <w:left w:w="0" w:type="dxa"/>
        <w:bottom w:w="0" w:type="dxa"/>
        <w:right w:w="0" w:type="dxa"/>
      </w:tblCellMar>
    </w:tblPr>
  </w:style>
  <w:style w:type="table" w:customStyle="1" w:styleId="206">
    <w:name w:val="Grid Table 3 - Accent 4"/>
    <w:qFormat/>
    <w:uiPriority w:val="99"/>
    <w:tblPr>
      <w:tblCellMar>
        <w:top w:w="0" w:type="dxa"/>
        <w:left w:w="0" w:type="dxa"/>
        <w:bottom w:w="0" w:type="dxa"/>
        <w:right w:w="0" w:type="dxa"/>
      </w:tblCellMar>
    </w:tblPr>
  </w:style>
  <w:style w:type="table" w:customStyle="1" w:styleId="207">
    <w:name w:val="Grid Table 3 - Accent 5"/>
    <w:qFormat/>
    <w:uiPriority w:val="99"/>
    <w:tblPr>
      <w:tblCellMar>
        <w:top w:w="0" w:type="dxa"/>
        <w:left w:w="0" w:type="dxa"/>
        <w:bottom w:w="0" w:type="dxa"/>
        <w:right w:w="0" w:type="dxa"/>
      </w:tblCellMar>
    </w:tblPr>
  </w:style>
  <w:style w:type="table" w:customStyle="1" w:styleId="208">
    <w:name w:val="Grid Table 3 - Accent 6"/>
    <w:qFormat/>
    <w:uiPriority w:val="99"/>
    <w:tblPr>
      <w:tblCellMar>
        <w:top w:w="0" w:type="dxa"/>
        <w:left w:w="0" w:type="dxa"/>
        <w:bottom w:w="0" w:type="dxa"/>
        <w:right w:w="0" w:type="dxa"/>
      </w:tblCellMar>
    </w:tblPr>
  </w:style>
  <w:style w:type="table" w:customStyle="1" w:styleId="209">
    <w:name w:val="网格表 41"/>
    <w:qFormat/>
    <w:uiPriority w:val="59"/>
    <w:tblPr>
      <w:tblCellMar>
        <w:top w:w="0" w:type="dxa"/>
        <w:left w:w="0" w:type="dxa"/>
        <w:bottom w:w="0" w:type="dxa"/>
        <w:right w:w="0" w:type="dxa"/>
      </w:tblCellMar>
    </w:tblPr>
  </w:style>
  <w:style w:type="table" w:customStyle="1" w:styleId="210">
    <w:name w:val="Grid Table 4 - Accent 1"/>
    <w:qFormat/>
    <w:uiPriority w:val="59"/>
    <w:tblPr>
      <w:tblCellMar>
        <w:top w:w="0" w:type="dxa"/>
        <w:left w:w="0" w:type="dxa"/>
        <w:bottom w:w="0" w:type="dxa"/>
        <w:right w:w="0" w:type="dxa"/>
      </w:tblCellMar>
    </w:tblPr>
  </w:style>
  <w:style w:type="table" w:customStyle="1" w:styleId="211">
    <w:name w:val="Grid Table 4 - Accent 2"/>
    <w:qFormat/>
    <w:uiPriority w:val="59"/>
    <w:tblPr>
      <w:tblCellMar>
        <w:top w:w="0" w:type="dxa"/>
        <w:left w:w="0" w:type="dxa"/>
        <w:bottom w:w="0" w:type="dxa"/>
        <w:right w:w="0" w:type="dxa"/>
      </w:tblCellMar>
    </w:tblPr>
  </w:style>
  <w:style w:type="table" w:customStyle="1" w:styleId="212">
    <w:name w:val="Grid Table 4 - Accent 3"/>
    <w:qFormat/>
    <w:uiPriority w:val="59"/>
    <w:tblPr>
      <w:tblCellMar>
        <w:top w:w="0" w:type="dxa"/>
        <w:left w:w="0" w:type="dxa"/>
        <w:bottom w:w="0" w:type="dxa"/>
        <w:right w:w="0" w:type="dxa"/>
      </w:tblCellMar>
    </w:tblPr>
  </w:style>
  <w:style w:type="table" w:customStyle="1" w:styleId="213">
    <w:name w:val="Grid Table 4 - Accent 4"/>
    <w:qFormat/>
    <w:uiPriority w:val="59"/>
    <w:tblPr>
      <w:tblCellMar>
        <w:top w:w="0" w:type="dxa"/>
        <w:left w:w="0" w:type="dxa"/>
        <w:bottom w:w="0" w:type="dxa"/>
        <w:right w:w="0" w:type="dxa"/>
      </w:tblCellMar>
    </w:tblPr>
  </w:style>
  <w:style w:type="table" w:customStyle="1" w:styleId="214">
    <w:name w:val="Grid Table 4 - Accent 5"/>
    <w:qFormat/>
    <w:uiPriority w:val="59"/>
    <w:tblPr>
      <w:tblCellMar>
        <w:top w:w="0" w:type="dxa"/>
        <w:left w:w="0" w:type="dxa"/>
        <w:bottom w:w="0" w:type="dxa"/>
        <w:right w:w="0" w:type="dxa"/>
      </w:tblCellMar>
    </w:tblPr>
  </w:style>
  <w:style w:type="table" w:customStyle="1" w:styleId="215">
    <w:name w:val="Grid Table 4 - Accent 6"/>
    <w:qFormat/>
    <w:uiPriority w:val="59"/>
    <w:tblPr>
      <w:tblCellMar>
        <w:top w:w="0" w:type="dxa"/>
        <w:left w:w="0" w:type="dxa"/>
        <w:bottom w:w="0" w:type="dxa"/>
        <w:right w:w="0" w:type="dxa"/>
      </w:tblCellMar>
    </w:tblPr>
  </w:style>
  <w:style w:type="table" w:customStyle="1" w:styleId="216">
    <w:name w:val="网格表 5 深色1"/>
    <w:qFormat/>
    <w:uiPriority w:val="99"/>
    <w:tblPr>
      <w:tblCellMar>
        <w:top w:w="0" w:type="dxa"/>
        <w:left w:w="0" w:type="dxa"/>
        <w:bottom w:w="0" w:type="dxa"/>
        <w:right w:w="0" w:type="dxa"/>
      </w:tblCellMar>
    </w:tblPr>
  </w:style>
  <w:style w:type="table" w:customStyle="1" w:styleId="217">
    <w:name w:val="Grid Table 5 Dark- Accent 1"/>
    <w:qFormat/>
    <w:uiPriority w:val="99"/>
    <w:tblPr>
      <w:tblCellMar>
        <w:top w:w="0" w:type="dxa"/>
        <w:left w:w="0" w:type="dxa"/>
        <w:bottom w:w="0" w:type="dxa"/>
        <w:right w:w="0" w:type="dxa"/>
      </w:tblCellMar>
    </w:tblPr>
  </w:style>
  <w:style w:type="table" w:customStyle="1" w:styleId="218">
    <w:name w:val="Grid Table 5 Dark - Accent 2"/>
    <w:qFormat/>
    <w:uiPriority w:val="99"/>
    <w:tblPr>
      <w:tblCellMar>
        <w:top w:w="0" w:type="dxa"/>
        <w:left w:w="0" w:type="dxa"/>
        <w:bottom w:w="0" w:type="dxa"/>
        <w:right w:w="0" w:type="dxa"/>
      </w:tblCellMar>
    </w:tblPr>
  </w:style>
  <w:style w:type="table" w:customStyle="1" w:styleId="219">
    <w:name w:val="Grid Table 5 Dark - Accent 3"/>
    <w:qFormat/>
    <w:uiPriority w:val="99"/>
    <w:tblPr>
      <w:tblCellMar>
        <w:top w:w="0" w:type="dxa"/>
        <w:left w:w="0" w:type="dxa"/>
        <w:bottom w:w="0" w:type="dxa"/>
        <w:right w:w="0" w:type="dxa"/>
      </w:tblCellMar>
    </w:tblPr>
  </w:style>
  <w:style w:type="table" w:customStyle="1" w:styleId="220">
    <w:name w:val="Grid Table 5 Dark- Accent 4"/>
    <w:qFormat/>
    <w:uiPriority w:val="99"/>
    <w:tblPr>
      <w:tblCellMar>
        <w:top w:w="0" w:type="dxa"/>
        <w:left w:w="0" w:type="dxa"/>
        <w:bottom w:w="0" w:type="dxa"/>
        <w:right w:w="0" w:type="dxa"/>
      </w:tblCellMar>
    </w:tblPr>
  </w:style>
  <w:style w:type="table" w:customStyle="1" w:styleId="221">
    <w:name w:val="Grid Table 5 Dark - Accent 5"/>
    <w:qFormat/>
    <w:uiPriority w:val="99"/>
    <w:tblPr>
      <w:tblCellMar>
        <w:top w:w="0" w:type="dxa"/>
        <w:left w:w="0" w:type="dxa"/>
        <w:bottom w:w="0" w:type="dxa"/>
        <w:right w:w="0" w:type="dxa"/>
      </w:tblCellMar>
    </w:tblPr>
  </w:style>
  <w:style w:type="table" w:customStyle="1" w:styleId="222">
    <w:name w:val="Grid Table 5 Dark - Accent 6"/>
    <w:qFormat/>
    <w:uiPriority w:val="99"/>
    <w:tblPr>
      <w:tblCellMar>
        <w:top w:w="0" w:type="dxa"/>
        <w:left w:w="0" w:type="dxa"/>
        <w:bottom w:w="0" w:type="dxa"/>
        <w:right w:w="0" w:type="dxa"/>
      </w:tblCellMar>
    </w:tblPr>
  </w:style>
  <w:style w:type="table" w:customStyle="1" w:styleId="223">
    <w:name w:val="网格表 6 彩色1"/>
    <w:qFormat/>
    <w:uiPriority w:val="99"/>
    <w:tblPr>
      <w:tblCellMar>
        <w:top w:w="0" w:type="dxa"/>
        <w:left w:w="0" w:type="dxa"/>
        <w:bottom w:w="0" w:type="dxa"/>
        <w:right w:w="0" w:type="dxa"/>
      </w:tblCellMar>
    </w:tblPr>
  </w:style>
  <w:style w:type="table" w:customStyle="1" w:styleId="224">
    <w:name w:val="Grid Table 6 Colorful - Accent 1"/>
    <w:qFormat/>
    <w:uiPriority w:val="99"/>
    <w:tblPr>
      <w:tblCellMar>
        <w:top w:w="0" w:type="dxa"/>
        <w:left w:w="0" w:type="dxa"/>
        <w:bottom w:w="0" w:type="dxa"/>
        <w:right w:w="0" w:type="dxa"/>
      </w:tblCellMar>
    </w:tblPr>
  </w:style>
  <w:style w:type="table" w:customStyle="1" w:styleId="225">
    <w:name w:val="Grid Table 6 Colorful - Accent 2"/>
    <w:qFormat/>
    <w:uiPriority w:val="99"/>
    <w:tblPr>
      <w:tblCellMar>
        <w:top w:w="0" w:type="dxa"/>
        <w:left w:w="0" w:type="dxa"/>
        <w:bottom w:w="0" w:type="dxa"/>
        <w:right w:w="0" w:type="dxa"/>
      </w:tblCellMar>
    </w:tblPr>
  </w:style>
  <w:style w:type="table" w:customStyle="1" w:styleId="226">
    <w:name w:val="Grid Table 6 Colorful - Accent 3"/>
    <w:qFormat/>
    <w:uiPriority w:val="99"/>
    <w:tblPr>
      <w:tblCellMar>
        <w:top w:w="0" w:type="dxa"/>
        <w:left w:w="0" w:type="dxa"/>
        <w:bottom w:w="0" w:type="dxa"/>
        <w:right w:w="0" w:type="dxa"/>
      </w:tblCellMar>
    </w:tblPr>
  </w:style>
  <w:style w:type="table" w:customStyle="1" w:styleId="227">
    <w:name w:val="Grid Table 6 Colorful - Accent 4"/>
    <w:qFormat/>
    <w:uiPriority w:val="99"/>
    <w:tblPr>
      <w:tblCellMar>
        <w:top w:w="0" w:type="dxa"/>
        <w:left w:w="0" w:type="dxa"/>
        <w:bottom w:w="0" w:type="dxa"/>
        <w:right w:w="0" w:type="dxa"/>
      </w:tblCellMar>
    </w:tblPr>
  </w:style>
  <w:style w:type="table" w:customStyle="1" w:styleId="228">
    <w:name w:val="Grid Table 6 Colorful - Accent 5"/>
    <w:qFormat/>
    <w:uiPriority w:val="99"/>
    <w:tblPr>
      <w:tblCellMar>
        <w:top w:w="0" w:type="dxa"/>
        <w:left w:w="0" w:type="dxa"/>
        <w:bottom w:w="0" w:type="dxa"/>
        <w:right w:w="0" w:type="dxa"/>
      </w:tblCellMar>
    </w:tblPr>
  </w:style>
  <w:style w:type="table" w:customStyle="1" w:styleId="229">
    <w:name w:val="Grid Table 6 Colorful - Accent 6"/>
    <w:qFormat/>
    <w:uiPriority w:val="99"/>
    <w:tblPr>
      <w:tblCellMar>
        <w:top w:w="0" w:type="dxa"/>
        <w:left w:w="0" w:type="dxa"/>
        <w:bottom w:w="0" w:type="dxa"/>
        <w:right w:w="0" w:type="dxa"/>
      </w:tblCellMar>
    </w:tblPr>
  </w:style>
  <w:style w:type="table" w:customStyle="1" w:styleId="230">
    <w:name w:val="网格表 7 彩色1"/>
    <w:qFormat/>
    <w:uiPriority w:val="99"/>
    <w:tblPr>
      <w:tblCellMar>
        <w:top w:w="0" w:type="dxa"/>
        <w:left w:w="0" w:type="dxa"/>
        <w:bottom w:w="0" w:type="dxa"/>
        <w:right w:w="0" w:type="dxa"/>
      </w:tblCellMar>
    </w:tblPr>
  </w:style>
  <w:style w:type="table" w:customStyle="1" w:styleId="231">
    <w:name w:val="Grid Table 7 Colorful - Accent 1"/>
    <w:qFormat/>
    <w:uiPriority w:val="99"/>
    <w:tblPr>
      <w:tblCellMar>
        <w:top w:w="0" w:type="dxa"/>
        <w:left w:w="0" w:type="dxa"/>
        <w:bottom w:w="0" w:type="dxa"/>
        <w:right w:w="0" w:type="dxa"/>
      </w:tblCellMar>
    </w:tblPr>
  </w:style>
  <w:style w:type="table" w:customStyle="1" w:styleId="232">
    <w:name w:val="Grid Table 7 Colorful - Accent 2"/>
    <w:qFormat/>
    <w:uiPriority w:val="99"/>
    <w:tblPr>
      <w:tblCellMar>
        <w:top w:w="0" w:type="dxa"/>
        <w:left w:w="0" w:type="dxa"/>
        <w:bottom w:w="0" w:type="dxa"/>
        <w:right w:w="0" w:type="dxa"/>
      </w:tblCellMar>
    </w:tblPr>
  </w:style>
  <w:style w:type="table" w:customStyle="1" w:styleId="233">
    <w:name w:val="Grid Table 7 Colorful - Accent 3"/>
    <w:qFormat/>
    <w:uiPriority w:val="99"/>
    <w:tblPr>
      <w:tblCellMar>
        <w:top w:w="0" w:type="dxa"/>
        <w:left w:w="0" w:type="dxa"/>
        <w:bottom w:w="0" w:type="dxa"/>
        <w:right w:w="0" w:type="dxa"/>
      </w:tblCellMar>
    </w:tblPr>
  </w:style>
  <w:style w:type="table" w:customStyle="1" w:styleId="234">
    <w:name w:val="Grid Table 7 Colorful - Accent 4"/>
    <w:qFormat/>
    <w:uiPriority w:val="99"/>
    <w:tblPr>
      <w:tblCellMar>
        <w:top w:w="0" w:type="dxa"/>
        <w:left w:w="0" w:type="dxa"/>
        <w:bottom w:w="0" w:type="dxa"/>
        <w:right w:w="0" w:type="dxa"/>
      </w:tblCellMar>
    </w:tblPr>
  </w:style>
  <w:style w:type="table" w:customStyle="1" w:styleId="235">
    <w:name w:val="Grid Table 7 Colorful - Accent 5"/>
    <w:qFormat/>
    <w:uiPriority w:val="99"/>
    <w:tblPr>
      <w:tblCellMar>
        <w:top w:w="0" w:type="dxa"/>
        <w:left w:w="0" w:type="dxa"/>
        <w:bottom w:w="0" w:type="dxa"/>
        <w:right w:w="0" w:type="dxa"/>
      </w:tblCellMar>
    </w:tblPr>
  </w:style>
  <w:style w:type="table" w:customStyle="1" w:styleId="236">
    <w:name w:val="Grid Table 7 Colorful - Accent 6"/>
    <w:qFormat/>
    <w:uiPriority w:val="99"/>
    <w:tblPr>
      <w:tblCellMar>
        <w:top w:w="0" w:type="dxa"/>
        <w:left w:w="0" w:type="dxa"/>
        <w:bottom w:w="0" w:type="dxa"/>
        <w:right w:w="0" w:type="dxa"/>
      </w:tblCellMar>
    </w:tblPr>
  </w:style>
  <w:style w:type="table" w:customStyle="1" w:styleId="237">
    <w:name w:val="清单表 1 浅色1"/>
    <w:qFormat/>
    <w:uiPriority w:val="99"/>
    <w:tblPr>
      <w:tblCellMar>
        <w:top w:w="0" w:type="dxa"/>
        <w:left w:w="0" w:type="dxa"/>
        <w:bottom w:w="0" w:type="dxa"/>
        <w:right w:w="0" w:type="dxa"/>
      </w:tblCellMar>
    </w:tblPr>
  </w:style>
  <w:style w:type="table" w:customStyle="1" w:styleId="238">
    <w:name w:val="List Table 1 Light - Accent 1"/>
    <w:qFormat/>
    <w:uiPriority w:val="99"/>
    <w:tblPr>
      <w:tblCellMar>
        <w:top w:w="0" w:type="dxa"/>
        <w:left w:w="0" w:type="dxa"/>
        <w:bottom w:w="0" w:type="dxa"/>
        <w:right w:w="0" w:type="dxa"/>
      </w:tblCellMar>
    </w:tblPr>
  </w:style>
  <w:style w:type="table" w:customStyle="1" w:styleId="239">
    <w:name w:val="List Table 1 Light - Accent 2"/>
    <w:qFormat/>
    <w:uiPriority w:val="99"/>
    <w:tblPr>
      <w:tblCellMar>
        <w:top w:w="0" w:type="dxa"/>
        <w:left w:w="0" w:type="dxa"/>
        <w:bottom w:w="0" w:type="dxa"/>
        <w:right w:w="0" w:type="dxa"/>
      </w:tblCellMar>
    </w:tblPr>
  </w:style>
  <w:style w:type="table" w:customStyle="1" w:styleId="240">
    <w:name w:val="List Table 1 Light - Accent 3"/>
    <w:qFormat/>
    <w:uiPriority w:val="99"/>
    <w:tblPr>
      <w:tblCellMar>
        <w:top w:w="0" w:type="dxa"/>
        <w:left w:w="0" w:type="dxa"/>
        <w:bottom w:w="0" w:type="dxa"/>
        <w:right w:w="0" w:type="dxa"/>
      </w:tblCellMar>
    </w:tblPr>
  </w:style>
  <w:style w:type="table" w:customStyle="1" w:styleId="241">
    <w:name w:val="List Table 1 Light - Accent 4"/>
    <w:qFormat/>
    <w:uiPriority w:val="99"/>
    <w:tblPr>
      <w:tblCellMar>
        <w:top w:w="0" w:type="dxa"/>
        <w:left w:w="0" w:type="dxa"/>
        <w:bottom w:w="0" w:type="dxa"/>
        <w:right w:w="0" w:type="dxa"/>
      </w:tblCellMar>
    </w:tblPr>
  </w:style>
  <w:style w:type="table" w:customStyle="1" w:styleId="242">
    <w:name w:val="List Table 1 Light - Accent 5"/>
    <w:qFormat/>
    <w:uiPriority w:val="99"/>
    <w:tblPr>
      <w:tblCellMar>
        <w:top w:w="0" w:type="dxa"/>
        <w:left w:w="0" w:type="dxa"/>
        <w:bottom w:w="0" w:type="dxa"/>
        <w:right w:w="0" w:type="dxa"/>
      </w:tblCellMar>
    </w:tblPr>
  </w:style>
  <w:style w:type="table" w:customStyle="1" w:styleId="243">
    <w:name w:val="List Table 1 Light - Accent 6"/>
    <w:qFormat/>
    <w:uiPriority w:val="99"/>
    <w:tblPr>
      <w:tblCellMar>
        <w:top w:w="0" w:type="dxa"/>
        <w:left w:w="0" w:type="dxa"/>
        <w:bottom w:w="0" w:type="dxa"/>
        <w:right w:w="0" w:type="dxa"/>
      </w:tblCellMar>
    </w:tblPr>
  </w:style>
  <w:style w:type="table" w:customStyle="1" w:styleId="244">
    <w:name w:val="清单表 21"/>
    <w:qFormat/>
    <w:uiPriority w:val="99"/>
    <w:tblPr>
      <w:tblCellMar>
        <w:top w:w="0" w:type="dxa"/>
        <w:left w:w="0" w:type="dxa"/>
        <w:bottom w:w="0" w:type="dxa"/>
        <w:right w:w="0" w:type="dxa"/>
      </w:tblCellMar>
    </w:tblPr>
  </w:style>
  <w:style w:type="table" w:customStyle="1" w:styleId="245">
    <w:name w:val="List Table 2 - Accent 1"/>
    <w:qFormat/>
    <w:uiPriority w:val="99"/>
    <w:tblPr>
      <w:tblCellMar>
        <w:top w:w="0" w:type="dxa"/>
        <w:left w:w="0" w:type="dxa"/>
        <w:bottom w:w="0" w:type="dxa"/>
        <w:right w:w="0" w:type="dxa"/>
      </w:tblCellMar>
    </w:tblPr>
  </w:style>
  <w:style w:type="table" w:customStyle="1" w:styleId="246">
    <w:name w:val="List Table 2 - Accent 2"/>
    <w:qFormat/>
    <w:uiPriority w:val="99"/>
    <w:tblPr>
      <w:tblCellMar>
        <w:top w:w="0" w:type="dxa"/>
        <w:left w:w="0" w:type="dxa"/>
        <w:bottom w:w="0" w:type="dxa"/>
        <w:right w:w="0" w:type="dxa"/>
      </w:tblCellMar>
    </w:tblPr>
  </w:style>
  <w:style w:type="table" w:customStyle="1" w:styleId="247">
    <w:name w:val="List Table 2 - Accent 3"/>
    <w:qFormat/>
    <w:uiPriority w:val="99"/>
    <w:tblPr>
      <w:tblCellMar>
        <w:top w:w="0" w:type="dxa"/>
        <w:left w:w="0" w:type="dxa"/>
        <w:bottom w:w="0" w:type="dxa"/>
        <w:right w:w="0" w:type="dxa"/>
      </w:tblCellMar>
    </w:tblPr>
  </w:style>
  <w:style w:type="table" w:customStyle="1" w:styleId="248">
    <w:name w:val="List Table 2 - Accent 4"/>
    <w:qFormat/>
    <w:uiPriority w:val="99"/>
    <w:tblPr>
      <w:tblCellMar>
        <w:top w:w="0" w:type="dxa"/>
        <w:left w:w="0" w:type="dxa"/>
        <w:bottom w:w="0" w:type="dxa"/>
        <w:right w:w="0" w:type="dxa"/>
      </w:tblCellMar>
    </w:tblPr>
  </w:style>
  <w:style w:type="table" w:customStyle="1" w:styleId="249">
    <w:name w:val="List Table 2 - Accent 5"/>
    <w:qFormat/>
    <w:uiPriority w:val="99"/>
    <w:tblPr>
      <w:tblCellMar>
        <w:top w:w="0" w:type="dxa"/>
        <w:left w:w="0" w:type="dxa"/>
        <w:bottom w:w="0" w:type="dxa"/>
        <w:right w:w="0" w:type="dxa"/>
      </w:tblCellMar>
    </w:tblPr>
  </w:style>
  <w:style w:type="table" w:customStyle="1" w:styleId="250">
    <w:name w:val="List Table 2 - Accent 6"/>
    <w:qFormat/>
    <w:uiPriority w:val="99"/>
    <w:tblPr>
      <w:tblCellMar>
        <w:top w:w="0" w:type="dxa"/>
        <w:left w:w="0" w:type="dxa"/>
        <w:bottom w:w="0" w:type="dxa"/>
        <w:right w:w="0" w:type="dxa"/>
      </w:tblCellMar>
    </w:tblPr>
  </w:style>
  <w:style w:type="table" w:customStyle="1" w:styleId="251">
    <w:name w:val="清单表 31"/>
    <w:qFormat/>
    <w:uiPriority w:val="99"/>
    <w:tblPr>
      <w:tblCellMar>
        <w:top w:w="0" w:type="dxa"/>
        <w:left w:w="0" w:type="dxa"/>
        <w:bottom w:w="0" w:type="dxa"/>
        <w:right w:w="0" w:type="dxa"/>
      </w:tblCellMar>
    </w:tblPr>
  </w:style>
  <w:style w:type="table" w:customStyle="1" w:styleId="252">
    <w:name w:val="List Table 3 - Accent 1"/>
    <w:qFormat/>
    <w:uiPriority w:val="99"/>
    <w:tblPr>
      <w:tblCellMar>
        <w:top w:w="0" w:type="dxa"/>
        <w:left w:w="0" w:type="dxa"/>
        <w:bottom w:w="0" w:type="dxa"/>
        <w:right w:w="0" w:type="dxa"/>
      </w:tblCellMar>
    </w:tblPr>
  </w:style>
  <w:style w:type="table" w:customStyle="1" w:styleId="253">
    <w:name w:val="List Table 3 - Accent 2"/>
    <w:qFormat/>
    <w:uiPriority w:val="99"/>
    <w:tblPr>
      <w:tblCellMar>
        <w:top w:w="0" w:type="dxa"/>
        <w:left w:w="0" w:type="dxa"/>
        <w:bottom w:w="0" w:type="dxa"/>
        <w:right w:w="0" w:type="dxa"/>
      </w:tblCellMar>
    </w:tblPr>
  </w:style>
  <w:style w:type="table" w:customStyle="1" w:styleId="254">
    <w:name w:val="List Table 3 - Accent 3"/>
    <w:qFormat/>
    <w:uiPriority w:val="99"/>
    <w:tblPr>
      <w:tblCellMar>
        <w:top w:w="0" w:type="dxa"/>
        <w:left w:w="0" w:type="dxa"/>
        <w:bottom w:w="0" w:type="dxa"/>
        <w:right w:w="0" w:type="dxa"/>
      </w:tblCellMar>
    </w:tblPr>
  </w:style>
  <w:style w:type="table" w:customStyle="1" w:styleId="255">
    <w:name w:val="List Table 3 - Accent 4"/>
    <w:qFormat/>
    <w:uiPriority w:val="99"/>
    <w:tblPr>
      <w:tblCellMar>
        <w:top w:w="0" w:type="dxa"/>
        <w:left w:w="0" w:type="dxa"/>
        <w:bottom w:w="0" w:type="dxa"/>
        <w:right w:w="0" w:type="dxa"/>
      </w:tblCellMar>
    </w:tblPr>
  </w:style>
  <w:style w:type="table" w:customStyle="1" w:styleId="256">
    <w:name w:val="List Table 3 - Accent 5"/>
    <w:qFormat/>
    <w:uiPriority w:val="99"/>
    <w:tblPr>
      <w:tblCellMar>
        <w:top w:w="0" w:type="dxa"/>
        <w:left w:w="0" w:type="dxa"/>
        <w:bottom w:w="0" w:type="dxa"/>
        <w:right w:w="0" w:type="dxa"/>
      </w:tblCellMar>
    </w:tblPr>
  </w:style>
  <w:style w:type="table" w:customStyle="1" w:styleId="257">
    <w:name w:val="List Table 3 - Accent 6"/>
    <w:qFormat/>
    <w:uiPriority w:val="99"/>
    <w:tblPr>
      <w:tblCellMar>
        <w:top w:w="0" w:type="dxa"/>
        <w:left w:w="0" w:type="dxa"/>
        <w:bottom w:w="0" w:type="dxa"/>
        <w:right w:w="0" w:type="dxa"/>
      </w:tblCellMar>
    </w:tblPr>
  </w:style>
  <w:style w:type="table" w:customStyle="1" w:styleId="258">
    <w:name w:val="清单表 41"/>
    <w:qFormat/>
    <w:uiPriority w:val="99"/>
    <w:tblPr>
      <w:tblCellMar>
        <w:top w:w="0" w:type="dxa"/>
        <w:left w:w="0" w:type="dxa"/>
        <w:bottom w:w="0" w:type="dxa"/>
        <w:right w:w="0" w:type="dxa"/>
      </w:tblCellMar>
    </w:tblPr>
  </w:style>
  <w:style w:type="table" w:customStyle="1" w:styleId="259">
    <w:name w:val="List Table 4 - Accent 1"/>
    <w:qFormat/>
    <w:uiPriority w:val="99"/>
    <w:tblPr>
      <w:tblCellMar>
        <w:top w:w="0" w:type="dxa"/>
        <w:left w:w="0" w:type="dxa"/>
        <w:bottom w:w="0" w:type="dxa"/>
        <w:right w:w="0" w:type="dxa"/>
      </w:tblCellMar>
    </w:tblPr>
  </w:style>
  <w:style w:type="table" w:customStyle="1" w:styleId="260">
    <w:name w:val="List Table 4 - Accent 2"/>
    <w:qFormat/>
    <w:uiPriority w:val="99"/>
    <w:tblPr>
      <w:tblCellMar>
        <w:top w:w="0" w:type="dxa"/>
        <w:left w:w="0" w:type="dxa"/>
        <w:bottom w:w="0" w:type="dxa"/>
        <w:right w:w="0" w:type="dxa"/>
      </w:tblCellMar>
    </w:tblPr>
  </w:style>
  <w:style w:type="table" w:customStyle="1" w:styleId="261">
    <w:name w:val="List Table 4 - Accent 3"/>
    <w:qFormat/>
    <w:uiPriority w:val="99"/>
    <w:tblPr>
      <w:tblCellMar>
        <w:top w:w="0" w:type="dxa"/>
        <w:left w:w="0" w:type="dxa"/>
        <w:bottom w:w="0" w:type="dxa"/>
        <w:right w:w="0" w:type="dxa"/>
      </w:tblCellMar>
    </w:tblPr>
  </w:style>
  <w:style w:type="table" w:customStyle="1" w:styleId="262">
    <w:name w:val="List Table 4 - Accent 4"/>
    <w:qFormat/>
    <w:uiPriority w:val="99"/>
    <w:tblPr>
      <w:tblCellMar>
        <w:top w:w="0" w:type="dxa"/>
        <w:left w:w="0" w:type="dxa"/>
        <w:bottom w:w="0" w:type="dxa"/>
        <w:right w:w="0" w:type="dxa"/>
      </w:tblCellMar>
    </w:tblPr>
  </w:style>
  <w:style w:type="table" w:customStyle="1" w:styleId="263">
    <w:name w:val="List Table 4 - Accent 5"/>
    <w:qFormat/>
    <w:uiPriority w:val="99"/>
    <w:tblPr>
      <w:tblCellMar>
        <w:top w:w="0" w:type="dxa"/>
        <w:left w:w="0" w:type="dxa"/>
        <w:bottom w:w="0" w:type="dxa"/>
        <w:right w:w="0" w:type="dxa"/>
      </w:tblCellMar>
    </w:tblPr>
  </w:style>
  <w:style w:type="table" w:customStyle="1" w:styleId="264">
    <w:name w:val="List Table 4 - Accent 6"/>
    <w:qFormat/>
    <w:uiPriority w:val="99"/>
    <w:tblPr>
      <w:tblCellMar>
        <w:top w:w="0" w:type="dxa"/>
        <w:left w:w="0" w:type="dxa"/>
        <w:bottom w:w="0" w:type="dxa"/>
        <w:right w:w="0" w:type="dxa"/>
      </w:tblCellMar>
    </w:tblPr>
  </w:style>
  <w:style w:type="table" w:customStyle="1" w:styleId="265">
    <w:name w:val="清单表 5 深色1"/>
    <w:qFormat/>
    <w:uiPriority w:val="99"/>
    <w:tblPr>
      <w:tblCellMar>
        <w:top w:w="0" w:type="dxa"/>
        <w:left w:w="0" w:type="dxa"/>
        <w:bottom w:w="0" w:type="dxa"/>
        <w:right w:w="0" w:type="dxa"/>
      </w:tblCellMar>
    </w:tblPr>
  </w:style>
  <w:style w:type="table" w:customStyle="1" w:styleId="266">
    <w:name w:val="List Table 5 Dark - Accent 1"/>
    <w:qFormat/>
    <w:uiPriority w:val="99"/>
    <w:tblPr>
      <w:tblCellMar>
        <w:top w:w="0" w:type="dxa"/>
        <w:left w:w="0" w:type="dxa"/>
        <w:bottom w:w="0" w:type="dxa"/>
        <w:right w:w="0" w:type="dxa"/>
      </w:tblCellMar>
    </w:tblPr>
  </w:style>
  <w:style w:type="table" w:customStyle="1" w:styleId="267">
    <w:name w:val="List Table 5 Dark - Accent 2"/>
    <w:qFormat/>
    <w:uiPriority w:val="99"/>
    <w:tblPr>
      <w:tblCellMar>
        <w:top w:w="0" w:type="dxa"/>
        <w:left w:w="0" w:type="dxa"/>
        <w:bottom w:w="0" w:type="dxa"/>
        <w:right w:w="0" w:type="dxa"/>
      </w:tblCellMar>
    </w:tblPr>
  </w:style>
  <w:style w:type="table" w:customStyle="1" w:styleId="268">
    <w:name w:val="List Table 5 Dark - Accent 3"/>
    <w:qFormat/>
    <w:uiPriority w:val="99"/>
    <w:tblPr>
      <w:tblCellMar>
        <w:top w:w="0" w:type="dxa"/>
        <w:left w:w="0" w:type="dxa"/>
        <w:bottom w:w="0" w:type="dxa"/>
        <w:right w:w="0" w:type="dxa"/>
      </w:tblCellMar>
    </w:tblPr>
  </w:style>
  <w:style w:type="table" w:customStyle="1" w:styleId="269">
    <w:name w:val="List Table 5 Dark - Accent 4"/>
    <w:qFormat/>
    <w:uiPriority w:val="99"/>
    <w:tblPr>
      <w:tblCellMar>
        <w:top w:w="0" w:type="dxa"/>
        <w:left w:w="0" w:type="dxa"/>
        <w:bottom w:w="0" w:type="dxa"/>
        <w:right w:w="0" w:type="dxa"/>
      </w:tblCellMar>
    </w:tblPr>
  </w:style>
  <w:style w:type="table" w:customStyle="1" w:styleId="270">
    <w:name w:val="List Table 5 Dark - Accent 5"/>
    <w:qFormat/>
    <w:uiPriority w:val="99"/>
    <w:tblPr>
      <w:tblCellMar>
        <w:top w:w="0" w:type="dxa"/>
        <w:left w:w="0" w:type="dxa"/>
        <w:bottom w:w="0" w:type="dxa"/>
        <w:right w:w="0" w:type="dxa"/>
      </w:tblCellMar>
    </w:tblPr>
  </w:style>
  <w:style w:type="table" w:customStyle="1" w:styleId="271">
    <w:name w:val="List Table 5 Dark - Accent 6"/>
    <w:qFormat/>
    <w:uiPriority w:val="99"/>
    <w:tblPr>
      <w:tblCellMar>
        <w:top w:w="0" w:type="dxa"/>
        <w:left w:w="0" w:type="dxa"/>
        <w:bottom w:w="0" w:type="dxa"/>
        <w:right w:w="0" w:type="dxa"/>
      </w:tblCellMar>
    </w:tblPr>
  </w:style>
  <w:style w:type="table" w:customStyle="1" w:styleId="272">
    <w:name w:val="清单表 6 彩色1"/>
    <w:qFormat/>
    <w:uiPriority w:val="99"/>
    <w:tblPr>
      <w:tblCellMar>
        <w:top w:w="0" w:type="dxa"/>
        <w:left w:w="0" w:type="dxa"/>
        <w:bottom w:w="0" w:type="dxa"/>
        <w:right w:w="0" w:type="dxa"/>
      </w:tblCellMar>
    </w:tblPr>
  </w:style>
  <w:style w:type="table" w:customStyle="1" w:styleId="273">
    <w:name w:val="List Table 6 Colorful - Accent 1"/>
    <w:qFormat/>
    <w:uiPriority w:val="99"/>
    <w:tblPr>
      <w:tblCellMar>
        <w:top w:w="0" w:type="dxa"/>
        <w:left w:w="0" w:type="dxa"/>
        <w:bottom w:w="0" w:type="dxa"/>
        <w:right w:w="0" w:type="dxa"/>
      </w:tblCellMar>
    </w:tblPr>
  </w:style>
  <w:style w:type="table" w:customStyle="1" w:styleId="274">
    <w:name w:val="List Table 6 Colorful - Accent 2"/>
    <w:qFormat/>
    <w:uiPriority w:val="99"/>
    <w:tblPr>
      <w:tblCellMar>
        <w:top w:w="0" w:type="dxa"/>
        <w:left w:w="0" w:type="dxa"/>
        <w:bottom w:w="0" w:type="dxa"/>
        <w:right w:w="0" w:type="dxa"/>
      </w:tblCellMar>
    </w:tblPr>
  </w:style>
  <w:style w:type="table" w:customStyle="1" w:styleId="275">
    <w:name w:val="List Table 6 Colorful - Accent 3"/>
    <w:qFormat/>
    <w:uiPriority w:val="99"/>
    <w:tblPr>
      <w:tblCellMar>
        <w:top w:w="0" w:type="dxa"/>
        <w:left w:w="0" w:type="dxa"/>
        <w:bottom w:w="0" w:type="dxa"/>
        <w:right w:w="0" w:type="dxa"/>
      </w:tblCellMar>
    </w:tblPr>
  </w:style>
  <w:style w:type="table" w:customStyle="1" w:styleId="276">
    <w:name w:val="List Table 6 Colorful - Accent 4"/>
    <w:qFormat/>
    <w:uiPriority w:val="99"/>
    <w:tblPr>
      <w:tblCellMar>
        <w:top w:w="0" w:type="dxa"/>
        <w:left w:w="0" w:type="dxa"/>
        <w:bottom w:w="0" w:type="dxa"/>
        <w:right w:w="0" w:type="dxa"/>
      </w:tblCellMar>
    </w:tblPr>
  </w:style>
  <w:style w:type="table" w:customStyle="1" w:styleId="277">
    <w:name w:val="List Table 6 Colorful - Accent 5"/>
    <w:qFormat/>
    <w:uiPriority w:val="99"/>
    <w:tblPr>
      <w:tblCellMar>
        <w:top w:w="0" w:type="dxa"/>
        <w:left w:w="0" w:type="dxa"/>
        <w:bottom w:w="0" w:type="dxa"/>
        <w:right w:w="0" w:type="dxa"/>
      </w:tblCellMar>
    </w:tblPr>
  </w:style>
  <w:style w:type="table" w:customStyle="1" w:styleId="278">
    <w:name w:val="List Table 6 Colorful - Accent 6"/>
    <w:qFormat/>
    <w:uiPriority w:val="99"/>
    <w:tblPr>
      <w:tblCellMar>
        <w:top w:w="0" w:type="dxa"/>
        <w:left w:w="0" w:type="dxa"/>
        <w:bottom w:w="0" w:type="dxa"/>
        <w:right w:w="0" w:type="dxa"/>
      </w:tblCellMar>
    </w:tblPr>
  </w:style>
  <w:style w:type="table" w:customStyle="1" w:styleId="279">
    <w:name w:val="清单表 7 彩色1"/>
    <w:qFormat/>
    <w:uiPriority w:val="99"/>
    <w:tblPr>
      <w:tblCellMar>
        <w:top w:w="0" w:type="dxa"/>
        <w:left w:w="0" w:type="dxa"/>
        <w:bottom w:w="0" w:type="dxa"/>
        <w:right w:w="0" w:type="dxa"/>
      </w:tblCellMar>
    </w:tblPr>
  </w:style>
  <w:style w:type="table" w:customStyle="1" w:styleId="280">
    <w:name w:val="List Table 7 Colorful - Accent 1"/>
    <w:qFormat/>
    <w:uiPriority w:val="99"/>
    <w:tblPr>
      <w:tblCellMar>
        <w:top w:w="0" w:type="dxa"/>
        <w:left w:w="0" w:type="dxa"/>
        <w:bottom w:w="0" w:type="dxa"/>
        <w:right w:w="0" w:type="dxa"/>
      </w:tblCellMar>
    </w:tblPr>
  </w:style>
  <w:style w:type="table" w:customStyle="1" w:styleId="281">
    <w:name w:val="List Table 7 Colorful - Accent 2"/>
    <w:qFormat/>
    <w:uiPriority w:val="99"/>
    <w:tblPr>
      <w:tblCellMar>
        <w:top w:w="0" w:type="dxa"/>
        <w:left w:w="0" w:type="dxa"/>
        <w:bottom w:w="0" w:type="dxa"/>
        <w:right w:w="0" w:type="dxa"/>
      </w:tblCellMar>
    </w:tblPr>
  </w:style>
  <w:style w:type="table" w:customStyle="1" w:styleId="282">
    <w:name w:val="List Table 7 Colorful - Accent 3"/>
    <w:qFormat/>
    <w:uiPriority w:val="99"/>
    <w:tblPr>
      <w:tblCellMar>
        <w:top w:w="0" w:type="dxa"/>
        <w:left w:w="0" w:type="dxa"/>
        <w:bottom w:w="0" w:type="dxa"/>
        <w:right w:w="0" w:type="dxa"/>
      </w:tblCellMar>
    </w:tblPr>
  </w:style>
  <w:style w:type="table" w:customStyle="1" w:styleId="283">
    <w:name w:val="List Table 7 Colorful - Accent 4"/>
    <w:qFormat/>
    <w:uiPriority w:val="99"/>
    <w:tblPr>
      <w:tblCellMar>
        <w:top w:w="0" w:type="dxa"/>
        <w:left w:w="0" w:type="dxa"/>
        <w:bottom w:w="0" w:type="dxa"/>
        <w:right w:w="0" w:type="dxa"/>
      </w:tblCellMar>
    </w:tblPr>
  </w:style>
  <w:style w:type="table" w:customStyle="1" w:styleId="284">
    <w:name w:val="List Table 7 Colorful - Accent 5"/>
    <w:qFormat/>
    <w:uiPriority w:val="99"/>
    <w:tblPr>
      <w:tblCellMar>
        <w:top w:w="0" w:type="dxa"/>
        <w:left w:w="0" w:type="dxa"/>
        <w:bottom w:w="0" w:type="dxa"/>
        <w:right w:w="0" w:type="dxa"/>
      </w:tblCellMar>
    </w:tblPr>
  </w:style>
  <w:style w:type="table" w:customStyle="1" w:styleId="285">
    <w:name w:val="List Table 7 Colorful - Accent 6"/>
    <w:qFormat/>
    <w:uiPriority w:val="99"/>
    <w:tblPr>
      <w:tblCellMar>
        <w:top w:w="0" w:type="dxa"/>
        <w:left w:w="0" w:type="dxa"/>
        <w:bottom w:w="0" w:type="dxa"/>
        <w:right w:w="0" w:type="dxa"/>
      </w:tblCellMar>
    </w:tblPr>
  </w:style>
  <w:style w:type="table" w:customStyle="1" w:styleId="286">
    <w:name w:val="Lined - Accent"/>
    <w:qFormat/>
    <w:uiPriority w:val="99"/>
    <w:rPr>
      <w:color w:val="404040"/>
    </w:rPr>
    <w:tblPr>
      <w:tblCellMar>
        <w:top w:w="0" w:type="dxa"/>
        <w:left w:w="0" w:type="dxa"/>
        <w:bottom w:w="0" w:type="dxa"/>
        <w:right w:w="0" w:type="dxa"/>
      </w:tblCellMar>
    </w:tblPr>
  </w:style>
  <w:style w:type="table" w:customStyle="1" w:styleId="287">
    <w:name w:val="Lined - Accent 1"/>
    <w:qFormat/>
    <w:uiPriority w:val="99"/>
    <w:rPr>
      <w:color w:val="404040"/>
    </w:rPr>
    <w:tblPr>
      <w:tblCellMar>
        <w:top w:w="0" w:type="dxa"/>
        <w:left w:w="0" w:type="dxa"/>
        <w:bottom w:w="0" w:type="dxa"/>
        <w:right w:w="0" w:type="dxa"/>
      </w:tblCellMar>
    </w:tblPr>
  </w:style>
  <w:style w:type="table" w:customStyle="1" w:styleId="288">
    <w:name w:val="Lined - Accent 2"/>
    <w:qFormat/>
    <w:uiPriority w:val="99"/>
    <w:rPr>
      <w:color w:val="404040"/>
    </w:rPr>
    <w:tblPr>
      <w:tblCellMar>
        <w:top w:w="0" w:type="dxa"/>
        <w:left w:w="0" w:type="dxa"/>
        <w:bottom w:w="0" w:type="dxa"/>
        <w:right w:w="0" w:type="dxa"/>
      </w:tblCellMar>
    </w:tblPr>
  </w:style>
  <w:style w:type="table" w:customStyle="1" w:styleId="289">
    <w:name w:val="Lined - Accent 3"/>
    <w:qFormat/>
    <w:uiPriority w:val="99"/>
    <w:rPr>
      <w:color w:val="404040"/>
    </w:rPr>
    <w:tblPr>
      <w:tblCellMar>
        <w:top w:w="0" w:type="dxa"/>
        <w:left w:w="0" w:type="dxa"/>
        <w:bottom w:w="0" w:type="dxa"/>
        <w:right w:w="0" w:type="dxa"/>
      </w:tblCellMar>
    </w:tblPr>
  </w:style>
  <w:style w:type="table" w:customStyle="1" w:styleId="290">
    <w:name w:val="Lined - Accent 4"/>
    <w:qFormat/>
    <w:uiPriority w:val="99"/>
    <w:rPr>
      <w:color w:val="404040"/>
    </w:rPr>
    <w:tblPr>
      <w:tblCellMar>
        <w:top w:w="0" w:type="dxa"/>
        <w:left w:w="0" w:type="dxa"/>
        <w:bottom w:w="0" w:type="dxa"/>
        <w:right w:w="0" w:type="dxa"/>
      </w:tblCellMar>
    </w:tblPr>
  </w:style>
  <w:style w:type="table" w:customStyle="1" w:styleId="291">
    <w:name w:val="Lined - Accent 5"/>
    <w:qFormat/>
    <w:uiPriority w:val="99"/>
    <w:rPr>
      <w:color w:val="404040"/>
    </w:rPr>
    <w:tblPr>
      <w:tblCellMar>
        <w:top w:w="0" w:type="dxa"/>
        <w:left w:w="0" w:type="dxa"/>
        <w:bottom w:w="0" w:type="dxa"/>
        <w:right w:w="0" w:type="dxa"/>
      </w:tblCellMar>
    </w:tblPr>
  </w:style>
  <w:style w:type="table" w:customStyle="1" w:styleId="292">
    <w:name w:val="Lined - Accent 6"/>
    <w:qFormat/>
    <w:uiPriority w:val="99"/>
    <w:rPr>
      <w:color w:val="404040"/>
    </w:rPr>
    <w:tblPr>
      <w:tblCellMar>
        <w:top w:w="0" w:type="dxa"/>
        <w:left w:w="0" w:type="dxa"/>
        <w:bottom w:w="0" w:type="dxa"/>
        <w:right w:w="0" w:type="dxa"/>
      </w:tblCellMar>
    </w:tblPr>
  </w:style>
  <w:style w:type="table" w:customStyle="1" w:styleId="293">
    <w:name w:val="Bordered &amp; Lined - Accent"/>
    <w:qFormat/>
    <w:uiPriority w:val="99"/>
    <w:rPr>
      <w:color w:val="404040"/>
    </w:rPr>
    <w:tblPr>
      <w:tblCellMar>
        <w:top w:w="0" w:type="dxa"/>
        <w:left w:w="0" w:type="dxa"/>
        <w:bottom w:w="0" w:type="dxa"/>
        <w:right w:w="0" w:type="dxa"/>
      </w:tblCellMar>
    </w:tblPr>
  </w:style>
  <w:style w:type="table" w:customStyle="1" w:styleId="294">
    <w:name w:val="Bordered &amp; Lined - Accent 1"/>
    <w:qFormat/>
    <w:uiPriority w:val="99"/>
    <w:rPr>
      <w:color w:val="404040"/>
    </w:rPr>
    <w:tblPr>
      <w:tblCellMar>
        <w:top w:w="0" w:type="dxa"/>
        <w:left w:w="0" w:type="dxa"/>
        <w:bottom w:w="0" w:type="dxa"/>
        <w:right w:w="0" w:type="dxa"/>
      </w:tblCellMar>
    </w:tblPr>
  </w:style>
  <w:style w:type="table" w:customStyle="1" w:styleId="295">
    <w:name w:val="Bordered &amp; Lined - Accent 2"/>
    <w:qFormat/>
    <w:uiPriority w:val="99"/>
    <w:rPr>
      <w:color w:val="404040"/>
    </w:rPr>
    <w:tblPr>
      <w:tblCellMar>
        <w:top w:w="0" w:type="dxa"/>
        <w:left w:w="0" w:type="dxa"/>
        <w:bottom w:w="0" w:type="dxa"/>
        <w:right w:w="0" w:type="dxa"/>
      </w:tblCellMar>
    </w:tblPr>
  </w:style>
  <w:style w:type="table" w:customStyle="1" w:styleId="296">
    <w:name w:val="Bordered &amp; Lined - Accent 3"/>
    <w:qFormat/>
    <w:uiPriority w:val="99"/>
    <w:rPr>
      <w:color w:val="404040"/>
    </w:rPr>
    <w:tblPr>
      <w:tblCellMar>
        <w:top w:w="0" w:type="dxa"/>
        <w:left w:w="0" w:type="dxa"/>
        <w:bottom w:w="0" w:type="dxa"/>
        <w:right w:w="0" w:type="dxa"/>
      </w:tblCellMar>
    </w:tblPr>
  </w:style>
  <w:style w:type="table" w:customStyle="1" w:styleId="297">
    <w:name w:val="Bordered &amp; Lined - Accent 4"/>
    <w:qFormat/>
    <w:uiPriority w:val="99"/>
    <w:rPr>
      <w:color w:val="404040"/>
    </w:rPr>
    <w:tblPr>
      <w:tblCellMar>
        <w:top w:w="0" w:type="dxa"/>
        <w:left w:w="0" w:type="dxa"/>
        <w:bottom w:w="0" w:type="dxa"/>
        <w:right w:w="0" w:type="dxa"/>
      </w:tblCellMar>
    </w:tblPr>
  </w:style>
  <w:style w:type="table" w:customStyle="1" w:styleId="298">
    <w:name w:val="Bordered &amp; Lined - Accent 5"/>
    <w:qFormat/>
    <w:uiPriority w:val="99"/>
    <w:rPr>
      <w:color w:val="404040"/>
    </w:rPr>
    <w:tblPr>
      <w:tblCellMar>
        <w:top w:w="0" w:type="dxa"/>
        <w:left w:w="0" w:type="dxa"/>
        <w:bottom w:w="0" w:type="dxa"/>
        <w:right w:w="0" w:type="dxa"/>
      </w:tblCellMar>
    </w:tblPr>
  </w:style>
  <w:style w:type="table" w:customStyle="1" w:styleId="299">
    <w:name w:val="Bordered &amp; Lined - Accent 6"/>
    <w:qFormat/>
    <w:uiPriority w:val="99"/>
    <w:rPr>
      <w:color w:val="404040"/>
    </w:rPr>
    <w:tblPr>
      <w:tblCellMar>
        <w:top w:w="0" w:type="dxa"/>
        <w:left w:w="0" w:type="dxa"/>
        <w:bottom w:w="0" w:type="dxa"/>
        <w:right w:w="0" w:type="dxa"/>
      </w:tblCellMar>
    </w:tblPr>
  </w:style>
  <w:style w:type="table" w:customStyle="1" w:styleId="300">
    <w:name w:val="Bordered"/>
    <w:qFormat/>
    <w:uiPriority w:val="99"/>
    <w:tblPr>
      <w:tblCellMar>
        <w:top w:w="0" w:type="dxa"/>
        <w:left w:w="0" w:type="dxa"/>
        <w:bottom w:w="0" w:type="dxa"/>
        <w:right w:w="0" w:type="dxa"/>
      </w:tblCellMar>
    </w:tblPr>
  </w:style>
  <w:style w:type="table" w:customStyle="1" w:styleId="301">
    <w:name w:val="Bordered - Accent 1"/>
    <w:qFormat/>
    <w:uiPriority w:val="99"/>
    <w:tblPr>
      <w:tblCellMar>
        <w:top w:w="0" w:type="dxa"/>
        <w:left w:w="0" w:type="dxa"/>
        <w:bottom w:w="0" w:type="dxa"/>
        <w:right w:w="0" w:type="dxa"/>
      </w:tblCellMar>
    </w:tblPr>
  </w:style>
  <w:style w:type="table" w:customStyle="1" w:styleId="302">
    <w:name w:val="Bordered - Accent 2"/>
    <w:qFormat/>
    <w:uiPriority w:val="99"/>
    <w:tblPr>
      <w:tblCellMar>
        <w:top w:w="0" w:type="dxa"/>
        <w:left w:w="0" w:type="dxa"/>
        <w:bottom w:w="0" w:type="dxa"/>
        <w:right w:w="0" w:type="dxa"/>
      </w:tblCellMar>
    </w:tblPr>
  </w:style>
  <w:style w:type="table" w:customStyle="1" w:styleId="303">
    <w:name w:val="Bordered - Accent 3"/>
    <w:qFormat/>
    <w:uiPriority w:val="99"/>
    <w:tblPr>
      <w:tblCellMar>
        <w:top w:w="0" w:type="dxa"/>
        <w:left w:w="0" w:type="dxa"/>
        <w:bottom w:w="0" w:type="dxa"/>
        <w:right w:w="0" w:type="dxa"/>
      </w:tblCellMar>
    </w:tblPr>
  </w:style>
  <w:style w:type="table" w:customStyle="1" w:styleId="304">
    <w:name w:val="Bordered - Accent 4"/>
    <w:qFormat/>
    <w:uiPriority w:val="99"/>
    <w:tblPr>
      <w:tblCellMar>
        <w:top w:w="0" w:type="dxa"/>
        <w:left w:w="0" w:type="dxa"/>
        <w:bottom w:w="0" w:type="dxa"/>
        <w:right w:w="0" w:type="dxa"/>
      </w:tblCellMar>
    </w:tblPr>
  </w:style>
  <w:style w:type="table" w:customStyle="1" w:styleId="305">
    <w:name w:val="Bordered - Accent 5"/>
    <w:qFormat/>
    <w:uiPriority w:val="99"/>
    <w:tblPr>
      <w:tblCellMar>
        <w:top w:w="0" w:type="dxa"/>
        <w:left w:w="0" w:type="dxa"/>
        <w:bottom w:w="0" w:type="dxa"/>
        <w:right w:w="0" w:type="dxa"/>
      </w:tblCellMar>
    </w:tblPr>
  </w:style>
  <w:style w:type="table" w:customStyle="1" w:styleId="306">
    <w:name w:val="Bordered - Accent 6"/>
    <w:qFormat/>
    <w:uiPriority w:val="99"/>
    <w:tblPr>
      <w:tblCellMar>
        <w:top w:w="0" w:type="dxa"/>
        <w:left w:w="0" w:type="dxa"/>
        <w:bottom w:w="0" w:type="dxa"/>
        <w:right w:w="0" w:type="dxa"/>
      </w:tblCellMar>
    </w:tblPr>
  </w:style>
  <w:style w:type="paragraph" w:customStyle="1" w:styleId="307">
    <w:name w:val="TOC 标题11"/>
    <w:unhideWhenUsed/>
    <w:qFormat/>
    <w:uiPriority w:val="39"/>
    <w:rPr>
      <w:rFonts w:ascii="Times New Roman" w:hAnsi="Times New Roman" w:eastAsia="宋体" w:cs="Times New Roman"/>
      <w:lang w:val="en-US" w:eastAsia="zh-CN" w:bidi="ar-SA"/>
    </w:rPr>
  </w:style>
  <w:style w:type="paragraph" w:customStyle="1" w:styleId="308">
    <w:name w:val="无间隔11"/>
    <w:qFormat/>
    <w:uiPriority w:val="0"/>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309">
    <w:name w:val="正文文本首行缩进 字符"/>
    <w:qFormat/>
    <w:uiPriority w:val="0"/>
    <w:rPr>
      <w:rFonts w:eastAsia="楷体_GB2312"/>
      <w:sz w:val="26"/>
    </w:rPr>
  </w:style>
  <w:style w:type="character" w:customStyle="1" w:styleId="310">
    <w:name w:val="Char Char4"/>
    <w:qFormat/>
    <w:uiPriority w:val="0"/>
    <w:rPr>
      <w:rFonts w:ascii="方正仿宋简体" w:hAnsi="创艺简仿宋" w:eastAsia="方正仿宋简体"/>
      <w:sz w:val="24"/>
      <w:lang w:val="en-US" w:eastAsia="zh-CN" w:bidi="ar-SA"/>
    </w:rPr>
  </w:style>
  <w:style w:type="character" w:customStyle="1" w:styleId="311">
    <w:name w:val="state"/>
    <w:qFormat/>
    <w:uiPriority w:val="0"/>
    <w:rPr>
      <w:b/>
      <w:color w:val="FFFFFF"/>
      <w:sz w:val="19"/>
      <w:szCs w:val="19"/>
    </w:rPr>
  </w:style>
  <w:style w:type="character" w:customStyle="1" w:styleId="312">
    <w:name w:val="bds_more6"/>
    <w:qFormat/>
    <w:uiPriority w:val="0"/>
  </w:style>
  <w:style w:type="character" w:customStyle="1" w:styleId="313">
    <w:name w:val="hilite"/>
    <w:qFormat/>
    <w:uiPriority w:val="0"/>
    <w:rPr>
      <w:color w:val="FFFFFF"/>
      <w:shd w:val="clear" w:color="auto" w:fill="776666"/>
    </w:rPr>
  </w:style>
  <w:style w:type="character" w:customStyle="1" w:styleId="314">
    <w:name w:val="bds_nopic"/>
    <w:qFormat/>
    <w:uiPriority w:val="0"/>
  </w:style>
  <w:style w:type="character" w:customStyle="1" w:styleId="315">
    <w:name w:val="Char Char2"/>
    <w:qFormat/>
    <w:uiPriority w:val="0"/>
    <w:rPr>
      <w:rFonts w:ascii="宋体" w:hAnsi="宋体" w:eastAsia="楷体_GB2312"/>
      <w:b/>
      <w:sz w:val="26"/>
      <w:lang w:val="en-US" w:eastAsia="zh-CN" w:bidi="ar-SA"/>
    </w:rPr>
  </w:style>
  <w:style w:type="character" w:customStyle="1" w:styleId="316">
    <w:name w:val="hover61"/>
    <w:qFormat/>
    <w:uiPriority w:val="0"/>
    <w:rPr>
      <w:shd w:val="clear" w:color="auto" w:fill="FF0000"/>
    </w:rPr>
  </w:style>
  <w:style w:type="character" w:customStyle="1" w:styleId="317">
    <w:name w:val="font51"/>
    <w:qFormat/>
    <w:uiPriority w:val="99"/>
    <w:rPr>
      <w:rFonts w:hint="eastAsia" w:ascii="宋体" w:hAnsi="宋体" w:eastAsia="宋体" w:cs="宋体"/>
      <w:color w:val="FF0000"/>
      <w:sz w:val="20"/>
      <w:szCs w:val="20"/>
      <w:u w:val="none"/>
    </w:rPr>
  </w:style>
  <w:style w:type="character" w:customStyle="1" w:styleId="318">
    <w:name w:val="grid"/>
    <w:qFormat/>
    <w:uiPriority w:val="0"/>
  </w:style>
  <w:style w:type="character" w:customStyle="1" w:styleId="319">
    <w:name w:val="bds_more7"/>
    <w:qFormat/>
    <w:uiPriority w:val="0"/>
  </w:style>
  <w:style w:type="character" w:customStyle="1" w:styleId="320">
    <w:name w:val="bds_more8"/>
    <w:qFormat/>
    <w:uiPriority w:val="0"/>
    <w:rPr>
      <w:rFonts w:hint="eastAsia" w:ascii="宋体" w:hAnsi="宋体" w:eastAsia="宋体" w:cs="宋体"/>
    </w:rPr>
  </w:style>
  <w:style w:type="character" w:customStyle="1" w:styleId="321">
    <w:name w:val="bds_more4"/>
    <w:qFormat/>
    <w:uiPriority w:val="0"/>
    <w:rPr>
      <w:rFonts w:hint="eastAsia" w:ascii="宋体" w:hAnsi="宋体" w:eastAsia="宋体" w:cs="宋体"/>
    </w:rPr>
  </w:style>
  <w:style w:type="character" w:customStyle="1" w:styleId="322">
    <w:name w:val="bds_nopic1"/>
    <w:qFormat/>
    <w:uiPriority w:val="0"/>
  </w:style>
  <w:style w:type="character" w:customStyle="1" w:styleId="323">
    <w:name w:val="hilite6"/>
    <w:qFormat/>
    <w:uiPriority w:val="0"/>
    <w:rPr>
      <w:color w:val="FFFFFF"/>
      <w:shd w:val="clear" w:color="auto" w:fill="776666"/>
    </w:rPr>
  </w:style>
  <w:style w:type="character" w:customStyle="1" w:styleId="324">
    <w:name w:val="正文缩进2格 Char Char"/>
    <w:link w:val="325"/>
    <w:qFormat/>
    <w:uiPriority w:val="0"/>
    <w:rPr>
      <w:rFonts w:ascii="仿宋_GB2312" w:hAnsi="宋体" w:eastAsia="仿宋_GB2312"/>
      <w:sz w:val="31"/>
      <w:szCs w:val="28"/>
    </w:rPr>
  </w:style>
  <w:style w:type="paragraph" w:customStyle="1" w:styleId="325">
    <w:name w:val="正文缩进2格"/>
    <w:basedOn w:val="1"/>
    <w:link w:val="324"/>
    <w:qFormat/>
    <w:uiPriority w:val="0"/>
    <w:pPr>
      <w:spacing w:line="600" w:lineRule="exact"/>
      <w:ind w:firstLine="639"/>
    </w:pPr>
    <w:rPr>
      <w:rFonts w:ascii="仿宋_GB2312" w:hAnsi="宋体" w:eastAsia="仿宋_GB2312"/>
      <w:sz w:val="31"/>
      <w:szCs w:val="28"/>
    </w:rPr>
  </w:style>
  <w:style w:type="character" w:customStyle="1" w:styleId="326">
    <w:name w:val="grid2"/>
    <w:qFormat/>
    <w:uiPriority w:val="0"/>
  </w:style>
  <w:style w:type="character" w:customStyle="1" w:styleId="327">
    <w:name w:val="other"/>
    <w:qFormat/>
    <w:uiPriority w:val="0"/>
  </w:style>
  <w:style w:type="character" w:customStyle="1" w:styleId="328">
    <w:name w:val="font01"/>
    <w:qFormat/>
    <w:uiPriority w:val="0"/>
    <w:rPr>
      <w:rFonts w:hint="eastAsia" w:ascii="宋体" w:hAnsi="宋体" w:eastAsia="宋体" w:cs="宋体"/>
      <w:b/>
      <w:color w:val="000000"/>
      <w:sz w:val="20"/>
      <w:szCs w:val="20"/>
      <w:u w:val="none"/>
    </w:rPr>
  </w:style>
  <w:style w:type="character" w:customStyle="1" w:styleId="329">
    <w:name w:val="noused"/>
    <w:qFormat/>
    <w:uiPriority w:val="0"/>
    <w:rPr>
      <w:b/>
      <w:color w:val="FFFFFF"/>
      <w:sz w:val="21"/>
      <w:szCs w:val="21"/>
    </w:rPr>
  </w:style>
  <w:style w:type="character" w:customStyle="1" w:styleId="330">
    <w:name w:val="active8"/>
    <w:qFormat/>
    <w:uiPriority w:val="0"/>
    <w:rPr>
      <w:color w:val="00FF00"/>
      <w:shd w:val="clear" w:color="auto" w:fill="000000"/>
    </w:rPr>
  </w:style>
  <w:style w:type="character" w:customStyle="1" w:styleId="331">
    <w:name w:val="font61"/>
    <w:qFormat/>
    <w:uiPriority w:val="0"/>
    <w:rPr>
      <w:rFonts w:hint="eastAsia" w:ascii="宋体" w:hAnsi="宋体" w:eastAsia="宋体" w:cs="宋体"/>
      <w:color w:val="000000"/>
      <w:sz w:val="20"/>
      <w:szCs w:val="20"/>
      <w:u w:val="none"/>
    </w:rPr>
  </w:style>
  <w:style w:type="character" w:customStyle="1" w:styleId="332">
    <w:name w:val="bds_more5"/>
    <w:qFormat/>
    <w:uiPriority w:val="0"/>
  </w:style>
  <w:style w:type="character" w:customStyle="1" w:styleId="333">
    <w:name w:val="bds_nopic2"/>
    <w:qFormat/>
    <w:uiPriority w:val="0"/>
  </w:style>
  <w:style w:type="character" w:customStyle="1" w:styleId="334">
    <w:name w:val="active"/>
    <w:qFormat/>
    <w:uiPriority w:val="0"/>
    <w:rPr>
      <w:color w:val="00FF00"/>
      <w:shd w:val="clear" w:color="auto" w:fill="000000"/>
    </w:rPr>
  </w:style>
  <w:style w:type="character" w:customStyle="1" w:styleId="335">
    <w:name w:val="font41"/>
    <w:qFormat/>
    <w:uiPriority w:val="0"/>
    <w:rPr>
      <w:rFonts w:hint="eastAsia" w:ascii="宋体" w:hAnsi="宋体" w:eastAsia="宋体" w:cs="宋体"/>
      <w:color w:val="000000"/>
      <w:sz w:val="20"/>
      <w:szCs w:val="20"/>
      <w:u w:val="none"/>
    </w:rPr>
  </w:style>
  <w:style w:type="character" w:customStyle="1" w:styleId="336">
    <w:name w:val="font11"/>
    <w:qFormat/>
    <w:uiPriority w:val="0"/>
    <w:rPr>
      <w:rFonts w:ascii="宋体" w:hAnsi="宋体" w:eastAsia="宋体"/>
      <w:color w:val="000000"/>
      <w:sz w:val="28"/>
      <w:u w:val="none"/>
    </w:rPr>
  </w:style>
  <w:style w:type="character" w:customStyle="1" w:styleId="337">
    <w:name w:val="font81"/>
    <w:qFormat/>
    <w:uiPriority w:val="0"/>
    <w:rPr>
      <w:rFonts w:ascii="宋体" w:hAnsi="宋体" w:eastAsia="宋体"/>
      <w:b/>
      <w:color w:val="000000"/>
      <w:sz w:val="18"/>
      <w:u w:val="none"/>
    </w:rPr>
  </w:style>
  <w:style w:type="character" w:customStyle="1" w:styleId="338">
    <w:name w:val="font71"/>
    <w:qFormat/>
    <w:uiPriority w:val="0"/>
    <w:rPr>
      <w:rFonts w:hint="eastAsia" w:ascii="宋体" w:hAnsi="宋体" w:eastAsia="宋体" w:cs="宋体"/>
      <w:color w:val="000000"/>
      <w:sz w:val="20"/>
      <w:szCs w:val="20"/>
      <w:u w:val="none"/>
      <w:vertAlign w:val="superscript"/>
    </w:rPr>
  </w:style>
  <w:style w:type="character" w:customStyle="1" w:styleId="339">
    <w:name w:val="正文文本缩进 Char1"/>
    <w:qFormat/>
    <w:uiPriority w:val="0"/>
    <w:rPr>
      <w:rFonts w:eastAsia="楷体_GB2312"/>
      <w:sz w:val="26"/>
    </w:rPr>
  </w:style>
  <w:style w:type="character" w:customStyle="1" w:styleId="340">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41">
    <w:name w:val="日期 Char1"/>
    <w:qFormat/>
    <w:uiPriority w:val="0"/>
    <w:rPr>
      <w:rFonts w:eastAsia="楷体_GB2312"/>
      <w:sz w:val="26"/>
      <w:szCs w:val="26"/>
    </w:rPr>
  </w:style>
  <w:style w:type="character" w:customStyle="1" w:styleId="342">
    <w:name w:val="Balloon Text Char"/>
    <w:semiHidden/>
    <w:qFormat/>
    <w:uiPriority w:val="0"/>
    <w:rPr>
      <w:rFonts w:eastAsia="宋体"/>
      <w:sz w:val="18"/>
      <w:lang w:val="en-US" w:eastAsia="zh-CN"/>
    </w:rPr>
  </w:style>
  <w:style w:type="character" w:customStyle="1" w:styleId="343">
    <w:name w:val="font21"/>
    <w:qFormat/>
    <w:uiPriority w:val="0"/>
    <w:rPr>
      <w:rFonts w:hint="eastAsia" w:ascii="宋体" w:hAnsi="宋体" w:eastAsia="宋体" w:cs="宋体"/>
      <w:b/>
      <w:color w:val="000000"/>
      <w:sz w:val="20"/>
      <w:szCs w:val="20"/>
      <w:u w:val="none"/>
    </w:rPr>
  </w:style>
  <w:style w:type="character" w:customStyle="1" w:styleId="344">
    <w:name w:val="font31"/>
    <w:qFormat/>
    <w:uiPriority w:val="0"/>
    <w:rPr>
      <w:rFonts w:ascii="宋体" w:hAnsi="宋体" w:eastAsia="宋体"/>
      <w:color w:val="000000"/>
      <w:sz w:val="20"/>
      <w:u w:val="none"/>
    </w:rPr>
  </w:style>
  <w:style w:type="character" w:customStyle="1" w:styleId="345">
    <w:name w:val="Body Text Indent Char"/>
    <w:qFormat/>
    <w:uiPriority w:val="0"/>
    <w:rPr>
      <w:rFonts w:ascii="方正仿宋简体" w:hAnsi="创艺简仿宋" w:eastAsia="方正仿宋简体"/>
      <w:sz w:val="24"/>
    </w:rPr>
  </w:style>
  <w:style w:type="character" w:customStyle="1" w:styleId="346">
    <w:name w:val="Header Char1"/>
    <w:qFormat/>
    <w:uiPriority w:val="0"/>
    <w:rPr>
      <w:rFonts w:eastAsia="楷体_GB2312"/>
      <w:sz w:val="18"/>
    </w:rPr>
  </w:style>
  <w:style w:type="character" w:customStyle="1" w:styleId="347">
    <w:name w:val="正文文本缩进 Char2"/>
    <w:qFormat/>
    <w:uiPriority w:val="0"/>
    <w:rPr>
      <w:rFonts w:eastAsia="楷体_GB2312"/>
      <w:sz w:val="26"/>
      <w:szCs w:val="26"/>
    </w:rPr>
  </w:style>
  <w:style w:type="character" w:customStyle="1" w:styleId="348">
    <w:name w:val="NormalCharacter1"/>
    <w:link w:val="1"/>
    <w:qFormat/>
    <w:uiPriority w:val="0"/>
    <w:rPr>
      <w:rFonts w:ascii="Times New Roman" w:hAnsi="Times New Roman" w:eastAsia="楷体_GB2312" w:cs="Times New Roman"/>
      <w:sz w:val="26"/>
      <w:lang w:val="en-US" w:eastAsia="zh-CN" w:bidi="ar-SA"/>
    </w:rPr>
  </w:style>
  <w:style w:type="paragraph" w:customStyle="1" w:styleId="349">
    <w:name w:val="列出段落111"/>
    <w:basedOn w:val="1"/>
    <w:qFormat/>
    <w:uiPriority w:val="0"/>
    <w:pPr>
      <w:ind w:firstLine="420"/>
    </w:pPr>
    <w:rPr>
      <w:rFonts w:ascii="Calibri" w:hAnsi="Calibri" w:eastAsia="宋体" w:cs="黑体"/>
      <w:szCs w:val="22"/>
    </w:rPr>
  </w:style>
  <w:style w:type="paragraph" w:customStyle="1" w:styleId="350">
    <w:name w:val="p0"/>
    <w:basedOn w:val="1"/>
    <w:qFormat/>
    <w:uiPriority w:val="0"/>
    <w:pPr>
      <w:widowControl/>
    </w:pPr>
    <w:rPr>
      <w:rFonts w:eastAsia="宋体"/>
      <w:sz w:val="21"/>
      <w:szCs w:val="21"/>
    </w:rPr>
  </w:style>
  <w:style w:type="paragraph" w:customStyle="1" w:styleId="351">
    <w:name w:val="纯文本1"/>
    <w:basedOn w:val="1"/>
    <w:qFormat/>
    <w:uiPriority w:val="0"/>
    <w:rPr>
      <w:rFonts w:ascii="宋体" w:hAnsi="Courier New"/>
      <w:sz w:val="28"/>
    </w:rPr>
  </w:style>
  <w:style w:type="paragraph" w:customStyle="1" w:styleId="352">
    <w:name w:val="Char Char1 Char Char Char Char"/>
    <w:basedOn w:val="85"/>
    <w:qFormat/>
    <w:uiPriority w:val="0"/>
    <w:pPr>
      <w:spacing w:line="360" w:lineRule="auto"/>
    </w:pPr>
    <w:rPr>
      <w:rFonts w:ascii="Tahoma" w:hAnsi="Tahoma" w:eastAsia="宋体"/>
      <w:sz w:val="24"/>
      <w:szCs w:val="24"/>
    </w:rPr>
  </w:style>
  <w:style w:type="paragraph" w:customStyle="1" w:styleId="353">
    <w:name w:val="Char Char1 Char Char Char Char Char Char Char"/>
    <w:basedOn w:val="1"/>
    <w:qFormat/>
    <w:uiPriority w:val="0"/>
    <w:rPr>
      <w:rFonts w:ascii="Tahoma" w:hAnsi="Tahoma"/>
      <w:sz w:val="24"/>
    </w:rPr>
  </w:style>
  <w:style w:type="paragraph" w:customStyle="1" w:styleId="354">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355">
    <w:name w:val="Char1"/>
    <w:basedOn w:val="1"/>
    <w:qFormat/>
    <w:uiPriority w:val="0"/>
    <w:rPr>
      <w:rFonts w:ascii="Tahoma" w:hAnsi="Tahoma" w:eastAsia="宋体"/>
      <w:sz w:val="24"/>
    </w:rPr>
  </w:style>
  <w:style w:type="paragraph" w:customStyle="1" w:styleId="356">
    <w:name w:val="图"/>
    <w:basedOn w:val="1"/>
    <w:qFormat/>
    <w:uiPriority w:val="0"/>
    <w:pPr>
      <w:keepNext/>
      <w:spacing w:before="60" w:after="60" w:line="300" w:lineRule="auto"/>
      <w:jc w:val="center"/>
    </w:pPr>
    <w:rPr>
      <w:rFonts w:eastAsia="宋体"/>
      <w:spacing w:val="20"/>
      <w:sz w:val="24"/>
    </w:rPr>
  </w:style>
  <w:style w:type="paragraph" w:customStyle="1" w:styleId="357">
    <w:name w:val="纯文本2"/>
    <w:basedOn w:val="1"/>
    <w:qFormat/>
    <w:uiPriority w:val="0"/>
    <w:rPr>
      <w:rFonts w:ascii="宋体" w:hAnsi="Courier New"/>
    </w:rPr>
  </w:style>
  <w:style w:type="paragraph" w:customStyle="1" w:styleId="358">
    <w:name w:val="Table Paragraph"/>
    <w:basedOn w:val="1"/>
    <w:qFormat/>
    <w:uiPriority w:val="1"/>
    <w:rPr>
      <w:rFonts w:ascii="仿宋" w:hAnsi="仿宋" w:eastAsia="仿宋" w:cs="仿宋"/>
      <w:sz w:val="21"/>
      <w:szCs w:val="22"/>
      <w:lang w:val="zh-CN" w:bidi="zh-CN"/>
    </w:rPr>
  </w:style>
  <w:style w:type="paragraph" w:customStyle="1" w:styleId="35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0">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2">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3">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4">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5">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366">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67">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368">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9">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370">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71">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372">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73">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5">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76">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77">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79">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0">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1">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2">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3">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4">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85">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6">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7">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8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90">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92">
    <w:name w:val="列出段落11"/>
    <w:basedOn w:val="1"/>
    <w:qFormat/>
    <w:uiPriority w:val="34"/>
    <w:pPr>
      <w:ind w:firstLine="420"/>
    </w:pPr>
    <w:rPr>
      <w:rFonts w:ascii="Calibri" w:hAnsi="Calibri" w:eastAsia="宋体"/>
      <w:szCs w:val="26"/>
    </w:rPr>
  </w:style>
  <w:style w:type="paragraph" w:customStyle="1" w:styleId="393">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4">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395">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397">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398">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9">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0">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01">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0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3">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04">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05">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06">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07">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8">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9">
    <w:name w:val="Normal_2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410">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11">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2">
    <w:name w:val="_Style 7"/>
    <w:basedOn w:val="1"/>
    <w:qFormat/>
    <w:uiPriority w:val="0"/>
    <w:pPr>
      <w:ind w:firstLine="420"/>
    </w:pPr>
    <w:rPr>
      <w:rFonts w:eastAsia="宋体"/>
      <w:szCs w:val="26"/>
    </w:rPr>
  </w:style>
  <w:style w:type="paragraph" w:customStyle="1" w:styleId="413">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4">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5">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6">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17">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18">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19">
    <w:name w:val="_Style 26"/>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420">
    <w:name w:val="样式 标题 1 + 宋体 段前: 0 磅 段后: 0 磅 行距: 单倍行距"/>
    <w:basedOn w:val="65"/>
    <w:next w:val="1"/>
    <w:qFormat/>
    <w:uiPriority w:val="0"/>
    <w:pPr>
      <w:spacing w:line="240" w:lineRule="auto"/>
      <w:jc w:val="center"/>
    </w:pPr>
    <w:rPr>
      <w:rFonts w:ascii="仿宋_GB2312" w:hAnsi="宋体" w:eastAsia="仿宋_GB2312" w:cs="宋体"/>
      <w:bCs/>
      <w:szCs w:val="44"/>
    </w:rPr>
  </w:style>
  <w:style w:type="paragraph" w:customStyle="1" w:styleId="421">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2">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3">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4">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25">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6">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27">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8">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29">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3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1">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2">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3">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4">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5">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36">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8">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39">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40">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41">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2">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43">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44">
    <w:name w:val="网格型1"/>
    <w:basedOn w:val="76"/>
    <w:qFormat/>
    <w:uiPriority w:val="0"/>
    <w:pPr>
      <w:widowControl w:val="0"/>
      <w:jc w:val="both"/>
    </w:pPr>
  </w:style>
  <w:style w:type="character" w:customStyle="1" w:styleId="445">
    <w:name w:val="纯文本 字符"/>
    <w:qFormat/>
    <w:uiPriority w:val="0"/>
    <w:rPr>
      <w:rFonts w:ascii="宋体" w:hAnsi="Courier New" w:eastAsia="楷体_GB2312"/>
      <w:sz w:val="26"/>
      <w:lang w:val="en-US" w:eastAsia="zh-CN" w:bidi="ar-SA"/>
    </w:rPr>
  </w:style>
  <w:style w:type="paragraph" w:customStyle="1" w:styleId="446">
    <w:name w:val="_Style 225"/>
    <w:qFormat/>
    <w:uiPriority w:val="0"/>
    <w:pPr>
      <w:widowControl w:val="0"/>
      <w:spacing w:after="120"/>
      <w:ind w:firstLine="420"/>
      <w:jc w:val="both"/>
    </w:pPr>
    <w:rPr>
      <w:rFonts w:ascii="Times New Roman" w:hAnsi="Times New Roman" w:eastAsia="楷体_GB2312" w:cs="Times New Roman"/>
      <w:sz w:val="26"/>
      <w:lang w:val="en-US" w:eastAsia="zh-CN" w:bidi="ar-SA"/>
    </w:rPr>
  </w:style>
  <w:style w:type="character" w:customStyle="1" w:styleId="447">
    <w:name w:val="正文文本 字符"/>
    <w:qFormat/>
    <w:uiPriority w:val="0"/>
    <w:rPr>
      <w:rFonts w:ascii="楷体_GB2312" w:eastAsia="楷体_GB2312"/>
      <w:sz w:val="28"/>
    </w:rPr>
  </w:style>
  <w:style w:type="character" w:customStyle="1" w:styleId="448">
    <w:name w:val="正文文本 字符1"/>
    <w:qFormat/>
    <w:uiPriority w:val="0"/>
    <w:rPr>
      <w:rFonts w:ascii="楷体_GB2312" w:eastAsia="楷体_GB2312"/>
      <w:sz w:val="28"/>
    </w:rPr>
  </w:style>
  <w:style w:type="table" w:customStyle="1" w:styleId="449">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0">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1">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2">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53">
    <w:name w:val="UserStyle_2"/>
    <w:link w:val="454"/>
    <w:qFormat/>
    <w:uiPriority w:val="0"/>
    <w:rPr>
      <w:rFonts w:ascii="宋体" w:hAnsi="宋体"/>
      <w:color w:val="000000"/>
      <w:sz w:val="21"/>
    </w:rPr>
  </w:style>
  <w:style w:type="paragraph" w:customStyle="1" w:styleId="454">
    <w:name w:val="UserStyle_3"/>
    <w:basedOn w:val="1"/>
    <w:link w:val="453"/>
    <w:qFormat/>
    <w:uiPriority w:val="0"/>
    <w:pPr>
      <w:widowControl/>
      <w:spacing w:before="40" w:after="160" w:line="288" w:lineRule="auto"/>
      <w:ind w:firstLine="420"/>
      <w:jc w:val="left"/>
    </w:pPr>
    <w:rPr>
      <w:rFonts w:ascii="宋体" w:hAnsi="宋体" w:eastAsia="宋体"/>
      <w:color w:val="000000"/>
      <w:sz w:val="21"/>
    </w:rPr>
  </w:style>
  <w:style w:type="character" w:customStyle="1" w:styleId="455">
    <w:name w:val="font141"/>
    <w:basedOn w:val="75"/>
    <w:qFormat/>
    <w:uiPriority w:val="0"/>
    <w:rPr>
      <w:rFonts w:hint="eastAsia" w:ascii="宋体" w:hAnsi="宋体" w:eastAsia="宋体" w:cs="宋体"/>
      <w:b/>
      <w:bCs/>
      <w:color w:val="FF0000"/>
      <w:sz w:val="18"/>
      <w:szCs w:val="18"/>
      <w:u w:val="none"/>
    </w:rPr>
  </w:style>
  <w:style w:type="character" w:customStyle="1" w:styleId="456">
    <w:name w:val="标题 1 Char Char"/>
    <w:qFormat/>
    <w:uiPriority w:val="0"/>
    <w:rPr>
      <w:rFonts w:hint="eastAsia" w:ascii="宋体" w:hAnsi="宋体" w:eastAsia="宋体"/>
      <w:b/>
      <w:spacing w:val="-2"/>
      <w:sz w:val="24"/>
      <w:lang w:val="en-US" w:eastAsia="zh-CN"/>
    </w:rPr>
  </w:style>
  <w:style w:type="paragraph" w:customStyle="1" w:styleId="457">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458">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459">
    <w:name w:val="样式 正文（首行缩进两字） + 宋体"/>
    <w:basedOn w:val="70"/>
    <w:qFormat/>
    <w:uiPriority w:val="0"/>
    <w:pPr>
      <w:spacing w:line="460" w:lineRule="exact"/>
      <w:ind w:firstLine="200"/>
    </w:pPr>
    <w:rPr>
      <w:spacing w:val="6"/>
    </w:rPr>
  </w:style>
  <w:style w:type="paragraph" w:customStyle="1" w:styleId="460">
    <w:name w:val="样式 正文（首行缩进两字） + 宋体 首行缩进:  0 字符"/>
    <w:basedOn w:val="70"/>
    <w:qFormat/>
    <w:uiPriority w:val="0"/>
    <w:pPr>
      <w:spacing w:line="460" w:lineRule="exact"/>
    </w:pPr>
    <w:rPr>
      <w:rFonts w:cs="宋体"/>
      <w:spacing w:val="6"/>
    </w:rPr>
  </w:style>
  <w:style w:type="paragraph" w:customStyle="1" w:styleId="461">
    <w:name w:val="样式 正文（首行缩进两字） + 宋体 左侧:  0 厘米 悬挂缩进: 1.43 字符"/>
    <w:basedOn w:val="70"/>
    <w:qFormat/>
    <w:uiPriority w:val="0"/>
    <w:pPr>
      <w:spacing w:line="460" w:lineRule="exact"/>
      <w:ind w:left="359" w:hanging="359"/>
    </w:pPr>
    <w:rPr>
      <w:rFonts w:cs="宋体"/>
      <w:spacing w:val="6"/>
    </w:rPr>
  </w:style>
  <w:style w:type="character" w:customStyle="1" w:styleId="462">
    <w:name w:val="p141"/>
    <w:qFormat/>
    <w:uiPriority w:val="0"/>
    <w:rPr>
      <w:sz w:val="21"/>
      <w:szCs w:val="21"/>
    </w:rPr>
  </w:style>
  <w:style w:type="paragraph" w:customStyle="1" w:styleId="463">
    <w:name w:val="标题2"/>
    <w:basedOn w:val="66"/>
    <w:qFormat/>
    <w:uiPriority w:val="0"/>
    <w:pPr>
      <w:keepNext w:val="0"/>
      <w:keepLines w:val="0"/>
      <w:spacing w:line="360" w:lineRule="auto"/>
    </w:pPr>
    <w:rPr>
      <w:rFonts w:ascii="Times New Roman" w:hAnsi="Times New Roman" w:eastAsia="宋体"/>
      <w:sz w:val="24"/>
    </w:rPr>
  </w:style>
  <w:style w:type="paragraph" w:customStyle="1" w:styleId="464">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5">
    <w:name w:val="正文首行缩进 21"/>
    <w:basedOn w:val="52"/>
    <w:next w:val="1"/>
    <w:unhideWhenUsed/>
    <w:qFormat/>
    <w:uiPriority w:val="0"/>
    <w:pPr>
      <w:ind w:firstLine="420"/>
    </w:pPr>
  </w:style>
  <w:style w:type="paragraph" w:customStyle="1" w:styleId="466">
    <w:name w:val="正文2"/>
    <w:basedOn w:val="1"/>
    <w:qFormat/>
    <w:uiPriority w:val="0"/>
    <w:pPr>
      <w:spacing w:before="156" w:line="360" w:lineRule="auto"/>
      <w:ind w:firstLine="510" w:firstLineChars="200"/>
    </w:pPr>
    <w:rPr>
      <w:sz w:val="24"/>
    </w:rPr>
  </w:style>
  <w:style w:type="paragraph" w:customStyle="1" w:styleId="4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68">
    <w:name w:val="NormalCharacter"/>
    <w:semiHidden/>
    <w:qFormat/>
    <w:uiPriority w:val="0"/>
  </w:style>
  <w:style w:type="character" w:customStyle="1" w:styleId="469">
    <w:name w:val="批注框文本 字符"/>
    <w:basedOn w:val="45"/>
    <w:link w:val="25"/>
    <w:semiHidden/>
    <w:qFormat/>
    <w:uiPriority w:val="99"/>
    <w:rPr>
      <w:rFonts w:eastAsia="楷体_GB2312"/>
      <w:sz w:val="18"/>
      <w:szCs w:val="18"/>
    </w:rPr>
  </w:style>
  <w:style w:type="paragraph" w:customStyle="1" w:styleId="470">
    <w:name w:val="修订1"/>
    <w:hidden/>
    <w:unhideWhenUsed/>
    <w:qFormat/>
    <w:uiPriority w:val="99"/>
    <w:rPr>
      <w:rFonts w:ascii="Times New Roman" w:hAnsi="Times New Roman" w:eastAsia="楷体_GB2312" w:cs="Times New Roman"/>
      <w:sz w:val="26"/>
      <w:lang w:val="en-US" w:eastAsia="zh-CN" w:bidi="ar-SA"/>
    </w:rPr>
  </w:style>
  <w:style w:type="character" w:customStyle="1" w:styleId="471">
    <w:name w:val="页脚 字符"/>
    <w:basedOn w:val="45"/>
    <w:link w:val="26"/>
    <w:qFormat/>
    <w:uiPriority w:val="99"/>
    <w:rPr>
      <w:rFonts w:eastAsia="楷体_GB2312"/>
      <w:sz w:val="26"/>
    </w:rPr>
  </w:style>
  <w:style w:type="character" w:customStyle="1" w:styleId="472">
    <w:name w:val="批注文字 字符"/>
    <w:basedOn w:val="45"/>
    <w:link w:val="13"/>
    <w:qFormat/>
    <w:uiPriority w:val="99"/>
    <w:rPr>
      <w:rFonts w:eastAsia="楷体_GB2312"/>
      <w:sz w:val="26"/>
    </w:rPr>
  </w:style>
  <w:style w:type="character" w:customStyle="1" w:styleId="473">
    <w:name w:val="批注主题 字符"/>
    <w:basedOn w:val="472"/>
    <w:link w:val="40"/>
    <w:semiHidden/>
    <w:qFormat/>
    <w:uiPriority w:val="99"/>
    <w:rPr>
      <w:rFonts w:eastAsia="楷体_GB2312"/>
      <w:b/>
      <w:bCs/>
      <w:sz w:val="26"/>
    </w:rPr>
  </w:style>
  <w:style w:type="paragraph" w:customStyle="1" w:styleId="474">
    <w:name w:val="修订2"/>
    <w:hidden/>
    <w:semiHidden/>
    <w:qFormat/>
    <w:uiPriority w:val="99"/>
    <w:rPr>
      <w:rFonts w:ascii="Times New Roman" w:hAnsi="Times New Roman" w:eastAsia="楷体_GB2312" w:cs="Times New Roman"/>
      <w:sz w:val="26"/>
      <w:lang w:val="en-US" w:eastAsia="zh-CN" w:bidi="ar-SA"/>
    </w:rPr>
  </w:style>
  <w:style w:type="paragraph" w:customStyle="1" w:styleId="475">
    <w:name w:val="sh4"/>
    <w:basedOn w:val="1"/>
    <w:qFormat/>
    <w:uiPriority w:val="0"/>
    <w:pPr>
      <w:spacing w:line="460" w:lineRule="exact"/>
      <w:ind w:firstLine="420"/>
    </w:pPr>
    <w:rPr>
      <w:rFonts w:ascii="宋体" w:hAnsi="宋体"/>
      <w:szCs w:val="21"/>
    </w:rPr>
  </w:style>
  <w:style w:type="paragraph" w:customStyle="1" w:styleId="476">
    <w:name w:val="正文（缩进）"/>
    <w:basedOn w:val="1"/>
    <w:unhideWhenUsed/>
    <w:qFormat/>
    <w:uiPriority w:val="0"/>
    <w:pPr>
      <w:spacing w:line="240" w:lineRule="auto"/>
      <w:jc w:val="both"/>
    </w:pPr>
    <w:rPr>
      <w:rFonts w:hint="eastAsia" w:ascii="宋体"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57</Pages>
  <Words>28687</Words>
  <Characters>29705</Characters>
  <Lines>318</Lines>
  <Paragraphs>89</Paragraphs>
  <TotalTime>34</TotalTime>
  <ScaleCrop>false</ScaleCrop>
  <LinksUpToDate>false</LinksUpToDate>
  <CharactersWithSpaces>30635</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2024-04-18T08:30:00Z</dcterms:created>
  <dc:creator>Us</dc:creator>
  <cp:lastModifiedBy>玲玲</cp:lastModifiedBy>
  <cp:lastPrinted>2024-11-15T18:41:00Z</cp:lastPrinted>
  <dcterms:modified xsi:type="dcterms:W3CDTF">2024-12-24T15:09:59Z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1C2076B1D53F48C88511B4B72073E00C_13</vt:lpwstr>
  </property>
</Properties>
</file>