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46AD0">
      <w:pPr>
        <w:snapToGrid w:val="0"/>
        <w:spacing w:line="300" w:lineRule="auto"/>
        <w:jc w:val="center"/>
        <w:rPr>
          <w:rFonts w:hAnsi="黑体"/>
          <w:b/>
          <w:sz w:val="36"/>
          <w:szCs w:val="36"/>
        </w:rPr>
      </w:pPr>
      <w:r>
        <w:rPr>
          <w:rFonts w:hint="eastAsia" w:hAnsi="黑体"/>
          <w:b/>
          <w:sz w:val="36"/>
          <w:szCs w:val="36"/>
        </w:rPr>
        <w:t>编</w:t>
      </w:r>
      <w:r>
        <w:rPr>
          <w:rFonts w:hint="eastAsia"/>
          <w:b/>
          <w:sz w:val="36"/>
          <w:szCs w:val="36"/>
        </w:rPr>
        <w:t xml:space="preserve">  </w:t>
      </w:r>
      <w:r>
        <w:rPr>
          <w:rFonts w:hint="eastAsia" w:hAnsi="黑体"/>
          <w:b/>
          <w:sz w:val="36"/>
          <w:szCs w:val="36"/>
        </w:rPr>
        <w:t>制</w:t>
      </w:r>
      <w:r>
        <w:rPr>
          <w:rFonts w:hint="eastAsia"/>
          <w:b/>
          <w:sz w:val="36"/>
          <w:szCs w:val="36"/>
        </w:rPr>
        <w:t xml:space="preserve">  </w:t>
      </w:r>
      <w:r>
        <w:rPr>
          <w:rFonts w:hint="eastAsia" w:hAnsi="黑体"/>
          <w:b/>
          <w:sz w:val="36"/>
          <w:szCs w:val="36"/>
        </w:rPr>
        <w:t>说</w:t>
      </w:r>
      <w:r>
        <w:rPr>
          <w:rFonts w:hint="eastAsia"/>
          <w:b/>
          <w:sz w:val="36"/>
          <w:szCs w:val="36"/>
        </w:rPr>
        <w:t xml:space="preserve">  </w:t>
      </w:r>
      <w:r>
        <w:rPr>
          <w:rFonts w:hint="eastAsia" w:hAnsi="黑体"/>
          <w:b/>
          <w:sz w:val="36"/>
          <w:szCs w:val="36"/>
        </w:rPr>
        <w:t>明</w:t>
      </w: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2198D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58" w:hRule="atLeast"/>
        </w:trPr>
        <w:tc>
          <w:tcPr>
            <w:tcW w:w="9242" w:type="dxa"/>
            <w:tcBorders>
              <w:top w:val="single" w:color="auto" w:sz="4" w:space="0"/>
              <w:left w:val="single" w:color="auto" w:sz="4" w:space="0"/>
              <w:bottom w:val="single" w:color="auto" w:sz="4" w:space="0"/>
              <w:right w:val="single" w:color="auto" w:sz="4" w:space="0"/>
            </w:tcBorders>
          </w:tcPr>
          <w:p w14:paraId="000299EA">
            <w:pPr>
              <w:tabs>
                <w:tab w:val="left" w:pos="870"/>
              </w:tabs>
              <w:spacing w:line="360" w:lineRule="auto"/>
              <w:ind w:left="550" w:leftChars="128" w:hanging="281" w:hanging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一、工程概况：</w:t>
            </w:r>
          </w:p>
          <w:p w14:paraId="7ED74C4B">
            <w:pPr>
              <w:pStyle w:val="6"/>
              <w:keepNext w:val="0"/>
              <w:keepLines w:val="0"/>
              <w:widowControl/>
              <w:suppressLineNumbers w:val="0"/>
              <w:spacing w:before="0" w:beforeAutospacing="0" w:after="0" w:afterAutospacing="0"/>
              <w:ind w:right="0" w:firstLine="240" w:firstLineChars="100"/>
              <w:rPr>
                <w:rFonts w:hint="eastAsia" w:ascii="仿宋_GB2312" w:hAnsi="仿宋_GB2312" w:eastAsia="仿宋_GB2312" w:cs="仿宋_GB2312"/>
                <w:sz w:val="24"/>
              </w:rPr>
            </w:pPr>
            <w:r>
              <w:rPr>
                <w:rFonts w:hint="eastAsia" w:ascii="仿宋_GB2312" w:hAnsi="仿宋_GB2312" w:eastAsia="仿宋_GB2312" w:cs="仿宋_GB2312"/>
                <w:sz w:val="24"/>
              </w:rPr>
              <w:t>1、工程名称：罡杨镇垃圾中转站建设工程项目</w:t>
            </w:r>
          </w:p>
          <w:p w14:paraId="2496D27C">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2、工程地点：泰州市罡杨镇</w:t>
            </w:r>
          </w:p>
          <w:p w14:paraId="49159C6A">
            <w:pPr>
              <w:tabs>
                <w:tab w:val="left" w:pos="870"/>
              </w:tabs>
              <w:spacing w:line="360" w:lineRule="auto"/>
              <w:ind w:left="509" w:leftChars="128" w:hanging="240" w:hangingChars="100"/>
              <w:rPr>
                <w:rFonts w:eastAsia="仿宋_GB2312"/>
              </w:rPr>
            </w:pPr>
            <w:r>
              <w:rPr>
                <w:rFonts w:hint="eastAsia" w:ascii="仿宋_GB2312" w:hAnsi="仿宋_GB2312" w:eastAsia="仿宋_GB2312" w:cs="仿宋_GB2312"/>
                <w:sz w:val="24"/>
              </w:rPr>
              <w:t>3、工作内容：本工程建筑面积319.38㎡，主要结构形式为钢结构，新建垃圾处理站，包含配套的水电；</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室外新建硬化场地</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道路、管涵</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水池新</w:t>
            </w:r>
            <w:r>
              <w:rPr>
                <w:rFonts w:hint="eastAsia" w:ascii="仿宋_GB2312" w:hAnsi="仿宋_GB2312" w:eastAsia="仿宋_GB2312" w:cs="仿宋_GB2312"/>
                <w:sz w:val="24"/>
                <w:lang w:val="en-US" w:eastAsia="zh-CN"/>
              </w:rPr>
              <w:t>增</w:t>
            </w:r>
            <w:r>
              <w:rPr>
                <w:rFonts w:hint="eastAsia" w:ascii="仿宋_GB2312" w:hAnsi="仿宋_GB2312" w:eastAsia="仿宋_GB2312" w:cs="仿宋_GB2312"/>
                <w:sz w:val="24"/>
              </w:rPr>
              <w:t>盖板等。</w:t>
            </w:r>
            <w:r>
              <w:rPr>
                <w:rFonts w:ascii="仿宋_GB2312" w:hAnsi="仿宋_GB2312" w:eastAsia="仿宋_GB2312" w:cs="仿宋_GB2312"/>
                <w:sz w:val="24"/>
              </w:rPr>
              <w:t>”</w:t>
            </w:r>
          </w:p>
          <w:p w14:paraId="5D1E5F47">
            <w:pPr>
              <w:tabs>
                <w:tab w:val="left" w:pos="870"/>
              </w:tabs>
              <w:spacing w:line="360" w:lineRule="auto"/>
              <w:ind w:left="550" w:leftChars="128" w:hanging="281" w:hanging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二、编制依据：</w:t>
            </w:r>
          </w:p>
          <w:p w14:paraId="713A1FA6">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1、《建设工程工程量清单计价规范》GB50500-2013；</w:t>
            </w:r>
          </w:p>
          <w:p w14:paraId="5DDD22FB">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2、《房屋建筑与装修工程工程量计算规范》GB50854-2013；</w:t>
            </w:r>
          </w:p>
          <w:p w14:paraId="0793E4CF">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3、《通用安装工程工程量计算规范》GB50856-2013；</w:t>
            </w:r>
          </w:p>
          <w:p w14:paraId="4FBD82B5">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4、《江苏省房屋修缮工程计价表-土建工程》（2009版）；</w:t>
            </w:r>
          </w:p>
          <w:p w14:paraId="344C4BB9">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5、《江苏省建筑与装饰工程计价定额》（2014版）；</w:t>
            </w:r>
          </w:p>
          <w:p w14:paraId="6E01B63F">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6、《江苏省安装工程计价定额》（2014版）；</w:t>
            </w:r>
          </w:p>
          <w:p w14:paraId="52B97803">
            <w:pPr>
              <w:tabs>
                <w:tab w:val="left" w:pos="870"/>
              </w:tabs>
              <w:spacing w:line="360" w:lineRule="auto"/>
              <w:ind w:left="509" w:leftChars="128" w:hanging="240" w:hangingChars="100"/>
              <w:rPr>
                <w:rFonts w:eastAsia="仿宋_GB2312"/>
              </w:rPr>
            </w:pPr>
            <w:r>
              <w:rPr>
                <w:rFonts w:hint="eastAsia" w:ascii="仿宋_GB2312" w:hAnsi="仿宋_GB2312" w:eastAsia="仿宋_GB2312" w:cs="仿宋_GB2312"/>
                <w:sz w:val="24"/>
              </w:rPr>
              <w:t>7、《江苏省市政工程计价定额》（2014版）；</w:t>
            </w:r>
          </w:p>
          <w:p w14:paraId="303DDEF0">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8、《江苏省建设工程费用定额》（2014年）营改增后调整内容；</w:t>
            </w:r>
          </w:p>
          <w:p w14:paraId="509E5A7A">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9、《江苏省施工机械台班费用定额》及相关的补充规定；</w:t>
            </w:r>
          </w:p>
          <w:p w14:paraId="6601EA7C">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10、《省住房城乡建设厅关于调整建设工程按质论价等费用计取方法的公告》[2018]24号；</w:t>
            </w:r>
          </w:p>
          <w:p w14:paraId="728D9406">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11、《省住房城乡建设厅关于调整建设工程计价增值税税率的通知》苏建函价[2019]178号；</w:t>
            </w:r>
          </w:p>
          <w:p w14:paraId="3C74A97C">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12、《省住房城乡建设厅关于发布建设工程人工工资指导价的通知》苏建函价</w:t>
            </w:r>
            <w:r>
              <w:rPr>
                <w:rFonts w:hint="eastAsia" w:ascii="仿宋_GB2312" w:hAnsi="仿宋_GB2312" w:eastAsia="仿宋_GB2312" w:cs="仿宋_GB2312"/>
                <w:color w:val="0070C0"/>
                <w:sz w:val="24"/>
              </w:rPr>
              <w:t>[2025]275号</w:t>
            </w:r>
            <w:r>
              <w:rPr>
                <w:rFonts w:hint="eastAsia" w:ascii="仿宋_GB2312" w:hAnsi="仿宋_GB2312" w:eastAsia="仿宋_GB2312" w:cs="仿宋_GB2312"/>
                <w:sz w:val="24"/>
              </w:rPr>
              <w:t>；</w:t>
            </w:r>
          </w:p>
          <w:p w14:paraId="6296C4E6">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13、材料价格按《泰州工程造价管理》2025年第8期信息价及市场价；</w:t>
            </w:r>
          </w:p>
          <w:p w14:paraId="4D0C9700">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14、根据建设单位</w:t>
            </w:r>
            <w:r>
              <w:rPr>
                <w:rFonts w:hint="eastAsia" w:ascii="仿宋_GB2312" w:hAnsi="仿宋_GB2312" w:eastAsia="仿宋_GB2312" w:cs="仿宋_GB2312"/>
                <w:sz w:val="24"/>
                <w:lang w:val="en-US" w:eastAsia="zh-CN"/>
              </w:rPr>
              <w:t>提供的设计图纸及方案</w:t>
            </w:r>
            <w:r>
              <w:rPr>
                <w:rFonts w:hint="eastAsia" w:ascii="仿宋_GB2312" w:hAnsi="仿宋_GB2312" w:eastAsia="仿宋_GB2312" w:cs="仿宋_GB2312"/>
                <w:sz w:val="24"/>
              </w:rPr>
              <w:t>为准；</w:t>
            </w:r>
          </w:p>
          <w:p w14:paraId="7709C6F8">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15、工程类别：建筑三类、安装三类、道路三类。</w:t>
            </w:r>
            <w:bookmarkStart w:id="0" w:name="_GoBack"/>
            <w:bookmarkEnd w:id="0"/>
          </w:p>
          <w:p w14:paraId="4D230E7B">
            <w:pPr>
              <w:tabs>
                <w:tab w:val="left" w:pos="870"/>
              </w:tabs>
              <w:spacing w:line="360" w:lineRule="auto"/>
              <w:ind w:left="550" w:leftChars="128" w:hanging="281" w:hanging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三、相关说明：</w:t>
            </w:r>
          </w:p>
          <w:p w14:paraId="54EF5E39">
            <w:pPr>
              <w:tabs>
                <w:tab w:val="left" w:pos="870"/>
              </w:tabs>
              <w:spacing w:line="360" w:lineRule="auto"/>
              <w:ind w:left="550" w:leftChars="128" w:hanging="281" w:hanging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（一）建筑工程</w:t>
            </w:r>
          </w:p>
          <w:p w14:paraId="7DFE8CDE">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1、现场安全文明施工基本费按3.1%计取，标化增加费未考虑，扬尘污染防治增加费按0.31%计取，临时设施费按1%计取，建筑工人实名制费用按0.05%计取，规费按规定计取，税金按9%计取；</w:t>
            </w:r>
          </w:p>
          <w:p w14:paraId="296F0A86">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2、此部分主要工作内容：土建、钢结构工程。</w:t>
            </w:r>
          </w:p>
          <w:p w14:paraId="23F3837C">
            <w:pPr>
              <w:tabs>
                <w:tab w:val="left" w:pos="870"/>
              </w:tabs>
              <w:spacing w:line="360" w:lineRule="auto"/>
              <w:ind w:left="550" w:leftChars="128" w:hanging="281" w:hanging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（二）安装工程</w:t>
            </w:r>
          </w:p>
          <w:p w14:paraId="5007E67E">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1、现场安全文明施工基本费按1.5%计取，标化增加费未考虑，扬尘污染防治增加费按0.21%计取，临时设施费按0.6%计取，建筑工人实名制费用按0.03%计取，规费按规定计取，税金按9%计取；</w:t>
            </w:r>
          </w:p>
          <w:p w14:paraId="5A223D53">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2、此部分主要工作内容：电气工程、给排水工程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消防工程</w:t>
            </w:r>
            <w:r>
              <w:rPr>
                <w:rFonts w:hint="eastAsia" w:ascii="仿宋_GB2312" w:hAnsi="仿宋_GB2312" w:eastAsia="仿宋_GB2312" w:cs="仿宋_GB2312"/>
                <w:sz w:val="24"/>
              </w:rPr>
              <w:t>等。</w:t>
            </w:r>
          </w:p>
          <w:p w14:paraId="6E9772EA">
            <w:pPr>
              <w:tabs>
                <w:tab w:val="left" w:pos="870"/>
              </w:tabs>
              <w:spacing w:line="360" w:lineRule="auto"/>
              <w:ind w:left="550" w:leftChars="128" w:hanging="281" w:hanging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（三）市政工程</w:t>
            </w:r>
          </w:p>
          <w:p w14:paraId="43206C13">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1、现场安全文明施工基本费按1.5%计取，标化增加费未考虑，扬尘污染防治增加费按0.21%计取，临时设施费按1.1%计取，建筑工人实名制费用按0.03%计取，规费按规定计取，税金按9%计取；</w:t>
            </w:r>
          </w:p>
          <w:p w14:paraId="4DDEF27D">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2、此部分主要工作内容：道路工程、排水工程等。</w:t>
            </w:r>
          </w:p>
          <w:p w14:paraId="7D097A3A">
            <w:pPr>
              <w:tabs>
                <w:tab w:val="left" w:pos="870"/>
              </w:tabs>
              <w:spacing w:line="360" w:lineRule="auto"/>
              <w:ind w:left="550" w:leftChars="128" w:hanging="281" w:hanging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eastAsia="zh-CN"/>
              </w:rPr>
              <w:t>四</w:t>
            </w:r>
            <w:r>
              <w:rPr>
                <w:rFonts w:hint="eastAsia" w:ascii="仿宋_GB2312" w:hAnsi="仿宋_GB2312" w:eastAsia="仿宋_GB2312" w:cs="仿宋_GB2312"/>
                <w:b/>
                <w:sz w:val="28"/>
                <w:szCs w:val="28"/>
              </w:rPr>
              <w:t>）暂列金额</w:t>
            </w:r>
          </w:p>
          <w:p w14:paraId="6FA2F496">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1、本工程暂列金额</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0000.00元,由招标人自主使用。</w:t>
            </w:r>
          </w:p>
          <w:p w14:paraId="598DFF86">
            <w:pPr>
              <w:tabs>
                <w:tab w:val="left" w:pos="870"/>
              </w:tabs>
              <w:spacing w:line="360" w:lineRule="auto"/>
              <w:ind w:left="550" w:leftChars="128" w:hanging="281" w:hanging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四、其他</w:t>
            </w:r>
          </w:p>
          <w:p w14:paraId="37909A36">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1、根据建设单位要求保留原有围墙，西侧绿地保留原状；</w:t>
            </w:r>
          </w:p>
          <w:p w14:paraId="4178DDFD">
            <w:pPr>
              <w:tabs>
                <w:tab w:val="left" w:pos="870"/>
              </w:tabs>
              <w:spacing w:line="360" w:lineRule="auto"/>
              <w:ind w:left="509" w:leftChars="128" w:hanging="240" w:hangingChars="100"/>
            </w:pPr>
            <w:r>
              <w:rPr>
                <w:rFonts w:hint="eastAsia" w:ascii="仿宋_GB2312" w:hAnsi="仿宋_GB2312" w:eastAsia="仿宋_GB2312" w:cs="仿宋_GB2312"/>
                <w:sz w:val="24"/>
              </w:rPr>
              <w:t>2、根据建设单位要求靠河边一侧绿化保留，新建道路在原路面范围向北侧，不考虑河塘处路床处理；</w:t>
            </w:r>
          </w:p>
          <w:p w14:paraId="54E8FA9E">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3、室外硬化路面参照道路图纸至建筑物墙边，不再考虑散水；依据图纸说明坡道与室外地坪一并浇筑，混凝土考虑进室外地坪，建筑部分仅计算面层砂浆及防滑条，不再考虑基层做法；</w:t>
            </w:r>
          </w:p>
          <w:p w14:paraId="08E352B9">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4、原有建筑物及地坪</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设备</w:t>
            </w:r>
            <w:r>
              <w:rPr>
                <w:rFonts w:hint="eastAsia" w:ascii="仿宋_GB2312" w:hAnsi="仿宋_GB2312" w:eastAsia="仿宋_GB2312" w:cs="仿宋_GB2312"/>
                <w:sz w:val="24"/>
              </w:rPr>
              <w:t>拆除由建设单位自行拆除；</w:t>
            </w:r>
          </w:p>
          <w:p w14:paraId="13E93616">
            <w:pPr>
              <w:tabs>
                <w:tab w:val="left" w:pos="870"/>
              </w:tabs>
              <w:spacing w:line="360" w:lineRule="auto"/>
              <w:ind w:left="509" w:leftChars="128" w:hanging="240" w:hangingChars="100"/>
              <w:rPr>
                <w:rFonts w:hint="eastAsia" w:ascii="仿宋_GB2312" w:hAnsi="仿宋_GB2312" w:eastAsia="仿宋_GB2312" w:cs="仿宋_GB2312"/>
                <w:sz w:val="24"/>
                <w:lang w:eastAsia="zh-CN"/>
              </w:rPr>
            </w:pPr>
            <w:r>
              <w:rPr>
                <w:rFonts w:hint="eastAsia" w:ascii="仿宋_GB2312" w:hAnsi="仿宋_GB2312" w:eastAsia="仿宋_GB2312" w:cs="仿宋_GB2312"/>
                <w:sz w:val="24"/>
              </w:rPr>
              <w:t>5、室内集水坑预制砼盖板图集</w:t>
            </w:r>
            <w:r>
              <w:rPr>
                <w:rFonts w:hint="eastAsia" w:ascii="仿宋_GB2312" w:hAnsi="仿宋_GB2312" w:eastAsia="仿宋_GB2312" w:cs="仿宋_GB2312"/>
                <w:sz w:val="24"/>
                <w:lang w:val="en-US" w:eastAsia="zh-CN"/>
              </w:rPr>
              <w:t>砼</w:t>
            </w:r>
            <w:r>
              <w:rPr>
                <w:rFonts w:hint="eastAsia" w:ascii="仿宋_GB2312" w:hAnsi="仿宋_GB2312" w:eastAsia="仿宋_GB2312" w:cs="仿宋_GB2312"/>
                <w:sz w:val="24"/>
              </w:rPr>
              <w:t>标号过低，按C30计入</w:t>
            </w:r>
            <w:r>
              <w:rPr>
                <w:rFonts w:hint="eastAsia" w:ascii="仿宋_GB2312" w:hAnsi="仿宋_GB2312" w:eastAsia="仿宋_GB2312" w:cs="仿宋_GB2312"/>
                <w:sz w:val="24"/>
                <w:lang w:eastAsia="zh-CN"/>
              </w:rPr>
              <w:t>；</w:t>
            </w:r>
          </w:p>
          <w:p w14:paraId="74CCAA47">
            <w:pPr>
              <w:tabs>
                <w:tab w:val="left" w:pos="870"/>
              </w:tabs>
              <w:spacing w:line="360" w:lineRule="auto"/>
              <w:ind w:left="509" w:leftChars="128" w:hanging="240" w:hangingChars="100"/>
            </w:pPr>
            <w:r>
              <w:rPr>
                <w:rFonts w:hint="eastAsia" w:ascii="仿宋_GB2312" w:hAnsi="仿宋_GB2312" w:eastAsia="仿宋_GB2312" w:cs="仿宋_GB2312"/>
                <w:sz w:val="24"/>
              </w:rPr>
              <w:t>6、根据设计答复，路床做法均按一般路基处理；</w:t>
            </w:r>
          </w:p>
          <w:p w14:paraId="6AAD6026">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rPr>
              <w:t>7、</w:t>
            </w:r>
            <w:r>
              <w:rPr>
                <w:rFonts w:hint="eastAsia" w:ascii="仿宋_GB2312" w:hAnsi="仿宋_GB2312" w:eastAsia="仿宋_GB2312" w:cs="仿宋_GB2312"/>
                <w:sz w:val="24"/>
                <w:lang w:val="en-US" w:eastAsia="zh-CN"/>
              </w:rPr>
              <w:t>站房</w:t>
            </w:r>
            <w:r>
              <w:rPr>
                <w:rFonts w:hint="eastAsia" w:ascii="仿宋_GB2312" w:hAnsi="仿宋_GB2312" w:eastAsia="仿宋_GB2312" w:cs="仿宋_GB2312"/>
                <w:sz w:val="24"/>
              </w:rPr>
              <w:t>及室外部分降水费用总价包干，结算时不再调整；</w:t>
            </w:r>
          </w:p>
          <w:p w14:paraId="6E652021">
            <w:pPr>
              <w:tabs>
                <w:tab w:val="left" w:pos="870"/>
              </w:tabs>
              <w:spacing w:line="360" w:lineRule="auto"/>
              <w:ind w:left="509" w:leftChars="128" w:hanging="240" w:hangingChars="100"/>
              <w:rPr>
                <w:rFonts w:hint="default"/>
                <w:lang w:val="en-US" w:eastAsia="zh-CN"/>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管涵按RCP II钢筋混凝土管考虑，覆土参照路床做法回填至路基底部；</w:t>
            </w:r>
          </w:p>
          <w:p w14:paraId="28850B79">
            <w:pPr>
              <w:tabs>
                <w:tab w:val="left" w:pos="870"/>
              </w:tabs>
              <w:spacing w:line="360" w:lineRule="auto"/>
              <w:ind w:left="509" w:leftChars="128" w:hanging="240" w:hangingChars="100"/>
              <w:rPr>
                <w:rFonts w:ascii="仿宋_GB2312" w:hAnsi="仿宋_GB2312" w:eastAsia="仿宋_GB2312" w:cs="仿宋_GB2312"/>
                <w:sz w:val="24"/>
              </w:rPr>
            </w:pP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最终工程量按实结算；</w:t>
            </w:r>
          </w:p>
          <w:p w14:paraId="0E92F49E">
            <w:pPr>
              <w:tabs>
                <w:tab w:val="left" w:pos="870"/>
              </w:tabs>
              <w:spacing w:line="360" w:lineRule="auto"/>
              <w:ind w:left="550" w:leftChars="128" w:hanging="281" w:hanging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五、</w:t>
            </w:r>
            <w:r>
              <w:rPr>
                <w:rFonts w:ascii="仿宋_GB2312" w:hAnsi="仿宋_GB2312" w:eastAsia="仿宋_GB2312" w:cs="仿宋_GB2312"/>
                <w:b/>
                <w:sz w:val="28"/>
                <w:szCs w:val="28"/>
              </w:rPr>
              <w:t>主要材料品牌表</w:t>
            </w:r>
          </w:p>
          <w:p w14:paraId="72318CC6">
            <w:pPr>
              <w:pStyle w:val="3"/>
              <w:ind w:firstLine="0" w:firstLineChars="0"/>
              <w:rPr>
                <w:rFonts w:ascii="仿宋_GB2312" w:hAnsi="仿宋_GB2312" w:eastAsia="仿宋_GB2312" w:cs="仿宋_GB2312"/>
                <w:sz w:val="24"/>
              </w:rPr>
            </w:pPr>
            <w:r>
              <w:rPr>
                <w:rFonts w:hint="eastAsia" w:ascii="仿宋_GB2312" w:hAnsi="仿宋_GB2312" w:eastAsia="仿宋_GB2312" w:cs="仿宋_GB2312"/>
                <w:sz w:val="24"/>
              </w:rPr>
              <w:t>1、钢筋： 永钢、沙钢、宝钢、马钢</w:t>
            </w:r>
          </w:p>
          <w:p w14:paraId="7ED13A1B">
            <w:pPr>
              <w:pStyle w:val="3"/>
              <w:ind w:firstLine="0" w:firstLineChars="0"/>
              <w:rPr>
                <w:rFonts w:ascii="仿宋_GB2312" w:hAnsi="仿宋_GB2312" w:eastAsia="仿宋_GB2312" w:cs="仿宋_GB2312"/>
                <w:sz w:val="24"/>
              </w:rPr>
            </w:pPr>
            <w:r>
              <w:rPr>
                <w:rFonts w:hint="eastAsia" w:ascii="仿宋_GB2312" w:hAnsi="仿宋_GB2312" w:eastAsia="仿宋_GB2312" w:cs="仿宋_GB2312"/>
                <w:sz w:val="24"/>
              </w:rPr>
              <w:t>2、涂料：立邦、三棵树、多乐士</w:t>
            </w:r>
          </w:p>
          <w:p w14:paraId="0F048516">
            <w:pPr>
              <w:pStyle w:val="3"/>
              <w:ind w:firstLine="0" w:firstLineChars="0"/>
              <w:rPr>
                <w:rFonts w:ascii="仿宋_GB2312" w:hAnsi="仿宋_GB2312" w:eastAsia="仿宋_GB2312" w:cs="仿宋_GB2312"/>
                <w:sz w:val="24"/>
              </w:rPr>
            </w:pPr>
            <w:r>
              <w:rPr>
                <w:rFonts w:hint="eastAsia" w:ascii="仿宋_GB2312" w:hAnsi="仿宋_GB2312" w:eastAsia="仿宋_GB2312" w:cs="仿宋_GB2312"/>
                <w:sz w:val="24"/>
              </w:rPr>
              <w:t>3、钢制门：新多、盼盼、步阳</w:t>
            </w:r>
          </w:p>
          <w:p w14:paraId="4D013E2E">
            <w:pPr>
              <w:pStyle w:val="3"/>
              <w:ind w:firstLine="0" w:firstLineChars="0"/>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、铝合金型材：德锐卡铝业、西飞铝业、栋梁</w:t>
            </w:r>
          </w:p>
          <w:p w14:paraId="20AEA1E0">
            <w:pPr>
              <w:pStyle w:val="3"/>
              <w:ind w:firstLine="0" w:firstLineChars="0"/>
              <w:rPr>
                <w:rFonts w:ascii="仿宋_GB2312" w:hAnsi="仿宋_GB2312" w:eastAsia="仿宋_GB2312" w:cs="仿宋_GB2312"/>
                <w:sz w:val="24"/>
              </w:rPr>
            </w:pPr>
            <w:r>
              <w:rPr>
                <w:rFonts w:hint="eastAsia" w:ascii="仿宋_GB2312" w:hAnsi="仿宋_GB2312" w:eastAsia="仿宋_GB2312" w:cs="仿宋_GB2312"/>
                <w:sz w:val="24"/>
              </w:rPr>
              <w:t>5、管材：公元、飞马、伟星、日丰</w:t>
            </w:r>
          </w:p>
          <w:p w14:paraId="55726BA8">
            <w:pPr>
              <w:pStyle w:val="3"/>
              <w:ind w:firstLine="0" w:firstLineChars="0"/>
            </w:pPr>
            <w:r>
              <w:rPr>
                <w:rFonts w:hint="eastAsia" w:ascii="仿宋_GB2312" w:hAnsi="仿宋_GB2312" w:eastAsia="仿宋_GB2312" w:cs="仿宋_GB2312"/>
                <w:sz w:val="24"/>
              </w:rPr>
              <w:t>6、电缆、电线：江扬、上上、远东、宝胜</w:t>
            </w:r>
          </w:p>
        </w:tc>
      </w:tr>
    </w:tbl>
    <w:p w14:paraId="00951AC0"/>
    <w:sectPr>
      <w:headerReference r:id="rId3" w:type="default"/>
      <w:footerReference r:id="rId4" w:type="default"/>
      <w:pgSz w:w="11906" w:h="16838"/>
      <w:pgMar w:top="130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EFAA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0522F1E">
                          <w:pPr>
                            <w:pStyle w:val="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40522F1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27A9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NTllYjQzMDE2YWViNjk0ODEyNjAyN2Y1ZWFiMmYifQ=="/>
  </w:docVars>
  <w:rsids>
    <w:rsidRoot w:val="594E6976"/>
    <w:rsid w:val="001D4E9F"/>
    <w:rsid w:val="002D3EFF"/>
    <w:rsid w:val="002D5048"/>
    <w:rsid w:val="00382769"/>
    <w:rsid w:val="003E1BA6"/>
    <w:rsid w:val="00415C99"/>
    <w:rsid w:val="00621945"/>
    <w:rsid w:val="00647D02"/>
    <w:rsid w:val="0065628E"/>
    <w:rsid w:val="006F5A53"/>
    <w:rsid w:val="007267EC"/>
    <w:rsid w:val="00B84A9A"/>
    <w:rsid w:val="00C05606"/>
    <w:rsid w:val="00C66601"/>
    <w:rsid w:val="00DD5D7F"/>
    <w:rsid w:val="00DF7882"/>
    <w:rsid w:val="00ED3932"/>
    <w:rsid w:val="01521C8D"/>
    <w:rsid w:val="021C23A2"/>
    <w:rsid w:val="06D118A6"/>
    <w:rsid w:val="082E3FD1"/>
    <w:rsid w:val="086B18C1"/>
    <w:rsid w:val="09DD6498"/>
    <w:rsid w:val="0B1807C3"/>
    <w:rsid w:val="0C4060C4"/>
    <w:rsid w:val="0D072AE6"/>
    <w:rsid w:val="11F6623D"/>
    <w:rsid w:val="12110C0F"/>
    <w:rsid w:val="12951F52"/>
    <w:rsid w:val="136D5BB6"/>
    <w:rsid w:val="14CD18FF"/>
    <w:rsid w:val="165A05E8"/>
    <w:rsid w:val="19215365"/>
    <w:rsid w:val="1BB44CCC"/>
    <w:rsid w:val="1C5B250F"/>
    <w:rsid w:val="1C907DE2"/>
    <w:rsid w:val="1D5A62F0"/>
    <w:rsid w:val="1F4A42E5"/>
    <w:rsid w:val="1FA04922"/>
    <w:rsid w:val="21E24D1F"/>
    <w:rsid w:val="228757E3"/>
    <w:rsid w:val="22FD3DDE"/>
    <w:rsid w:val="25951FC5"/>
    <w:rsid w:val="25E560BD"/>
    <w:rsid w:val="270B6293"/>
    <w:rsid w:val="2797242F"/>
    <w:rsid w:val="28917E69"/>
    <w:rsid w:val="28A013AD"/>
    <w:rsid w:val="28CE5336"/>
    <w:rsid w:val="29B4176A"/>
    <w:rsid w:val="29E70DA4"/>
    <w:rsid w:val="2A291E40"/>
    <w:rsid w:val="2C7B63FC"/>
    <w:rsid w:val="2E2C594D"/>
    <w:rsid w:val="2E5A3DAC"/>
    <w:rsid w:val="2E9372BE"/>
    <w:rsid w:val="30313232"/>
    <w:rsid w:val="31400343"/>
    <w:rsid w:val="319064A0"/>
    <w:rsid w:val="35536312"/>
    <w:rsid w:val="37092717"/>
    <w:rsid w:val="379A0783"/>
    <w:rsid w:val="37F910DE"/>
    <w:rsid w:val="39AC4F34"/>
    <w:rsid w:val="39D50446"/>
    <w:rsid w:val="3A593B48"/>
    <w:rsid w:val="3AEF1D20"/>
    <w:rsid w:val="3B630F53"/>
    <w:rsid w:val="3BC15BBF"/>
    <w:rsid w:val="3D8E0814"/>
    <w:rsid w:val="3EE37155"/>
    <w:rsid w:val="3EEE2639"/>
    <w:rsid w:val="416E6C04"/>
    <w:rsid w:val="42C21203"/>
    <w:rsid w:val="451505D5"/>
    <w:rsid w:val="472878AB"/>
    <w:rsid w:val="47A67C0A"/>
    <w:rsid w:val="49235B32"/>
    <w:rsid w:val="4A77611E"/>
    <w:rsid w:val="4A7D5EF6"/>
    <w:rsid w:val="4BFC24EE"/>
    <w:rsid w:val="4D727A5C"/>
    <w:rsid w:val="4ED41E6F"/>
    <w:rsid w:val="4F610FE6"/>
    <w:rsid w:val="527F1783"/>
    <w:rsid w:val="52800534"/>
    <w:rsid w:val="5296330E"/>
    <w:rsid w:val="52E10056"/>
    <w:rsid w:val="551704DD"/>
    <w:rsid w:val="566946E2"/>
    <w:rsid w:val="56D8735D"/>
    <w:rsid w:val="578E6FBF"/>
    <w:rsid w:val="589F0489"/>
    <w:rsid w:val="591C0025"/>
    <w:rsid w:val="594E6976"/>
    <w:rsid w:val="5A161616"/>
    <w:rsid w:val="5D3E4715"/>
    <w:rsid w:val="5D7C17DF"/>
    <w:rsid w:val="5F223BC2"/>
    <w:rsid w:val="5FEC48FC"/>
    <w:rsid w:val="60BC634E"/>
    <w:rsid w:val="61225113"/>
    <w:rsid w:val="616644CC"/>
    <w:rsid w:val="648C1B70"/>
    <w:rsid w:val="65905856"/>
    <w:rsid w:val="66A736CD"/>
    <w:rsid w:val="6723579F"/>
    <w:rsid w:val="67E255FE"/>
    <w:rsid w:val="6817259F"/>
    <w:rsid w:val="68463412"/>
    <w:rsid w:val="684E495E"/>
    <w:rsid w:val="6AF16280"/>
    <w:rsid w:val="6B0A432E"/>
    <w:rsid w:val="6C975BF0"/>
    <w:rsid w:val="6CCA5228"/>
    <w:rsid w:val="6D7E78B7"/>
    <w:rsid w:val="6EDD3662"/>
    <w:rsid w:val="702144E3"/>
    <w:rsid w:val="7217238C"/>
    <w:rsid w:val="733F2BDC"/>
    <w:rsid w:val="79AE2EC8"/>
    <w:rsid w:val="7B13672A"/>
    <w:rsid w:val="7D5A14F7"/>
    <w:rsid w:val="7F940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9">
    <w:name w:val="列表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1286</Words>
  <Characters>1426</Characters>
  <Lines>10</Lines>
  <Paragraphs>2</Paragraphs>
  <TotalTime>91</TotalTime>
  <ScaleCrop>false</ScaleCrop>
  <LinksUpToDate>false</LinksUpToDate>
  <CharactersWithSpaces>1434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2023-01-31T00:48:00Z</dcterms:created>
  <dc:creator>DELL</dc:creator>
  <cp:lastModifiedBy>尹珍珍</cp:lastModifiedBy>
  <cp:lastPrinted>2024-02-20T06:40:00Z</cp:lastPrinted>
  <dcterms:modified xsi:type="dcterms:W3CDTF">2025-09-19T02:14:29Z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AC162581BA434800BACE2215FA1F3BCF</vt:lpwstr>
  </property>
  <property fmtid="{D5CDD505-2E9C-101B-9397-08002B2CF9AE}" pid="4" name="KSOTemplateDocerSaveRecord">
    <vt:lpwstr>eyJoZGlkIjoiMTc1NTllYjQzMDE2YWViNjk0ODEyNjAyN2Y1ZWFiMmYiLCJ1c2VySWQiOiI4MDYwNjQ0MTIifQ==</vt:lpwstr>
  </property>
</Properties>
</file>