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3C1322">
      <w:pPr>
        <w:ind w:firstLine="600"/>
        <w:jc w:val="right"/>
        <w:rPr>
          <w:rFonts w:ascii="宋体" w:hAnsi="宋体" w:cs="宋体"/>
        </w:rPr>
      </w:pPr>
      <w:bookmarkStart w:id="0" w:name="_Toc11771422"/>
    </w:p>
    <w:p w14:paraId="52B687D5">
      <w:pPr>
        <w:rPr>
          <w:rFonts w:ascii="宋体" w:hAnsi="宋体" w:cs="宋体"/>
        </w:rPr>
      </w:pPr>
    </w:p>
    <w:p w14:paraId="6F345135">
      <w:pPr>
        <w:pStyle w:val="250"/>
        <w:rPr>
          <w:rFonts w:ascii="宋体" w:hAnsi="宋体" w:cs="宋体"/>
        </w:rPr>
      </w:pPr>
    </w:p>
    <w:p w14:paraId="6768A7EB">
      <w:pPr>
        <w:ind w:firstLine="600"/>
        <w:rPr>
          <w:rFonts w:ascii="宋体" w:hAnsi="宋体" w:cs="宋体"/>
        </w:rPr>
      </w:pPr>
    </w:p>
    <w:p w14:paraId="0A0D3BA8">
      <w:pPr>
        <w:jc w:val="center"/>
        <w:rPr>
          <w:rFonts w:ascii="宋体" w:hAnsi="宋体" w:cs="宋体"/>
          <w:b/>
          <w:bCs/>
          <w:sz w:val="100"/>
          <w:szCs w:val="100"/>
        </w:rPr>
      </w:pPr>
      <w:bookmarkStart w:id="1" w:name="_Toc19541334"/>
      <w:r>
        <w:rPr>
          <w:rFonts w:hint="eastAsia" w:ascii="宋体" w:hAnsi="宋体" w:cs="宋体"/>
          <w:b/>
          <w:bCs/>
          <w:sz w:val="100"/>
          <w:szCs w:val="100"/>
        </w:rPr>
        <w:t>公开招标文件</w:t>
      </w:r>
      <w:bookmarkEnd w:id="0"/>
      <w:bookmarkEnd w:id="1"/>
    </w:p>
    <w:p w14:paraId="53171D5A">
      <w:pPr>
        <w:ind w:firstLine="602"/>
        <w:jc w:val="center"/>
        <w:rPr>
          <w:rFonts w:ascii="宋体" w:hAnsi="宋体" w:cs="宋体"/>
          <w:b/>
          <w:bCs/>
        </w:rPr>
      </w:pPr>
    </w:p>
    <w:p w14:paraId="0DBC6C6E">
      <w:pPr>
        <w:ind w:firstLine="602"/>
        <w:jc w:val="center"/>
        <w:rPr>
          <w:rFonts w:ascii="宋体" w:hAnsi="宋体" w:cs="宋体"/>
          <w:b/>
          <w:bCs/>
        </w:rPr>
      </w:pPr>
    </w:p>
    <w:p w14:paraId="0F1A6001">
      <w:pPr>
        <w:pStyle w:val="250"/>
        <w:ind w:firstLine="0"/>
        <w:jc w:val="center"/>
        <w:rPr>
          <w:rFonts w:ascii="宋体" w:hAnsi="宋体" w:cs="宋体"/>
          <w:b/>
          <w:bCs/>
        </w:rPr>
      </w:pPr>
    </w:p>
    <w:p w14:paraId="2F58D3C2">
      <w:pPr>
        <w:pStyle w:val="250"/>
        <w:ind w:firstLine="0"/>
        <w:jc w:val="center"/>
        <w:rPr>
          <w:rFonts w:ascii="宋体" w:hAnsi="宋体" w:cs="宋体"/>
          <w:b/>
          <w:bCs/>
        </w:rPr>
      </w:pPr>
    </w:p>
    <w:p w14:paraId="185DF325">
      <w:pPr>
        <w:pStyle w:val="250"/>
        <w:ind w:firstLine="0"/>
        <w:jc w:val="center"/>
        <w:rPr>
          <w:rFonts w:ascii="宋体" w:hAnsi="宋体" w:cs="宋体"/>
          <w:b/>
          <w:bCs/>
        </w:rPr>
      </w:pPr>
    </w:p>
    <w:p w14:paraId="43320924">
      <w:pPr>
        <w:pStyle w:val="250"/>
        <w:ind w:firstLine="0"/>
        <w:jc w:val="center"/>
        <w:rPr>
          <w:rFonts w:ascii="宋体" w:hAnsi="宋体" w:cs="宋体"/>
          <w:b/>
          <w:bCs/>
        </w:rPr>
      </w:pPr>
    </w:p>
    <w:p w14:paraId="1C1B96D6">
      <w:pPr>
        <w:pStyle w:val="250"/>
        <w:ind w:firstLine="0"/>
        <w:rPr>
          <w:rFonts w:ascii="宋体" w:hAnsi="宋体" w:cs="宋体"/>
          <w:b/>
          <w:bCs/>
        </w:rPr>
      </w:pPr>
    </w:p>
    <w:p w14:paraId="4F2BE341">
      <w:pPr>
        <w:pStyle w:val="250"/>
        <w:ind w:firstLine="0"/>
        <w:rPr>
          <w:rFonts w:ascii="宋体" w:hAnsi="宋体" w:cs="宋体"/>
          <w:b/>
          <w:bCs/>
        </w:rPr>
      </w:pPr>
    </w:p>
    <w:p w14:paraId="15841B9B">
      <w:pPr>
        <w:pStyle w:val="250"/>
        <w:ind w:firstLine="0"/>
        <w:jc w:val="center"/>
        <w:rPr>
          <w:rFonts w:ascii="宋体" w:hAnsi="宋体" w:cs="宋体"/>
          <w:b/>
          <w:bCs/>
          <w:color w:val="auto"/>
          <w:highlight w:val="none"/>
        </w:rPr>
      </w:pPr>
    </w:p>
    <w:p w14:paraId="43CF9CA3">
      <w:pPr>
        <w:pStyle w:val="250"/>
        <w:ind w:firstLine="0"/>
        <w:rPr>
          <w:rFonts w:ascii="宋体" w:hAnsi="宋体" w:cs="宋体"/>
          <w:b/>
          <w:bCs/>
          <w:color w:val="auto"/>
          <w:highlight w:val="none"/>
        </w:rPr>
      </w:pPr>
    </w:p>
    <w:p w14:paraId="68AFB6D0">
      <w:pPr>
        <w:spacing w:line="360" w:lineRule="auto"/>
        <w:jc w:val="center"/>
        <w:rPr>
          <w:rFonts w:ascii="宋体" w:hAnsi="宋体" w:cs="宋体"/>
          <w:b/>
          <w:bCs/>
          <w:color w:val="auto"/>
          <w:sz w:val="40"/>
          <w:szCs w:val="40"/>
          <w:highlight w:val="none"/>
        </w:rPr>
      </w:pPr>
      <w:r>
        <w:rPr>
          <w:rFonts w:hint="eastAsia" w:ascii="宋体" w:hAnsi="宋体" w:cs="宋体"/>
          <w:b/>
          <w:bCs/>
          <w:color w:val="auto"/>
          <w:sz w:val="40"/>
          <w:szCs w:val="40"/>
          <w:highlight w:val="none"/>
          <w:lang w:val="zh-CN"/>
        </w:rPr>
        <w:t>项目编号：JSZC-320118-JTGS-G2024-0088</w:t>
      </w:r>
    </w:p>
    <w:p w14:paraId="6BF8CE70">
      <w:pPr>
        <w:spacing w:line="360" w:lineRule="auto"/>
        <w:jc w:val="center"/>
        <w:rPr>
          <w:rFonts w:ascii="宋体" w:hAnsi="宋体" w:cs="宋体"/>
          <w:b/>
          <w:bCs/>
          <w:color w:val="auto"/>
          <w:sz w:val="40"/>
          <w:szCs w:val="40"/>
          <w:highlight w:val="none"/>
        </w:rPr>
      </w:pPr>
      <w:r>
        <w:rPr>
          <w:rFonts w:hint="eastAsia" w:ascii="宋体" w:hAnsi="宋体" w:cs="宋体"/>
          <w:b/>
          <w:bCs/>
          <w:color w:val="auto"/>
          <w:sz w:val="40"/>
          <w:szCs w:val="40"/>
          <w:highlight w:val="none"/>
          <w:lang w:val="zh-CN"/>
        </w:rPr>
        <w:t>项目名称：高淳区桠溪街道2024年中央农作物秸秆综合利用重点县建设项目设备采购</w:t>
      </w:r>
    </w:p>
    <w:p w14:paraId="61072240">
      <w:pPr>
        <w:pStyle w:val="21"/>
        <w:spacing w:after="0" w:line="360" w:lineRule="auto"/>
        <w:jc w:val="center"/>
        <w:rPr>
          <w:rFonts w:ascii="宋体" w:hAnsi="宋体" w:cs="宋体"/>
          <w:b/>
          <w:bCs/>
          <w:color w:val="auto"/>
          <w:sz w:val="40"/>
          <w:szCs w:val="40"/>
          <w:highlight w:val="none"/>
        </w:rPr>
      </w:pPr>
      <w:r>
        <w:rPr>
          <w:rFonts w:hint="eastAsia" w:ascii="宋体" w:hAnsi="宋体" w:cs="宋体"/>
          <w:b/>
          <w:bCs/>
          <w:color w:val="auto"/>
          <w:sz w:val="40"/>
          <w:szCs w:val="40"/>
          <w:highlight w:val="none"/>
        </w:rPr>
        <w:t>采购类别：货物类</w:t>
      </w:r>
    </w:p>
    <w:p w14:paraId="75BC122D">
      <w:pPr>
        <w:ind w:firstLine="803"/>
        <w:rPr>
          <w:rFonts w:ascii="宋体" w:hAnsi="宋体" w:cs="宋体"/>
          <w:b/>
          <w:bCs/>
          <w:color w:val="auto"/>
          <w:sz w:val="32"/>
          <w:szCs w:val="32"/>
          <w:highlight w:val="none"/>
          <w:lang w:val="zh-CN"/>
        </w:rPr>
      </w:pPr>
    </w:p>
    <w:p w14:paraId="112B0B35">
      <w:pPr>
        <w:rPr>
          <w:rFonts w:ascii="宋体" w:hAnsi="宋体" w:cs="宋体"/>
          <w:b/>
          <w:bCs/>
          <w:color w:val="auto"/>
          <w:sz w:val="32"/>
          <w:szCs w:val="32"/>
          <w:highlight w:val="none"/>
          <w:lang w:val="zh-CN"/>
        </w:rPr>
      </w:pPr>
    </w:p>
    <w:p w14:paraId="2F21AAD3">
      <w:pPr>
        <w:rPr>
          <w:rFonts w:ascii="宋体" w:hAnsi="宋体" w:cs="宋体"/>
          <w:b/>
          <w:bCs/>
          <w:color w:val="auto"/>
          <w:sz w:val="32"/>
          <w:szCs w:val="32"/>
          <w:highlight w:val="none"/>
          <w:lang w:val="zh-CN"/>
        </w:rPr>
      </w:pPr>
    </w:p>
    <w:p w14:paraId="32C2BD1A">
      <w:pPr>
        <w:pStyle w:val="250"/>
        <w:ind w:firstLine="0"/>
        <w:rPr>
          <w:rFonts w:ascii="宋体" w:hAnsi="宋体" w:cs="宋体"/>
          <w:b/>
          <w:bCs/>
          <w:color w:val="auto"/>
          <w:highlight w:val="none"/>
          <w:lang w:val="zh-CN"/>
        </w:rPr>
      </w:pPr>
    </w:p>
    <w:p w14:paraId="00D8E968">
      <w:pPr>
        <w:spacing w:line="360" w:lineRule="auto"/>
        <w:jc w:val="center"/>
        <w:rPr>
          <w:rFonts w:ascii="宋体" w:hAnsi="宋体" w:cs="宋体"/>
          <w:b/>
          <w:bCs/>
          <w:color w:val="auto"/>
          <w:sz w:val="44"/>
          <w:szCs w:val="52"/>
          <w:highlight w:val="none"/>
        </w:rPr>
      </w:pPr>
      <w:r>
        <w:rPr>
          <w:rFonts w:hint="eastAsia" w:ascii="宋体" w:hAnsi="宋体" w:cs="宋体"/>
          <w:b/>
          <w:bCs/>
          <w:color w:val="auto"/>
          <w:sz w:val="44"/>
          <w:szCs w:val="52"/>
          <w:highlight w:val="none"/>
        </w:rPr>
        <w:t>江苏骏通建设项目管理咨询有限公司</w:t>
      </w:r>
    </w:p>
    <w:p w14:paraId="354477F8">
      <w:pPr>
        <w:jc w:val="center"/>
        <w:rPr>
          <w:rFonts w:ascii="宋体" w:hAnsi="宋体" w:cs="宋体"/>
          <w:b/>
          <w:bCs/>
          <w:sz w:val="44"/>
        </w:rPr>
      </w:pPr>
      <w:r>
        <w:rPr>
          <w:rFonts w:hint="eastAsia" w:ascii="宋体" w:hAnsi="宋体" w:cs="宋体"/>
          <w:b/>
          <w:bCs/>
          <w:sz w:val="44"/>
        </w:rPr>
        <w:t>2024年10月</w:t>
      </w:r>
    </w:p>
    <w:p w14:paraId="3DBBABE5">
      <w:pPr>
        <w:rPr>
          <w:rFonts w:ascii="宋体" w:hAnsi="宋体" w:cs="宋体"/>
          <w:sz w:val="40"/>
          <w:lang w:val="zh-CN"/>
        </w:rPr>
      </w:pPr>
      <w:r>
        <w:rPr>
          <w:rFonts w:hint="eastAsia" w:ascii="宋体" w:hAnsi="宋体" w:cs="宋体"/>
          <w:sz w:val="40"/>
          <w:lang w:val="zh-CN"/>
        </w:rPr>
        <w:br w:type="page" w:clear="all"/>
      </w:r>
    </w:p>
    <w:p w14:paraId="43CD70A3">
      <w:pPr>
        <w:pStyle w:val="536"/>
        <w:tabs>
          <w:tab w:val="left" w:pos="2610"/>
          <w:tab w:val="center" w:pos="4153"/>
        </w:tabs>
        <w:spacing w:line="240" w:lineRule="auto"/>
        <w:ind w:firstLine="803"/>
        <w:jc w:val="center"/>
        <w:rPr>
          <w:rFonts w:ascii="宋体" w:hAnsi="宋体" w:cs="宋体"/>
          <w:color w:val="auto"/>
          <w:sz w:val="32"/>
          <w:szCs w:val="22"/>
          <w:lang w:val="zh-CN"/>
        </w:rPr>
      </w:pPr>
      <w:r>
        <w:rPr>
          <w:rFonts w:hint="eastAsia" w:ascii="宋体" w:hAnsi="宋体" w:cs="宋体"/>
          <w:color w:val="auto"/>
          <w:sz w:val="32"/>
          <w:szCs w:val="22"/>
          <w:lang w:val="zh-CN"/>
        </w:rPr>
        <w:t>目 录</w:t>
      </w:r>
    </w:p>
    <w:p w14:paraId="4FDFA38F">
      <w:pPr>
        <w:pStyle w:val="39"/>
        <w:tabs>
          <w:tab w:val="right" w:leader="dot" w:pos="8306"/>
        </w:tabs>
        <w:spacing w:line="360" w:lineRule="auto"/>
        <w:rPr>
          <w:rFonts w:ascii="宋体" w:hAnsi="宋体" w:cs="宋体"/>
          <w:b/>
          <w:bCs/>
          <w:sz w:val="24"/>
          <w:szCs w:val="32"/>
        </w:rPr>
      </w:pPr>
      <w:r>
        <w:rPr>
          <w:rFonts w:hint="eastAsia" w:ascii="宋体" w:hAnsi="宋体" w:cs="宋体"/>
          <w:b/>
          <w:sz w:val="24"/>
        </w:rPr>
        <w:fldChar w:fldCharType="begin"/>
      </w:r>
      <w:r>
        <w:rPr>
          <w:rFonts w:hint="eastAsia" w:ascii="宋体" w:hAnsi="宋体" w:cs="宋体"/>
          <w:b/>
          <w:sz w:val="24"/>
        </w:rPr>
        <w:instrText xml:space="preserve"> TOC \o "1-3" \h \z \u </w:instrText>
      </w:r>
      <w:r>
        <w:rPr>
          <w:rFonts w:hint="eastAsia" w:ascii="宋体" w:hAnsi="宋体" w:cs="宋体"/>
          <w:b/>
          <w:sz w:val="24"/>
        </w:rPr>
        <w:fldChar w:fldCharType="separate"/>
      </w:r>
      <w:r>
        <w:fldChar w:fldCharType="begin"/>
      </w:r>
      <w:r>
        <w:instrText xml:space="preserve"> HYPERLINK \l "_Toc2296" </w:instrText>
      </w:r>
      <w:r>
        <w:fldChar w:fldCharType="separate"/>
      </w:r>
      <w:r>
        <w:rPr>
          <w:rFonts w:hint="eastAsia" w:ascii="宋体" w:hAnsi="宋体" w:cs="宋体"/>
          <w:b/>
          <w:bCs/>
          <w:sz w:val="24"/>
          <w:szCs w:val="32"/>
        </w:rPr>
        <w:t>第一章  招标公告</w:t>
      </w:r>
      <w:r>
        <w:rPr>
          <w:rFonts w:hint="eastAsia" w:ascii="宋体" w:hAnsi="宋体" w:cs="宋体"/>
          <w:b/>
          <w:bCs/>
          <w:sz w:val="24"/>
          <w:szCs w:val="32"/>
        </w:rPr>
        <w:tab/>
      </w:r>
      <w:r>
        <w:rPr>
          <w:rFonts w:hint="eastAsia" w:ascii="宋体" w:hAnsi="宋体" w:cs="宋体"/>
          <w:b/>
          <w:bCs/>
          <w:sz w:val="24"/>
          <w:szCs w:val="32"/>
        </w:rPr>
        <w:fldChar w:fldCharType="begin"/>
      </w:r>
      <w:r>
        <w:rPr>
          <w:rFonts w:hint="eastAsia" w:ascii="宋体" w:hAnsi="宋体" w:cs="宋体"/>
          <w:b/>
          <w:bCs/>
          <w:sz w:val="24"/>
          <w:szCs w:val="32"/>
        </w:rPr>
        <w:instrText xml:space="preserve"> PAGEREF _Toc2296 \h </w:instrText>
      </w:r>
      <w:r>
        <w:rPr>
          <w:rFonts w:hint="eastAsia" w:ascii="宋体" w:hAnsi="宋体" w:cs="宋体"/>
          <w:b/>
          <w:bCs/>
          <w:sz w:val="24"/>
          <w:szCs w:val="32"/>
        </w:rPr>
        <w:fldChar w:fldCharType="separate"/>
      </w:r>
      <w:r>
        <w:rPr>
          <w:rFonts w:hint="eastAsia" w:ascii="宋体" w:hAnsi="宋体" w:cs="宋体"/>
          <w:b/>
          <w:bCs/>
          <w:sz w:val="24"/>
          <w:szCs w:val="32"/>
        </w:rPr>
        <w:t>1</w:t>
      </w:r>
      <w:r>
        <w:rPr>
          <w:rFonts w:hint="eastAsia" w:ascii="宋体" w:hAnsi="宋体" w:cs="宋体"/>
          <w:b/>
          <w:bCs/>
          <w:sz w:val="24"/>
          <w:szCs w:val="32"/>
        </w:rPr>
        <w:fldChar w:fldCharType="end"/>
      </w:r>
      <w:r>
        <w:rPr>
          <w:rFonts w:hint="eastAsia" w:ascii="宋体" w:hAnsi="宋体" w:cs="宋体"/>
          <w:b/>
          <w:bCs/>
          <w:sz w:val="24"/>
          <w:szCs w:val="32"/>
        </w:rPr>
        <w:fldChar w:fldCharType="end"/>
      </w:r>
    </w:p>
    <w:p w14:paraId="4D8E0039">
      <w:pPr>
        <w:pStyle w:val="39"/>
        <w:tabs>
          <w:tab w:val="right" w:leader="dot" w:pos="8306"/>
        </w:tabs>
        <w:spacing w:line="360" w:lineRule="auto"/>
        <w:rPr>
          <w:rFonts w:ascii="宋体" w:hAnsi="宋体" w:cs="宋体"/>
          <w:b/>
          <w:bCs/>
          <w:sz w:val="24"/>
          <w:szCs w:val="32"/>
        </w:rPr>
      </w:pPr>
      <w:r>
        <w:fldChar w:fldCharType="begin"/>
      </w:r>
      <w:r>
        <w:instrText xml:space="preserve"> HYPERLINK \l "_Toc4696" </w:instrText>
      </w:r>
      <w:r>
        <w:fldChar w:fldCharType="separate"/>
      </w:r>
      <w:r>
        <w:rPr>
          <w:rFonts w:hint="eastAsia" w:ascii="宋体" w:hAnsi="宋体" w:cs="宋体"/>
          <w:b/>
          <w:bCs/>
          <w:sz w:val="24"/>
          <w:szCs w:val="32"/>
        </w:rPr>
        <w:t>第二章  供应商须知</w:t>
      </w:r>
      <w:r>
        <w:rPr>
          <w:rFonts w:hint="eastAsia" w:ascii="宋体" w:hAnsi="宋体" w:cs="宋体"/>
          <w:b/>
          <w:bCs/>
          <w:sz w:val="24"/>
          <w:szCs w:val="32"/>
        </w:rPr>
        <w:tab/>
      </w:r>
      <w:r>
        <w:rPr>
          <w:rFonts w:hint="eastAsia" w:ascii="宋体" w:hAnsi="宋体" w:cs="宋体"/>
          <w:b/>
          <w:bCs/>
          <w:sz w:val="24"/>
          <w:szCs w:val="32"/>
        </w:rPr>
        <w:fldChar w:fldCharType="begin"/>
      </w:r>
      <w:r>
        <w:rPr>
          <w:rFonts w:hint="eastAsia" w:ascii="宋体" w:hAnsi="宋体" w:cs="宋体"/>
          <w:b/>
          <w:bCs/>
          <w:sz w:val="24"/>
          <w:szCs w:val="32"/>
        </w:rPr>
        <w:instrText xml:space="preserve"> PAGEREF _Toc4696 \h </w:instrText>
      </w:r>
      <w:r>
        <w:rPr>
          <w:rFonts w:hint="eastAsia" w:ascii="宋体" w:hAnsi="宋体" w:cs="宋体"/>
          <w:b/>
          <w:bCs/>
          <w:sz w:val="24"/>
          <w:szCs w:val="32"/>
        </w:rPr>
        <w:fldChar w:fldCharType="separate"/>
      </w:r>
      <w:r>
        <w:rPr>
          <w:rFonts w:hint="eastAsia" w:ascii="宋体" w:hAnsi="宋体" w:cs="宋体"/>
          <w:b/>
          <w:bCs/>
          <w:sz w:val="24"/>
          <w:szCs w:val="32"/>
        </w:rPr>
        <w:t>1</w:t>
      </w:r>
      <w:r>
        <w:rPr>
          <w:rFonts w:hint="eastAsia" w:ascii="宋体" w:hAnsi="宋体" w:cs="宋体"/>
          <w:b/>
          <w:bCs/>
          <w:sz w:val="24"/>
          <w:szCs w:val="32"/>
        </w:rPr>
        <w:fldChar w:fldCharType="end"/>
      </w:r>
      <w:r>
        <w:rPr>
          <w:rFonts w:hint="eastAsia" w:ascii="宋体" w:hAnsi="宋体" w:cs="宋体"/>
          <w:b/>
          <w:bCs/>
          <w:sz w:val="24"/>
          <w:szCs w:val="32"/>
        </w:rPr>
        <w:fldChar w:fldCharType="end"/>
      </w:r>
    </w:p>
    <w:p w14:paraId="40AFAA5E">
      <w:pPr>
        <w:pStyle w:val="39"/>
        <w:tabs>
          <w:tab w:val="right" w:leader="dot" w:pos="8306"/>
        </w:tabs>
        <w:spacing w:line="360" w:lineRule="auto"/>
        <w:rPr>
          <w:rFonts w:ascii="宋体" w:hAnsi="宋体" w:cs="宋体"/>
          <w:b/>
          <w:bCs/>
          <w:sz w:val="24"/>
          <w:szCs w:val="32"/>
        </w:rPr>
      </w:pPr>
      <w:r>
        <w:fldChar w:fldCharType="begin"/>
      </w:r>
      <w:r>
        <w:instrText xml:space="preserve"> HYPERLINK \l "_Toc27215" </w:instrText>
      </w:r>
      <w:r>
        <w:fldChar w:fldCharType="separate"/>
      </w:r>
      <w:r>
        <w:rPr>
          <w:rFonts w:hint="eastAsia" w:ascii="宋体" w:hAnsi="宋体" w:cs="宋体"/>
          <w:b/>
          <w:bCs/>
          <w:sz w:val="24"/>
          <w:szCs w:val="32"/>
        </w:rPr>
        <w:t>第三章  评标标准</w:t>
      </w:r>
      <w:r>
        <w:rPr>
          <w:rFonts w:hint="eastAsia" w:ascii="宋体" w:hAnsi="宋体" w:cs="宋体"/>
          <w:b/>
          <w:bCs/>
          <w:sz w:val="24"/>
          <w:szCs w:val="32"/>
        </w:rPr>
        <w:tab/>
      </w:r>
      <w:r>
        <w:rPr>
          <w:rFonts w:hint="eastAsia" w:ascii="宋体" w:hAnsi="宋体" w:cs="宋体"/>
          <w:b/>
          <w:bCs/>
          <w:sz w:val="24"/>
          <w:szCs w:val="32"/>
        </w:rPr>
        <w:fldChar w:fldCharType="begin"/>
      </w:r>
      <w:r>
        <w:rPr>
          <w:rFonts w:hint="eastAsia" w:ascii="宋体" w:hAnsi="宋体" w:cs="宋体"/>
          <w:b/>
          <w:bCs/>
          <w:sz w:val="24"/>
          <w:szCs w:val="32"/>
        </w:rPr>
        <w:instrText xml:space="preserve"> PAGEREF _Toc27215 \h </w:instrText>
      </w:r>
      <w:r>
        <w:rPr>
          <w:rFonts w:hint="eastAsia" w:ascii="宋体" w:hAnsi="宋体" w:cs="宋体"/>
          <w:b/>
          <w:bCs/>
          <w:sz w:val="24"/>
          <w:szCs w:val="32"/>
        </w:rPr>
        <w:fldChar w:fldCharType="separate"/>
      </w:r>
      <w:r>
        <w:rPr>
          <w:rFonts w:hint="eastAsia" w:ascii="宋体" w:hAnsi="宋体" w:cs="宋体"/>
          <w:b/>
          <w:bCs/>
          <w:sz w:val="24"/>
          <w:szCs w:val="32"/>
        </w:rPr>
        <w:t>23</w:t>
      </w:r>
      <w:r>
        <w:rPr>
          <w:rFonts w:hint="eastAsia" w:ascii="宋体" w:hAnsi="宋体" w:cs="宋体"/>
          <w:b/>
          <w:bCs/>
          <w:sz w:val="24"/>
          <w:szCs w:val="32"/>
        </w:rPr>
        <w:fldChar w:fldCharType="end"/>
      </w:r>
      <w:r>
        <w:rPr>
          <w:rFonts w:hint="eastAsia" w:ascii="宋体" w:hAnsi="宋体" w:cs="宋体"/>
          <w:b/>
          <w:bCs/>
          <w:sz w:val="24"/>
          <w:szCs w:val="32"/>
        </w:rPr>
        <w:fldChar w:fldCharType="end"/>
      </w:r>
    </w:p>
    <w:p w14:paraId="2B8E4543">
      <w:pPr>
        <w:pStyle w:val="39"/>
        <w:tabs>
          <w:tab w:val="right" w:leader="dot" w:pos="8306"/>
        </w:tabs>
        <w:spacing w:line="360" w:lineRule="auto"/>
        <w:rPr>
          <w:rFonts w:ascii="宋体" w:hAnsi="宋体" w:cs="宋体"/>
          <w:b/>
          <w:bCs/>
          <w:sz w:val="24"/>
          <w:szCs w:val="32"/>
        </w:rPr>
      </w:pPr>
      <w:r>
        <w:fldChar w:fldCharType="begin"/>
      </w:r>
      <w:r>
        <w:instrText xml:space="preserve"> HYPERLINK \l "_Toc2067" </w:instrText>
      </w:r>
      <w:r>
        <w:fldChar w:fldCharType="separate"/>
      </w:r>
      <w:r>
        <w:rPr>
          <w:rFonts w:hint="eastAsia" w:ascii="宋体" w:hAnsi="宋体" w:cs="宋体"/>
          <w:b/>
          <w:bCs/>
          <w:sz w:val="24"/>
          <w:szCs w:val="32"/>
        </w:rPr>
        <w:t>第四章  采购需求及服务要求</w:t>
      </w:r>
      <w:r>
        <w:rPr>
          <w:rFonts w:hint="eastAsia" w:ascii="宋体" w:hAnsi="宋体" w:cs="宋体"/>
          <w:b/>
          <w:bCs/>
          <w:sz w:val="24"/>
          <w:szCs w:val="32"/>
        </w:rPr>
        <w:tab/>
      </w:r>
      <w:r>
        <w:rPr>
          <w:rFonts w:hint="eastAsia" w:ascii="宋体" w:hAnsi="宋体" w:cs="宋体"/>
          <w:b/>
          <w:bCs/>
          <w:sz w:val="24"/>
          <w:szCs w:val="32"/>
        </w:rPr>
        <w:fldChar w:fldCharType="begin"/>
      </w:r>
      <w:r>
        <w:rPr>
          <w:rFonts w:hint="eastAsia" w:ascii="宋体" w:hAnsi="宋体" w:cs="宋体"/>
          <w:b/>
          <w:bCs/>
          <w:sz w:val="24"/>
          <w:szCs w:val="32"/>
        </w:rPr>
        <w:instrText xml:space="preserve"> PAGEREF _Toc2067 \h </w:instrText>
      </w:r>
      <w:r>
        <w:rPr>
          <w:rFonts w:hint="eastAsia" w:ascii="宋体" w:hAnsi="宋体" w:cs="宋体"/>
          <w:b/>
          <w:bCs/>
          <w:sz w:val="24"/>
          <w:szCs w:val="32"/>
        </w:rPr>
        <w:fldChar w:fldCharType="separate"/>
      </w:r>
      <w:r>
        <w:rPr>
          <w:rFonts w:hint="eastAsia" w:ascii="宋体" w:hAnsi="宋体" w:cs="宋体"/>
          <w:b/>
          <w:bCs/>
          <w:sz w:val="24"/>
          <w:szCs w:val="32"/>
        </w:rPr>
        <w:t>26</w:t>
      </w:r>
      <w:r>
        <w:rPr>
          <w:rFonts w:hint="eastAsia" w:ascii="宋体" w:hAnsi="宋体" w:cs="宋体"/>
          <w:b/>
          <w:bCs/>
          <w:sz w:val="24"/>
          <w:szCs w:val="32"/>
        </w:rPr>
        <w:fldChar w:fldCharType="end"/>
      </w:r>
      <w:r>
        <w:rPr>
          <w:rFonts w:hint="eastAsia" w:ascii="宋体" w:hAnsi="宋体" w:cs="宋体"/>
          <w:b/>
          <w:bCs/>
          <w:sz w:val="24"/>
          <w:szCs w:val="32"/>
        </w:rPr>
        <w:fldChar w:fldCharType="end"/>
      </w:r>
    </w:p>
    <w:p w14:paraId="4F02B6DD">
      <w:pPr>
        <w:pStyle w:val="39"/>
        <w:tabs>
          <w:tab w:val="right" w:leader="dot" w:pos="8306"/>
        </w:tabs>
        <w:spacing w:line="360" w:lineRule="auto"/>
        <w:rPr>
          <w:rFonts w:ascii="宋体" w:hAnsi="宋体" w:cs="宋体"/>
          <w:b/>
          <w:bCs/>
          <w:sz w:val="24"/>
          <w:szCs w:val="32"/>
        </w:rPr>
      </w:pPr>
      <w:r>
        <w:fldChar w:fldCharType="begin"/>
      </w:r>
      <w:r>
        <w:instrText xml:space="preserve"> HYPERLINK \l "_Toc30716" </w:instrText>
      </w:r>
      <w:r>
        <w:fldChar w:fldCharType="separate"/>
      </w:r>
      <w:r>
        <w:rPr>
          <w:rFonts w:hint="eastAsia" w:ascii="宋体" w:hAnsi="宋体" w:cs="宋体"/>
          <w:b/>
          <w:bCs/>
          <w:sz w:val="24"/>
          <w:szCs w:val="32"/>
        </w:rPr>
        <w:t>第五章  合同主要条款及格式</w:t>
      </w:r>
      <w:r>
        <w:rPr>
          <w:rFonts w:hint="eastAsia" w:ascii="宋体" w:hAnsi="宋体" w:cs="宋体"/>
          <w:b/>
          <w:bCs/>
          <w:sz w:val="24"/>
          <w:szCs w:val="32"/>
        </w:rPr>
        <w:tab/>
      </w:r>
      <w:r>
        <w:rPr>
          <w:rFonts w:hint="eastAsia" w:ascii="宋体" w:hAnsi="宋体" w:cs="宋体"/>
          <w:b/>
          <w:bCs/>
          <w:sz w:val="24"/>
          <w:szCs w:val="32"/>
        </w:rPr>
        <w:fldChar w:fldCharType="begin"/>
      </w:r>
      <w:r>
        <w:rPr>
          <w:rFonts w:hint="eastAsia" w:ascii="宋体" w:hAnsi="宋体" w:cs="宋体"/>
          <w:b/>
          <w:bCs/>
          <w:sz w:val="24"/>
          <w:szCs w:val="32"/>
        </w:rPr>
        <w:instrText xml:space="preserve"> PAGEREF _Toc30716 \h </w:instrText>
      </w:r>
      <w:r>
        <w:rPr>
          <w:rFonts w:hint="eastAsia" w:ascii="宋体" w:hAnsi="宋体" w:cs="宋体"/>
          <w:b/>
          <w:bCs/>
          <w:sz w:val="24"/>
          <w:szCs w:val="32"/>
        </w:rPr>
        <w:fldChar w:fldCharType="separate"/>
      </w:r>
      <w:r>
        <w:rPr>
          <w:rFonts w:hint="eastAsia" w:ascii="宋体" w:hAnsi="宋体" w:cs="宋体"/>
          <w:b/>
          <w:bCs/>
          <w:sz w:val="24"/>
          <w:szCs w:val="32"/>
        </w:rPr>
        <w:t>26</w:t>
      </w:r>
      <w:r>
        <w:rPr>
          <w:rFonts w:hint="eastAsia" w:ascii="宋体" w:hAnsi="宋体" w:cs="宋体"/>
          <w:b/>
          <w:bCs/>
          <w:sz w:val="24"/>
          <w:szCs w:val="32"/>
        </w:rPr>
        <w:fldChar w:fldCharType="end"/>
      </w:r>
      <w:r>
        <w:rPr>
          <w:rFonts w:hint="eastAsia" w:ascii="宋体" w:hAnsi="宋体" w:cs="宋体"/>
          <w:b/>
          <w:bCs/>
          <w:sz w:val="24"/>
          <w:szCs w:val="32"/>
        </w:rPr>
        <w:fldChar w:fldCharType="end"/>
      </w:r>
    </w:p>
    <w:p w14:paraId="5806D8E1">
      <w:pPr>
        <w:pStyle w:val="39"/>
        <w:tabs>
          <w:tab w:val="right" w:leader="dot" w:pos="8306"/>
        </w:tabs>
        <w:spacing w:line="360" w:lineRule="auto"/>
        <w:rPr>
          <w:rFonts w:ascii="宋体" w:hAnsi="宋体" w:cs="宋体"/>
        </w:rPr>
      </w:pPr>
      <w:r>
        <w:fldChar w:fldCharType="begin"/>
      </w:r>
      <w:r>
        <w:instrText xml:space="preserve"> HYPERLINK \l "_Toc24081" </w:instrText>
      </w:r>
      <w:r>
        <w:fldChar w:fldCharType="separate"/>
      </w:r>
      <w:r>
        <w:rPr>
          <w:rFonts w:hint="eastAsia" w:ascii="宋体" w:hAnsi="宋体" w:cs="宋体"/>
          <w:b/>
          <w:bCs/>
          <w:sz w:val="24"/>
          <w:szCs w:val="32"/>
        </w:rPr>
        <w:t>第六章  投标文件格式及附件</w:t>
      </w:r>
      <w:r>
        <w:rPr>
          <w:rFonts w:hint="eastAsia" w:ascii="宋体" w:hAnsi="宋体" w:cs="宋体"/>
          <w:b/>
          <w:bCs/>
          <w:sz w:val="24"/>
          <w:szCs w:val="32"/>
        </w:rPr>
        <w:tab/>
      </w:r>
      <w:r>
        <w:rPr>
          <w:rFonts w:hint="eastAsia" w:ascii="宋体" w:hAnsi="宋体" w:cs="宋体"/>
          <w:b/>
          <w:bCs/>
          <w:sz w:val="24"/>
          <w:szCs w:val="32"/>
        </w:rPr>
        <w:fldChar w:fldCharType="begin"/>
      </w:r>
      <w:r>
        <w:rPr>
          <w:rFonts w:hint="eastAsia" w:ascii="宋体" w:hAnsi="宋体" w:cs="宋体"/>
          <w:b/>
          <w:bCs/>
          <w:sz w:val="24"/>
          <w:szCs w:val="32"/>
        </w:rPr>
        <w:instrText xml:space="preserve"> PAGEREF _Toc24081 \h </w:instrText>
      </w:r>
      <w:r>
        <w:rPr>
          <w:rFonts w:hint="eastAsia" w:ascii="宋体" w:hAnsi="宋体" w:cs="宋体"/>
          <w:b/>
          <w:bCs/>
          <w:sz w:val="24"/>
          <w:szCs w:val="32"/>
        </w:rPr>
        <w:fldChar w:fldCharType="separate"/>
      </w:r>
      <w:r>
        <w:rPr>
          <w:rFonts w:hint="eastAsia" w:ascii="宋体" w:hAnsi="宋体" w:cs="宋体"/>
          <w:b/>
          <w:bCs/>
          <w:sz w:val="24"/>
          <w:szCs w:val="32"/>
        </w:rPr>
        <w:t>34</w:t>
      </w:r>
      <w:r>
        <w:rPr>
          <w:rFonts w:hint="eastAsia" w:ascii="宋体" w:hAnsi="宋体" w:cs="宋体"/>
          <w:b/>
          <w:bCs/>
          <w:sz w:val="24"/>
          <w:szCs w:val="32"/>
        </w:rPr>
        <w:fldChar w:fldCharType="end"/>
      </w:r>
      <w:r>
        <w:rPr>
          <w:rFonts w:hint="eastAsia" w:ascii="宋体" w:hAnsi="宋体" w:cs="宋体"/>
          <w:b/>
          <w:bCs/>
          <w:sz w:val="24"/>
          <w:szCs w:val="32"/>
        </w:rPr>
        <w:fldChar w:fldCharType="end"/>
      </w:r>
    </w:p>
    <w:p w14:paraId="09534B1C">
      <w:pPr>
        <w:pStyle w:val="49"/>
        <w:tabs>
          <w:tab w:val="right" w:leader="dot" w:pos="8306"/>
        </w:tabs>
        <w:rPr>
          <w:rFonts w:ascii="宋体" w:hAnsi="宋体" w:cs="宋体"/>
        </w:rPr>
      </w:pPr>
    </w:p>
    <w:p w14:paraId="0571866A">
      <w:pPr>
        <w:spacing w:line="360" w:lineRule="auto"/>
        <w:ind w:firstLine="600"/>
        <w:rPr>
          <w:rFonts w:ascii="宋体" w:hAnsi="宋体" w:cs="宋体"/>
          <w:b/>
          <w:sz w:val="24"/>
        </w:rPr>
      </w:pPr>
      <w:r>
        <w:rPr>
          <w:rFonts w:hint="eastAsia" w:ascii="宋体" w:hAnsi="宋体" w:cs="宋体"/>
        </w:rPr>
        <w:fldChar w:fldCharType="end"/>
      </w:r>
    </w:p>
    <w:p w14:paraId="0543BA9E">
      <w:pPr>
        <w:pStyle w:val="2"/>
        <w:spacing w:line="240" w:lineRule="auto"/>
        <w:ind w:firstLine="803"/>
        <w:jc w:val="center"/>
        <w:rPr>
          <w:rFonts w:ascii="宋体" w:hAnsi="宋体" w:cs="宋体"/>
          <w:sz w:val="32"/>
        </w:rPr>
        <w:sectPr>
          <w:pgSz w:w="11906" w:h="16838"/>
          <w:pgMar w:top="1440" w:right="1800" w:bottom="1440" w:left="1800" w:header="851" w:footer="567" w:gutter="0"/>
          <w:cols w:space="720" w:num="1"/>
          <w:titlePg/>
          <w:docGrid w:linePitch="360" w:charSpace="0"/>
        </w:sectPr>
      </w:pPr>
      <w:bookmarkStart w:id="2" w:name="_Toc2296"/>
    </w:p>
    <w:p w14:paraId="121A8B5F">
      <w:pPr>
        <w:pStyle w:val="2"/>
        <w:spacing w:line="240" w:lineRule="auto"/>
        <w:ind w:firstLine="803"/>
        <w:jc w:val="center"/>
        <w:rPr>
          <w:rFonts w:ascii="宋体" w:hAnsi="宋体" w:cs="宋体"/>
          <w:sz w:val="32"/>
        </w:rPr>
      </w:pPr>
      <w:r>
        <w:rPr>
          <w:rFonts w:hint="eastAsia" w:ascii="宋体" w:hAnsi="宋体" w:cs="宋体"/>
          <w:sz w:val="32"/>
        </w:rPr>
        <w:t>第一章招标公告</w:t>
      </w:r>
      <w:bookmarkEnd w:id="2"/>
    </w:p>
    <w:p w14:paraId="14F30130">
      <w:pPr>
        <w:pBdr>
          <w:top w:val="single" w:color="auto" w:sz="4" w:space="1"/>
          <w:left w:val="single" w:color="auto" w:sz="4" w:space="4"/>
          <w:bottom w:val="single" w:color="auto" w:sz="4" w:space="1"/>
          <w:right w:val="single" w:color="auto" w:sz="4" w:space="4"/>
        </w:pBdr>
        <w:spacing w:line="360" w:lineRule="auto"/>
        <w:ind w:firstLine="480"/>
        <w:rPr>
          <w:rFonts w:ascii="宋体" w:hAnsi="宋体" w:cs="宋体"/>
          <w:color w:val="auto"/>
          <w:sz w:val="24"/>
        </w:rPr>
      </w:pPr>
      <w:r>
        <w:rPr>
          <w:rFonts w:hint="eastAsia" w:ascii="宋体" w:hAnsi="宋体" w:cs="宋体"/>
          <w:color w:val="auto"/>
          <w:sz w:val="24"/>
        </w:rPr>
        <w:t>项目概况</w:t>
      </w:r>
    </w:p>
    <w:p w14:paraId="36838242">
      <w:pPr>
        <w:pBdr>
          <w:top w:val="single" w:color="auto" w:sz="4" w:space="1"/>
          <w:left w:val="single" w:color="auto" w:sz="4" w:space="4"/>
          <w:bottom w:val="single" w:color="auto" w:sz="4" w:space="1"/>
          <w:right w:val="single" w:color="auto" w:sz="4" w:space="4"/>
        </w:pBdr>
        <w:spacing w:line="360" w:lineRule="auto"/>
        <w:ind w:firstLine="480"/>
        <w:rPr>
          <w:rFonts w:ascii="宋体" w:hAnsi="宋体" w:cs="宋体"/>
          <w:color w:val="auto"/>
          <w:sz w:val="24"/>
        </w:rPr>
      </w:pPr>
      <w:r>
        <w:rPr>
          <w:rFonts w:hint="eastAsia" w:ascii="宋体" w:hAnsi="宋体" w:cs="宋体"/>
          <w:color w:val="auto"/>
          <w:sz w:val="24"/>
          <w:u w:val="single"/>
        </w:rPr>
        <w:t>高淳区桠溪街道2024年中央农作物秸秆综合利用重点县建设项目设备采购</w:t>
      </w:r>
      <w:r>
        <w:rPr>
          <w:rFonts w:hint="eastAsia" w:ascii="宋体" w:hAnsi="宋体" w:cs="宋体"/>
          <w:color w:val="auto"/>
          <w:sz w:val="24"/>
        </w:rPr>
        <w:t>的潜在供应商应在</w:t>
      </w:r>
      <w:r>
        <w:rPr>
          <w:rFonts w:hint="eastAsia" w:ascii="宋体" w:hAnsi="宋体" w:cs="宋体"/>
          <w:color w:val="auto"/>
          <w:sz w:val="24"/>
          <w:u w:val="single"/>
        </w:rPr>
        <w:t>江苏政府采购网</w:t>
      </w:r>
      <w:r>
        <w:rPr>
          <w:rFonts w:hint="eastAsia" w:ascii="宋体" w:hAnsi="宋体" w:cs="宋体"/>
          <w:color w:val="auto"/>
          <w:sz w:val="24"/>
        </w:rPr>
        <w:t>获取招标文件，并于</w:t>
      </w:r>
      <w:r>
        <w:rPr>
          <w:rFonts w:hint="eastAsia" w:ascii="宋体" w:hAnsi="宋体" w:cs="宋体"/>
          <w:b/>
          <w:color w:val="auto"/>
          <w:sz w:val="24"/>
          <w:u w:val="single"/>
          <w:lang w:eastAsia="zh-CN"/>
        </w:rPr>
        <w:t>2024年11月22日</w:t>
      </w:r>
      <w:r>
        <w:rPr>
          <w:rFonts w:hint="eastAsia" w:ascii="宋体" w:hAnsi="宋体" w:cs="宋体"/>
          <w:b/>
          <w:color w:val="auto"/>
          <w:sz w:val="24"/>
          <w:u w:val="single"/>
        </w:rPr>
        <w:t>14</w:t>
      </w:r>
      <w:r>
        <w:rPr>
          <w:rFonts w:hint="eastAsia" w:ascii="宋体" w:hAnsi="宋体" w:cs="宋体"/>
          <w:color w:val="auto"/>
          <w:sz w:val="24"/>
          <w:u w:val="single"/>
        </w:rPr>
        <w:t>时</w:t>
      </w:r>
      <w:r>
        <w:rPr>
          <w:rFonts w:hint="eastAsia" w:ascii="宋体" w:hAnsi="宋体" w:cs="宋体"/>
          <w:bCs/>
          <w:color w:val="auto"/>
          <w:sz w:val="24"/>
        </w:rPr>
        <w:t>（北京时间）前递交投标文件</w:t>
      </w:r>
      <w:r>
        <w:rPr>
          <w:rFonts w:hint="eastAsia" w:ascii="宋体" w:hAnsi="宋体" w:cs="宋体"/>
          <w:color w:val="auto"/>
          <w:sz w:val="24"/>
        </w:rPr>
        <w:t>。</w:t>
      </w:r>
    </w:p>
    <w:p w14:paraId="67CBE09A">
      <w:pPr>
        <w:spacing w:line="360" w:lineRule="auto"/>
        <w:rPr>
          <w:rFonts w:ascii="宋体" w:hAnsi="宋体" w:cs="宋体"/>
          <w:color w:val="auto"/>
          <w:sz w:val="24"/>
        </w:rPr>
      </w:pPr>
      <w:bookmarkStart w:id="3" w:name="_Toc38723679"/>
      <w:bookmarkStart w:id="4" w:name="_Toc35393790"/>
      <w:bookmarkStart w:id="5" w:name="_Toc28359002"/>
      <w:bookmarkStart w:id="6" w:name="_Toc35393621"/>
      <w:bookmarkStart w:id="7" w:name="_Toc28359079"/>
      <w:bookmarkStart w:id="8" w:name="_Hlk24379207"/>
      <w:r>
        <w:rPr>
          <w:rFonts w:hint="eastAsia" w:ascii="宋体" w:hAnsi="宋体" w:cs="宋体"/>
          <w:color w:val="auto"/>
          <w:sz w:val="24"/>
        </w:rPr>
        <w:t>一、项目基本情况</w:t>
      </w:r>
      <w:bookmarkEnd w:id="3"/>
      <w:bookmarkEnd w:id="4"/>
      <w:bookmarkEnd w:id="5"/>
      <w:bookmarkEnd w:id="6"/>
      <w:bookmarkEnd w:id="7"/>
    </w:p>
    <w:p w14:paraId="73F4776D">
      <w:pPr>
        <w:spacing w:line="360" w:lineRule="auto"/>
        <w:ind w:firstLine="480"/>
        <w:rPr>
          <w:rFonts w:hint="eastAsia" w:ascii="宋体" w:hAnsi="宋体" w:eastAsia="宋体" w:cs="宋体"/>
          <w:color w:val="auto"/>
          <w:sz w:val="24"/>
          <w:lang w:eastAsia="zh-CN"/>
        </w:rPr>
      </w:pPr>
      <w:r>
        <w:rPr>
          <w:rFonts w:hint="eastAsia" w:ascii="宋体" w:hAnsi="宋体" w:cs="宋体"/>
          <w:color w:val="auto"/>
          <w:sz w:val="24"/>
        </w:rPr>
        <w:t>1.1项目编号：</w:t>
      </w:r>
      <w:r>
        <w:rPr>
          <w:rFonts w:hint="eastAsia" w:ascii="宋体" w:hAnsi="宋体" w:cs="宋体"/>
          <w:color w:val="auto"/>
          <w:sz w:val="24"/>
          <w:lang w:eastAsia="zh-CN"/>
        </w:rPr>
        <w:t>JSZC-320118-JTGS-G2024-0088</w:t>
      </w:r>
    </w:p>
    <w:p w14:paraId="66BB4FD7">
      <w:pPr>
        <w:spacing w:line="360" w:lineRule="auto"/>
        <w:ind w:firstLine="480"/>
        <w:rPr>
          <w:rFonts w:ascii="宋体" w:hAnsi="宋体" w:cs="宋体"/>
          <w:color w:val="auto"/>
          <w:sz w:val="24"/>
        </w:rPr>
      </w:pPr>
      <w:r>
        <w:rPr>
          <w:rFonts w:hint="eastAsia" w:ascii="宋体" w:hAnsi="宋体" w:cs="宋体"/>
          <w:color w:val="auto"/>
          <w:sz w:val="24"/>
        </w:rPr>
        <w:t>1.2项目名称：</w:t>
      </w:r>
      <w:bookmarkEnd w:id="8"/>
      <w:r>
        <w:rPr>
          <w:rFonts w:hint="eastAsia" w:ascii="宋体" w:hAnsi="宋体" w:cs="宋体"/>
          <w:color w:val="auto"/>
          <w:sz w:val="24"/>
        </w:rPr>
        <w:t>高淳区桠溪街道2024年中央农作物秸秆综合利用重点县建设项目设备采购</w:t>
      </w:r>
    </w:p>
    <w:p w14:paraId="14E4CA12">
      <w:pPr>
        <w:spacing w:line="360" w:lineRule="auto"/>
        <w:ind w:firstLine="480"/>
        <w:rPr>
          <w:rFonts w:ascii="宋体" w:hAnsi="宋体" w:cs="宋体"/>
          <w:color w:val="auto"/>
          <w:sz w:val="24"/>
        </w:rPr>
      </w:pPr>
      <w:r>
        <w:rPr>
          <w:rFonts w:hint="eastAsia" w:ascii="宋体" w:hAnsi="宋体" w:cs="宋体"/>
          <w:color w:val="auto"/>
          <w:sz w:val="24"/>
        </w:rPr>
        <w:t>1.3预算金额：269万元</w:t>
      </w:r>
    </w:p>
    <w:p w14:paraId="54EBB2B1">
      <w:pPr>
        <w:spacing w:line="360" w:lineRule="auto"/>
        <w:ind w:firstLine="480"/>
        <w:rPr>
          <w:rFonts w:ascii="宋体" w:hAnsi="宋体" w:cs="宋体"/>
          <w:color w:val="auto"/>
          <w:sz w:val="24"/>
        </w:rPr>
      </w:pPr>
      <w:r>
        <w:rPr>
          <w:rFonts w:hint="eastAsia" w:ascii="宋体" w:hAnsi="宋体" w:cs="宋体"/>
          <w:color w:val="auto"/>
          <w:sz w:val="24"/>
        </w:rPr>
        <w:t>1.4最高限价：269万元</w:t>
      </w:r>
    </w:p>
    <w:p w14:paraId="38FFCB02">
      <w:pPr>
        <w:pStyle w:val="250"/>
        <w:spacing w:line="360" w:lineRule="auto"/>
        <w:ind w:firstLine="480"/>
        <w:rPr>
          <w:rFonts w:ascii="宋体" w:hAnsi="宋体" w:cs="宋体"/>
          <w:color w:val="auto"/>
          <w:sz w:val="24"/>
        </w:rPr>
      </w:pPr>
      <w:bookmarkStart w:id="9" w:name="_Toc35393791"/>
      <w:bookmarkStart w:id="10" w:name="_Toc28359080"/>
      <w:bookmarkStart w:id="11" w:name="_Toc28359003"/>
      <w:bookmarkStart w:id="12" w:name="_Toc35393622"/>
      <w:bookmarkStart w:id="13" w:name="_Toc38723680"/>
      <w:r>
        <w:rPr>
          <w:rFonts w:hint="eastAsia" w:ascii="宋体" w:hAnsi="宋体" w:cs="宋体"/>
          <w:color w:val="auto"/>
          <w:sz w:val="24"/>
        </w:rPr>
        <w:t>1.5采购需求：桠溪街道计划购置拖拉机，打捆机，搂草机，装载机，抓草机，夹包装置等设备用于秸秆离田收储作业，具体要求及内容详见招标文件。</w:t>
      </w:r>
    </w:p>
    <w:p w14:paraId="3B33F705">
      <w:pPr>
        <w:spacing w:line="360" w:lineRule="auto"/>
        <w:ind w:firstLine="480"/>
        <w:rPr>
          <w:rFonts w:ascii="宋体" w:hAnsi="宋体" w:cs="宋体"/>
          <w:bCs/>
          <w:color w:val="auto"/>
          <w:sz w:val="24"/>
        </w:rPr>
      </w:pPr>
      <w:r>
        <w:rPr>
          <w:rFonts w:hint="eastAsia" w:ascii="宋体" w:hAnsi="宋体" w:cs="宋体"/>
          <w:color w:val="auto"/>
          <w:sz w:val="24"/>
        </w:rPr>
        <w:t>1.6合同履行期限：合同签订后7日内完成供货并且安装调试完毕</w:t>
      </w:r>
    </w:p>
    <w:p w14:paraId="76D11BA3">
      <w:pPr>
        <w:spacing w:line="360" w:lineRule="auto"/>
        <w:ind w:firstLine="360"/>
        <w:rPr>
          <w:rFonts w:ascii="宋体" w:hAnsi="宋体" w:cs="宋体"/>
          <w:sz w:val="24"/>
        </w:rPr>
      </w:pPr>
      <w:r>
        <w:rPr>
          <w:rFonts w:hint="eastAsia" w:ascii="宋体" w:hAnsi="宋体" w:cs="宋体"/>
          <w:sz w:val="24"/>
        </w:rPr>
        <w:t xml:space="preserve"> 1.7本项目</w:t>
      </w:r>
      <w:r>
        <w:rPr>
          <w:rFonts w:hint="eastAsia" w:ascii="宋体" w:hAnsi="宋体" w:cs="宋体"/>
          <w:b/>
          <w:color w:val="auto"/>
          <w:sz w:val="24"/>
          <w:u w:val="single"/>
          <w:lang w:eastAsia="zh-CN"/>
        </w:rPr>
        <w:t>不接受</w:t>
      </w:r>
      <w:r>
        <w:rPr>
          <w:rFonts w:hint="eastAsia" w:ascii="宋体" w:hAnsi="宋体" w:cs="宋体"/>
          <w:sz w:val="24"/>
        </w:rPr>
        <w:t>联合体投标。</w:t>
      </w:r>
    </w:p>
    <w:p w14:paraId="08BFD909">
      <w:pPr>
        <w:spacing w:line="360" w:lineRule="auto"/>
        <w:rPr>
          <w:rFonts w:ascii="宋体" w:hAnsi="宋体" w:cs="宋体"/>
          <w:sz w:val="24"/>
        </w:rPr>
      </w:pPr>
      <w:r>
        <w:rPr>
          <w:rFonts w:hint="eastAsia" w:ascii="宋体" w:hAnsi="宋体" w:cs="宋体"/>
          <w:sz w:val="24"/>
        </w:rPr>
        <w:t>二、申请人的资格要求</w:t>
      </w:r>
      <w:bookmarkEnd w:id="9"/>
      <w:bookmarkEnd w:id="10"/>
      <w:bookmarkEnd w:id="11"/>
      <w:bookmarkEnd w:id="12"/>
      <w:bookmarkEnd w:id="13"/>
    </w:p>
    <w:p w14:paraId="5634F334">
      <w:pPr>
        <w:spacing w:line="360" w:lineRule="auto"/>
        <w:ind w:firstLine="480"/>
        <w:rPr>
          <w:rFonts w:ascii="宋体" w:hAnsi="宋体" w:cs="宋体"/>
          <w:sz w:val="24"/>
        </w:rPr>
      </w:pPr>
      <w:bookmarkStart w:id="14" w:name="_Toc28359081"/>
      <w:bookmarkStart w:id="15" w:name="_Toc28359004"/>
      <w:bookmarkStart w:id="16" w:name="_Toc4696"/>
      <w:bookmarkStart w:id="17" w:name="_Toc38721213"/>
      <w:r>
        <w:rPr>
          <w:rFonts w:hint="eastAsia" w:ascii="宋体" w:hAnsi="宋体" w:cs="宋体"/>
          <w:sz w:val="24"/>
        </w:rPr>
        <w:t>2.1满足《中华人民共和国政府采购法》第二十二条规定：</w:t>
      </w:r>
    </w:p>
    <w:p w14:paraId="19158D07">
      <w:pPr>
        <w:spacing w:line="360" w:lineRule="auto"/>
        <w:ind w:firstLine="360"/>
        <w:rPr>
          <w:rFonts w:ascii="宋体" w:hAnsi="宋体" w:cs="宋体"/>
          <w:bCs/>
          <w:sz w:val="24"/>
          <w:lang w:val="zh-CN"/>
        </w:rPr>
      </w:pPr>
      <w:r>
        <w:rPr>
          <w:rFonts w:hint="eastAsia" w:ascii="宋体" w:hAnsi="宋体" w:cs="宋体"/>
          <w:bCs/>
          <w:sz w:val="24"/>
          <w:lang w:val="zh-CN"/>
        </w:rPr>
        <w:t>（1）具有独立承担民事责任的能力</w:t>
      </w:r>
      <w:r>
        <w:rPr>
          <w:rFonts w:hint="eastAsia" w:ascii="宋体" w:hAnsi="宋体" w:cs="宋体"/>
          <w:sz w:val="24"/>
        </w:rPr>
        <w:t>（提供法人或者其他组织的营业执照；供应商为自然人的，提供其身份证）</w:t>
      </w:r>
      <w:r>
        <w:rPr>
          <w:rFonts w:hint="eastAsia" w:ascii="宋体" w:hAnsi="宋体" w:cs="宋体"/>
          <w:bCs/>
          <w:sz w:val="24"/>
          <w:lang w:val="zh-CN"/>
        </w:rPr>
        <w:t>；</w:t>
      </w:r>
    </w:p>
    <w:p w14:paraId="39E95D40">
      <w:pPr>
        <w:spacing w:line="360" w:lineRule="auto"/>
        <w:ind w:firstLine="360"/>
        <w:rPr>
          <w:rFonts w:ascii="宋体" w:hAnsi="宋体" w:cs="宋体"/>
          <w:bCs/>
          <w:sz w:val="24"/>
          <w:lang w:val="zh-CN"/>
        </w:rPr>
      </w:pPr>
      <w:r>
        <w:rPr>
          <w:rFonts w:hint="eastAsia" w:ascii="宋体" w:hAnsi="宋体" w:cs="宋体"/>
          <w:bCs/>
          <w:sz w:val="24"/>
          <w:lang w:val="zh-CN"/>
        </w:rPr>
        <w:t>（2）具有良好的商业信誉和健全的财务会计制度</w:t>
      </w:r>
      <w:r>
        <w:rPr>
          <w:rFonts w:hint="eastAsia" w:ascii="宋体" w:hAnsi="宋体" w:cs="宋体"/>
          <w:sz w:val="24"/>
        </w:rPr>
        <w:t>（</w:t>
      </w:r>
      <w:r>
        <w:rPr>
          <w:rFonts w:hint="eastAsia" w:ascii="宋体" w:hAnsi="宋体" w:cs="宋体"/>
          <w:sz w:val="24"/>
          <w:highlight w:val="none"/>
        </w:rPr>
        <w:t>提供2023年度经审计的财务报告，或投标截止时间前六个月内银行出具的资信证明</w:t>
      </w:r>
      <w:r>
        <w:rPr>
          <w:rFonts w:hint="eastAsia" w:ascii="宋体" w:hAnsi="宋体" w:cs="宋体"/>
          <w:sz w:val="24"/>
        </w:rPr>
        <w:t>）</w:t>
      </w:r>
      <w:r>
        <w:rPr>
          <w:rFonts w:hint="eastAsia" w:ascii="宋体" w:hAnsi="宋体" w:cs="宋体"/>
          <w:bCs/>
          <w:sz w:val="24"/>
          <w:lang w:val="zh-CN"/>
        </w:rPr>
        <w:t>；</w:t>
      </w:r>
    </w:p>
    <w:p w14:paraId="1D52336E">
      <w:pPr>
        <w:spacing w:line="360" w:lineRule="auto"/>
        <w:ind w:firstLine="360"/>
        <w:rPr>
          <w:rFonts w:ascii="宋体" w:hAnsi="宋体" w:cs="宋体"/>
          <w:bCs/>
          <w:sz w:val="24"/>
          <w:lang w:val="zh-CN"/>
        </w:rPr>
      </w:pPr>
      <w:r>
        <w:rPr>
          <w:rFonts w:hint="eastAsia" w:ascii="宋体" w:hAnsi="宋体" w:cs="宋体"/>
          <w:bCs/>
          <w:sz w:val="24"/>
          <w:lang w:val="zh-CN"/>
        </w:rPr>
        <w:t>（3）具有履行合同所必需的设备和专业技术能力</w:t>
      </w:r>
      <w:r>
        <w:rPr>
          <w:rFonts w:hint="eastAsia" w:ascii="宋体" w:hAnsi="宋体" w:cs="宋体"/>
          <w:sz w:val="24"/>
        </w:rPr>
        <w:t>（供应商根据履行采购项目合同需要，提供履行合同所必需的设备和专业技术能力的证明材料）</w:t>
      </w:r>
      <w:r>
        <w:rPr>
          <w:rFonts w:hint="eastAsia" w:ascii="宋体" w:hAnsi="宋体" w:cs="宋体"/>
          <w:bCs/>
          <w:sz w:val="24"/>
          <w:lang w:val="zh-CN"/>
        </w:rPr>
        <w:t xml:space="preserve">； </w:t>
      </w:r>
    </w:p>
    <w:p w14:paraId="411298CF">
      <w:pPr>
        <w:spacing w:line="360" w:lineRule="auto"/>
        <w:ind w:firstLine="360"/>
        <w:rPr>
          <w:rFonts w:ascii="宋体" w:hAnsi="宋体" w:cs="宋体"/>
          <w:bCs/>
          <w:sz w:val="24"/>
          <w:lang w:val="zh-CN"/>
        </w:rPr>
      </w:pPr>
      <w:r>
        <w:rPr>
          <w:rFonts w:hint="eastAsia" w:ascii="宋体" w:hAnsi="宋体" w:cs="宋体"/>
          <w:bCs/>
          <w:sz w:val="24"/>
          <w:lang w:val="zh-CN"/>
        </w:rPr>
        <w:t>（4）有依法缴纳税收和社会保障资金的良好记录（提供参加本次政府采购活动前半年内至少一个月），依法享受免缴、缓缴的，提供证明材料；</w:t>
      </w:r>
    </w:p>
    <w:p w14:paraId="16AC28A7">
      <w:pPr>
        <w:spacing w:line="360" w:lineRule="auto"/>
        <w:ind w:firstLine="360"/>
        <w:rPr>
          <w:rFonts w:ascii="宋体" w:hAnsi="宋体" w:cs="宋体"/>
          <w:bCs/>
          <w:sz w:val="24"/>
          <w:lang w:val="zh-CN"/>
        </w:rPr>
      </w:pPr>
      <w:r>
        <w:rPr>
          <w:rFonts w:hint="eastAsia" w:ascii="宋体" w:hAnsi="宋体" w:cs="宋体"/>
          <w:bCs/>
          <w:sz w:val="24"/>
          <w:lang w:val="zh-CN"/>
        </w:rPr>
        <w:t>（5）参加政府采购活动前三年内，在经营活动中没有重大违法记录</w:t>
      </w:r>
      <w:r>
        <w:rPr>
          <w:rFonts w:hint="eastAsia" w:ascii="宋体" w:hAnsi="宋体" w:cs="宋体"/>
          <w:bCs/>
          <w:sz w:val="24"/>
          <w:lang w:val="en-US" w:eastAsia="zh-CN"/>
        </w:rPr>
        <w:t>的书面声明</w:t>
      </w:r>
      <w:r>
        <w:rPr>
          <w:rFonts w:hint="eastAsia" w:ascii="宋体" w:hAnsi="宋体" w:cs="宋体"/>
          <w:bCs/>
          <w:sz w:val="24"/>
          <w:lang w:val="zh-CN"/>
        </w:rPr>
        <w:t>；</w:t>
      </w:r>
    </w:p>
    <w:p w14:paraId="3433CCA7">
      <w:pPr>
        <w:spacing w:line="360" w:lineRule="auto"/>
        <w:ind w:firstLine="360"/>
        <w:rPr>
          <w:rFonts w:ascii="宋体" w:hAnsi="宋体" w:cs="宋体"/>
          <w:bCs/>
          <w:sz w:val="24"/>
          <w:lang w:val="zh-CN"/>
        </w:rPr>
      </w:pPr>
      <w:r>
        <w:rPr>
          <w:rFonts w:hint="eastAsia" w:ascii="宋体" w:hAnsi="宋体" w:cs="宋体"/>
          <w:bCs/>
          <w:sz w:val="24"/>
          <w:lang w:val="zh-CN"/>
        </w:rPr>
        <w:t>（6）法律、行政法规规定的其他条件：无。</w:t>
      </w:r>
    </w:p>
    <w:p w14:paraId="799D1F73">
      <w:pPr>
        <w:spacing w:line="360" w:lineRule="auto"/>
        <w:ind w:firstLine="480"/>
        <w:rPr>
          <w:rFonts w:ascii="宋体" w:hAnsi="宋体" w:cs="宋体"/>
          <w:sz w:val="24"/>
        </w:rPr>
      </w:pPr>
      <w:r>
        <w:rPr>
          <w:rFonts w:hint="eastAsia" w:ascii="宋体" w:hAnsi="宋体" w:cs="宋体"/>
          <w:sz w:val="24"/>
        </w:rPr>
        <w:t>2.2落实政府采购政策需满足的资格要求：（如属于专门面向中小企业采购的项目，供应商应为中小微企业、监狱企业、残疾人福利性单位）本项目按照采用以下第（4）种方式落实政府采购促进中小企业发展的要求：</w:t>
      </w:r>
    </w:p>
    <w:p w14:paraId="316F3824">
      <w:pPr>
        <w:spacing w:line="360" w:lineRule="auto"/>
        <w:ind w:firstLine="480"/>
        <w:rPr>
          <w:rFonts w:ascii="宋体" w:hAnsi="宋体" w:cs="宋体"/>
          <w:sz w:val="24"/>
        </w:rPr>
      </w:pPr>
      <w:r>
        <w:rPr>
          <w:rFonts w:hint="eastAsia" w:ascii="宋体" w:hAnsi="宋体" w:cs="宋体"/>
          <w:sz w:val="24"/>
        </w:rPr>
        <w:t>（1）本项目整体专门面向中小企业采购服务。</w:t>
      </w:r>
    </w:p>
    <w:p w14:paraId="4AEF8607">
      <w:pPr>
        <w:spacing w:line="360" w:lineRule="auto"/>
        <w:ind w:firstLine="480"/>
        <w:rPr>
          <w:rFonts w:ascii="宋体" w:hAnsi="宋体" w:cs="宋体"/>
          <w:sz w:val="24"/>
        </w:rPr>
      </w:pPr>
      <w:r>
        <w:rPr>
          <w:rFonts w:hint="eastAsia" w:ascii="宋体" w:hAnsi="宋体" w:cs="宋体"/>
          <w:sz w:val="24"/>
        </w:rPr>
        <w:t>（2）本项目整体专门面向小微企业采购服务。</w:t>
      </w:r>
    </w:p>
    <w:p w14:paraId="212CC52C">
      <w:pPr>
        <w:spacing w:line="360" w:lineRule="auto"/>
        <w:ind w:firstLine="480"/>
        <w:rPr>
          <w:rFonts w:ascii="宋体" w:hAnsi="宋体" w:cs="宋体"/>
          <w:sz w:val="24"/>
        </w:rPr>
      </w:pPr>
      <w:r>
        <w:rPr>
          <w:rFonts w:hint="eastAsia" w:ascii="宋体" w:hAnsi="宋体" w:cs="宋体"/>
          <w:sz w:val="24"/>
        </w:rPr>
        <w:t>（3）本项目通过以下第种方式预留部分采购份额采购中小企业服务：</w:t>
      </w:r>
    </w:p>
    <w:p w14:paraId="49E883D0">
      <w:pPr>
        <w:spacing w:line="360" w:lineRule="auto"/>
        <w:ind w:firstLine="480"/>
        <w:rPr>
          <w:rFonts w:ascii="宋体" w:hAnsi="宋体" w:cs="宋体"/>
          <w:sz w:val="24"/>
        </w:rPr>
      </w:pPr>
      <w:r>
        <w:rPr>
          <w:rFonts w:hint="eastAsia" w:ascii="宋体" w:hAnsi="宋体" w:cs="宋体"/>
          <w:sz w:val="24"/>
        </w:rPr>
        <w:t>①本项目要求供应商以联合体形式参加，企业合同金额应当达到的比例为 %。</w:t>
      </w:r>
    </w:p>
    <w:p w14:paraId="1E733AF1">
      <w:pPr>
        <w:spacing w:line="360" w:lineRule="auto"/>
        <w:ind w:firstLine="480"/>
        <w:rPr>
          <w:rFonts w:ascii="宋体" w:hAnsi="宋体" w:cs="宋体"/>
          <w:sz w:val="24"/>
        </w:rPr>
      </w:pPr>
      <w:r>
        <w:rPr>
          <w:rFonts w:hint="eastAsia" w:ascii="宋体" w:hAnsi="宋体" w:cs="宋体"/>
          <w:sz w:val="24"/>
        </w:rPr>
        <w:t>②本项目要求供应商进行合同分包，企业合同金额应当达到的比例为 %。</w:t>
      </w:r>
    </w:p>
    <w:p w14:paraId="455F0E99">
      <w:pPr>
        <w:spacing w:line="360" w:lineRule="auto"/>
        <w:ind w:firstLine="480"/>
        <w:rPr>
          <w:rFonts w:ascii="宋体" w:hAnsi="宋体" w:cs="宋体"/>
          <w:sz w:val="24"/>
        </w:rPr>
      </w:pPr>
      <w:r>
        <w:rPr>
          <w:rFonts w:hint="eastAsia" w:ascii="宋体" w:hAnsi="宋体" w:cs="宋体"/>
          <w:sz w:val="24"/>
        </w:rPr>
        <w:t>（4）本项目为非预留份额的采购项目或采购包，执行价格扣除优惠政策，具体详见第三章评标办法与评标标准。</w:t>
      </w:r>
    </w:p>
    <w:p w14:paraId="35622D19">
      <w:pPr>
        <w:widowControl/>
        <w:shd w:val="clear" w:color="auto" w:fill="FFFFFF"/>
        <w:spacing w:line="360" w:lineRule="auto"/>
        <w:ind w:firstLine="480" w:firstLineChars="200"/>
        <w:jc w:val="left"/>
        <w:rPr>
          <w:rFonts w:ascii="宋体" w:hAnsi="宋体" w:cs="宋体"/>
          <w:sz w:val="24"/>
        </w:rPr>
      </w:pPr>
      <w:r>
        <w:rPr>
          <w:rFonts w:hint="eastAsia" w:ascii="宋体" w:hAnsi="宋体" w:cs="宋体"/>
          <w:sz w:val="24"/>
        </w:rPr>
        <w:t>2.3</w:t>
      </w:r>
      <w:bookmarkStart w:id="18" w:name="_Hlk40969259"/>
      <w:r>
        <w:rPr>
          <w:rFonts w:hint="eastAsia" w:ascii="宋体" w:hAnsi="宋体" w:cs="宋体"/>
          <w:sz w:val="24"/>
        </w:rPr>
        <w:t>本项目的特定资格要求：</w:t>
      </w:r>
      <w:bookmarkEnd w:id="18"/>
      <w:r>
        <w:rPr>
          <w:rFonts w:hint="eastAsia" w:ascii="宋体" w:hAnsi="宋体" w:cs="宋体"/>
          <w:sz w:val="24"/>
        </w:rPr>
        <w:t>无。</w:t>
      </w:r>
    </w:p>
    <w:p w14:paraId="27E5EE11">
      <w:pPr>
        <w:pStyle w:val="250"/>
        <w:spacing w:line="360" w:lineRule="auto"/>
        <w:ind w:firstLine="480"/>
        <w:rPr>
          <w:rFonts w:ascii="宋体" w:hAnsi="宋体" w:cs="宋体"/>
          <w:sz w:val="24"/>
        </w:rPr>
      </w:pPr>
      <w:r>
        <w:rPr>
          <w:rFonts w:hint="eastAsia" w:ascii="宋体" w:hAnsi="宋体" w:cs="宋体"/>
          <w:sz w:val="24"/>
        </w:rPr>
        <w:t>2.4提供《南京市政府采购供应商信用记录表暨信用承诺书》。</w:t>
      </w:r>
    </w:p>
    <w:p w14:paraId="54E937BA">
      <w:pPr>
        <w:spacing w:line="360" w:lineRule="auto"/>
        <w:ind w:firstLine="480"/>
        <w:rPr>
          <w:rFonts w:ascii="宋体" w:hAnsi="宋体" w:cs="宋体"/>
          <w:sz w:val="24"/>
        </w:rPr>
      </w:pPr>
      <w:r>
        <w:rPr>
          <w:rFonts w:hint="eastAsia" w:ascii="宋体" w:hAnsi="宋体" w:cs="宋体"/>
          <w:sz w:val="24"/>
        </w:rPr>
        <w:t>2.5拒绝下述供应商参加本次招标活动：</w:t>
      </w:r>
    </w:p>
    <w:p w14:paraId="3140EED1">
      <w:pPr>
        <w:spacing w:line="360" w:lineRule="auto"/>
        <w:ind w:firstLine="480"/>
        <w:rPr>
          <w:rFonts w:ascii="宋体" w:hAnsi="宋体" w:cs="宋体"/>
          <w:sz w:val="24"/>
        </w:rPr>
      </w:pPr>
      <w:r>
        <w:rPr>
          <w:rFonts w:hint="eastAsia" w:ascii="宋体" w:hAnsi="宋体" w:cs="宋体"/>
          <w:sz w:val="24"/>
        </w:rPr>
        <w:t>（1）单位负责人为同一人或者存在直接控股、管理关系的不同供应商，不得参加同一合同项下的政府采购活动。</w:t>
      </w:r>
    </w:p>
    <w:p w14:paraId="411D2E34">
      <w:pPr>
        <w:spacing w:line="360" w:lineRule="auto"/>
        <w:ind w:firstLine="480"/>
        <w:rPr>
          <w:rFonts w:ascii="宋体" w:hAnsi="宋体" w:cs="宋体"/>
          <w:sz w:val="24"/>
        </w:rPr>
      </w:pPr>
      <w:r>
        <w:rPr>
          <w:rFonts w:hint="eastAsia" w:ascii="宋体" w:hAnsi="宋体" w:cs="宋体"/>
          <w:sz w:val="24"/>
        </w:rPr>
        <w:t>（2）为采购项目提供整体设计、规范编制或者项目管理、监理、检测等服务的供应商，不得参加本项目的采购活动。</w:t>
      </w:r>
    </w:p>
    <w:p w14:paraId="765C488C">
      <w:pPr>
        <w:spacing w:line="360" w:lineRule="auto"/>
        <w:ind w:firstLine="480"/>
        <w:rPr>
          <w:rFonts w:ascii="宋体" w:hAnsi="宋体" w:cs="宋体"/>
          <w:sz w:val="24"/>
        </w:rPr>
      </w:pPr>
      <w:r>
        <w:rPr>
          <w:rFonts w:hint="eastAsia" w:ascii="宋体" w:hAnsi="宋体" w:cs="宋体"/>
          <w:sz w:val="24"/>
        </w:rPr>
        <w:t>（3）供应商被“信用中国”网站（www.creditchina.gov.cn）、“中国政府采购网”(www.ccgp.gov.cn)列入失信被执行人、重大税收违法案件当事人名单、政府采购严重违法失信行为记录名单。</w:t>
      </w:r>
    </w:p>
    <w:p w14:paraId="1A957907">
      <w:pPr>
        <w:spacing w:line="360" w:lineRule="auto"/>
        <w:rPr>
          <w:rFonts w:ascii="宋体" w:hAnsi="宋体" w:cs="宋体"/>
          <w:sz w:val="24"/>
        </w:rPr>
      </w:pPr>
      <w:bookmarkStart w:id="19" w:name="_Toc35393623"/>
      <w:bookmarkStart w:id="20" w:name="_Toc35393792"/>
      <w:bookmarkStart w:id="21" w:name="_Toc38723681"/>
      <w:r>
        <w:rPr>
          <w:rFonts w:hint="eastAsia" w:ascii="宋体" w:hAnsi="宋体" w:cs="宋体"/>
          <w:sz w:val="24"/>
        </w:rPr>
        <w:t>三、获取招标文件</w:t>
      </w:r>
      <w:bookmarkEnd w:id="14"/>
      <w:bookmarkEnd w:id="15"/>
      <w:bookmarkEnd w:id="19"/>
      <w:bookmarkEnd w:id="20"/>
      <w:bookmarkEnd w:id="21"/>
    </w:p>
    <w:p w14:paraId="7184CD5E">
      <w:pPr>
        <w:spacing w:line="360" w:lineRule="auto"/>
        <w:ind w:firstLine="480"/>
        <w:rPr>
          <w:rFonts w:hint="eastAsia" w:ascii="宋体" w:hAnsi="宋体" w:cs="宋体"/>
          <w:bCs/>
          <w:sz w:val="24"/>
        </w:rPr>
      </w:pPr>
      <w:r>
        <w:rPr>
          <w:rFonts w:hint="eastAsia" w:ascii="宋体" w:hAnsi="宋体" w:cs="宋体"/>
          <w:sz w:val="24"/>
        </w:rPr>
        <w:t>3.1时间：</w:t>
      </w:r>
      <w:r>
        <w:rPr>
          <w:rFonts w:hint="eastAsia" w:ascii="宋体" w:hAnsi="宋体" w:cs="宋体"/>
          <w:bCs/>
          <w:sz w:val="24"/>
        </w:rPr>
        <w:t>自招标公告发布之日起5个工作日</w:t>
      </w:r>
    </w:p>
    <w:p w14:paraId="1534E4A1">
      <w:pPr>
        <w:spacing w:line="360" w:lineRule="auto"/>
        <w:ind w:firstLine="480"/>
        <w:rPr>
          <w:rFonts w:ascii="宋体" w:hAnsi="宋体" w:cs="宋体"/>
          <w:sz w:val="24"/>
        </w:rPr>
      </w:pPr>
      <w:r>
        <w:rPr>
          <w:rFonts w:hint="eastAsia" w:ascii="宋体" w:hAnsi="宋体" w:cs="宋体"/>
          <w:sz w:val="24"/>
        </w:rPr>
        <w:t>3.2地点：</w:t>
      </w:r>
      <w:bookmarkStart w:id="22" w:name="_Toc28359007"/>
      <w:bookmarkStart w:id="23" w:name="_Toc35393625"/>
      <w:bookmarkStart w:id="24" w:name="_Toc35393794"/>
      <w:bookmarkStart w:id="25" w:name="_Toc38723683"/>
      <w:bookmarkStart w:id="26" w:name="_Toc28359084"/>
      <w:r>
        <w:rPr>
          <w:rFonts w:hint="eastAsia" w:ascii="宋体" w:hAnsi="宋体" w:cs="宋体"/>
          <w:bCs/>
          <w:sz w:val="24"/>
        </w:rPr>
        <w:t>江苏政府采购网</w:t>
      </w:r>
    </w:p>
    <w:p w14:paraId="2BBC2AB1">
      <w:pPr>
        <w:spacing w:line="360" w:lineRule="auto"/>
        <w:ind w:firstLine="480"/>
        <w:rPr>
          <w:rFonts w:ascii="宋体" w:hAnsi="宋体" w:cs="宋体"/>
          <w:sz w:val="24"/>
        </w:rPr>
      </w:pPr>
      <w:r>
        <w:rPr>
          <w:rFonts w:hint="eastAsia" w:ascii="宋体" w:hAnsi="宋体" w:cs="宋体"/>
          <w:sz w:val="24"/>
        </w:rPr>
        <w:t>3.3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p>
    <w:p w14:paraId="3604526F">
      <w:pPr>
        <w:spacing w:line="360" w:lineRule="auto"/>
        <w:ind w:firstLine="480"/>
        <w:rPr>
          <w:rFonts w:ascii="宋体" w:hAnsi="宋体" w:cs="宋体"/>
          <w:sz w:val="24"/>
        </w:rPr>
      </w:pPr>
      <w:r>
        <w:rPr>
          <w:rFonts w:hint="eastAsia" w:ascii="宋体" w:hAnsi="宋体" w:cs="宋体"/>
          <w:sz w:val="24"/>
        </w:rPr>
        <w:t>3.4售价：0.00元</w:t>
      </w:r>
    </w:p>
    <w:p w14:paraId="3F8606DF">
      <w:pPr>
        <w:spacing w:line="360" w:lineRule="auto"/>
        <w:rPr>
          <w:rFonts w:ascii="宋体" w:hAnsi="宋体" w:cs="宋体"/>
          <w:sz w:val="24"/>
        </w:rPr>
      </w:pPr>
      <w:r>
        <w:rPr>
          <w:rFonts w:hint="eastAsia" w:ascii="宋体" w:hAnsi="宋体" w:cs="宋体"/>
          <w:sz w:val="24"/>
        </w:rPr>
        <w:t>四、提交投标文件截止时间、开标时间和地点</w:t>
      </w:r>
      <w:bookmarkStart w:id="27" w:name="_Toc28359017"/>
      <w:bookmarkStart w:id="28" w:name="_Toc35393634"/>
      <w:bookmarkStart w:id="29" w:name="_Toc35393803"/>
      <w:bookmarkStart w:id="30" w:name="_Toc28359094"/>
    </w:p>
    <w:p w14:paraId="41F2BF89">
      <w:pPr>
        <w:spacing w:line="360" w:lineRule="auto"/>
        <w:ind w:firstLine="480"/>
        <w:rPr>
          <w:rFonts w:ascii="宋体" w:hAnsi="宋体" w:cs="宋体"/>
          <w:sz w:val="24"/>
        </w:rPr>
      </w:pPr>
      <w:r>
        <w:rPr>
          <w:rFonts w:hint="eastAsia" w:ascii="宋体" w:hAnsi="宋体" w:cs="宋体"/>
          <w:sz w:val="24"/>
        </w:rPr>
        <w:t>4.1提交投标文件截止时间及开标时间：</w:t>
      </w:r>
      <w:r>
        <w:rPr>
          <w:rFonts w:hint="eastAsia" w:ascii="宋体" w:hAnsi="宋体" w:cs="宋体"/>
          <w:sz w:val="24"/>
          <w:u w:val="single"/>
          <w:lang w:eastAsia="zh-CN"/>
        </w:rPr>
        <w:t>2024年11月22日</w:t>
      </w:r>
      <w:r>
        <w:rPr>
          <w:rFonts w:hint="eastAsia" w:ascii="宋体" w:hAnsi="宋体" w:cs="宋体"/>
          <w:sz w:val="24"/>
          <w:u w:val="single"/>
        </w:rPr>
        <w:t>14时00分</w:t>
      </w:r>
      <w:r>
        <w:rPr>
          <w:rFonts w:hint="eastAsia" w:ascii="宋体" w:hAnsi="宋体" w:cs="宋体"/>
          <w:bCs/>
          <w:sz w:val="24"/>
        </w:rPr>
        <w:t>（北京时间）</w:t>
      </w:r>
    </w:p>
    <w:p w14:paraId="25AC5318">
      <w:pPr>
        <w:spacing w:line="360" w:lineRule="auto"/>
        <w:ind w:firstLine="480"/>
        <w:rPr>
          <w:rFonts w:ascii="宋体" w:hAnsi="宋体" w:cs="宋体"/>
          <w:sz w:val="24"/>
        </w:rPr>
      </w:pPr>
      <w:r>
        <w:rPr>
          <w:rFonts w:hint="eastAsia" w:ascii="宋体" w:hAnsi="宋体" w:cs="宋体"/>
          <w:sz w:val="24"/>
        </w:rPr>
        <w:t>4.2 提交投标文件地点:</w:t>
      </w:r>
      <w:bookmarkEnd w:id="27"/>
      <w:bookmarkEnd w:id="28"/>
      <w:bookmarkEnd w:id="29"/>
      <w:bookmarkEnd w:id="30"/>
      <w:r>
        <w:rPr>
          <w:rFonts w:hint="eastAsia" w:ascii="宋体" w:hAnsi="宋体" w:cs="宋体"/>
          <w:sz w:val="24"/>
          <w:u w:val="single"/>
        </w:rPr>
        <w:t>江苏省政府采购管理交易系统（苏采云）（以下简称“苏采云”）（网址：http://jszfcg.jsczt.cn/）</w:t>
      </w:r>
    </w:p>
    <w:p w14:paraId="600627CB">
      <w:pPr>
        <w:spacing w:line="360" w:lineRule="auto"/>
        <w:ind w:firstLine="480"/>
        <w:rPr>
          <w:rFonts w:ascii="宋体" w:hAnsi="宋体" w:cs="宋体"/>
          <w:sz w:val="24"/>
        </w:rPr>
      </w:pPr>
      <w:r>
        <w:rPr>
          <w:rFonts w:hint="eastAsia" w:ascii="宋体" w:hAnsi="宋体" w:cs="宋体"/>
          <w:sz w:val="24"/>
        </w:rPr>
        <w:t>4.3开标地点：</w:t>
      </w:r>
      <w:r>
        <w:rPr>
          <w:rFonts w:hint="eastAsia" w:ascii="宋体" w:hAnsi="宋体" w:cs="宋体"/>
          <w:sz w:val="24"/>
          <w:u w:val="single"/>
        </w:rPr>
        <w:t>“苏采云”开标大厅</w:t>
      </w:r>
    </w:p>
    <w:p w14:paraId="6C44CF75">
      <w:pPr>
        <w:spacing w:line="360" w:lineRule="auto"/>
        <w:rPr>
          <w:rFonts w:ascii="宋体" w:hAnsi="宋体" w:cs="宋体"/>
          <w:sz w:val="24"/>
        </w:rPr>
      </w:pPr>
      <w:r>
        <w:rPr>
          <w:rFonts w:hint="eastAsia" w:ascii="宋体" w:hAnsi="宋体" w:cs="宋体"/>
          <w:sz w:val="24"/>
        </w:rPr>
        <w:t>五、公告期限</w:t>
      </w:r>
      <w:bookmarkEnd w:id="22"/>
      <w:bookmarkEnd w:id="23"/>
      <w:bookmarkEnd w:id="24"/>
      <w:bookmarkEnd w:id="25"/>
      <w:bookmarkEnd w:id="26"/>
    </w:p>
    <w:p w14:paraId="59469C96">
      <w:pPr>
        <w:spacing w:line="360" w:lineRule="auto"/>
        <w:ind w:firstLine="480"/>
        <w:rPr>
          <w:rFonts w:ascii="宋体" w:hAnsi="宋体" w:cs="宋体"/>
          <w:sz w:val="24"/>
        </w:rPr>
      </w:pPr>
      <w:r>
        <w:rPr>
          <w:rFonts w:hint="eastAsia" w:ascii="宋体" w:hAnsi="宋体" w:cs="宋体"/>
          <w:sz w:val="24"/>
        </w:rPr>
        <w:t>自本公告发布之日起5个工作日</w:t>
      </w:r>
      <w:bookmarkStart w:id="31" w:name="_Toc35393626"/>
      <w:bookmarkStart w:id="32" w:name="_Toc35393795"/>
      <w:bookmarkStart w:id="33" w:name="_Toc38723684"/>
      <w:r>
        <w:rPr>
          <w:rFonts w:hint="eastAsia" w:ascii="宋体" w:hAnsi="宋体" w:cs="宋体"/>
          <w:sz w:val="24"/>
        </w:rPr>
        <w:t>。</w:t>
      </w:r>
    </w:p>
    <w:p w14:paraId="08AC7B60">
      <w:pPr>
        <w:spacing w:line="360" w:lineRule="auto"/>
        <w:rPr>
          <w:rFonts w:ascii="宋体" w:hAnsi="宋体" w:cs="宋体"/>
          <w:sz w:val="24"/>
        </w:rPr>
      </w:pPr>
      <w:r>
        <w:rPr>
          <w:rFonts w:hint="eastAsia" w:ascii="宋体" w:hAnsi="宋体" w:cs="宋体"/>
          <w:sz w:val="24"/>
        </w:rPr>
        <w:t>六、其他补充事宜</w:t>
      </w:r>
      <w:bookmarkEnd w:id="31"/>
      <w:bookmarkEnd w:id="32"/>
      <w:bookmarkEnd w:id="33"/>
      <w:bookmarkStart w:id="34" w:name="_Toc28359085"/>
      <w:bookmarkStart w:id="35" w:name="_Toc35393796"/>
      <w:bookmarkStart w:id="36" w:name="_Toc28359008"/>
      <w:bookmarkStart w:id="37" w:name="_Toc35393627"/>
    </w:p>
    <w:p w14:paraId="6074A99C">
      <w:pPr>
        <w:spacing w:line="360" w:lineRule="auto"/>
        <w:ind w:firstLine="480"/>
        <w:rPr>
          <w:rFonts w:ascii="宋体" w:hAnsi="宋体" w:cs="宋体"/>
          <w:bCs/>
          <w:sz w:val="24"/>
        </w:rPr>
      </w:pPr>
      <w:bookmarkStart w:id="38" w:name="_Hlk136001586"/>
      <w:r>
        <w:rPr>
          <w:rFonts w:hint="eastAsia" w:ascii="宋体" w:hAnsi="宋体" w:cs="宋体"/>
          <w:bCs/>
          <w:sz w:val="24"/>
        </w:rPr>
        <w:t>6.1本项目中标后不允许分包、转包。</w:t>
      </w:r>
    </w:p>
    <w:p w14:paraId="256631BC">
      <w:pPr>
        <w:spacing w:line="360" w:lineRule="auto"/>
        <w:ind w:firstLine="480"/>
        <w:rPr>
          <w:rFonts w:ascii="宋体" w:hAnsi="宋体" w:cs="宋体"/>
          <w:sz w:val="24"/>
        </w:rPr>
      </w:pPr>
      <w:r>
        <w:rPr>
          <w:rFonts w:hint="eastAsia" w:ascii="宋体" w:hAnsi="宋体" w:cs="宋体"/>
          <w:sz w:val="24"/>
        </w:rPr>
        <w:t>6.2是否接受进口产品：不接受。</w:t>
      </w:r>
    </w:p>
    <w:p w14:paraId="5AB3A926">
      <w:pPr>
        <w:spacing w:line="360" w:lineRule="auto"/>
        <w:ind w:firstLine="480"/>
        <w:rPr>
          <w:rFonts w:ascii="宋体" w:hAnsi="宋体" w:cs="宋体"/>
          <w:sz w:val="24"/>
        </w:rPr>
      </w:pPr>
      <w:r>
        <w:rPr>
          <w:rFonts w:hint="eastAsia" w:ascii="宋体" w:hAnsi="宋体" w:cs="宋体"/>
          <w:sz w:val="24"/>
        </w:rPr>
        <w:t>6.3现场考察、答疑时间：不组织，供应商可自行联系采购人。</w:t>
      </w:r>
      <w:bookmarkEnd w:id="38"/>
    </w:p>
    <w:p w14:paraId="377E2457">
      <w:pPr>
        <w:spacing w:line="360" w:lineRule="auto"/>
        <w:ind w:firstLine="480"/>
        <w:rPr>
          <w:rFonts w:ascii="宋体" w:hAnsi="宋体" w:cs="宋体"/>
          <w:bCs/>
          <w:sz w:val="24"/>
          <w:lang w:val="zh-CN"/>
        </w:rPr>
      </w:pPr>
      <w:r>
        <w:rPr>
          <w:rFonts w:hint="eastAsia" w:ascii="宋体" w:hAnsi="宋体" w:cs="宋体"/>
          <w:bCs/>
          <w:sz w:val="24"/>
        </w:rPr>
        <w:t>6.4</w:t>
      </w:r>
      <w:r>
        <w:rPr>
          <w:rFonts w:hint="eastAsia" w:ascii="宋体" w:hAnsi="宋体" w:cs="宋体"/>
          <w:bCs/>
          <w:sz w:val="24"/>
          <w:lang w:val="zh-CN"/>
        </w:rPr>
        <w:t>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投标文件一并递交。</w:t>
      </w:r>
    </w:p>
    <w:p w14:paraId="20172951">
      <w:pPr>
        <w:spacing w:line="360" w:lineRule="auto"/>
        <w:ind w:firstLine="482"/>
        <w:rPr>
          <w:rFonts w:ascii="宋体" w:hAnsi="宋体" w:cs="宋体"/>
          <w:b/>
          <w:bCs/>
          <w:sz w:val="24"/>
          <w:lang w:val="zh-CN"/>
        </w:rPr>
      </w:pPr>
      <w:r>
        <w:rPr>
          <w:rFonts w:hint="eastAsia" w:ascii="宋体" w:hAnsi="宋体" w:cs="宋体"/>
          <w:b/>
          <w:bCs/>
          <w:sz w:val="24"/>
          <w:lang w:val="zh-CN"/>
        </w:rPr>
        <w:t>打印时间为本公开招标</w:t>
      </w:r>
      <w:r>
        <w:rPr>
          <w:rFonts w:hint="eastAsia" w:ascii="宋体" w:hAnsi="宋体" w:cs="宋体"/>
          <w:b/>
          <w:bCs/>
          <w:sz w:val="24"/>
        </w:rPr>
        <w:t>公告</w:t>
      </w:r>
      <w:r>
        <w:rPr>
          <w:rFonts w:hint="eastAsia" w:ascii="宋体" w:hAnsi="宋体" w:cs="宋体"/>
          <w:b/>
          <w:bCs/>
          <w:sz w:val="24"/>
          <w:lang w:val="zh-CN"/>
        </w:rPr>
        <w:t>发布之日起至递交投标文件裁止日前，未按上述要求提供信用记录表的，投标文件可能被拒绝接收。</w:t>
      </w:r>
    </w:p>
    <w:p w14:paraId="5164C8FC">
      <w:pPr>
        <w:spacing w:line="360" w:lineRule="auto"/>
        <w:ind w:firstLine="480"/>
        <w:rPr>
          <w:rFonts w:ascii="宋体" w:hAnsi="宋体" w:cs="宋体"/>
          <w:bCs/>
          <w:sz w:val="24"/>
          <w:lang w:val="zh-CN"/>
        </w:rPr>
      </w:pPr>
      <w:r>
        <w:rPr>
          <w:rFonts w:hint="eastAsia" w:ascii="宋体" w:hAnsi="宋体" w:cs="宋体"/>
          <w:bCs/>
          <w:sz w:val="24"/>
          <w:lang w:val="zh-CN"/>
        </w:rPr>
        <w:t>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p>
    <w:p w14:paraId="744D090B">
      <w:pPr>
        <w:spacing w:line="360" w:lineRule="auto"/>
        <w:ind w:firstLine="480"/>
        <w:rPr>
          <w:rFonts w:ascii="宋体" w:hAnsi="宋体" w:cs="宋体"/>
          <w:bCs/>
          <w:sz w:val="24"/>
          <w:lang w:val="zh-CN"/>
        </w:rPr>
      </w:pPr>
      <w:r>
        <w:rPr>
          <w:rFonts w:hint="eastAsia" w:ascii="宋体" w:hAnsi="宋体" w:cs="宋体"/>
          <w:bCs/>
          <w:sz w:val="24"/>
          <w:lang w:val="zh-CN"/>
        </w:rPr>
        <w:t>供应商在中标（成交）后，应按采购文件要求，将上述由信用承诺书替代的证明材料提交采购人或采购代理机构核验。经核验无误后，由采购人或采购代理机构发出中标（成交）通知书。</w:t>
      </w:r>
    </w:p>
    <w:p w14:paraId="18B1F491">
      <w:pPr>
        <w:spacing w:line="360" w:lineRule="auto"/>
        <w:ind w:firstLine="480"/>
        <w:rPr>
          <w:rFonts w:ascii="宋体" w:hAnsi="宋体" w:cs="宋体"/>
          <w:bCs/>
          <w:sz w:val="24"/>
          <w:lang w:val="zh-CN"/>
        </w:rPr>
      </w:pPr>
      <w:r>
        <w:rPr>
          <w:rFonts w:hint="eastAsia" w:ascii="宋体" w:hAnsi="宋体" w:cs="宋体"/>
          <w:bCs/>
          <w:sz w:val="24"/>
          <w:lang w:val="zh-CN"/>
        </w:rPr>
        <w:t xml:space="preserve">供应商涉及以下情形的，不适用信用承诺： </w:t>
      </w:r>
    </w:p>
    <w:p w14:paraId="1FD6FD06">
      <w:pPr>
        <w:spacing w:line="360" w:lineRule="auto"/>
        <w:ind w:firstLine="480"/>
        <w:rPr>
          <w:rFonts w:ascii="宋体" w:hAnsi="宋体" w:cs="宋体"/>
          <w:bCs/>
          <w:sz w:val="24"/>
          <w:lang w:val="zh-CN"/>
        </w:rPr>
      </w:pPr>
      <w:r>
        <w:rPr>
          <w:rFonts w:hint="eastAsia" w:ascii="宋体" w:hAnsi="宋体" w:cs="宋体"/>
          <w:bCs/>
          <w:sz w:val="24"/>
          <w:lang w:val="zh-CN"/>
        </w:rPr>
        <w:t xml:space="preserve">（1）供应商被列入严重失信主体名单； </w:t>
      </w:r>
    </w:p>
    <w:p w14:paraId="59CBD565">
      <w:pPr>
        <w:spacing w:line="360" w:lineRule="auto"/>
        <w:ind w:firstLine="480"/>
        <w:rPr>
          <w:rFonts w:ascii="宋体" w:hAnsi="宋体" w:cs="宋体"/>
          <w:bCs/>
          <w:sz w:val="24"/>
          <w:lang w:val="zh-CN"/>
        </w:rPr>
      </w:pPr>
      <w:r>
        <w:rPr>
          <w:rFonts w:hint="eastAsia" w:ascii="宋体" w:hAnsi="宋体" w:cs="宋体"/>
          <w:bCs/>
          <w:sz w:val="24"/>
          <w:lang w:val="zh-CN"/>
        </w:rPr>
        <w:t xml:space="preserve">（2）被相关监管部门作出行政处罚且尚在处罚有效期内； </w:t>
      </w:r>
    </w:p>
    <w:p w14:paraId="589FB76D">
      <w:pPr>
        <w:spacing w:line="360" w:lineRule="auto"/>
        <w:ind w:firstLine="480"/>
        <w:rPr>
          <w:rFonts w:ascii="宋体" w:hAnsi="宋体" w:cs="宋体"/>
          <w:bCs/>
          <w:sz w:val="24"/>
          <w:lang w:val="zh-CN"/>
        </w:rPr>
      </w:pPr>
      <w:r>
        <w:rPr>
          <w:rFonts w:hint="eastAsia" w:ascii="宋体" w:hAnsi="宋体" w:cs="宋体"/>
          <w:bCs/>
          <w:sz w:val="24"/>
          <w:lang w:val="zh-CN"/>
        </w:rPr>
        <w:t>（3）其他法律、行政法规规定的不适用信用承诺的情形。</w:t>
      </w:r>
    </w:p>
    <w:p w14:paraId="2A7A32B4">
      <w:pPr>
        <w:spacing w:line="360" w:lineRule="auto"/>
        <w:ind w:firstLine="480"/>
        <w:rPr>
          <w:rFonts w:ascii="宋体" w:hAnsi="宋体" w:cs="宋体"/>
          <w:bCs/>
          <w:sz w:val="24"/>
          <w:lang w:val="zh-CN"/>
        </w:rPr>
      </w:pPr>
      <w:r>
        <w:rPr>
          <w:rFonts w:hint="eastAsia" w:ascii="宋体" w:hAnsi="宋体" w:cs="宋体"/>
          <w:bCs/>
          <w:sz w:val="24"/>
          <w:lang w:val="zh-CN"/>
        </w:rPr>
        <w:t>供应商对信用承诺内容的真实性、合法性、有效性负责。如作出虚假信用承诺，视同为“提供虚假材料谋取中标、成交”的违法行为。</w:t>
      </w:r>
    </w:p>
    <w:p w14:paraId="1743BB24">
      <w:pPr>
        <w:spacing w:line="360" w:lineRule="auto"/>
        <w:ind w:firstLine="482"/>
        <w:jc w:val="left"/>
        <w:rPr>
          <w:rFonts w:ascii="宋体" w:hAnsi="宋体" w:cs="宋体"/>
          <w:bCs/>
          <w:sz w:val="24"/>
        </w:rPr>
      </w:pPr>
      <w:r>
        <w:rPr>
          <w:rFonts w:hint="eastAsia" w:ascii="宋体" w:hAnsi="宋体" w:cs="宋体"/>
          <w:b/>
          <w:sz w:val="24"/>
        </w:rPr>
        <w:t>6.5本次采购采用“政府采购管理交易系统（苏采云）”，招标、投标、评标和中标结果发布全程电子化，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p>
    <w:p w14:paraId="4F5EB2CB">
      <w:pPr>
        <w:spacing w:line="360" w:lineRule="auto"/>
        <w:ind w:firstLine="480"/>
        <w:rPr>
          <w:rFonts w:ascii="宋体" w:hAnsi="宋体" w:cs="宋体"/>
          <w:b/>
          <w:bCs/>
          <w:sz w:val="24"/>
          <w:lang w:val="zh-CN"/>
        </w:rPr>
      </w:pPr>
      <w:r>
        <w:rPr>
          <w:rFonts w:hint="eastAsia" w:ascii="宋体" w:hAnsi="宋体" w:cs="宋体"/>
          <w:bCs/>
          <w:sz w:val="24"/>
        </w:rPr>
        <w:t>6.6本招标公告在江苏政府采购网（http：//www.ccgp-jiangsu.gov.cn/）、南京公共采购信息网（https：//njgc.jfh.com/）公示发布。若有关本次招标存在的变动或修改，敬请各供应商及时关注江苏政府采购网、南京公共采购信息网发布的关于本项目的信息更正公告。</w:t>
      </w:r>
      <w:bookmarkStart w:id="39" w:name="_Toc38723685"/>
    </w:p>
    <w:p w14:paraId="442FB4BA">
      <w:pPr>
        <w:spacing w:line="360" w:lineRule="auto"/>
        <w:rPr>
          <w:rFonts w:ascii="宋体" w:hAnsi="宋体" w:cs="宋体"/>
          <w:bCs/>
          <w:sz w:val="24"/>
          <w:lang w:val="zh-CN"/>
        </w:rPr>
      </w:pPr>
      <w:r>
        <w:rPr>
          <w:rFonts w:hint="eastAsia" w:ascii="宋体" w:hAnsi="宋体" w:cs="宋体"/>
          <w:sz w:val="24"/>
        </w:rPr>
        <w:t>七、对本次招标提出询问，请按以下方式联系</w:t>
      </w:r>
      <w:bookmarkEnd w:id="34"/>
      <w:bookmarkEnd w:id="35"/>
      <w:bookmarkEnd w:id="36"/>
      <w:bookmarkEnd w:id="37"/>
      <w:bookmarkEnd w:id="39"/>
      <w:r>
        <w:rPr>
          <w:rFonts w:hint="eastAsia" w:ascii="宋体" w:hAnsi="宋体" w:cs="宋体"/>
          <w:sz w:val="24"/>
        </w:rPr>
        <w:t>：</w:t>
      </w:r>
    </w:p>
    <w:p w14:paraId="3886B750">
      <w:pPr>
        <w:spacing w:line="360" w:lineRule="auto"/>
        <w:ind w:firstLine="480"/>
        <w:rPr>
          <w:rFonts w:ascii="宋体" w:hAnsi="宋体" w:cs="宋体"/>
          <w:bCs/>
          <w:sz w:val="24"/>
          <w:lang w:val="zh-CN"/>
        </w:rPr>
      </w:pPr>
      <w:r>
        <w:rPr>
          <w:rFonts w:hint="eastAsia" w:ascii="宋体" w:hAnsi="宋体" w:cs="宋体"/>
          <w:sz w:val="24"/>
        </w:rPr>
        <w:t>1.采购人信息</w:t>
      </w:r>
      <w:bookmarkStart w:id="40" w:name="_Toc28359020"/>
      <w:bookmarkStart w:id="41" w:name="_Toc28359097"/>
      <w:bookmarkStart w:id="42" w:name="_Toc35393638"/>
      <w:bookmarkStart w:id="43" w:name="_Toc35393807"/>
    </w:p>
    <w:p w14:paraId="3B803235">
      <w:pPr>
        <w:spacing w:line="360" w:lineRule="auto"/>
        <w:ind w:firstLine="480"/>
        <w:rPr>
          <w:rFonts w:ascii="宋体" w:hAnsi="宋体" w:cs="宋体"/>
          <w:bCs/>
          <w:sz w:val="24"/>
          <w:lang w:val="zh-CN"/>
        </w:rPr>
      </w:pPr>
      <w:r>
        <w:rPr>
          <w:rFonts w:hint="eastAsia" w:ascii="宋体" w:hAnsi="宋体" w:cs="宋体"/>
          <w:sz w:val="24"/>
        </w:rPr>
        <w:t>名    称：</w:t>
      </w:r>
      <w:bookmarkStart w:id="44" w:name="OLE_LINK1"/>
      <w:r>
        <w:rPr>
          <w:rFonts w:hint="eastAsia" w:ascii="宋体" w:hAnsi="宋体" w:cs="宋体"/>
          <w:sz w:val="24"/>
          <w:u w:val="single"/>
        </w:rPr>
        <w:t>南京市高淳区人民政府桠溪街道办事处</w:t>
      </w:r>
    </w:p>
    <w:bookmarkEnd w:id="44"/>
    <w:p w14:paraId="405BC3A1">
      <w:pPr>
        <w:spacing w:line="360" w:lineRule="auto"/>
        <w:ind w:firstLine="480"/>
        <w:rPr>
          <w:rFonts w:ascii="宋体" w:hAnsi="宋体" w:cs="宋体"/>
          <w:bCs/>
          <w:sz w:val="24"/>
        </w:rPr>
      </w:pPr>
      <w:r>
        <w:rPr>
          <w:rFonts w:hint="eastAsia" w:ascii="宋体" w:hAnsi="宋体" w:cs="宋体"/>
          <w:sz w:val="24"/>
        </w:rPr>
        <w:t>地    址：</w:t>
      </w:r>
      <w:r>
        <w:rPr>
          <w:rFonts w:hint="eastAsia" w:ascii="宋体" w:hAnsi="宋体" w:cs="宋体"/>
          <w:sz w:val="24"/>
          <w:u w:val="single"/>
        </w:rPr>
        <w:t>南京市高淳区桠溪镇永宁东街12号</w:t>
      </w:r>
    </w:p>
    <w:p w14:paraId="4AAE0BBB">
      <w:pPr>
        <w:spacing w:line="360" w:lineRule="auto"/>
        <w:ind w:firstLine="480"/>
        <w:rPr>
          <w:rFonts w:ascii="宋体" w:hAnsi="宋体" w:cs="宋体"/>
          <w:bCs/>
          <w:sz w:val="24"/>
          <w:u w:val="single"/>
        </w:rPr>
      </w:pPr>
      <w:bookmarkStart w:id="45" w:name="_Hlk136001680"/>
      <w:r>
        <w:rPr>
          <w:rFonts w:hint="eastAsia" w:ascii="宋体" w:hAnsi="宋体" w:cs="宋体"/>
          <w:sz w:val="24"/>
          <w:lang w:val="zh-CN"/>
        </w:rPr>
        <w:t>联 系 人：</w:t>
      </w:r>
      <w:r>
        <w:rPr>
          <w:rFonts w:hint="eastAsia" w:ascii="宋体" w:hAnsi="宋体" w:cs="宋体"/>
          <w:sz w:val="24"/>
          <w:u w:val="single"/>
        </w:rPr>
        <w:t>芮主任</w:t>
      </w:r>
    </w:p>
    <w:p w14:paraId="0F058BDA">
      <w:pPr>
        <w:spacing w:line="360" w:lineRule="auto"/>
        <w:ind w:firstLine="480"/>
        <w:rPr>
          <w:rFonts w:ascii="宋体" w:hAnsi="宋体" w:cs="宋体"/>
          <w:bCs/>
          <w:sz w:val="24"/>
          <w:u w:val="single"/>
        </w:rPr>
      </w:pPr>
      <w:r>
        <w:rPr>
          <w:rFonts w:hint="eastAsia" w:ascii="宋体" w:hAnsi="宋体" w:cs="宋体"/>
          <w:sz w:val="24"/>
        </w:rPr>
        <w:t>联系方式：</w:t>
      </w:r>
      <w:bookmarkEnd w:id="45"/>
      <w:r>
        <w:rPr>
          <w:rFonts w:hint="eastAsia" w:ascii="宋体" w:hAnsi="宋体" w:cs="宋体"/>
          <w:sz w:val="24"/>
          <w:u w:val="single"/>
        </w:rPr>
        <w:t xml:space="preserve">13151540888 </w:t>
      </w:r>
    </w:p>
    <w:p w14:paraId="0330BFDB">
      <w:pPr>
        <w:spacing w:line="360" w:lineRule="auto"/>
        <w:ind w:firstLine="480"/>
        <w:rPr>
          <w:rFonts w:ascii="宋体" w:hAnsi="宋体" w:cs="宋体"/>
          <w:bCs/>
          <w:sz w:val="24"/>
          <w:lang w:val="zh-CN"/>
        </w:rPr>
      </w:pPr>
      <w:r>
        <w:rPr>
          <w:rFonts w:hint="eastAsia" w:ascii="宋体" w:hAnsi="宋体" w:cs="宋体"/>
          <w:sz w:val="24"/>
        </w:rPr>
        <w:t>2.采购代理机构信息</w:t>
      </w:r>
      <w:bookmarkEnd w:id="40"/>
      <w:bookmarkEnd w:id="41"/>
      <w:bookmarkEnd w:id="42"/>
      <w:bookmarkEnd w:id="43"/>
      <w:bookmarkStart w:id="46" w:name="_Hlk50644992"/>
    </w:p>
    <w:p w14:paraId="59D86002">
      <w:pPr>
        <w:spacing w:line="360" w:lineRule="auto"/>
        <w:ind w:firstLine="480"/>
        <w:rPr>
          <w:rFonts w:ascii="宋体" w:hAnsi="宋体" w:cs="宋体"/>
          <w:bCs/>
          <w:sz w:val="24"/>
          <w:lang w:val="zh-CN"/>
        </w:rPr>
      </w:pPr>
      <w:r>
        <w:rPr>
          <w:rFonts w:hint="eastAsia" w:ascii="宋体" w:hAnsi="宋体" w:cs="宋体"/>
          <w:sz w:val="24"/>
        </w:rPr>
        <w:t>名    称：</w:t>
      </w:r>
      <w:r>
        <w:rPr>
          <w:rFonts w:hint="eastAsia" w:ascii="宋体" w:hAnsi="宋体" w:cs="宋体"/>
          <w:sz w:val="24"/>
          <w:u w:val="single"/>
        </w:rPr>
        <w:t>江苏骏通建设项目管理咨询有限公司</w:t>
      </w:r>
    </w:p>
    <w:p w14:paraId="6F43851F">
      <w:pPr>
        <w:spacing w:line="360" w:lineRule="auto"/>
        <w:ind w:firstLine="480"/>
        <w:rPr>
          <w:rFonts w:ascii="宋体" w:hAnsi="宋体" w:cs="宋体"/>
          <w:bCs/>
          <w:sz w:val="24"/>
          <w:lang w:val="zh-CN"/>
        </w:rPr>
      </w:pPr>
      <w:r>
        <w:rPr>
          <w:rFonts w:hint="eastAsia" w:ascii="宋体" w:hAnsi="宋体" w:cs="宋体"/>
          <w:sz w:val="24"/>
        </w:rPr>
        <w:t>地    址：</w:t>
      </w:r>
      <w:r>
        <w:rPr>
          <w:rFonts w:hint="eastAsia" w:ascii="宋体" w:hAnsi="宋体" w:cs="宋体"/>
          <w:bCs/>
          <w:sz w:val="24"/>
          <w:u w:val="single"/>
        </w:rPr>
        <w:t>南京市高淳区古檀大道3号科创中心二期A1栋8楼</w:t>
      </w:r>
    </w:p>
    <w:p w14:paraId="28C29AA5">
      <w:pPr>
        <w:spacing w:line="360" w:lineRule="auto"/>
        <w:ind w:firstLine="480"/>
        <w:rPr>
          <w:rFonts w:ascii="宋体" w:hAnsi="宋体" w:cs="宋体"/>
          <w:bCs/>
          <w:sz w:val="24"/>
          <w:lang w:val="zh-CN"/>
        </w:rPr>
      </w:pPr>
      <w:r>
        <w:rPr>
          <w:rFonts w:hint="eastAsia" w:ascii="宋体" w:hAnsi="宋体" w:cs="宋体"/>
          <w:sz w:val="24"/>
        </w:rPr>
        <w:t>联系方式：</w:t>
      </w:r>
      <w:bookmarkStart w:id="47" w:name="_Toc28359021"/>
      <w:bookmarkStart w:id="48" w:name="_Toc35393639"/>
      <w:bookmarkStart w:id="49" w:name="_Toc35393808"/>
      <w:bookmarkStart w:id="50" w:name="_Toc28359098"/>
      <w:r>
        <w:rPr>
          <w:rFonts w:hint="eastAsia" w:ascii="宋体" w:hAnsi="宋体" w:cs="宋体"/>
          <w:sz w:val="24"/>
          <w:u w:val="single"/>
        </w:rPr>
        <w:t>18551866860</w:t>
      </w:r>
    </w:p>
    <w:p w14:paraId="54681EDE">
      <w:pPr>
        <w:spacing w:line="360" w:lineRule="auto"/>
        <w:ind w:firstLine="480"/>
        <w:rPr>
          <w:rFonts w:ascii="宋体" w:hAnsi="宋体" w:cs="宋体"/>
          <w:bCs/>
          <w:sz w:val="24"/>
          <w:lang w:val="zh-CN"/>
        </w:rPr>
      </w:pPr>
      <w:r>
        <w:rPr>
          <w:rFonts w:hint="eastAsia" w:ascii="宋体" w:hAnsi="宋体" w:cs="宋体"/>
          <w:sz w:val="24"/>
        </w:rPr>
        <w:t>3.项目联系方式</w:t>
      </w:r>
      <w:bookmarkEnd w:id="47"/>
      <w:bookmarkEnd w:id="48"/>
      <w:bookmarkEnd w:id="49"/>
      <w:bookmarkEnd w:id="50"/>
    </w:p>
    <w:p w14:paraId="2CE4B819">
      <w:pPr>
        <w:spacing w:line="360" w:lineRule="auto"/>
        <w:ind w:firstLine="480"/>
        <w:rPr>
          <w:rFonts w:ascii="宋体" w:hAnsi="宋体" w:cs="宋体"/>
          <w:bCs/>
          <w:sz w:val="24"/>
          <w:lang w:val="zh-CN"/>
        </w:rPr>
      </w:pPr>
      <w:r>
        <w:rPr>
          <w:rFonts w:hint="eastAsia" w:ascii="宋体" w:hAnsi="宋体" w:cs="宋体"/>
          <w:sz w:val="24"/>
        </w:rPr>
        <w:t>项目联系人：</w:t>
      </w:r>
      <w:bookmarkEnd w:id="46"/>
      <w:r>
        <w:rPr>
          <w:rFonts w:hint="eastAsia" w:ascii="宋体" w:hAnsi="宋体" w:cs="宋体"/>
          <w:sz w:val="24"/>
          <w:u w:val="single"/>
        </w:rPr>
        <w:t>李小敏</w:t>
      </w:r>
    </w:p>
    <w:p w14:paraId="5890B331">
      <w:pPr>
        <w:spacing w:line="360" w:lineRule="auto"/>
        <w:ind w:firstLine="480"/>
        <w:rPr>
          <w:rFonts w:ascii="宋体" w:hAnsi="宋体" w:cs="宋体"/>
          <w:bCs/>
          <w:sz w:val="24"/>
          <w:lang w:val="zh-CN"/>
        </w:rPr>
      </w:pPr>
      <w:r>
        <w:rPr>
          <w:rFonts w:hint="eastAsia" w:ascii="宋体" w:hAnsi="宋体" w:cs="宋体"/>
          <w:sz w:val="24"/>
        </w:rPr>
        <w:t>电      话：</w:t>
      </w:r>
      <w:r>
        <w:rPr>
          <w:rFonts w:hint="eastAsia" w:ascii="宋体" w:hAnsi="宋体" w:cs="宋体"/>
          <w:sz w:val="24"/>
          <w:u w:val="single"/>
        </w:rPr>
        <w:t>18551866860</w:t>
      </w:r>
    </w:p>
    <w:p w14:paraId="154E7EDA">
      <w:pPr>
        <w:pStyle w:val="2"/>
        <w:pageBreakBefore/>
        <w:spacing w:line="240" w:lineRule="auto"/>
        <w:jc w:val="center"/>
        <w:rPr>
          <w:rFonts w:ascii="宋体" w:hAnsi="宋体" w:cs="宋体"/>
          <w:sz w:val="32"/>
        </w:rPr>
      </w:pPr>
      <w:r>
        <w:rPr>
          <w:rFonts w:hint="eastAsia" w:ascii="宋体" w:hAnsi="宋体" w:cs="宋体"/>
          <w:sz w:val="32"/>
        </w:rPr>
        <w:t>第二章供应商须知</w:t>
      </w:r>
      <w:bookmarkEnd w:id="16"/>
      <w:bookmarkEnd w:id="17"/>
    </w:p>
    <w:p w14:paraId="1E3D75E9">
      <w:pPr>
        <w:spacing w:line="360" w:lineRule="auto"/>
        <w:ind w:firstLine="602"/>
        <w:rPr>
          <w:rFonts w:ascii="宋体" w:hAnsi="宋体" w:cs="宋体"/>
          <w:b/>
          <w:bCs/>
          <w:sz w:val="24"/>
          <w:lang w:val="zh-CN"/>
        </w:rPr>
      </w:pPr>
      <w:r>
        <w:rPr>
          <w:rFonts w:hint="eastAsia" w:ascii="宋体" w:hAnsi="宋体" w:cs="宋体"/>
          <w:b/>
          <w:bCs/>
          <w:sz w:val="24"/>
          <w:lang w:val="zh-CN"/>
        </w:rPr>
        <w:t>一、总则</w:t>
      </w:r>
    </w:p>
    <w:p w14:paraId="600E56D0">
      <w:pPr>
        <w:spacing w:line="360" w:lineRule="auto"/>
        <w:ind w:firstLine="602"/>
        <w:rPr>
          <w:rFonts w:ascii="宋体" w:hAnsi="宋体" w:cs="宋体"/>
          <w:b/>
          <w:bCs/>
          <w:sz w:val="24"/>
          <w:lang w:val="zh-CN"/>
        </w:rPr>
      </w:pPr>
      <w:r>
        <w:rPr>
          <w:rFonts w:hint="eastAsia" w:ascii="宋体" w:hAnsi="宋体" w:cs="宋体"/>
          <w:b/>
          <w:bCs/>
          <w:sz w:val="24"/>
          <w:lang w:val="zh-CN"/>
        </w:rPr>
        <w:t>1、适用法律</w:t>
      </w:r>
    </w:p>
    <w:p w14:paraId="3885F65D">
      <w:pPr>
        <w:spacing w:line="360" w:lineRule="auto"/>
        <w:ind w:firstLine="600"/>
        <w:rPr>
          <w:rFonts w:ascii="宋体" w:hAnsi="宋体" w:cs="宋体"/>
          <w:bCs/>
          <w:sz w:val="24"/>
          <w:lang w:val="zh-CN"/>
        </w:rPr>
      </w:pPr>
      <w:r>
        <w:rPr>
          <w:rFonts w:hint="eastAsia" w:ascii="宋体" w:hAnsi="宋体" w:cs="宋体"/>
          <w:bCs/>
          <w:sz w:val="24"/>
          <w:lang w:val="zh-CN"/>
        </w:rPr>
        <w:t>1.1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38A41094">
      <w:pPr>
        <w:spacing w:line="360" w:lineRule="auto"/>
        <w:ind w:firstLine="602"/>
        <w:rPr>
          <w:rFonts w:ascii="宋体" w:hAnsi="宋体" w:cs="宋体"/>
          <w:b/>
          <w:bCs/>
          <w:sz w:val="24"/>
          <w:lang w:val="zh-CN"/>
        </w:rPr>
      </w:pPr>
      <w:r>
        <w:rPr>
          <w:rFonts w:hint="eastAsia" w:ascii="宋体" w:hAnsi="宋体" w:cs="宋体"/>
          <w:b/>
          <w:bCs/>
          <w:sz w:val="24"/>
          <w:lang w:val="zh-CN"/>
        </w:rPr>
        <w:t>2、定义</w:t>
      </w:r>
    </w:p>
    <w:p w14:paraId="3E5B581C">
      <w:pPr>
        <w:spacing w:line="360" w:lineRule="auto"/>
        <w:ind w:firstLine="600"/>
        <w:rPr>
          <w:rFonts w:ascii="宋体" w:hAnsi="宋体" w:cs="宋体"/>
          <w:bCs/>
          <w:sz w:val="24"/>
          <w:lang w:val="zh-CN"/>
        </w:rPr>
      </w:pPr>
      <w:r>
        <w:rPr>
          <w:rFonts w:hint="eastAsia" w:ascii="宋体" w:hAnsi="宋体" w:cs="宋体"/>
          <w:bCs/>
          <w:sz w:val="24"/>
          <w:lang w:val="zh-CN"/>
        </w:rPr>
        <w:t>2.1“采购人”是指依法进行政府采购的国家机关、事业单位、团体组织。</w:t>
      </w:r>
    </w:p>
    <w:p w14:paraId="60977CE0">
      <w:pPr>
        <w:spacing w:line="360" w:lineRule="auto"/>
        <w:ind w:firstLine="600"/>
        <w:rPr>
          <w:rFonts w:ascii="宋体" w:hAnsi="宋体" w:cs="宋体"/>
          <w:bCs/>
          <w:sz w:val="24"/>
          <w:lang w:val="zh-CN"/>
        </w:rPr>
      </w:pPr>
      <w:r>
        <w:rPr>
          <w:rFonts w:hint="eastAsia" w:ascii="宋体" w:hAnsi="宋体" w:cs="宋体"/>
          <w:bCs/>
          <w:sz w:val="24"/>
          <w:lang w:val="zh-CN"/>
        </w:rPr>
        <w:t>2.2“供应商”是指参加投标竞争，并符合招标文件规定资格条件的法人、其他组织或者自然人。</w:t>
      </w:r>
    </w:p>
    <w:p w14:paraId="66866065">
      <w:pPr>
        <w:spacing w:line="360" w:lineRule="auto"/>
        <w:ind w:firstLine="600"/>
        <w:rPr>
          <w:rFonts w:ascii="宋体" w:hAnsi="宋体" w:cs="宋体"/>
          <w:bCs/>
          <w:sz w:val="24"/>
          <w:lang w:val="zh-CN"/>
        </w:rPr>
      </w:pPr>
      <w:r>
        <w:rPr>
          <w:rFonts w:hint="eastAsia" w:ascii="宋体" w:hAnsi="宋体" w:cs="宋体"/>
          <w:bCs/>
          <w:sz w:val="24"/>
          <w:lang w:val="zh-CN"/>
        </w:rPr>
        <w:t>2.3“采购代理机构”是指集中采购机构和集中采购机构以外的采购代理机构，集中采购机构以外的采购代理机构，是从事采购代理业务的社会中介机构。</w:t>
      </w:r>
    </w:p>
    <w:p w14:paraId="27B6C4A5">
      <w:pPr>
        <w:spacing w:line="360" w:lineRule="auto"/>
        <w:ind w:firstLine="600"/>
        <w:rPr>
          <w:rFonts w:ascii="宋体" w:hAnsi="宋体" w:cs="宋体"/>
          <w:bCs/>
          <w:sz w:val="24"/>
          <w:lang w:val="zh-CN"/>
        </w:rPr>
      </w:pPr>
      <w:r>
        <w:rPr>
          <w:rFonts w:hint="eastAsia" w:ascii="宋体" w:hAnsi="宋体" w:cs="宋体"/>
          <w:bCs/>
          <w:sz w:val="24"/>
          <w:lang w:val="zh-CN"/>
        </w:rPr>
        <w:t>2.4“货物和服务”指本招标文件中所述产品及相关服务。</w:t>
      </w:r>
    </w:p>
    <w:p w14:paraId="533550DE">
      <w:pPr>
        <w:spacing w:line="360" w:lineRule="auto"/>
        <w:ind w:firstLine="600"/>
        <w:rPr>
          <w:rFonts w:ascii="宋体" w:hAnsi="宋体" w:cs="宋体"/>
          <w:bCs/>
          <w:sz w:val="24"/>
          <w:lang w:val="zh-CN"/>
        </w:rPr>
      </w:pPr>
      <w:r>
        <w:rPr>
          <w:rFonts w:hint="eastAsia" w:ascii="宋体" w:hAnsi="宋体" w:cs="宋体"/>
          <w:bCs/>
          <w:sz w:val="24"/>
          <w:lang w:val="zh-CN"/>
        </w:rPr>
        <w:t>2.5“用户或使用单位”是指使用货物，接受服务的单位。</w:t>
      </w:r>
    </w:p>
    <w:p w14:paraId="3DE8857E">
      <w:pPr>
        <w:spacing w:line="360" w:lineRule="auto"/>
        <w:ind w:firstLine="602"/>
        <w:rPr>
          <w:rFonts w:ascii="宋体" w:hAnsi="宋体" w:cs="宋体"/>
          <w:b/>
          <w:bCs/>
          <w:sz w:val="24"/>
          <w:lang w:val="zh-CN"/>
        </w:rPr>
      </w:pPr>
      <w:r>
        <w:rPr>
          <w:rFonts w:hint="eastAsia" w:ascii="宋体" w:hAnsi="宋体" w:cs="宋体"/>
          <w:b/>
          <w:bCs/>
          <w:sz w:val="24"/>
          <w:lang w:val="zh-CN"/>
        </w:rPr>
        <w:t>3、政策功能</w:t>
      </w:r>
    </w:p>
    <w:p w14:paraId="3F128B85">
      <w:pPr>
        <w:spacing w:line="360" w:lineRule="auto"/>
        <w:ind w:firstLine="602"/>
        <w:rPr>
          <w:rFonts w:ascii="宋体" w:hAnsi="宋体" w:cs="宋体"/>
          <w:bCs/>
          <w:sz w:val="24"/>
        </w:rPr>
      </w:pPr>
      <w:r>
        <w:rPr>
          <w:rFonts w:hint="eastAsia" w:ascii="宋体" w:hAnsi="宋体" w:cs="宋体"/>
          <w:bCs/>
          <w:sz w:val="24"/>
        </w:rPr>
        <w:t>3.1 中小企业政策</w:t>
      </w:r>
    </w:p>
    <w:p w14:paraId="7F73F747">
      <w:pPr>
        <w:spacing w:line="360" w:lineRule="auto"/>
        <w:ind w:firstLine="480"/>
        <w:rPr>
          <w:rFonts w:ascii="宋体" w:hAnsi="宋体" w:cs="宋体"/>
          <w:sz w:val="24"/>
        </w:rPr>
      </w:pPr>
      <w:r>
        <w:rPr>
          <w:rFonts w:hint="eastAsia" w:ascii="宋体" w:hAnsi="宋体" w:cs="宋体"/>
          <w:sz w:val="24"/>
        </w:rPr>
        <w:t>（1）中小企业（含中型、小型、微型企业）应当符合《政府采购促进中小企业发展管理办法》（财库〔2020〕46号）第二条、《关于政府采购支持监狱企业发展有关问题的通知》（财库〔2014〕68 号）第一条或《关于促进残疾人就业政府采购政策的通知》（财库〔2017〕141 号）第一条的规定。</w:t>
      </w:r>
    </w:p>
    <w:p w14:paraId="60A70257">
      <w:pPr>
        <w:spacing w:line="360" w:lineRule="auto"/>
        <w:ind w:firstLine="480"/>
        <w:rPr>
          <w:rFonts w:ascii="宋体" w:hAnsi="宋体" w:cs="宋体"/>
          <w:sz w:val="24"/>
        </w:rPr>
      </w:pPr>
      <w:r>
        <w:rPr>
          <w:rFonts w:hint="eastAsia" w:ascii="宋体" w:hAnsi="宋体" w:cs="宋体"/>
          <w:sz w:val="24"/>
        </w:rPr>
        <w:t>（2）参加政府采购活动的中小企业应当提供《中小企业声明函》、由省级以上监狱管理局戒毒管理局（含新疆生产建设兵团）出具的属于监狱企业的证明文件或《残疾人福利性单位声明函》。</w:t>
      </w:r>
    </w:p>
    <w:p w14:paraId="5BA3C61B">
      <w:pPr>
        <w:spacing w:line="360" w:lineRule="auto"/>
        <w:ind w:firstLine="480"/>
        <w:rPr>
          <w:rFonts w:ascii="宋体" w:hAnsi="宋体" w:cs="宋体"/>
          <w:sz w:val="24"/>
        </w:rPr>
      </w:pPr>
      <w:r>
        <w:rPr>
          <w:rFonts w:hint="eastAsia" w:ascii="宋体" w:hAnsi="宋体" w:cs="宋体"/>
          <w:sz w:val="24"/>
        </w:rPr>
        <w:t>（3）对于接受供应商以联合体形式参加采购活动的项目，小微型企业联合体应当符合《政府采购促进中小企业发展管理办法》（财库〔2020〕46号）第九条的规定。根据《关于进一步加大政府采购支持中小企业力度的通知》（财库〔2022〕19号）对于联合协议或者分包意向协议约定小微企业的合同份额占到合同总金额30%以上的，给予联合体4%的价格扣除。</w:t>
      </w:r>
    </w:p>
    <w:p w14:paraId="1F260D21">
      <w:pPr>
        <w:spacing w:line="360" w:lineRule="auto"/>
        <w:ind w:firstLine="480"/>
        <w:rPr>
          <w:rFonts w:ascii="宋体" w:hAnsi="宋体" w:cs="宋体"/>
          <w:sz w:val="24"/>
        </w:rPr>
      </w:pPr>
      <w:r>
        <w:rPr>
          <w:rFonts w:hint="eastAsia" w:ascii="宋体" w:hAnsi="宋体" w:cs="宋体"/>
          <w:sz w:val="24"/>
        </w:rPr>
        <w:t>（4）中小企业依据《政府采购促进中小企业发展管理办法》（财库〔2020〕46号）规定的政策获取政府采购合同后，小型、微型企业不得分包或转包给大型、中型企业，中型企业不得分包或转包给大型企业。</w:t>
      </w:r>
    </w:p>
    <w:p w14:paraId="2F26C77E">
      <w:pPr>
        <w:spacing w:line="360" w:lineRule="auto"/>
        <w:ind w:firstLine="480"/>
        <w:rPr>
          <w:rFonts w:ascii="宋体" w:hAnsi="宋体" w:cs="宋体"/>
          <w:sz w:val="24"/>
        </w:rPr>
      </w:pPr>
      <w:r>
        <w:rPr>
          <w:rFonts w:hint="eastAsia" w:ascii="宋体" w:hAnsi="宋体" w:cs="宋体"/>
          <w:sz w:val="24"/>
        </w:rPr>
        <w:t>（5）未按要求提供相关材料的，不享受相关政策。</w:t>
      </w:r>
    </w:p>
    <w:p w14:paraId="13C6B7AF">
      <w:pPr>
        <w:spacing w:line="360" w:lineRule="auto"/>
        <w:ind w:firstLine="480"/>
        <w:rPr>
          <w:rFonts w:ascii="宋体" w:hAnsi="宋体" w:cs="宋体"/>
          <w:sz w:val="24"/>
        </w:rPr>
      </w:pPr>
      <w:r>
        <w:rPr>
          <w:rFonts w:hint="eastAsia" w:ascii="宋体" w:hAnsi="宋体" w:cs="宋体"/>
          <w:sz w:val="24"/>
        </w:rPr>
        <w:t>（6）</w:t>
      </w:r>
      <w:r>
        <w:rPr>
          <w:rFonts w:hint="eastAsia" w:ascii="宋体" w:hAnsi="宋体" w:cs="宋体"/>
          <w:bCs/>
          <w:sz w:val="24"/>
        </w:rPr>
        <w:t>项目所属行业</w:t>
      </w:r>
      <w:r>
        <w:rPr>
          <w:rFonts w:hint="eastAsia" w:ascii="宋体" w:hAnsi="宋体" w:cs="宋体"/>
          <w:sz w:val="24"/>
        </w:rPr>
        <w:t>：根据《关于印发中小企业划型标准规定的通知》（工信部联企业〔2011〕300号）及《国家统计局关于印发&lt;统计上大中小微型企业划分办法〔2017〕&gt;的通知》（国统字〔2017〕213号）等文件规定，本项目所属行业为其他未列明行业。</w:t>
      </w:r>
      <w:bookmarkStart w:id="51" w:name="_Hlk136001790"/>
    </w:p>
    <w:p w14:paraId="74DA9E91">
      <w:pPr>
        <w:spacing w:line="360" w:lineRule="auto"/>
        <w:ind w:firstLine="480"/>
        <w:rPr>
          <w:rFonts w:ascii="宋体" w:hAnsi="宋体" w:cs="宋体"/>
          <w:bCs/>
          <w:sz w:val="24"/>
        </w:rPr>
      </w:pPr>
      <w:r>
        <w:rPr>
          <w:rFonts w:hint="eastAsia" w:ascii="宋体" w:hAnsi="宋体" w:cs="宋体"/>
          <w:bCs/>
          <w:sz w:val="24"/>
        </w:rPr>
        <w:t>3.2 节能产品政策</w:t>
      </w:r>
    </w:p>
    <w:p w14:paraId="67AC9D93">
      <w:pPr>
        <w:spacing w:line="360" w:lineRule="auto"/>
        <w:ind w:firstLine="480"/>
        <w:rPr>
          <w:rFonts w:ascii="宋体" w:hAnsi="宋体" w:cs="宋体"/>
          <w:sz w:val="24"/>
        </w:rPr>
      </w:pPr>
      <w:r>
        <w:rPr>
          <w:rFonts w:hint="eastAsia" w:ascii="宋体" w:hAnsi="宋体" w:cs="宋体"/>
          <w:sz w:val="24"/>
        </w:rPr>
        <w:t>（1）节能产品是指列入财政部、国家发展和改革委员会制定的节能产品品目政府采购清单，且经过认证的节能产品；</w:t>
      </w:r>
    </w:p>
    <w:p w14:paraId="306292D8">
      <w:pPr>
        <w:spacing w:line="360" w:lineRule="auto"/>
        <w:ind w:firstLine="480"/>
        <w:rPr>
          <w:rFonts w:ascii="宋体" w:hAnsi="宋体" w:cs="宋体"/>
          <w:sz w:val="24"/>
        </w:rPr>
      </w:pPr>
      <w:r>
        <w:rPr>
          <w:rFonts w:hint="eastAsia" w:ascii="宋体" w:hAnsi="宋体" w:cs="宋体"/>
          <w:sz w:val="24"/>
        </w:rPr>
        <w:t>（2）拟采购产品属于节能产品政府采购清单规定必须强制采购的，实行强制采购。</w:t>
      </w:r>
    </w:p>
    <w:p w14:paraId="3413EF0C">
      <w:pPr>
        <w:spacing w:line="360" w:lineRule="auto"/>
        <w:ind w:firstLine="480"/>
        <w:rPr>
          <w:rFonts w:ascii="宋体" w:hAnsi="宋体" w:cs="宋体"/>
          <w:sz w:val="24"/>
        </w:rPr>
      </w:pPr>
      <w:r>
        <w:rPr>
          <w:rFonts w:hint="eastAsia" w:ascii="宋体" w:hAnsi="宋体" w:cs="宋体"/>
          <w:sz w:val="24"/>
        </w:rPr>
        <w:t>（3）拟采购产品属于节能产品政府采购清单规定优先采购的，在技术、服务等指标同等条件下，实行优先采购，优先采购的要求详见第三章说明内容。</w:t>
      </w:r>
    </w:p>
    <w:p w14:paraId="322D1A68">
      <w:pPr>
        <w:spacing w:line="360" w:lineRule="auto"/>
        <w:ind w:firstLine="480"/>
        <w:rPr>
          <w:rFonts w:ascii="宋体" w:hAnsi="宋体" w:cs="宋体"/>
          <w:sz w:val="24"/>
        </w:rPr>
      </w:pPr>
      <w:r>
        <w:rPr>
          <w:rFonts w:hint="eastAsia" w:ascii="宋体" w:hAnsi="宋体" w:cs="宋体"/>
          <w:sz w:val="24"/>
        </w:rPr>
        <w:t>（4）参加政府采购活动的节能产品供应商应当提供有效的节能产品认证证书复印件。</w:t>
      </w:r>
    </w:p>
    <w:p w14:paraId="35A4198F">
      <w:pPr>
        <w:spacing w:line="360" w:lineRule="auto"/>
        <w:ind w:firstLine="480"/>
        <w:rPr>
          <w:rFonts w:ascii="宋体" w:hAnsi="宋体" w:cs="宋体"/>
          <w:sz w:val="24"/>
        </w:rPr>
      </w:pPr>
      <w:r>
        <w:rPr>
          <w:rFonts w:hint="eastAsia" w:ascii="宋体" w:hAnsi="宋体" w:cs="宋体"/>
          <w:sz w:val="24"/>
        </w:rPr>
        <w:t>（5）未按要求提供相关材料的，不享受相关政策。</w:t>
      </w:r>
    </w:p>
    <w:p w14:paraId="50FB7064">
      <w:pPr>
        <w:spacing w:line="360" w:lineRule="auto"/>
        <w:ind w:firstLine="480"/>
        <w:outlineLvl w:val="3"/>
        <w:rPr>
          <w:rFonts w:ascii="宋体" w:hAnsi="宋体" w:cs="宋体"/>
          <w:bCs/>
          <w:sz w:val="24"/>
        </w:rPr>
      </w:pPr>
      <w:r>
        <w:rPr>
          <w:rFonts w:hint="eastAsia" w:ascii="宋体" w:hAnsi="宋体" w:cs="宋体"/>
          <w:bCs/>
          <w:sz w:val="24"/>
        </w:rPr>
        <w:t>3.3 环境标志产品政策</w:t>
      </w:r>
    </w:p>
    <w:p w14:paraId="7779CF02">
      <w:pPr>
        <w:spacing w:line="360" w:lineRule="auto"/>
        <w:ind w:firstLine="480"/>
        <w:rPr>
          <w:rFonts w:ascii="宋体" w:hAnsi="宋体" w:cs="宋体"/>
          <w:sz w:val="24"/>
        </w:rPr>
      </w:pPr>
      <w:r>
        <w:rPr>
          <w:rFonts w:hint="eastAsia" w:ascii="宋体" w:hAnsi="宋体" w:cs="宋体"/>
          <w:sz w:val="24"/>
        </w:rPr>
        <w:t>（1）环境标志产品是指列入财政部、生态环境部制定的环境标志产品品目政府采购清单，且经过认证的环境标志产品；</w:t>
      </w:r>
    </w:p>
    <w:p w14:paraId="0ECBBF5D">
      <w:pPr>
        <w:spacing w:line="360" w:lineRule="auto"/>
        <w:ind w:firstLine="480"/>
        <w:rPr>
          <w:rFonts w:ascii="宋体" w:hAnsi="宋体" w:cs="宋体"/>
          <w:sz w:val="24"/>
        </w:rPr>
      </w:pPr>
      <w:r>
        <w:rPr>
          <w:rFonts w:hint="eastAsia" w:ascii="宋体" w:hAnsi="宋体" w:cs="宋体"/>
          <w:sz w:val="24"/>
        </w:rPr>
        <w:t>（2）拟采购产品属于环境标志产品政府采购清单规定优先采购的，在性能、技术、服务等指标同等条件下，实行优先采购，优先采购的要求详见第三章说明内容。</w:t>
      </w:r>
    </w:p>
    <w:p w14:paraId="0536FD4C">
      <w:pPr>
        <w:spacing w:line="360" w:lineRule="auto"/>
        <w:ind w:firstLine="480"/>
        <w:rPr>
          <w:rFonts w:ascii="宋体" w:hAnsi="宋体" w:cs="宋体"/>
          <w:sz w:val="24"/>
        </w:rPr>
      </w:pPr>
      <w:r>
        <w:rPr>
          <w:rFonts w:hint="eastAsia" w:ascii="宋体" w:hAnsi="宋体" w:cs="宋体"/>
          <w:sz w:val="24"/>
        </w:rPr>
        <w:t>（3）参加政府采购活动的环境标志产品应当提供有效的环境标志产品认证证书复印件。</w:t>
      </w:r>
    </w:p>
    <w:p w14:paraId="1ECDB582">
      <w:pPr>
        <w:spacing w:line="360" w:lineRule="auto"/>
        <w:ind w:firstLine="480"/>
        <w:rPr>
          <w:rFonts w:ascii="宋体" w:hAnsi="宋体" w:cs="宋体"/>
          <w:sz w:val="24"/>
        </w:rPr>
      </w:pPr>
      <w:r>
        <w:rPr>
          <w:rFonts w:hint="eastAsia" w:ascii="宋体" w:hAnsi="宋体" w:cs="宋体"/>
          <w:sz w:val="24"/>
        </w:rPr>
        <w:t>（4）未按要求提供相关材料的，不享受相关政策。</w:t>
      </w:r>
    </w:p>
    <w:p w14:paraId="56248917">
      <w:pPr>
        <w:spacing w:line="360" w:lineRule="auto"/>
        <w:ind w:firstLine="480"/>
        <w:outlineLvl w:val="3"/>
        <w:rPr>
          <w:rFonts w:ascii="宋体" w:hAnsi="宋体" w:cs="宋体"/>
          <w:bCs/>
          <w:sz w:val="24"/>
        </w:rPr>
      </w:pPr>
      <w:r>
        <w:rPr>
          <w:rFonts w:hint="eastAsia" w:ascii="宋体" w:hAnsi="宋体" w:cs="宋体"/>
          <w:bCs/>
          <w:sz w:val="24"/>
        </w:rPr>
        <w:t>3.4 信息安全产品政策</w:t>
      </w:r>
    </w:p>
    <w:p w14:paraId="3A26A6C0">
      <w:pPr>
        <w:spacing w:line="360" w:lineRule="auto"/>
        <w:ind w:firstLine="480"/>
        <w:rPr>
          <w:rFonts w:ascii="宋体" w:hAnsi="宋体" w:cs="宋体"/>
          <w:sz w:val="24"/>
        </w:rPr>
      </w:pPr>
      <w:r>
        <w:rPr>
          <w:rFonts w:hint="eastAsia" w:ascii="宋体" w:hAnsi="宋体" w:cs="宋体"/>
          <w:sz w:val="24"/>
        </w:rPr>
        <w:t>（1）信息安全产品是指列入国家质检总局、国家认监委《信息安全产品强制性认证目录》，并获得强制性产品认证证书的产品；</w:t>
      </w:r>
    </w:p>
    <w:p w14:paraId="42E9CC6B">
      <w:pPr>
        <w:spacing w:line="360" w:lineRule="auto"/>
        <w:ind w:firstLine="480"/>
        <w:rPr>
          <w:rFonts w:ascii="宋体" w:hAnsi="宋体" w:cs="宋体"/>
          <w:sz w:val="24"/>
        </w:rPr>
      </w:pPr>
      <w:r>
        <w:rPr>
          <w:rFonts w:hint="eastAsia" w:ascii="宋体" w:hAnsi="宋体" w:cs="宋体"/>
          <w:sz w:val="24"/>
        </w:rPr>
        <w:t>（2）提供的产品属于信息安全产品的，供应商应当选择经国家认证的信息安全产品投标，并提供由中国信息安全认证中心按国家标准认证颁发的有效认证证书复印件。</w:t>
      </w:r>
    </w:p>
    <w:p w14:paraId="4EE2C2FF">
      <w:pPr>
        <w:spacing w:line="360" w:lineRule="auto"/>
        <w:ind w:firstLine="480"/>
        <w:rPr>
          <w:rFonts w:ascii="宋体" w:hAnsi="宋体" w:cs="宋体"/>
          <w:sz w:val="24"/>
        </w:rPr>
      </w:pPr>
      <w:r>
        <w:rPr>
          <w:rFonts w:hint="eastAsia" w:ascii="宋体" w:hAnsi="宋体" w:cs="宋体"/>
          <w:sz w:val="24"/>
        </w:rPr>
        <w:t>（3）未按要求提供相关材料的，不享受相关政策。</w:t>
      </w:r>
    </w:p>
    <w:p w14:paraId="3422ABCA">
      <w:pPr>
        <w:spacing w:line="360" w:lineRule="auto"/>
        <w:ind w:firstLine="480"/>
        <w:outlineLvl w:val="3"/>
        <w:rPr>
          <w:rFonts w:ascii="宋体" w:hAnsi="宋体" w:cs="宋体"/>
          <w:bCs/>
          <w:sz w:val="24"/>
        </w:rPr>
      </w:pPr>
      <w:r>
        <w:rPr>
          <w:rFonts w:hint="eastAsia" w:ascii="宋体" w:hAnsi="宋体" w:cs="宋体"/>
          <w:bCs/>
          <w:sz w:val="24"/>
        </w:rPr>
        <w:t>3.5 进口产品政策</w:t>
      </w:r>
    </w:p>
    <w:p w14:paraId="573865AB">
      <w:pPr>
        <w:spacing w:line="360" w:lineRule="auto"/>
        <w:ind w:firstLine="480"/>
        <w:rPr>
          <w:rFonts w:ascii="宋体" w:hAnsi="宋体" w:cs="宋体"/>
          <w:sz w:val="24"/>
        </w:rPr>
      </w:pPr>
      <w:r>
        <w:rPr>
          <w:rFonts w:hint="eastAsia" w:ascii="宋体" w:hAnsi="宋体" w:cs="宋体"/>
          <w:sz w:val="24"/>
        </w:rPr>
        <w:t>（1）除第一章公开招标公告另有规定外，不允许进口产品参加。进口产品认定依照《财政部关于政府采购进口产品管理有关问题的通知》（财办库〔2008〕248 号）的规定。</w:t>
      </w:r>
    </w:p>
    <w:p w14:paraId="77F9A1A3">
      <w:pPr>
        <w:spacing w:line="360" w:lineRule="auto"/>
        <w:ind w:firstLine="480"/>
        <w:rPr>
          <w:rFonts w:ascii="宋体" w:hAnsi="宋体" w:cs="宋体"/>
          <w:sz w:val="24"/>
        </w:rPr>
      </w:pPr>
      <w:r>
        <w:rPr>
          <w:rFonts w:hint="eastAsia" w:ascii="宋体" w:hAnsi="宋体" w:cs="宋体"/>
          <w:sz w:val="24"/>
        </w:rPr>
        <w:t>（2）允许进口产品参加的，满足需求的国内产品可以参加。</w:t>
      </w:r>
    </w:p>
    <w:p w14:paraId="5D64479A">
      <w:pPr>
        <w:spacing w:line="360" w:lineRule="auto"/>
        <w:ind w:firstLine="480"/>
        <w:rPr>
          <w:rFonts w:ascii="宋体" w:hAnsi="宋体" w:cs="宋体"/>
          <w:sz w:val="24"/>
        </w:rPr>
      </w:pPr>
      <w:r>
        <w:rPr>
          <w:rFonts w:hint="eastAsia" w:ascii="宋体" w:hAnsi="宋体" w:cs="宋体"/>
          <w:sz w:val="24"/>
        </w:rPr>
        <w:t>（3）允许进口产品参加的，优先采购向我国企业转让技术、与我国企业签订消化吸收再创新方案的供应商的进口产品。</w:t>
      </w:r>
    </w:p>
    <w:p w14:paraId="4FB80E29">
      <w:pPr>
        <w:spacing w:line="360" w:lineRule="auto"/>
        <w:ind w:firstLine="480"/>
        <w:rPr>
          <w:rFonts w:ascii="宋体" w:hAnsi="宋体" w:cs="宋体"/>
          <w:sz w:val="24"/>
        </w:rPr>
      </w:pPr>
      <w:r>
        <w:rPr>
          <w:rFonts w:hint="eastAsia" w:ascii="宋体" w:hAnsi="宋体" w:cs="宋体"/>
          <w:sz w:val="24"/>
        </w:rPr>
        <w:t>（4）未按要求提供相关材料的，不享受相关政策。</w:t>
      </w:r>
    </w:p>
    <w:p w14:paraId="2E2C077F">
      <w:pPr>
        <w:spacing w:line="360" w:lineRule="auto"/>
        <w:ind w:firstLine="480"/>
        <w:outlineLvl w:val="3"/>
        <w:rPr>
          <w:rFonts w:ascii="宋体" w:hAnsi="宋体" w:cs="宋体"/>
          <w:bCs/>
          <w:sz w:val="24"/>
        </w:rPr>
      </w:pPr>
      <w:r>
        <w:rPr>
          <w:rFonts w:hint="eastAsia" w:ascii="宋体" w:hAnsi="宋体" w:cs="宋体"/>
          <w:bCs/>
          <w:sz w:val="24"/>
        </w:rPr>
        <w:t>3.6供应商信用信息查询</w:t>
      </w:r>
    </w:p>
    <w:p w14:paraId="0852F260">
      <w:pPr>
        <w:spacing w:line="360" w:lineRule="auto"/>
        <w:ind w:firstLine="480"/>
        <w:rPr>
          <w:rFonts w:ascii="宋体" w:hAnsi="宋体" w:cs="宋体"/>
          <w:sz w:val="24"/>
        </w:rPr>
      </w:pPr>
      <w:r>
        <w:rPr>
          <w:rFonts w:hint="eastAsia" w:ascii="宋体" w:hAnsi="宋体" w:cs="宋体"/>
          <w:sz w:val="24"/>
        </w:rPr>
        <w:t>（1）采购人或采购代理机构将在“信用中国”（www.creditchina.gov.cn）、“中国政府采购网”（www.ccgp.gov.cn）对供应商进行信用信息查询，并将网站查询有关记录留存（财库〔</w:t>
      </w:r>
      <w:r>
        <w:rPr>
          <w:rFonts w:hint="eastAsia" w:ascii="宋体" w:hAnsi="宋体" w:cs="宋体"/>
          <w:sz w:val="24"/>
          <w:lang w:val="zh-CN"/>
        </w:rPr>
        <w:t>2016〕</w:t>
      </w:r>
      <w:r>
        <w:rPr>
          <w:rFonts w:hint="eastAsia" w:ascii="宋体" w:hAnsi="宋体" w:cs="宋体"/>
          <w:sz w:val="24"/>
        </w:rPr>
        <w:t>125 号）。</w:t>
      </w:r>
    </w:p>
    <w:p w14:paraId="547718E5">
      <w:pPr>
        <w:spacing w:line="360" w:lineRule="auto"/>
        <w:ind w:firstLine="480"/>
        <w:rPr>
          <w:rFonts w:ascii="宋体" w:hAnsi="宋体" w:cs="宋体"/>
          <w:sz w:val="24"/>
        </w:rPr>
      </w:pPr>
      <w:r>
        <w:rPr>
          <w:rFonts w:hint="eastAsia" w:ascii="宋体" w:hAnsi="宋体" w:cs="宋体"/>
          <w:sz w:val="24"/>
        </w:rPr>
        <w:t>（2）查询截止时间：提交投标文件截止时间前。</w:t>
      </w:r>
    </w:p>
    <w:p w14:paraId="5F0EC6D0">
      <w:pPr>
        <w:spacing w:line="360" w:lineRule="auto"/>
        <w:ind w:firstLine="480"/>
        <w:rPr>
          <w:rFonts w:ascii="宋体" w:hAnsi="宋体" w:cs="宋体"/>
          <w:sz w:val="24"/>
        </w:rPr>
      </w:pPr>
      <w:r>
        <w:rPr>
          <w:rFonts w:hint="eastAsia" w:ascii="宋体" w:hAnsi="宋体" w:cs="宋体"/>
          <w:sz w:val="24"/>
        </w:rPr>
        <w:t>（3）供应商信用查询记录不符合要求的，采购人或采购代理机构将依法拒绝供应商参加本次采购活动。</w:t>
      </w:r>
      <w:bookmarkEnd w:id="51"/>
    </w:p>
    <w:p w14:paraId="6A3E7CFE">
      <w:pPr>
        <w:spacing w:line="360" w:lineRule="auto"/>
        <w:ind w:firstLine="602"/>
        <w:rPr>
          <w:rFonts w:ascii="宋体" w:hAnsi="宋体" w:cs="宋体"/>
          <w:b/>
          <w:bCs/>
          <w:sz w:val="24"/>
          <w:lang w:val="zh-CN"/>
        </w:rPr>
      </w:pPr>
      <w:r>
        <w:rPr>
          <w:rFonts w:hint="eastAsia" w:ascii="宋体" w:hAnsi="宋体" w:cs="宋体"/>
          <w:b/>
          <w:bCs/>
          <w:sz w:val="24"/>
          <w:lang w:val="zh-CN"/>
        </w:rPr>
        <w:t>二、招标文件构成</w:t>
      </w:r>
    </w:p>
    <w:p w14:paraId="24AE9790">
      <w:pPr>
        <w:spacing w:line="360" w:lineRule="auto"/>
        <w:ind w:firstLine="602"/>
        <w:rPr>
          <w:rFonts w:ascii="宋体" w:hAnsi="宋体" w:cs="宋体"/>
          <w:b/>
          <w:bCs/>
          <w:sz w:val="24"/>
          <w:lang w:val="zh-CN"/>
        </w:rPr>
      </w:pPr>
      <w:r>
        <w:rPr>
          <w:rFonts w:hint="eastAsia" w:ascii="宋体" w:hAnsi="宋体" w:cs="宋体"/>
          <w:b/>
          <w:bCs/>
          <w:sz w:val="24"/>
          <w:lang w:val="zh-CN"/>
        </w:rPr>
        <w:t>4、招标文件组成</w:t>
      </w:r>
    </w:p>
    <w:p w14:paraId="569BE2F6">
      <w:pPr>
        <w:spacing w:line="360" w:lineRule="auto"/>
        <w:ind w:firstLine="600"/>
        <w:rPr>
          <w:rFonts w:ascii="宋体" w:hAnsi="宋体" w:cs="宋体"/>
          <w:bCs/>
          <w:sz w:val="24"/>
          <w:lang w:val="zh-CN"/>
        </w:rPr>
      </w:pPr>
      <w:r>
        <w:rPr>
          <w:rFonts w:hint="eastAsia" w:ascii="宋体" w:hAnsi="宋体" w:cs="宋体"/>
          <w:bCs/>
          <w:sz w:val="24"/>
          <w:lang w:val="zh-CN"/>
        </w:rPr>
        <w:t>4.1招标文件包括以下主要内容：招标公告；供应商须知（包括投标文件的盖章要求等）；供应商应当提交的资格、资信证明文件；为落实政府采购政策，采购标的需满足的要求，以及供应商须提供的证明材料；投标文件编制要求、投标报价要求和退还方式的情形；采购项目预算金额，设定最高限价的，还应当公开最高限价；采购项目的技术规格、数量、服务标准、验收等要求，包括附件、图纸等；拟签订的合同文本；货物、服务提供的时间、地点、方式；采购资金的支付方式、时间、条件；评标方法、评标标准和投标无效情形；投标有效期；投标截止时间、开标时间及地点；采购代理机构代理费用的收取标准和方式；供应商信用信息查询渠道及截止时点、信用信息查询记录和证据留存的具体方式、信用信息的使用规则等；省级以上财政部门规定的其他事项。</w:t>
      </w:r>
    </w:p>
    <w:p w14:paraId="0BA7A3A2">
      <w:pPr>
        <w:spacing w:line="360" w:lineRule="auto"/>
        <w:ind w:firstLine="600"/>
        <w:rPr>
          <w:rFonts w:ascii="宋体" w:hAnsi="宋体" w:cs="宋体"/>
          <w:bCs/>
          <w:sz w:val="24"/>
          <w:lang w:val="zh-CN"/>
        </w:rPr>
      </w:pPr>
      <w:r>
        <w:rPr>
          <w:rFonts w:hint="eastAsia" w:ascii="宋体" w:hAnsi="宋体" w:cs="宋体"/>
          <w:bCs/>
          <w:sz w:val="24"/>
          <w:lang w:val="zh-CN"/>
        </w:rPr>
        <w:t>4.2招标的最小单位是包。招标货物数量及技术要求中未分包的，供应商对要求提供的货物和服务不得部分投标；招标货物数量及技术要求中已经分包的，可以以包为单位投标。</w:t>
      </w:r>
    </w:p>
    <w:p w14:paraId="0E6C7867">
      <w:pPr>
        <w:spacing w:line="360" w:lineRule="auto"/>
        <w:ind w:firstLine="600"/>
        <w:rPr>
          <w:rFonts w:ascii="宋体" w:hAnsi="宋体" w:cs="宋体"/>
          <w:bCs/>
          <w:sz w:val="24"/>
          <w:lang w:val="zh-CN"/>
        </w:rPr>
      </w:pPr>
      <w:r>
        <w:rPr>
          <w:rFonts w:hint="eastAsia" w:ascii="宋体" w:hAnsi="宋体" w:cs="宋体"/>
          <w:bCs/>
          <w:sz w:val="24"/>
          <w:lang w:val="zh-CN"/>
        </w:rPr>
        <w:t>4.3采购代理机构如果要求供应商按照招标文件规定提交备选投标方案的，供应商可以提交备选方案；否则，备选方案将被拒绝。</w:t>
      </w:r>
    </w:p>
    <w:p w14:paraId="2751D467">
      <w:pPr>
        <w:spacing w:line="360" w:lineRule="auto"/>
        <w:ind w:firstLine="602"/>
        <w:rPr>
          <w:rFonts w:ascii="宋体" w:hAnsi="宋体" w:cs="宋体"/>
          <w:b/>
          <w:bCs/>
          <w:sz w:val="24"/>
          <w:lang w:val="zh-CN"/>
        </w:rPr>
      </w:pPr>
      <w:r>
        <w:rPr>
          <w:rFonts w:hint="eastAsia" w:ascii="宋体" w:hAnsi="宋体" w:cs="宋体"/>
          <w:b/>
          <w:bCs/>
          <w:sz w:val="24"/>
          <w:lang w:val="zh-CN"/>
        </w:rPr>
        <w:t>5、招标文件的澄清或者修改</w:t>
      </w:r>
    </w:p>
    <w:p w14:paraId="32F7CA77">
      <w:pPr>
        <w:spacing w:line="360" w:lineRule="auto"/>
        <w:ind w:firstLine="600"/>
        <w:rPr>
          <w:rFonts w:ascii="宋体" w:hAnsi="宋体" w:cs="宋体"/>
          <w:bCs/>
          <w:sz w:val="24"/>
          <w:lang w:val="zh-CN"/>
        </w:rPr>
      </w:pPr>
      <w:r>
        <w:rPr>
          <w:rFonts w:hint="eastAsia" w:ascii="宋体" w:hAnsi="宋体" w:cs="宋体"/>
          <w:bCs/>
          <w:sz w:val="24"/>
        </w:rPr>
        <w:t>5.1</w:t>
      </w:r>
      <w:r>
        <w:rPr>
          <w:rFonts w:hint="eastAsia" w:ascii="宋体" w:hAnsi="宋体" w:cs="宋体"/>
          <w:bCs/>
          <w:sz w:val="24"/>
          <w:lang w:val="zh-CN"/>
        </w:rPr>
        <w:t>在投标截止时间前，</w:t>
      </w:r>
      <w:r>
        <w:rPr>
          <w:rFonts w:hint="eastAsia" w:ascii="宋体" w:hAnsi="宋体" w:cs="宋体"/>
          <w:bCs/>
          <w:sz w:val="24"/>
        </w:rPr>
        <w:t>代理机构</w:t>
      </w:r>
      <w:r>
        <w:rPr>
          <w:rFonts w:hint="eastAsia" w:ascii="宋体" w:hAnsi="宋体" w:cs="宋体"/>
          <w:bCs/>
          <w:sz w:val="24"/>
          <w:lang w:val="zh-CN"/>
        </w:rPr>
        <w:t>可以对招标文件进行修改。招标文件的修改将在原公告媒体发布更正公告，更正内容将作为招标文件的组成部分，并对投标人具有约束力。</w:t>
      </w:r>
    </w:p>
    <w:p w14:paraId="47E8AC73">
      <w:pPr>
        <w:spacing w:line="360" w:lineRule="auto"/>
        <w:ind w:firstLine="600"/>
        <w:rPr>
          <w:rFonts w:ascii="宋体" w:hAnsi="宋体" w:cs="宋体"/>
          <w:bCs/>
          <w:sz w:val="24"/>
          <w:lang w:val="zh-CN"/>
        </w:rPr>
      </w:pPr>
      <w:r>
        <w:rPr>
          <w:rFonts w:hint="eastAsia" w:ascii="宋体" w:hAnsi="宋体" w:cs="宋体"/>
          <w:bCs/>
          <w:sz w:val="24"/>
        </w:rPr>
        <w:t>5.2</w:t>
      </w:r>
      <w:r>
        <w:rPr>
          <w:rFonts w:hint="eastAsia" w:ascii="宋体" w:hAnsi="宋体" w:cs="宋体"/>
          <w:bCs/>
          <w:sz w:val="24"/>
          <w:lang w:val="zh-CN"/>
        </w:rPr>
        <w:t>投标人应在提交投标文件截止时间前，关注原公告媒体有关本项目的更正公告，根据更正公告内容自行决定是否需要重新制作和提交投标文件，并承担由此产生的相应责任。</w:t>
      </w:r>
    </w:p>
    <w:p w14:paraId="4006A9ED">
      <w:pPr>
        <w:spacing w:line="360" w:lineRule="auto"/>
        <w:ind w:firstLine="600"/>
        <w:rPr>
          <w:rFonts w:ascii="宋体" w:hAnsi="宋体" w:cs="宋体"/>
          <w:bCs/>
          <w:sz w:val="24"/>
          <w:lang w:val="zh-CN"/>
        </w:rPr>
      </w:pPr>
      <w:r>
        <w:rPr>
          <w:rFonts w:hint="eastAsia" w:ascii="宋体" w:hAnsi="宋体" w:cs="宋体"/>
          <w:bCs/>
          <w:sz w:val="24"/>
        </w:rPr>
        <w:t>5.3代理机构</w:t>
      </w:r>
      <w:r>
        <w:rPr>
          <w:rFonts w:hint="eastAsia" w:ascii="宋体" w:hAnsi="宋体" w:cs="宋体"/>
          <w:bCs/>
          <w:sz w:val="24"/>
          <w:lang w:val="zh-CN"/>
        </w:rPr>
        <w:t>有权按照法定的要求推迟投标截止日期和开标日期，并在原公告媒体发布更正公告。</w:t>
      </w:r>
    </w:p>
    <w:p w14:paraId="6B5427D4">
      <w:pPr>
        <w:spacing w:line="360" w:lineRule="auto"/>
        <w:ind w:firstLine="602"/>
        <w:rPr>
          <w:rFonts w:ascii="宋体" w:hAnsi="宋体" w:cs="宋体"/>
          <w:b/>
          <w:bCs/>
          <w:sz w:val="24"/>
          <w:lang w:val="zh-CN"/>
        </w:rPr>
      </w:pPr>
      <w:r>
        <w:rPr>
          <w:rFonts w:hint="eastAsia" w:ascii="宋体" w:hAnsi="宋体" w:cs="宋体"/>
          <w:b/>
          <w:bCs/>
          <w:sz w:val="24"/>
          <w:lang w:val="zh-CN"/>
        </w:rPr>
        <w:t>三、投标文件的编制</w:t>
      </w:r>
    </w:p>
    <w:p w14:paraId="1BDF8F95">
      <w:pPr>
        <w:spacing w:line="360" w:lineRule="auto"/>
        <w:ind w:firstLine="602"/>
        <w:rPr>
          <w:rFonts w:ascii="宋体" w:hAnsi="宋体" w:cs="宋体"/>
          <w:b/>
          <w:bCs/>
          <w:sz w:val="24"/>
          <w:lang w:val="zh-CN"/>
        </w:rPr>
      </w:pPr>
      <w:r>
        <w:rPr>
          <w:rFonts w:hint="eastAsia" w:ascii="宋体" w:hAnsi="宋体" w:cs="宋体"/>
          <w:b/>
          <w:bCs/>
          <w:sz w:val="24"/>
          <w:lang w:val="zh-CN"/>
        </w:rPr>
        <w:t>6、投标文件的语言、计量单位、货币和编制</w:t>
      </w:r>
    </w:p>
    <w:p w14:paraId="3E116645">
      <w:pPr>
        <w:spacing w:line="360" w:lineRule="auto"/>
        <w:ind w:firstLine="600"/>
        <w:rPr>
          <w:rFonts w:ascii="宋体" w:hAnsi="宋体" w:cs="宋体"/>
          <w:bCs/>
          <w:sz w:val="24"/>
          <w:lang w:val="zh-CN"/>
        </w:rPr>
      </w:pPr>
      <w:r>
        <w:rPr>
          <w:rFonts w:hint="eastAsia" w:ascii="宋体" w:hAnsi="宋体" w:cs="宋体"/>
          <w:bCs/>
          <w:sz w:val="24"/>
          <w:lang w:val="zh-CN"/>
        </w:rPr>
        <w:t>6.1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p>
    <w:p w14:paraId="25ED6B9A">
      <w:pPr>
        <w:spacing w:line="360" w:lineRule="auto"/>
        <w:ind w:firstLine="600"/>
        <w:rPr>
          <w:rFonts w:ascii="宋体" w:hAnsi="宋体" w:cs="宋体"/>
          <w:bCs/>
          <w:sz w:val="24"/>
          <w:lang w:val="zh-CN"/>
        </w:rPr>
      </w:pPr>
      <w:r>
        <w:rPr>
          <w:rFonts w:hint="eastAsia" w:ascii="宋体" w:hAnsi="宋体" w:cs="宋体"/>
          <w:bCs/>
          <w:sz w:val="24"/>
          <w:lang w:val="zh-CN"/>
        </w:rPr>
        <w:t>6.2除技术性能另有规定外，投标文件所使用的度量衡单位，均须采用国家法定计量单位。</w:t>
      </w:r>
    </w:p>
    <w:p w14:paraId="1837C5E7">
      <w:pPr>
        <w:spacing w:line="360" w:lineRule="auto"/>
        <w:ind w:firstLine="600"/>
        <w:rPr>
          <w:rFonts w:ascii="宋体" w:hAnsi="宋体" w:cs="宋体"/>
          <w:bCs/>
          <w:sz w:val="24"/>
          <w:lang w:val="zh-CN"/>
        </w:rPr>
      </w:pPr>
      <w:r>
        <w:rPr>
          <w:rFonts w:hint="eastAsia" w:ascii="宋体" w:hAnsi="宋体" w:cs="宋体"/>
          <w:bCs/>
          <w:sz w:val="24"/>
          <w:lang w:val="zh-CN"/>
        </w:rPr>
        <w:t>6.3供应商应用人民币报价。投标产品如果是进口产品的，应提供人民币与外币之间的汇率；报价单位为“元”。</w:t>
      </w:r>
    </w:p>
    <w:p w14:paraId="0623757C">
      <w:pPr>
        <w:spacing w:line="360" w:lineRule="auto"/>
        <w:ind w:firstLine="600"/>
        <w:rPr>
          <w:rFonts w:ascii="宋体" w:hAnsi="宋体" w:cs="宋体"/>
          <w:bCs/>
          <w:sz w:val="24"/>
          <w:lang w:val="zh-CN"/>
        </w:rPr>
      </w:pPr>
      <w:r>
        <w:rPr>
          <w:rFonts w:hint="eastAsia" w:ascii="宋体" w:hAnsi="宋体" w:cs="宋体"/>
          <w:bCs/>
          <w:sz w:val="24"/>
          <w:lang w:val="zh-CN"/>
        </w:rPr>
        <w:t>6.</w:t>
      </w:r>
      <w:r>
        <w:rPr>
          <w:rFonts w:hint="eastAsia" w:ascii="宋体" w:hAnsi="宋体" w:cs="宋体"/>
          <w:bCs/>
          <w:sz w:val="24"/>
        </w:rPr>
        <w:t>4</w:t>
      </w:r>
      <w:r>
        <w:rPr>
          <w:rFonts w:hint="eastAsia" w:ascii="宋体" w:hAnsi="宋体" w:cs="宋体"/>
          <w:bCs/>
          <w:sz w:val="24"/>
          <w:lang w:val="zh-CN"/>
        </w:rPr>
        <w:t>供应商应在投标文件中写清相应的项目编号、项目名称、供应商全称、地址、电话等。</w:t>
      </w:r>
    </w:p>
    <w:p w14:paraId="1F759C3B">
      <w:pPr>
        <w:spacing w:line="360" w:lineRule="auto"/>
        <w:ind w:firstLine="600"/>
        <w:rPr>
          <w:rFonts w:ascii="宋体" w:hAnsi="宋体" w:cs="宋体"/>
          <w:bCs/>
          <w:sz w:val="24"/>
          <w:lang w:val="zh-CN"/>
        </w:rPr>
      </w:pPr>
      <w:r>
        <w:rPr>
          <w:rFonts w:hint="eastAsia" w:ascii="宋体" w:hAnsi="宋体" w:cs="宋体"/>
          <w:bCs/>
          <w:sz w:val="24"/>
          <w:lang w:val="zh-CN"/>
        </w:rPr>
        <w:t>6.</w:t>
      </w:r>
      <w:r>
        <w:rPr>
          <w:rFonts w:hint="eastAsia" w:ascii="宋体" w:hAnsi="宋体" w:cs="宋体"/>
          <w:bCs/>
          <w:sz w:val="24"/>
        </w:rPr>
        <w:t>5</w:t>
      </w:r>
      <w:r>
        <w:rPr>
          <w:rFonts w:hint="eastAsia" w:ascii="宋体" w:hAnsi="宋体" w:cs="宋体"/>
          <w:bCs/>
          <w:sz w:val="24"/>
          <w:lang w:val="zh-CN"/>
        </w:rPr>
        <w:t>供应商根据招标文件载明的标的采购项目实际情况，拟在中标后将中标项目的非主体、非关键性工作交由他人完成的，应当在投标文件中载明。</w:t>
      </w:r>
    </w:p>
    <w:p w14:paraId="38DFE87B">
      <w:pPr>
        <w:spacing w:line="360" w:lineRule="auto"/>
        <w:ind w:firstLine="602"/>
        <w:rPr>
          <w:rFonts w:ascii="宋体" w:hAnsi="宋体" w:cs="宋体"/>
          <w:b/>
          <w:bCs/>
          <w:sz w:val="24"/>
          <w:lang w:val="zh-CN"/>
        </w:rPr>
      </w:pPr>
      <w:r>
        <w:rPr>
          <w:rFonts w:hint="eastAsia" w:ascii="宋体" w:hAnsi="宋体" w:cs="宋体"/>
          <w:b/>
          <w:bCs/>
          <w:sz w:val="24"/>
          <w:lang w:val="zh-CN"/>
        </w:rPr>
        <w:t>7、投标文件的组成</w:t>
      </w:r>
    </w:p>
    <w:p w14:paraId="7E2F6372">
      <w:pPr>
        <w:spacing w:line="360" w:lineRule="auto"/>
        <w:ind w:firstLine="600"/>
        <w:rPr>
          <w:rFonts w:ascii="宋体" w:hAnsi="宋体" w:cs="宋体"/>
          <w:b/>
          <w:sz w:val="24"/>
        </w:rPr>
      </w:pPr>
      <w:r>
        <w:rPr>
          <w:rFonts w:hint="eastAsia" w:ascii="宋体" w:hAnsi="宋体" w:cs="宋体"/>
          <w:b/>
          <w:sz w:val="24"/>
        </w:rPr>
        <w:t>7.1</w:t>
      </w:r>
      <w:r>
        <w:rPr>
          <w:rFonts w:hint="eastAsia" w:ascii="宋体" w:hAnsi="宋体" w:cs="宋体"/>
          <w:b/>
          <w:sz w:val="24"/>
          <w:lang w:val="zh-CN"/>
        </w:rPr>
        <w:t>如标书制作工具中格式和内容与“江苏政府采购网”发布的招标文件不一致，以“江苏政府采购网”发布的招标文件为准。</w:t>
      </w:r>
      <w:r>
        <w:rPr>
          <w:rFonts w:hint="eastAsia" w:ascii="宋体" w:hAnsi="宋体" w:cs="宋体"/>
          <w:b/>
          <w:sz w:val="24"/>
        </w:rPr>
        <w:t>供应商需根据招标文件格式要求上传相应的文件。</w:t>
      </w:r>
    </w:p>
    <w:p w14:paraId="46C67F79">
      <w:pPr>
        <w:spacing w:line="360" w:lineRule="auto"/>
        <w:ind w:firstLine="600"/>
        <w:rPr>
          <w:rFonts w:ascii="宋体" w:hAnsi="宋体" w:cs="宋体"/>
          <w:bCs/>
          <w:sz w:val="24"/>
          <w:lang w:val="zh-CN"/>
        </w:rPr>
      </w:pPr>
      <w:r>
        <w:rPr>
          <w:rFonts w:hint="eastAsia" w:ascii="宋体" w:hAnsi="宋体" w:cs="宋体"/>
          <w:bCs/>
          <w:sz w:val="24"/>
        </w:rPr>
        <w:t>7.2</w:t>
      </w:r>
      <w:r>
        <w:rPr>
          <w:rFonts w:hint="eastAsia" w:ascii="宋体" w:hAnsi="宋体" w:cs="宋体"/>
          <w:bCs/>
          <w:sz w:val="24"/>
          <w:lang w:val="zh-CN"/>
        </w:rPr>
        <w:t>供应商应当根据招标文件要求编制投标文件，投标文件应对招标文件提出的要求和条件作出实质性响应，并在《商务条款偏离表》《技术规格偏离表》</w:t>
      </w:r>
      <w:r>
        <w:rPr>
          <w:rFonts w:hint="eastAsia" w:ascii="宋体" w:hAnsi="宋体" w:cs="宋体"/>
          <w:bCs/>
          <w:sz w:val="24"/>
        </w:rPr>
        <w:t>和</w:t>
      </w:r>
      <w:r>
        <w:rPr>
          <w:rFonts w:hint="eastAsia" w:ascii="宋体" w:hAnsi="宋体" w:cs="宋体"/>
          <w:bCs/>
          <w:sz w:val="24"/>
          <w:lang w:val="zh-CN"/>
        </w:rPr>
        <w:t>资格性符合性</w:t>
      </w:r>
      <w:r>
        <w:rPr>
          <w:rFonts w:hint="eastAsia" w:ascii="宋体" w:hAnsi="宋体" w:cs="宋体"/>
          <w:bCs/>
          <w:sz w:val="24"/>
        </w:rPr>
        <w:t>审查要求</w:t>
      </w:r>
      <w:r>
        <w:rPr>
          <w:rFonts w:hint="eastAsia" w:ascii="宋体" w:hAnsi="宋体" w:cs="宋体"/>
          <w:bCs/>
          <w:sz w:val="24"/>
          <w:lang w:val="zh-CN"/>
        </w:rPr>
        <w:t>等处逐条标明满足与否。对带 “</w:t>
      </w:r>
      <w:r>
        <w:rPr>
          <w:rFonts w:hint="eastAsia" w:ascii="宋体" w:hAnsi="宋体" w:cs="宋体"/>
          <w:b/>
          <w:bCs/>
          <w:iCs/>
          <w:sz w:val="24"/>
          <w:szCs w:val="22"/>
        </w:rPr>
        <w:t>★</w:t>
      </w:r>
      <w:r>
        <w:rPr>
          <w:rFonts w:hint="eastAsia" w:ascii="宋体" w:hAnsi="宋体" w:cs="宋体"/>
          <w:bCs/>
          <w:sz w:val="24"/>
          <w:lang w:val="zh-CN"/>
        </w:rPr>
        <w:t>”的技术条款必须在投标文件中提供技术支持资料（如白皮书、彩页、手册、检测报告等），未提供技术支持资料的，评审时不予认可（采购需求中另有规定的，也可从其规定）。</w:t>
      </w:r>
    </w:p>
    <w:p w14:paraId="024BB510">
      <w:pPr>
        <w:spacing w:line="360" w:lineRule="auto"/>
        <w:ind w:firstLine="600"/>
        <w:rPr>
          <w:rFonts w:ascii="宋体" w:hAnsi="宋体" w:cs="宋体"/>
          <w:bCs/>
          <w:sz w:val="24"/>
          <w:lang w:val="zh-CN"/>
        </w:rPr>
      </w:pPr>
      <w:r>
        <w:rPr>
          <w:rFonts w:hint="eastAsia" w:ascii="宋体" w:hAnsi="宋体" w:cs="宋体"/>
          <w:bCs/>
          <w:sz w:val="24"/>
        </w:rPr>
        <w:t>7.3供应商</w:t>
      </w:r>
      <w:r>
        <w:rPr>
          <w:rFonts w:hint="eastAsia" w:ascii="宋体" w:hAnsi="宋体" w:cs="宋体"/>
          <w:bCs/>
          <w:sz w:val="24"/>
          <w:lang w:val="zh-CN"/>
        </w:rPr>
        <w:t>编写的投标文件应包括但不限于下列文件（（1）-（</w:t>
      </w:r>
      <w:r>
        <w:rPr>
          <w:rFonts w:hint="eastAsia" w:ascii="宋体" w:hAnsi="宋体" w:cs="宋体"/>
          <w:bCs/>
          <w:sz w:val="24"/>
        </w:rPr>
        <w:t>8</w:t>
      </w:r>
      <w:r>
        <w:rPr>
          <w:rFonts w:hint="eastAsia" w:ascii="宋体" w:hAnsi="宋体" w:cs="宋体"/>
          <w:bCs/>
          <w:sz w:val="24"/>
          <w:lang w:val="zh-CN"/>
        </w:rPr>
        <w:t>）所述材料如提供不全或不满足招标文件的实质性要求，评标委员会有权否决供应商的投标）：</w:t>
      </w:r>
    </w:p>
    <w:p w14:paraId="0B65D76F">
      <w:pPr>
        <w:spacing w:line="360" w:lineRule="auto"/>
        <w:ind w:firstLine="600"/>
        <w:rPr>
          <w:rFonts w:ascii="宋体" w:hAnsi="宋体" w:cs="宋体"/>
          <w:bCs/>
          <w:sz w:val="24"/>
          <w:lang w:val="zh-CN"/>
        </w:rPr>
      </w:pPr>
      <w:r>
        <w:rPr>
          <w:rFonts w:hint="eastAsia" w:ascii="宋体" w:hAnsi="宋体" w:cs="宋体"/>
          <w:bCs/>
          <w:sz w:val="24"/>
          <w:lang w:val="zh-CN"/>
        </w:rPr>
        <w:t>（1）投标函（投标申请及声明）（格式见附件）；</w:t>
      </w:r>
    </w:p>
    <w:p w14:paraId="00499F42">
      <w:pPr>
        <w:spacing w:line="360" w:lineRule="auto"/>
        <w:ind w:firstLine="600"/>
        <w:rPr>
          <w:rFonts w:ascii="宋体" w:hAnsi="宋体" w:cs="宋体"/>
          <w:bCs/>
          <w:sz w:val="24"/>
          <w:lang w:val="zh-CN"/>
        </w:rPr>
      </w:pPr>
      <w:r>
        <w:rPr>
          <w:rFonts w:hint="eastAsia" w:ascii="宋体" w:hAnsi="宋体" w:cs="宋体"/>
          <w:bCs/>
          <w:sz w:val="24"/>
          <w:lang w:val="zh-CN"/>
        </w:rPr>
        <w:t>（2）法定代表人授权委托书及委托代理人的身份证明文件的复印件（格式见附件）；</w:t>
      </w:r>
    </w:p>
    <w:p w14:paraId="1F46C56E">
      <w:pPr>
        <w:spacing w:line="360" w:lineRule="auto"/>
        <w:ind w:firstLine="600"/>
        <w:rPr>
          <w:rFonts w:ascii="宋体" w:hAnsi="宋体" w:cs="宋体"/>
          <w:bCs/>
          <w:sz w:val="24"/>
          <w:lang w:val="zh-CN"/>
        </w:rPr>
      </w:pPr>
      <w:r>
        <w:rPr>
          <w:rFonts w:hint="eastAsia" w:ascii="宋体" w:hAnsi="宋体" w:cs="宋体"/>
          <w:bCs/>
          <w:sz w:val="24"/>
          <w:lang w:val="zh-CN"/>
        </w:rPr>
        <w:t>（3）供应商资格证明文件：</w:t>
      </w:r>
    </w:p>
    <w:p w14:paraId="31611A59">
      <w:pPr>
        <w:spacing w:line="360" w:lineRule="auto"/>
        <w:ind w:firstLine="600"/>
        <w:rPr>
          <w:rFonts w:ascii="宋体" w:hAnsi="宋体" w:cs="宋体"/>
          <w:bCs/>
          <w:sz w:val="24"/>
          <w:lang w:val="zh-CN"/>
        </w:rPr>
      </w:pPr>
      <w:r>
        <w:rPr>
          <w:rFonts w:hint="eastAsia" w:ascii="宋体" w:hAnsi="宋体" w:cs="宋体"/>
          <w:bCs/>
          <w:sz w:val="24"/>
          <w:lang w:val="zh-CN"/>
        </w:rPr>
        <w:t>1）第一章招标公告中2.1《中华人民共和国政府采购法》规定的资格条件；</w:t>
      </w:r>
    </w:p>
    <w:p w14:paraId="32BB229E">
      <w:pPr>
        <w:spacing w:line="360" w:lineRule="auto"/>
        <w:ind w:firstLine="600"/>
        <w:rPr>
          <w:rFonts w:ascii="宋体" w:hAnsi="宋体" w:cs="宋体"/>
          <w:bCs/>
          <w:sz w:val="24"/>
          <w:lang w:val="zh-CN"/>
        </w:rPr>
      </w:pPr>
      <w:r>
        <w:rPr>
          <w:rFonts w:hint="eastAsia" w:ascii="宋体" w:hAnsi="宋体" w:cs="宋体"/>
          <w:bCs/>
          <w:sz w:val="24"/>
          <w:lang w:val="zh-CN"/>
        </w:rPr>
        <w:t>2）</w:t>
      </w:r>
      <w:r>
        <w:rPr>
          <w:rFonts w:hint="eastAsia" w:ascii="宋体" w:hAnsi="宋体" w:cs="宋体"/>
          <w:bCs/>
          <w:sz w:val="24"/>
        </w:rPr>
        <w:t>第一章招标公告中2.3采购人根据采购项目的特殊要求规定的特定条件证明文件（提供相关证明材料扫描件加盖供应商电子公章）</w:t>
      </w:r>
      <w:r>
        <w:rPr>
          <w:rFonts w:hint="eastAsia" w:ascii="宋体" w:hAnsi="宋体" w:cs="宋体"/>
          <w:bCs/>
          <w:sz w:val="24"/>
          <w:lang w:eastAsia="zh-CN"/>
        </w:rPr>
        <w:t>（</w:t>
      </w:r>
      <w:r>
        <w:rPr>
          <w:rFonts w:hint="eastAsia" w:ascii="宋体" w:hAnsi="宋体" w:cs="宋体"/>
          <w:bCs/>
          <w:sz w:val="24"/>
          <w:lang w:val="en-US" w:eastAsia="zh-CN"/>
        </w:rPr>
        <w:t>如有</w:t>
      </w:r>
      <w:r>
        <w:rPr>
          <w:rFonts w:hint="eastAsia" w:ascii="宋体" w:hAnsi="宋体" w:cs="宋体"/>
          <w:bCs/>
          <w:sz w:val="24"/>
          <w:lang w:eastAsia="zh-CN"/>
        </w:rPr>
        <w:t>）</w:t>
      </w:r>
      <w:r>
        <w:rPr>
          <w:rFonts w:hint="eastAsia" w:ascii="宋体" w:hAnsi="宋体" w:cs="宋体"/>
          <w:bCs/>
          <w:sz w:val="24"/>
        </w:rPr>
        <w:t>；</w:t>
      </w:r>
    </w:p>
    <w:p w14:paraId="52061DCA">
      <w:pPr>
        <w:spacing w:line="360" w:lineRule="auto"/>
        <w:ind w:firstLine="600"/>
        <w:rPr>
          <w:rFonts w:ascii="宋体" w:hAnsi="宋体" w:cs="宋体"/>
          <w:bCs/>
          <w:sz w:val="24"/>
          <w:lang w:val="zh-CN"/>
        </w:rPr>
      </w:pPr>
      <w:r>
        <w:rPr>
          <w:rFonts w:hint="eastAsia" w:ascii="宋体" w:hAnsi="宋体" w:cs="宋体"/>
          <w:bCs/>
          <w:sz w:val="24"/>
          <w:lang w:val="zh-CN"/>
        </w:rPr>
        <w:t>（</w:t>
      </w:r>
      <w:r>
        <w:rPr>
          <w:rFonts w:hint="eastAsia" w:ascii="宋体" w:hAnsi="宋体" w:cs="宋体"/>
          <w:bCs/>
          <w:sz w:val="24"/>
        </w:rPr>
        <w:t>4</w:t>
      </w:r>
      <w:r>
        <w:rPr>
          <w:rFonts w:hint="eastAsia" w:ascii="宋体" w:hAnsi="宋体" w:cs="宋体"/>
          <w:bCs/>
          <w:sz w:val="24"/>
          <w:lang w:val="zh-CN"/>
        </w:rPr>
        <w:t>）《南京市政府采购供应商信用记录表暨信用承诺书》；</w:t>
      </w:r>
    </w:p>
    <w:p w14:paraId="2DDC04D7">
      <w:pPr>
        <w:spacing w:line="360" w:lineRule="auto"/>
        <w:ind w:firstLine="600"/>
        <w:rPr>
          <w:rFonts w:ascii="宋体" w:hAnsi="宋体" w:cs="宋体"/>
          <w:bCs/>
          <w:sz w:val="24"/>
          <w:lang w:val="zh-CN"/>
        </w:rPr>
      </w:pPr>
      <w:r>
        <w:rPr>
          <w:rFonts w:hint="eastAsia" w:ascii="宋体" w:hAnsi="宋体" w:cs="宋体"/>
          <w:bCs/>
          <w:sz w:val="24"/>
          <w:lang w:val="zh-CN"/>
        </w:rPr>
        <w:t>（</w:t>
      </w:r>
      <w:r>
        <w:rPr>
          <w:rFonts w:hint="eastAsia" w:ascii="宋体" w:hAnsi="宋体" w:cs="宋体"/>
          <w:bCs/>
          <w:sz w:val="24"/>
        </w:rPr>
        <w:t>5</w:t>
      </w:r>
      <w:r>
        <w:rPr>
          <w:rFonts w:hint="eastAsia" w:ascii="宋体" w:hAnsi="宋体" w:cs="宋体"/>
          <w:bCs/>
          <w:sz w:val="24"/>
          <w:lang w:val="zh-CN"/>
        </w:rPr>
        <w:t>）开标一览表（格式见附件）；</w:t>
      </w:r>
    </w:p>
    <w:p w14:paraId="2D0EB68B">
      <w:pPr>
        <w:spacing w:line="360" w:lineRule="auto"/>
        <w:ind w:firstLine="600"/>
        <w:rPr>
          <w:rFonts w:ascii="宋体" w:hAnsi="宋体" w:cs="宋体"/>
          <w:bCs/>
          <w:sz w:val="24"/>
        </w:rPr>
      </w:pPr>
      <w:r>
        <w:rPr>
          <w:rFonts w:hint="eastAsia" w:ascii="宋体" w:hAnsi="宋体" w:cs="宋体"/>
          <w:bCs/>
          <w:sz w:val="24"/>
          <w:lang w:val="zh-CN"/>
        </w:rPr>
        <w:t>（</w:t>
      </w:r>
      <w:r>
        <w:rPr>
          <w:rFonts w:hint="eastAsia" w:ascii="宋体" w:hAnsi="宋体" w:cs="宋体"/>
          <w:bCs/>
          <w:sz w:val="24"/>
        </w:rPr>
        <w:t>6</w:t>
      </w:r>
      <w:r>
        <w:rPr>
          <w:rFonts w:hint="eastAsia" w:ascii="宋体" w:hAnsi="宋体" w:cs="宋体"/>
          <w:bCs/>
          <w:sz w:val="24"/>
          <w:lang w:val="zh-CN"/>
        </w:rPr>
        <w:t>）</w:t>
      </w:r>
      <w:r>
        <w:rPr>
          <w:rFonts w:hint="eastAsia" w:ascii="宋体" w:hAnsi="宋体" w:cs="宋体"/>
          <w:bCs/>
          <w:sz w:val="24"/>
        </w:rPr>
        <w:t>分项报价表</w:t>
      </w:r>
      <w:r>
        <w:rPr>
          <w:rFonts w:hint="eastAsia" w:ascii="宋体" w:hAnsi="宋体" w:cs="宋体"/>
          <w:bCs/>
          <w:sz w:val="24"/>
          <w:lang w:val="zh-CN"/>
        </w:rPr>
        <w:t>（格式见附件）；</w:t>
      </w:r>
    </w:p>
    <w:p w14:paraId="1F0D23B6">
      <w:pPr>
        <w:spacing w:line="360" w:lineRule="auto"/>
        <w:ind w:firstLine="600"/>
        <w:rPr>
          <w:rFonts w:ascii="宋体" w:hAnsi="宋体" w:cs="宋体"/>
          <w:bCs/>
          <w:sz w:val="24"/>
          <w:lang w:val="zh-CN"/>
        </w:rPr>
      </w:pPr>
      <w:r>
        <w:rPr>
          <w:rFonts w:hint="eastAsia" w:ascii="宋体" w:hAnsi="宋体" w:cs="宋体"/>
          <w:bCs/>
          <w:sz w:val="24"/>
          <w:lang w:val="zh-CN"/>
        </w:rPr>
        <w:t>（</w:t>
      </w:r>
      <w:r>
        <w:rPr>
          <w:rFonts w:hint="eastAsia" w:ascii="宋体" w:hAnsi="宋体" w:cs="宋体"/>
          <w:bCs/>
          <w:sz w:val="24"/>
        </w:rPr>
        <w:t>7</w:t>
      </w:r>
      <w:r>
        <w:rPr>
          <w:rFonts w:hint="eastAsia" w:ascii="宋体" w:hAnsi="宋体" w:cs="宋体"/>
          <w:bCs/>
          <w:sz w:val="24"/>
          <w:lang w:val="zh-CN"/>
        </w:rPr>
        <w:t>）《商务条款偏离表》；</w:t>
      </w:r>
    </w:p>
    <w:p w14:paraId="71E1CC0D">
      <w:pPr>
        <w:spacing w:line="360" w:lineRule="auto"/>
        <w:ind w:firstLine="600"/>
        <w:rPr>
          <w:rFonts w:ascii="宋体" w:hAnsi="宋体" w:cs="宋体"/>
          <w:bCs/>
          <w:sz w:val="24"/>
          <w:lang w:val="zh-CN"/>
        </w:rPr>
      </w:pPr>
      <w:r>
        <w:rPr>
          <w:rFonts w:hint="eastAsia" w:ascii="宋体" w:hAnsi="宋体" w:cs="宋体"/>
          <w:bCs/>
          <w:sz w:val="24"/>
          <w:lang w:val="zh-CN"/>
        </w:rPr>
        <w:t>（</w:t>
      </w:r>
      <w:r>
        <w:rPr>
          <w:rFonts w:hint="eastAsia" w:ascii="宋体" w:hAnsi="宋体" w:cs="宋体"/>
          <w:bCs/>
          <w:sz w:val="24"/>
        </w:rPr>
        <w:t>8</w:t>
      </w:r>
      <w:r>
        <w:rPr>
          <w:rFonts w:hint="eastAsia" w:ascii="宋体" w:hAnsi="宋体" w:cs="宋体"/>
          <w:bCs/>
          <w:sz w:val="24"/>
          <w:lang w:val="zh-CN"/>
        </w:rPr>
        <w:t>）《技术条款偏离表》；</w:t>
      </w:r>
    </w:p>
    <w:p w14:paraId="74477009">
      <w:pPr>
        <w:spacing w:line="360" w:lineRule="auto"/>
        <w:ind w:firstLine="600"/>
        <w:rPr>
          <w:rFonts w:ascii="宋体" w:hAnsi="宋体" w:cs="宋体"/>
          <w:bCs/>
          <w:sz w:val="24"/>
          <w:lang w:val="zh-CN"/>
        </w:rPr>
      </w:pPr>
      <w:r>
        <w:rPr>
          <w:rFonts w:hint="eastAsia" w:ascii="宋体" w:hAnsi="宋体" w:cs="宋体"/>
          <w:bCs/>
          <w:sz w:val="24"/>
          <w:lang w:val="zh-CN"/>
        </w:rPr>
        <w:t>（</w:t>
      </w:r>
      <w:r>
        <w:rPr>
          <w:rFonts w:hint="eastAsia" w:ascii="宋体" w:hAnsi="宋体" w:cs="宋体"/>
          <w:bCs/>
          <w:sz w:val="24"/>
        </w:rPr>
        <w:t>9</w:t>
      </w:r>
      <w:r>
        <w:rPr>
          <w:rFonts w:hint="eastAsia" w:ascii="宋体" w:hAnsi="宋体" w:cs="宋体"/>
          <w:bCs/>
          <w:sz w:val="24"/>
          <w:lang w:val="zh-CN"/>
        </w:rPr>
        <w:t>）供应商近年类似业绩情况表；</w:t>
      </w:r>
    </w:p>
    <w:p w14:paraId="2970C39D">
      <w:pPr>
        <w:spacing w:line="360" w:lineRule="auto"/>
        <w:ind w:firstLine="600"/>
        <w:rPr>
          <w:rFonts w:ascii="宋体" w:hAnsi="宋体" w:cs="宋体"/>
          <w:bCs/>
          <w:sz w:val="24"/>
          <w:lang w:val="zh-CN"/>
        </w:rPr>
      </w:pPr>
      <w:r>
        <w:rPr>
          <w:rFonts w:hint="eastAsia" w:ascii="宋体" w:hAnsi="宋体" w:cs="宋体"/>
          <w:bCs/>
          <w:sz w:val="24"/>
          <w:lang w:val="zh-CN"/>
        </w:rPr>
        <w:t>（</w:t>
      </w:r>
      <w:r>
        <w:rPr>
          <w:rFonts w:hint="eastAsia" w:ascii="宋体" w:hAnsi="宋体" w:cs="宋体"/>
          <w:bCs/>
          <w:sz w:val="24"/>
        </w:rPr>
        <w:t>10</w:t>
      </w:r>
      <w:r>
        <w:rPr>
          <w:rFonts w:hint="eastAsia" w:ascii="宋体" w:hAnsi="宋体" w:cs="宋体"/>
          <w:bCs/>
          <w:sz w:val="24"/>
          <w:lang w:val="zh-CN"/>
        </w:rPr>
        <w:t>）第三章评标标准中对应的其它所需证明材料（自行添加）；</w:t>
      </w:r>
    </w:p>
    <w:p w14:paraId="7487FDB9">
      <w:pPr>
        <w:spacing w:line="360" w:lineRule="auto"/>
        <w:ind w:firstLine="600"/>
        <w:rPr>
          <w:rFonts w:ascii="宋体" w:hAnsi="宋体" w:cs="宋体"/>
          <w:bCs/>
          <w:sz w:val="24"/>
          <w:lang w:val="zh-CN"/>
        </w:rPr>
      </w:pPr>
    </w:p>
    <w:p w14:paraId="0254F535">
      <w:pPr>
        <w:numPr>
          <w:ilvl w:val="0"/>
          <w:numId w:val="1"/>
        </w:numPr>
        <w:spacing w:line="360" w:lineRule="auto"/>
        <w:ind w:firstLine="600"/>
        <w:rPr>
          <w:rFonts w:hint="eastAsia" w:ascii="宋体" w:hAnsi="宋体" w:cs="宋体"/>
          <w:bCs/>
          <w:sz w:val="24"/>
          <w:lang w:val="zh-CN"/>
        </w:rPr>
      </w:pPr>
      <w:r>
        <w:rPr>
          <w:rFonts w:hint="eastAsia" w:ascii="宋体" w:hAnsi="宋体" w:cs="宋体"/>
          <w:bCs/>
          <w:sz w:val="24"/>
          <w:lang w:val="zh-CN"/>
        </w:rPr>
        <w:t>公开招标文件要求或供应商认为投标需要的其他证明文件及材料。</w:t>
      </w:r>
      <w:bookmarkStart w:id="161" w:name="_GoBack"/>
      <w:bookmarkEnd w:id="161"/>
    </w:p>
    <w:p w14:paraId="6CF382E6">
      <w:pPr>
        <w:spacing w:line="360" w:lineRule="auto"/>
        <w:ind w:firstLine="600"/>
        <w:rPr>
          <w:rFonts w:ascii="宋体" w:hAnsi="宋体" w:cs="宋体"/>
          <w:b/>
          <w:sz w:val="24"/>
          <w:lang w:val="zh-CN"/>
        </w:rPr>
      </w:pPr>
      <w:r>
        <w:rPr>
          <w:rFonts w:hint="eastAsia" w:ascii="宋体" w:hAnsi="宋体" w:cs="宋体"/>
          <w:b/>
          <w:sz w:val="24"/>
        </w:rPr>
        <w:t>8</w:t>
      </w:r>
      <w:r>
        <w:rPr>
          <w:rFonts w:hint="eastAsia" w:ascii="宋体" w:hAnsi="宋体" w:cs="宋体"/>
          <w:b/>
          <w:sz w:val="24"/>
          <w:lang w:val="zh-CN"/>
        </w:rPr>
        <w:t>、投标文件的价格部分</w:t>
      </w:r>
    </w:p>
    <w:p w14:paraId="1FB48C45">
      <w:pPr>
        <w:spacing w:line="360" w:lineRule="auto"/>
        <w:ind w:firstLine="600"/>
        <w:rPr>
          <w:rFonts w:ascii="宋体" w:hAnsi="宋体" w:cs="宋体"/>
          <w:bCs/>
          <w:sz w:val="24"/>
          <w:lang w:val="zh-CN"/>
        </w:rPr>
      </w:pPr>
      <w:r>
        <w:rPr>
          <w:rFonts w:hint="eastAsia" w:ascii="宋体" w:hAnsi="宋体" w:cs="宋体"/>
          <w:bCs/>
          <w:sz w:val="24"/>
        </w:rPr>
        <w:t>8</w:t>
      </w:r>
      <w:r>
        <w:rPr>
          <w:rFonts w:hint="eastAsia" w:ascii="宋体" w:hAnsi="宋体" w:cs="宋体"/>
          <w:bCs/>
          <w:sz w:val="24"/>
          <w:lang w:val="zh-CN"/>
        </w:rPr>
        <w:t>.1价格部分是对采购标的价格构成的说明，招标文件如无特别说明，每一项货物及服务仅接受一个价格。</w:t>
      </w:r>
    </w:p>
    <w:p w14:paraId="27B94487">
      <w:pPr>
        <w:spacing w:line="360" w:lineRule="auto"/>
        <w:ind w:firstLine="600"/>
        <w:rPr>
          <w:rFonts w:ascii="宋体" w:hAnsi="宋体" w:cs="宋体"/>
          <w:bCs/>
          <w:sz w:val="24"/>
          <w:lang w:val="zh-CN"/>
        </w:rPr>
      </w:pPr>
      <w:r>
        <w:rPr>
          <w:rFonts w:hint="eastAsia" w:ascii="宋体" w:hAnsi="宋体" w:cs="宋体"/>
          <w:bCs/>
          <w:sz w:val="24"/>
        </w:rPr>
        <w:t>8</w:t>
      </w:r>
      <w:r>
        <w:rPr>
          <w:rFonts w:hint="eastAsia" w:ascii="宋体" w:hAnsi="宋体" w:cs="宋体"/>
          <w:bCs/>
          <w:sz w:val="24"/>
          <w:lang w:val="zh-CN"/>
        </w:rPr>
        <w:t>.2报价应包含本次招投标的有关的所有费用以及技术资料、支付给员工的工资和国家强制缴纳的各种社会保障资金，以及供应商认为需要的其他费用等</w:t>
      </w:r>
      <w:r>
        <w:rPr>
          <w:rFonts w:hint="eastAsia" w:ascii="宋体" w:hAnsi="宋体" w:cs="宋体"/>
          <w:sz w:val="24"/>
        </w:rPr>
        <w:t>（如招标代理费、专家评审费、利润、税金、政策性文件规定及合同包含内的所有风险、责任等各项应有费用）</w:t>
      </w:r>
      <w:r>
        <w:rPr>
          <w:rFonts w:hint="eastAsia" w:ascii="宋体" w:hAnsi="宋体" w:cs="宋体"/>
          <w:bCs/>
          <w:sz w:val="24"/>
          <w:lang w:val="zh-CN"/>
        </w:rPr>
        <w:t>。</w:t>
      </w:r>
    </w:p>
    <w:p w14:paraId="3D9BE6C5">
      <w:pPr>
        <w:spacing w:line="360" w:lineRule="auto"/>
        <w:ind w:firstLine="600"/>
        <w:rPr>
          <w:rFonts w:ascii="宋体" w:hAnsi="宋体" w:cs="宋体"/>
          <w:bCs/>
          <w:sz w:val="24"/>
          <w:lang w:val="zh-CN"/>
        </w:rPr>
      </w:pPr>
      <w:r>
        <w:rPr>
          <w:rFonts w:hint="eastAsia" w:ascii="宋体" w:hAnsi="宋体" w:cs="宋体"/>
          <w:bCs/>
          <w:sz w:val="24"/>
        </w:rPr>
        <w:t>8</w:t>
      </w:r>
      <w:r>
        <w:rPr>
          <w:rFonts w:hint="eastAsia" w:ascii="宋体" w:hAnsi="宋体" w:cs="宋体"/>
          <w:bCs/>
          <w:sz w:val="24"/>
          <w:lang w:val="zh-CN"/>
        </w:rPr>
        <w:t>.3供应商的任何错漏、优惠、竞争性报价不得作为减轻责任、减少服务、增加收费、降低质量的理由。</w:t>
      </w:r>
    </w:p>
    <w:p w14:paraId="6E2CEF03">
      <w:pPr>
        <w:spacing w:line="360" w:lineRule="auto"/>
        <w:ind w:firstLine="600"/>
        <w:rPr>
          <w:rFonts w:ascii="宋体" w:hAnsi="宋体" w:cs="宋体"/>
          <w:bCs/>
          <w:sz w:val="24"/>
          <w:lang w:val="zh-CN"/>
        </w:rPr>
      </w:pPr>
      <w:r>
        <w:rPr>
          <w:rFonts w:hint="eastAsia" w:ascii="宋体" w:hAnsi="宋体" w:cs="宋体"/>
          <w:bCs/>
          <w:sz w:val="24"/>
        </w:rPr>
        <w:t>8</w:t>
      </w:r>
      <w:r>
        <w:rPr>
          <w:rFonts w:hint="eastAsia" w:ascii="宋体" w:hAnsi="宋体" w:cs="宋体"/>
          <w:bCs/>
          <w:sz w:val="24"/>
          <w:lang w:val="zh-CN"/>
        </w:rPr>
        <w:t>.4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无效投标处理。</w:t>
      </w:r>
    </w:p>
    <w:p w14:paraId="32A57EAF">
      <w:pPr>
        <w:spacing w:line="360" w:lineRule="auto"/>
        <w:ind w:firstLine="600"/>
        <w:rPr>
          <w:rFonts w:ascii="宋体" w:hAnsi="宋体" w:cs="宋体"/>
          <w:bCs/>
          <w:sz w:val="24"/>
          <w:lang w:val="zh-CN"/>
        </w:rPr>
      </w:pPr>
      <w:r>
        <w:rPr>
          <w:rFonts w:hint="eastAsia" w:ascii="宋体" w:hAnsi="宋体" w:cs="宋体"/>
          <w:bCs/>
          <w:sz w:val="24"/>
        </w:rPr>
        <w:t>8</w:t>
      </w:r>
      <w:r>
        <w:rPr>
          <w:rFonts w:hint="eastAsia" w:ascii="宋体" w:hAnsi="宋体" w:cs="宋体"/>
          <w:bCs/>
          <w:sz w:val="24"/>
          <w:lang w:val="zh-CN"/>
        </w:rPr>
        <w:t>.5供应商应在《开标一览表》《分项报价表》等标明投标货物和服务的单价、总价以及分项报价。供应商系小企业（含小型、微型企业）、残疾人福利性单位、监狱企业，并提供本企业制造的货物、承担的工程或者服务，或者提供其他小企业、残疾人福利性单位、监狱企业制造的货物和服务的，须在《开标一览表》《分项报价表》中注明, 供应商应当如实申报,否则评标委员会有权取消其小微企业、残疾人福利性单位、监狱企业优惠政策。</w:t>
      </w:r>
    </w:p>
    <w:p w14:paraId="1916D110">
      <w:pPr>
        <w:spacing w:line="360" w:lineRule="auto"/>
        <w:ind w:firstLine="602"/>
        <w:rPr>
          <w:rFonts w:ascii="宋体" w:hAnsi="宋体" w:cs="宋体"/>
          <w:b/>
          <w:bCs/>
          <w:sz w:val="24"/>
          <w:lang w:val="zh-CN"/>
        </w:rPr>
      </w:pPr>
      <w:r>
        <w:rPr>
          <w:rFonts w:hint="eastAsia" w:ascii="宋体" w:hAnsi="宋体" w:cs="宋体"/>
          <w:b/>
          <w:bCs/>
          <w:sz w:val="24"/>
        </w:rPr>
        <w:t>9</w:t>
      </w:r>
      <w:r>
        <w:rPr>
          <w:rFonts w:hint="eastAsia" w:ascii="宋体" w:hAnsi="宋体" w:cs="宋体"/>
          <w:b/>
          <w:bCs/>
          <w:sz w:val="24"/>
          <w:lang w:val="zh-CN"/>
        </w:rPr>
        <w:t>、投标文件的其他部分</w:t>
      </w:r>
    </w:p>
    <w:p w14:paraId="79A95E75">
      <w:pPr>
        <w:spacing w:line="360" w:lineRule="auto"/>
        <w:ind w:firstLine="600"/>
        <w:rPr>
          <w:rFonts w:ascii="宋体" w:hAnsi="宋体" w:cs="宋体"/>
          <w:bCs/>
          <w:sz w:val="24"/>
          <w:lang w:val="zh-CN"/>
        </w:rPr>
      </w:pPr>
      <w:r>
        <w:rPr>
          <w:rFonts w:hint="eastAsia" w:ascii="宋体" w:hAnsi="宋体" w:cs="宋体"/>
          <w:bCs/>
          <w:sz w:val="24"/>
        </w:rPr>
        <w:t>9</w:t>
      </w:r>
      <w:r>
        <w:rPr>
          <w:rFonts w:hint="eastAsia" w:ascii="宋体" w:hAnsi="宋体" w:cs="宋体"/>
          <w:bCs/>
          <w:sz w:val="24"/>
          <w:lang w:val="zh-CN"/>
        </w:rPr>
        <w:t>.1其他部分由供应商根据编制投标文件需要提供的其他相关文件组成。</w:t>
      </w:r>
    </w:p>
    <w:p w14:paraId="6FA89106">
      <w:pPr>
        <w:spacing w:line="360" w:lineRule="auto"/>
        <w:ind w:firstLine="602"/>
        <w:rPr>
          <w:rFonts w:ascii="宋体" w:hAnsi="宋体" w:cs="宋体"/>
          <w:b/>
          <w:bCs/>
          <w:sz w:val="24"/>
          <w:lang w:val="zh-CN"/>
        </w:rPr>
      </w:pPr>
      <w:r>
        <w:rPr>
          <w:rFonts w:hint="eastAsia" w:ascii="宋体" w:hAnsi="宋体" w:cs="宋体"/>
          <w:b/>
          <w:bCs/>
          <w:sz w:val="24"/>
        </w:rPr>
        <w:t>10</w:t>
      </w:r>
      <w:r>
        <w:rPr>
          <w:rFonts w:hint="eastAsia" w:ascii="宋体" w:hAnsi="宋体" w:cs="宋体"/>
          <w:b/>
          <w:bCs/>
          <w:sz w:val="24"/>
          <w:lang w:val="zh-CN"/>
        </w:rPr>
        <w:t>、投标有效期</w:t>
      </w:r>
    </w:p>
    <w:p w14:paraId="2C3C0841">
      <w:pPr>
        <w:spacing w:line="360" w:lineRule="auto"/>
        <w:ind w:firstLine="600"/>
        <w:rPr>
          <w:rFonts w:ascii="宋体" w:hAnsi="宋体" w:cs="宋体"/>
          <w:bCs/>
          <w:sz w:val="24"/>
          <w:lang w:val="zh-CN"/>
        </w:rPr>
      </w:pPr>
      <w:r>
        <w:rPr>
          <w:rFonts w:hint="eastAsia" w:ascii="宋体" w:hAnsi="宋体" w:cs="宋体"/>
          <w:bCs/>
          <w:sz w:val="24"/>
        </w:rPr>
        <w:t>10</w:t>
      </w:r>
      <w:r>
        <w:rPr>
          <w:rFonts w:hint="eastAsia" w:ascii="宋体" w:hAnsi="宋体" w:cs="宋体"/>
          <w:bCs/>
          <w:sz w:val="24"/>
          <w:lang w:val="zh-CN"/>
        </w:rPr>
        <w:t>.1自开标之日起90天内投标有效，投标有效期从提交投标文件的截止之日起算。投标文件中承诺的投标有效期应当不少于招标文件中载明的投标有效期。</w:t>
      </w:r>
    </w:p>
    <w:p w14:paraId="7167DDE9">
      <w:pPr>
        <w:spacing w:line="360" w:lineRule="auto"/>
        <w:ind w:firstLine="600"/>
        <w:rPr>
          <w:rFonts w:ascii="宋体" w:hAnsi="宋体" w:cs="宋体"/>
          <w:bCs/>
          <w:sz w:val="24"/>
          <w:lang w:val="zh-CN"/>
        </w:rPr>
      </w:pPr>
      <w:r>
        <w:rPr>
          <w:rFonts w:hint="eastAsia" w:ascii="宋体" w:hAnsi="宋体" w:cs="宋体"/>
          <w:bCs/>
          <w:sz w:val="24"/>
        </w:rPr>
        <w:t>10</w:t>
      </w:r>
      <w:r>
        <w:rPr>
          <w:rFonts w:hint="eastAsia" w:ascii="宋体" w:hAnsi="宋体" w:cs="宋体"/>
          <w:bCs/>
          <w:sz w:val="24"/>
          <w:lang w:val="zh-CN"/>
        </w:rPr>
        <w:t>.2特殊情况下，在原投标有效期截止之前，采购代理机构可要求供应商同意延长投标有效期，这种要求与答复均应以书面形式提交。供应商可拒绝这种要求。接受延长投标有效期的供应商将不会要求和允许修正其投标。</w:t>
      </w:r>
    </w:p>
    <w:p w14:paraId="0B298B05">
      <w:pPr>
        <w:spacing w:line="360" w:lineRule="auto"/>
        <w:ind w:firstLine="602"/>
        <w:rPr>
          <w:rFonts w:ascii="宋体" w:hAnsi="宋体" w:cs="宋体"/>
          <w:b/>
          <w:bCs/>
          <w:sz w:val="24"/>
          <w:lang w:val="zh-CN"/>
        </w:rPr>
      </w:pPr>
      <w:r>
        <w:rPr>
          <w:rFonts w:hint="eastAsia" w:ascii="宋体" w:hAnsi="宋体" w:cs="宋体"/>
          <w:b/>
          <w:bCs/>
          <w:sz w:val="24"/>
        </w:rPr>
        <w:t>11</w:t>
      </w:r>
      <w:r>
        <w:rPr>
          <w:rFonts w:hint="eastAsia" w:ascii="宋体" w:hAnsi="宋体" w:cs="宋体"/>
          <w:b/>
          <w:bCs/>
          <w:sz w:val="24"/>
          <w:lang w:val="zh-CN"/>
        </w:rPr>
        <w:t>、投标费用</w:t>
      </w:r>
    </w:p>
    <w:p w14:paraId="54782F60">
      <w:pPr>
        <w:spacing w:line="360" w:lineRule="auto"/>
        <w:ind w:firstLine="600"/>
        <w:rPr>
          <w:rFonts w:ascii="宋体" w:hAnsi="宋体" w:cs="宋体"/>
          <w:bCs/>
          <w:sz w:val="24"/>
          <w:lang w:val="zh-CN"/>
        </w:rPr>
      </w:pPr>
      <w:r>
        <w:rPr>
          <w:rFonts w:hint="eastAsia" w:ascii="宋体" w:hAnsi="宋体" w:cs="宋体"/>
          <w:bCs/>
          <w:sz w:val="24"/>
        </w:rPr>
        <w:t>11</w:t>
      </w:r>
      <w:r>
        <w:rPr>
          <w:rFonts w:hint="eastAsia" w:ascii="宋体" w:hAnsi="宋体" w:cs="宋体"/>
          <w:bCs/>
          <w:sz w:val="24"/>
          <w:lang w:val="zh-CN"/>
        </w:rPr>
        <w:t>.1供应商应承担所有与准备和参加投标有关的费用，无论采购结果如何，采购代理机构和采购人在任何情况下均无义务和责任承担这些费用。</w:t>
      </w:r>
    </w:p>
    <w:p w14:paraId="519C223E">
      <w:pPr>
        <w:spacing w:line="360" w:lineRule="auto"/>
        <w:ind w:firstLine="600"/>
        <w:rPr>
          <w:rFonts w:ascii="宋体" w:hAnsi="宋体" w:cs="宋体"/>
          <w:b/>
          <w:bCs/>
          <w:sz w:val="24"/>
          <w:lang w:val="zh-CN"/>
        </w:rPr>
      </w:pPr>
      <w:r>
        <w:rPr>
          <w:rFonts w:hint="eastAsia" w:ascii="宋体" w:hAnsi="宋体" w:cs="宋体"/>
          <w:bCs/>
          <w:sz w:val="24"/>
        </w:rPr>
        <w:t>11</w:t>
      </w:r>
      <w:r>
        <w:rPr>
          <w:rFonts w:hint="eastAsia" w:ascii="宋体" w:hAnsi="宋体" w:cs="宋体"/>
          <w:bCs/>
          <w:sz w:val="24"/>
          <w:lang w:val="zh-CN"/>
        </w:rPr>
        <w:t>.2本项目服务费由中标供应商承担。招标代理收费参照《江苏省招标代理服务收费的指导意见》的通知（苏招协[2022] 002号）文件规定标准计取。专家评审费</w:t>
      </w:r>
      <w:r>
        <w:rPr>
          <w:rFonts w:hint="eastAsia" w:ascii="宋体" w:hAnsi="宋体" w:cs="宋体"/>
          <w:bCs/>
          <w:sz w:val="24"/>
        </w:rPr>
        <w:t>按实结算，</w:t>
      </w:r>
      <w:r>
        <w:rPr>
          <w:rFonts w:hint="eastAsia" w:ascii="宋体" w:hAnsi="宋体" w:cs="宋体"/>
          <w:bCs/>
          <w:sz w:val="24"/>
          <w:lang w:val="zh-CN"/>
        </w:rPr>
        <w:t>由招标代理先行垫付。</w:t>
      </w:r>
      <w:r>
        <w:rPr>
          <w:rFonts w:hint="eastAsia" w:ascii="宋体" w:hAnsi="宋体" w:cs="宋体"/>
          <w:b/>
          <w:bCs/>
          <w:sz w:val="24"/>
        </w:rPr>
        <w:t>以上费用由中标供应商在领取中标通知书前向招标代理单位一次性缴纳。请供应商予以关注并核算到总报价中，无需在投标报价表中单列。</w:t>
      </w:r>
    </w:p>
    <w:p w14:paraId="6BD05D9E">
      <w:pPr>
        <w:spacing w:line="360" w:lineRule="auto"/>
        <w:ind w:firstLine="602"/>
        <w:rPr>
          <w:rFonts w:ascii="宋体" w:hAnsi="宋体" w:cs="宋体"/>
          <w:b/>
          <w:bCs/>
          <w:sz w:val="24"/>
          <w:lang w:val="zh-CN"/>
        </w:rPr>
      </w:pPr>
      <w:r>
        <w:rPr>
          <w:rFonts w:hint="eastAsia" w:ascii="宋体" w:hAnsi="宋体" w:cs="宋体"/>
          <w:b/>
          <w:bCs/>
          <w:sz w:val="24"/>
          <w:lang w:val="zh-CN"/>
        </w:rPr>
        <w:t>四、投标文件的递交</w:t>
      </w:r>
    </w:p>
    <w:p w14:paraId="1E65B923">
      <w:pPr>
        <w:spacing w:line="360" w:lineRule="auto"/>
        <w:ind w:firstLine="602"/>
        <w:rPr>
          <w:rFonts w:ascii="宋体" w:hAnsi="宋体" w:cs="宋体"/>
          <w:b/>
          <w:bCs/>
          <w:sz w:val="24"/>
          <w:lang w:val="zh-CN"/>
        </w:rPr>
      </w:pPr>
      <w:r>
        <w:rPr>
          <w:rFonts w:hint="eastAsia" w:ascii="宋体" w:hAnsi="宋体" w:cs="宋体"/>
          <w:b/>
          <w:bCs/>
          <w:sz w:val="24"/>
          <w:lang w:val="zh-CN"/>
        </w:rPr>
        <w:t>1</w:t>
      </w:r>
      <w:r>
        <w:rPr>
          <w:rFonts w:hint="eastAsia" w:ascii="宋体" w:hAnsi="宋体" w:cs="宋体"/>
          <w:b/>
          <w:bCs/>
          <w:sz w:val="24"/>
        </w:rPr>
        <w:t>2</w:t>
      </w:r>
      <w:r>
        <w:rPr>
          <w:rFonts w:hint="eastAsia" w:ascii="宋体" w:hAnsi="宋体" w:cs="宋体"/>
          <w:b/>
          <w:bCs/>
          <w:sz w:val="24"/>
          <w:lang w:val="zh-CN"/>
        </w:rPr>
        <w:t>、投标文件的递交</w:t>
      </w:r>
    </w:p>
    <w:p w14:paraId="73D88EF6">
      <w:pPr>
        <w:spacing w:line="360" w:lineRule="auto"/>
        <w:ind w:firstLine="600"/>
        <w:rPr>
          <w:rFonts w:ascii="宋体" w:hAnsi="宋体" w:cs="宋体"/>
          <w:bCs/>
          <w:sz w:val="24"/>
          <w:lang w:val="zh-CN"/>
        </w:rPr>
      </w:pPr>
      <w:r>
        <w:rPr>
          <w:rFonts w:hint="eastAsia" w:ascii="宋体" w:hAnsi="宋体" w:cs="宋体"/>
          <w:bCs/>
          <w:sz w:val="24"/>
          <w:lang w:val="zh-CN"/>
        </w:rPr>
        <w:t>1</w:t>
      </w:r>
      <w:r>
        <w:rPr>
          <w:rFonts w:hint="eastAsia" w:ascii="宋体" w:hAnsi="宋体" w:cs="宋体"/>
          <w:bCs/>
          <w:sz w:val="24"/>
        </w:rPr>
        <w:t>2</w:t>
      </w:r>
      <w:r>
        <w:rPr>
          <w:rFonts w:hint="eastAsia" w:ascii="宋体" w:hAnsi="宋体" w:cs="宋体"/>
          <w:bCs/>
          <w:sz w:val="24"/>
          <w:lang w:val="zh-CN"/>
        </w:rPr>
        <w:t>.1</w:t>
      </w:r>
      <w:r>
        <w:rPr>
          <w:rFonts w:hint="eastAsia" w:ascii="宋体" w:hAnsi="宋体" w:cs="宋体"/>
          <w:bCs/>
          <w:sz w:val="24"/>
        </w:rPr>
        <w:t>供应商</w:t>
      </w:r>
      <w:r>
        <w:rPr>
          <w:rFonts w:hint="eastAsia" w:ascii="宋体" w:hAnsi="宋体" w:cs="宋体"/>
          <w:bCs/>
          <w:sz w:val="24"/>
          <w:lang w:val="zh-CN"/>
        </w:rPr>
        <w:t>应当按照《操作手册》规定，在招标公告规定的投标截止时间前制作并上传电子投标文件。</w:t>
      </w:r>
    </w:p>
    <w:p w14:paraId="76A9455E">
      <w:pPr>
        <w:spacing w:line="360" w:lineRule="auto"/>
        <w:ind w:firstLine="600"/>
        <w:rPr>
          <w:rFonts w:ascii="宋体" w:hAnsi="宋体" w:cs="宋体"/>
          <w:bCs/>
          <w:sz w:val="24"/>
          <w:lang w:val="zh-CN"/>
        </w:rPr>
      </w:pPr>
      <w:r>
        <w:rPr>
          <w:rFonts w:hint="eastAsia" w:ascii="宋体" w:hAnsi="宋体" w:cs="宋体"/>
          <w:bCs/>
          <w:sz w:val="24"/>
          <w:lang w:val="zh-CN"/>
        </w:rPr>
        <w:t>1</w:t>
      </w:r>
      <w:r>
        <w:rPr>
          <w:rFonts w:hint="eastAsia" w:ascii="宋体" w:hAnsi="宋体" w:cs="宋体"/>
          <w:bCs/>
          <w:sz w:val="24"/>
        </w:rPr>
        <w:t>2</w:t>
      </w:r>
      <w:r>
        <w:rPr>
          <w:rFonts w:hint="eastAsia" w:ascii="宋体" w:hAnsi="宋体" w:cs="宋体"/>
          <w:bCs/>
          <w:sz w:val="24"/>
          <w:lang w:val="zh-CN"/>
        </w:rPr>
        <w:t>.2</w:t>
      </w:r>
      <w:r>
        <w:rPr>
          <w:rFonts w:hint="eastAsia" w:ascii="宋体" w:hAnsi="宋体" w:cs="宋体"/>
          <w:bCs/>
          <w:sz w:val="24"/>
        </w:rPr>
        <w:t>供应商</w:t>
      </w:r>
      <w:r>
        <w:rPr>
          <w:rFonts w:hint="eastAsia" w:ascii="宋体" w:hAnsi="宋体" w:cs="宋体"/>
          <w:bCs/>
          <w:sz w:val="24"/>
          <w:lang w:val="zh-CN"/>
        </w:rPr>
        <w:t>应充分考虑网络环境、网络带宽等因素可能对投标产生的影响，如因</w:t>
      </w:r>
      <w:r>
        <w:rPr>
          <w:rFonts w:hint="eastAsia" w:ascii="宋体" w:hAnsi="宋体" w:cs="宋体"/>
          <w:bCs/>
          <w:sz w:val="24"/>
        </w:rPr>
        <w:t>供应商</w:t>
      </w:r>
      <w:r>
        <w:rPr>
          <w:rFonts w:hint="eastAsia" w:ascii="宋体" w:hAnsi="宋体" w:cs="宋体"/>
          <w:bCs/>
          <w:sz w:val="24"/>
          <w:lang w:val="zh-CN"/>
        </w:rPr>
        <w:t>自身原因造成的电子投标文件上传不成功的，按照本招标文件第二章第2</w:t>
      </w:r>
      <w:r>
        <w:rPr>
          <w:rFonts w:hint="eastAsia" w:ascii="宋体" w:hAnsi="宋体" w:cs="宋体"/>
          <w:bCs/>
          <w:sz w:val="24"/>
        </w:rPr>
        <w:t>0</w:t>
      </w:r>
      <w:r>
        <w:rPr>
          <w:rFonts w:hint="eastAsia" w:ascii="宋体" w:hAnsi="宋体" w:cs="宋体"/>
          <w:bCs/>
          <w:sz w:val="24"/>
          <w:lang w:val="zh-CN"/>
        </w:rPr>
        <w:t>.1条规定做无效投标处理。</w:t>
      </w:r>
    </w:p>
    <w:p w14:paraId="311FF169">
      <w:pPr>
        <w:spacing w:line="360" w:lineRule="auto"/>
        <w:ind w:firstLine="600"/>
        <w:rPr>
          <w:rFonts w:ascii="宋体" w:hAnsi="宋体" w:cs="宋体"/>
          <w:bCs/>
          <w:sz w:val="24"/>
          <w:lang w:val="zh-CN"/>
        </w:rPr>
      </w:pPr>
      <w:r>
        <w:rPr>
          <w:rFonts w:hint="eastAsia" w:ascii="宋体" w:hAnsi="宋体" w:cs="宋体"/>
          <w:bCs/>
          <w:sz w:val="24"/>
          <w:lang w:val="zh-CN"/>
        </w:rPr>
        <w:t>1</w:t>
      </w:r>
      <w:r>
        <w:rPr>
          <w:rFonts w:hint="eastAsia" w:ascii="宋体" w:hAnsi="宋体" w:cs="宋体"/>
          <w:bCs/>
          <w:sz w:val="24"/>
        </w:rPr>
        <w:t>2</w:t>
      </w:r>
      <w:r>
        <w:rPr>
          <w:rFonts w:hint="eastAsia" w:ascii="宋体" w:hAnsi="宋体" w:cs="宋体"/>
          <w:bCs/>
          <w:sz w:val="24"/>
          <w:lang w:val="zh-CN"/>
        </w:rPr>
        <w:t>.3</w:t>
      </w:r>
      <w:r>
        <w:rPr>
          <w:rFonts w:hint="eastAsia" w:ascii="宋体" w:hAnsi="宋体" w:cs="宋体"/>
          <w:bCs/>
          <w:sz w:val="24"/>
        </w:rPr>
        <w:t>代理机构</w:t>
      </w:r>
      <w:r>
        <w:rPr>
          <w:rFonts w:hint="eastAsia" w:ascii="宋体" w:hAnsi="宋体" w:cs="宋体"/>
          <w:bCs/>
          <w:sz w:val="24"/>
          <w:lang w:val="zh-CN"/>
        </w:rPr>
        <w:t>可以按照规定，通过修改招标文件酌情延长投标截止时间，在此情况下，</w:t>
      </w:r>
      <w:r>
        <w:rPr>
          <w:rFonts w:hint="eastAsia" w:ascii="宋体" w:hAnsi="宋体" w:cs="宋体"/>
          <w:bCs/>
          <w:sz w:val="24"/>
        </w:rPr>
        <w:t>供应商</w:t>
      </w:r>
      <w:r>
        <w:rPr>
          <w:rFonts w:hint="eastAsia" w:ascii="宋体" w:hAnsi="宋体" w:cs="宋体"/>
          <w:bCs/>
          <w:sz w:val="24"/>
          <w:lang w:val="zh-CN"/>
        </w:rPr>
        <w:t>的所有权利和义务均以延长后新的截止时间为准。</w:t>
      </w:r>
    </w:p>
    <w:p w14:paraId="15506F05">
      <w:pPr>
        <w:spacing w:line="360" w:lineRule="auto"/>
        <w:ind w:firstLine="600"/>
        <w:rPr>
          <w:rFonts w:ascii="宋体" w:hAnsi="宋体" w:cs="宋体"/>
          <w:b/>
          <w:sz w:val="24"/>
          <w:lang w:val="zh-CN"/>
        </w:rPr>
      </w:pPr>
      <w:r>
        <w:rPr>
          <w:rFonts w:hint="eastAsia" w:ascii="宋体" w:hAnsi="宋体" w:cs="宋体"/>
          <w:b/>
          <w:sz w:val="24"/>
          <w:lang w:val="zh-CN"/>
        </w:rPr>
        <w:t>1</w:t>
      </w:r>
      <w:r>
        <w:rPr>
          <w:rFonts w:hint="eastAsia" w:ascii="宋体" w:hAnsi="宋体" w:cs="宋体"/>
          <w:b/>
          <w:sz w:val="24"/>
        </w:rPr>
        <w:t>3、</w:t>
      </w:r>
      <w:r>
        <w:rPr>
          <w:rFonts w:hint="eastAsia" w:ascii="宋体" w:hAnsi="宋体" w:cs="宋体"/>
          <w:b/>
          <w:sz w:val="24"/>
          <w:lang w:val="zh-CN"/>
        </w:rPr>
        <w:t>投标文件的拒收</w:t>
      </w:r>
    </w:p>
    <w:p w14:paraId="244A0D38">
      <w:pPr>
        <w:spacing w:line="360" w:lineRule="auto"/>
        <w:ind w:firstLine="600"/>
        <w:rPr>
          <w:rFonts w:ascii="宋体" w:hAnsi="宋体" w:cs="宋体"/>
          <w:bCs/>
          <w:sz w:val="24"/>
          <w:lang w:val="zh-CN"/>
        </w:rPr>
      </w:pPr>
      <w:r>
        <w:rPr>
          <w:rFonts w:hint="eastAsia" w:ascii="宋体" w:hAnsi="宋体" w:cs="宋体"/>
          <w:bCs/>
          <w:sz w:val="24"/>
          <w:lang w:val="zh-CN"/>
        </w:rPr>
        <w:t>1</w:t>
      </w:r>
      <w:r>
        <w:rPr>
          <w:rFonts w:hint="eastAsia" w:ascii="宋体" w:hAnsi="宋体" w:cs="宋体"/>
          <w:bCs/>
          <w:sz w:val="24"/>
        </w:rPr>
        <w:t>3</w:t>
      </w:r>
      <w:r>
        <w:rPr>
          <w:rFonts w:hint="eastAsia" w:ascii="宋体" w:hAnsi="宋体" w:cs="宋体"/>
          <w:bCs/>
          <w:sz w:val="24"/>
          <w:lang w:val="zh-CN"/>
        </w:rPr>
        <w:t>.1</w:t>
      </w:r>
      <w:r>
        <w:rPr>
          <w:rFonts w:hint="eastAsia" w:ascii="宋体" w:hAnsi="宋体" w:cs="宋体"/>
          <w:bCs/>
          <w:sz w:val="24"/>
        </w:rPr>
        <w:t>代理机构</w:t>
      </w:r>
      <w:r>
        <w:rPr>
          <w:rFonts w:hint="eastAsia" w:ascii="宋体" w:hAnsi="宋体" w:cs="宋体"/>
          <w:bCs/>
          <w:sz w:val="24"/>
          <w:lang w:val="zh-CN"/>
        </w:rPr>
        <w:t>拒绝接收投标截止时间后上传的任何投标文件。</w:t>
      </w:r>
    </w:p>
    <w:p w14:paraId="28E905A2">
      <w:pPr>
        <w:spacing w:line="360" w:lineRule="auto"/>
        <w:ind w:firstLine="602"/>
        <w:rPr>
          <w:rFonts w:ascii="宋体" w:hAnsi="宋体" w:cs="宋体"/>
          <w:b/>
          <w:bCs/>
          <w:sz w:val="24"/>
          <w:lang w:val="zh-CN"/>
        </w:rPr>
      </w:pPr>
      <w:r>
        <w:rPr>
          <w:rFonts w:hint="eastAsia" w:ascii="宋体" w:hAnsi="宋体" w:cs="宋体"/>
          <w:b/>
          <w:bCs/>
          <w:sz w:val="24"/>
          <w:lang w:val="zh-CN"/>
        </w:rPr>
        <w:t>1</w:t>
      </w:r>
      <w:r>
        <w:rPr>
          <w:rFonts w:hint="eastAsia" w:ascii="宋体" w:hAnsi="宋体" w:cs="宋体"/>
          <w:b/>
          <w:bCs/>
          <w:sz w:val="24"/>
        </w:rPr>
        <w:t>4</w:t>
      </w:r>
      <w:r>
        <w:rPr>
          <w:rFonts w:hint="eastAsia" w:ascii="宋体" w:hAnsi="宋体" w:cs="宋体"/>
          <w:b/>
          <w:bCs/>
          <w:sz w:val="24"/>
          <w:lang w:val="zh-CN"/>
        </w:rPr>
        <w:t>、投标文件的修改和撤回</w:t>
      </w:r>
    </w:p>
    <w:p w14:paraId="756D07F7">
      <w:pPr>
        <w:spacing w:line="360" w:lineRule="auto"/>
        <w:ind w:firstLine="602"/>
        <w:rPr>
          <w:rFonts w:ascii="宋体" w:hAnsi="宋体" w:cs="宋体"/>
          <w:bCs/>
          <w:sz w:val="24"/>
          <w:lang w:val="zh-CN"/>
        </w:rPr>
      </w:pPr>
      <w:r>
        <w:rPr>
          <w:rFonts w:hint="eastAsia" w:ascii="宋体" w:hAnsi="宋体" w:cs="宋体"/>
          <w:bCs/>
          <w:sz w:val="24"/>
          <w:lang w:val="zh-CN"/>
        </w:rPr>
        <w:t>1</w:t>
      </w:r>
      <w:r>
        <w:rPr>
          <w:rFonts w:hint="eastAsia" w:ascii="宋体" w:hAnsi="宋体" w:cs="宋体"/>
          <w:bCs/>
          <w:sz w:val="24"/>
        </w:rPr>
        <w:t>4</w:t>
      </w:r>
      <w:r>
        <w:rPr>
          <w:rFonts w:hint="eastAsia" w:ascii="宋体" w:hAnsi="宋体" w:cs="宋体"/>
          <w:bCs/>
          <w:sz w:val="24"/>
          <w:lang w:val="zh-CN"/>
        </w:rPr>
        <w:t>.1投标文件的撤回</w:t>
      </w:r>
    </w:p>
    <w:p w14:paraId="507AAFC0">
      <w:pPr>
        <w:spacing w:line="360" w:lineRule="auto"/>
        <w:ind w:firstLine="602"/>
        <w:rPr>
          <w:rFonts w:ascii="宋体" w:hAnsi="宋体" w:cs="宋体"/>
          <w:bCs/>
          <w:sz w:val="24"/>
          <w:lang w:val="zh-CN"/>
        </w:rPr>
      </w:pPr>
      <w:r>
        <w:rPr>
          <w:rFonts w:hint="eastAsia" w:ascii="宋体" w:hAnsi="宋体" w:cs="宋体"/>
          <w:bCs/>
          <w:sz w:val="24"/>
          <w:lang w:val="zh-CN"/>
        </w:rPr>
        <w:t>1</w:t>
      </w:r>
      <w:r>
        <w:rPr>
          <w:rFonts w:hint="eastAsia" w:ascii="宋体" w:hAnsi="宋体" w:cs="宋体"/>
          <w:bCs/>
          <w:sz w:val="24"/>
        </w:rPr>
        <w:t>4</w:t>
      </w:r>
      <w:r>
        <w:rPr>
          <w:rFonts w:hint="eastAsia" w:ascii="宋体" w:hAnsi="宋体" w:cs="宋体"/>
          <w:bCs/>
          <w:sz w:val="24"/>
          <w:lang w:val="zh-CN"/>
        </w:rPr>
        <w:t>.1.1</w:t>
      </w:r>
      <w:r>
        <w:rPr>
          <w:rFonts w:hint="eastAsia" w:ascii="宋体" w:hAnsi="宋体" w:cs="宋体"/>
          <w:bCs/>
          <w:sz w:val="24"/>
        </w:rPr>
        <w:t>供应商</w:t>
      </w:r>
      <w:r>
        <w:rPr>
          <w:rFonts w:hint="eastAsia" w:ascii="宋体" w:hAnsi="宋体" w:cs="宋体"/>
          <w:bCs/>
          <w:sz w:val="24"/>
          <w:lang w:val="zh-CN"/>
        </w:rPr>
        <w:t>可在投标截止时间前撤回其电子投标文件，具体操作方法见《操作手册》。</w:t>
      </w:r>
    </w:p>
    <w:p w14:paraId="7EF5EB95">
      <w:pPr>
        <w:spacing w:line="360" w:lineRule="auto"/>
        <w:ind w:firstLine="602"/>
        <w:rPr>
          <w:rFonts w:ascii="宋体" w:hAnsi="宋体" w:cs="宋体"/>
          <w:bCs/>
          <w:sz w:val="24"/>
          <w:lang w:val="zh-CN"/>
        </w:rPr>
      </w:pPr>
      <w:r>
        <w:rPr>
          <w:rFonts w:hint="eastAsia" w:ascii="宋体" w:hAnsi="宋体" w:cs="宋体"/>
          <w:bCs/>
          <w:sz w:val="24"/>
          <w:lang w:val="zh-CN"/>
        </w:rPr>
        <w:t>1</w:t>
      </w:r>
      <w:r>
        <w:rPr>
          <w:rFonts w:hint="eastAsia" w:ascii="宋体" w:hAnsi="宋体" w:cs="宋体"/>
          <w:bCs/>
          <w:sz w:val="24"/>
        </w:rPr>
        <w:t>4</w:t>
      </w:r>
      <w:r>
        <w:rPr>
          <w:rFonts w:hint="eastAsia" w:ascii="宋体" w:hAnsi="宋体" w:cs="宋体"/>
          <w:bCs/>
          <w:sz w:val="24"/>
          <w:lang w:val="zh-CN"/>
        </w:rPr>
        <w:t>.1.2</w:t>
      </w:r>
      <w:r>
        <w:rPr>
          <w:rFonts w:hint="eastAsia" w:ascii="宋体" w:hAnsi="宋体" w:cs="宋体"/>
          <w:bCs/>
          <w:sz w:val="24"/>
        </w:rPr>
        <w:t>供应商</w:t>
      </w:r>
      <w:r>
        <w:rPr>
          <w:rFonts w:hint="eastAsia" w:ascii="宋体" w:hAnsi="宋体" w:cs="宋体"/>
          <w:bCs/>
          <w:sz w:val="24"/>
          <w:lang w:val="zh-CN"/>
        </w:rPr>
        <w:t>撤回电子投标文件，则认为其不再参与本项目投标活动。</w:t>
      </w:r>
    </w:p>
    <w:p w14:paraId="22AD68AE">
      <w:pPr>
        <w:spacing w:line="360" w:lineRule="auto"/>
        <w:ind w:firstLine="602"/>
        <w:rPr>
          <w:rFonts w:ascii="宋体" w:hAnsi="宋体" w:cs="宋体"/>
          <w:bCs/>
          <w:sz w:val="24"/>
          <w:lang w:val="zh-CN"/>
        </w:rPr>
      </w:pPr>
      <w:r>
        <w:rPr>
          <w:rFonts w:hint="eastAsia" w:ascii="宋体" w:hAnsi="宋体" w:cs="宋体"/>
          <w:bCs/>
          <w:sz w:val="24"/>
          <w:lang w:val="zh-CN"/>
        </w:rPr>
        <w:t>1</w:t>
      </w:r>
      <w:r>
        <w:rPr>
          <w:rFonts w:hint="eastAsia" w:ascii="宋体" w:hAnsi="宋体" w:cs="宋体"/>
          <w:bCs/>
          <w:sz w:val="24"/>
        </w:rPr>
        <w:t>4</w:t>
      </w:r>
      <w:r>
        <w:rPr>
          <w:rFonts w:hint="eastAsia" w:ascii="宋体" w:hAnsi="宋体" w:cs="宋体"/>
          <w:bCs/>
          <w:sz w:val="24"/>
          <w:lang w:val="zh-CN"/>
        </w:rPr>
        <w:t>.2投标文件的修改</w:t>
      </w:r>
    </w:p>
    <w:p w14:paraId="0B560C22">
      <w:pPr>
        <w:spacing w:line="360" w:lineRule="auto"/>
        <w:ind w:firstLine="602"/>
        <w:rPr>
          <w:rFonts w:ascii="宋体" w:hAnsi="宋体" w:cs="宋体"/>
          <w:bCs/>
          <w:sz w:val="24"/>
          <w:lang w:val="zh-CN"/>
        </w:rPr>
      </w:pPr>
      <w:r>
        <w:rPr>
          <w:rFonts w:hint="eastAsia" w:ascii="宋体" w:hAnsi="宋体" w:cs="宋体"/>
          <w:bCs/>
          <w:sz w:val="24"/>
          <w:lang w:val="zh-CN"/>
        </w:rPr>
        <w:t>1</w:t>
      </w:r>
      <w:r>
        <w:rPr>
          <w:rFonts w:hint="eastAsia" w:ascii="宋体" w:hAnsi="宋体" w:cs="宋体"/>
          <w:bCs/>
          <w:sz w:val="24"/>
        </w:rPr>
        <w:t>4</w:t>
      </w:r>
      <w:r>
        <w:rPr>
          <w:rFonts w:hint="eastAsia" w:ascii="宋体" w:hAnsi="宋体" w:cs="宋体"/>
          <w:bCs/>
          <w:sz w:val="24"/>
          <w:lang w:val="zh-CN"/>
        </w:rPr>
        <w:t>.2.1</w:t>
      </w:r>
      <w:r>
        <w:rPr>
          <w:rFonts w:hint="eastAsia" w:ascii="宋体" w:hAnsi="宋体" w:cs="宋体"/>
          <w:bCs/>
          <w:sz w:val="24"/>
        </w:rPr>
        <w:t>供应商</w:t>
      </w:r>
      <w:r>
        <w:rPr>
          <w:rFonts w:hint="eastAsia" w:ascii="宋体" w:hAnsi="宋体" w:cs="宋体"/>
          <w:bCs/>
          <w:sz w:val="24"/>
          <w:lang w:val="zh-CN"/>
        </w:rPr>
        <w:t>可在投标截止时间前对其电子投标文件进行修改，具体操作方法见《操作手册》。</w:t>
      </w:r>
    </w:p>
    <w:p w14:paraId="180A4C68">
      <w:pPr>
        <w:spacing w:line="360" w:lineRule="auto"/>
        <w:ind w:firstLine="602"/>
        <w:rPr>
          <w:rFonts w:ascii="宋体" w:hAnsi="宋体" w:cs="宋体"/>
          <w:bCs/>
          <w:sz w:val="24"/>
          <w:lang w:val="zh-CN"/>
        </w:rPr>
      </w:pPr>
      <w:r>
        <w:rPr>
          <w:rFonts w:hint="eastAsia" w:ascii="宋体" w:hAnsi="宋体" w:cs="宋体"/>
          <w:bCs/>
          <w:sz w:val="24"/>
          <w:lang w:val="zh-CN"/>
        </w:rPr>
        <w:t>1</w:t>
      </w:r>
      <w:r>
        <w:rPr>
          <w:rFonts w:hint="eastAsia" w:ascii="宋体" w:hAnsi="宋体" w:cs="宋体"/>
          <w:bCs/>
          <w:sz w:val="24"/>
        </w:rPr>
        <w:t>4</w:t>
      </w:r>
      <w:r>
        <w:rPr>
          <w:rFonts w:hint="eastAsia" w:ascii="宋体" w:hAnsi="宋体" w:cs="宋体"/>
          <w:bCs/>
          <w:sz w:val="24"/>
          <w:lang w:val="zh-CN"/>
        </w:rPr>
        <w:t>.2.2投标截止时间之后，</w:t>
      </w:r>
      <w:r>
        <w:rPr>
          <w:rFonts w:hint="eastAsia" w:ascii="宋体" w:hAnsi="宋体" w:cs="宋体"/>
          <w:bCs/>
          <w:sz w:val="24"/>
        </w:rPr>
        <w:t>供应商</w:t>
      </w:r>
      <w:r>
        <w:rPr>
          <w:rFonts w:hint="eastAsia" w:ascii="宋体" w:hAnsi="宋体" w:cs="宋体"/>
          <w:bCs/>
          <w:sz w:val="24"/>
          <w:lang w:val="zh-CN"/>
        </w:rPr>
        <w:t>不得对其电子投标文件作任何修改。</w:t>
      </w:r>
    </w:p>
    <w:p w14:paraId="426A4288">
      <w:pPr>
        <w:spacing w:line="360" w:lineRule="auto"/>
        <w:ind w:firstLine="602"/>
        <w:rPr>
          <w:rFonts w:ascii="宋体" w:hAnsi="宋体" w:cs="宋体"/>
          <w:bCs/>
          <w:sz w:val="24"/>
          <w:lang w:val="zh-CN"/>
        </w:rPr>
      </w:pPr>
      <w:r>
        <w:rPr>
          <w:rFonts w:hint="eastAsia" w:ascii="宋体" w:hAnsi="宋体" w:cs="宋体"/>
          <w:bCs/>
          <w:sz w:val="24"/>
          <w:lang w:val="zh-CN"/>
        </w:rPr>
        <w:t>1</w:t>
      </w:r>
      <w:r>
        <w:rPr>
          <w:rFonts w:hint="eastAsia" w:ascii="宋体" w:hAnsi="宋体" w:cs="宋体"/>
          <w:bCs/>
          <w:sz w:val="24"/>
        </w:rPr>
        <w:t>4</w:t>
      </w:r>
      <w:r>
        <w:rPr>
          <w:rFonts w:hint="eastAsia" w:ascii="宋体" w:hAnsi="宋体" w:cs="宋体"/>
          <w:bCs/>
          <w:sz w:val="24"/>
          <w:lang w:val="zh-CN"/>
        </w:rPr>
        <w:t>.3在投标截止时间至招标文件中规定的投标有效期满之间的这段时间内，</w:t>
      </w:r>
      <w:r>
        <w:rPr>
          <w:rFonts w:hint="eastAsia" w:ascii="宋体" w:hAnsi="宋体" w:cs="宋体"/>
          <w:bCs/>
          <w:sz w:val="24"/>
        </w:rPr>
        <w:t>供应商</w:t>
      </w:r>
      <w:r>
        <w:rPr>
          <w:rFonts w:hint="eastAsia" w:ascii="宋体" w:hAnsi="宋体" w:cs="宋体"/>
          <w:bCs/>
          <w:sz w:val="24"/>
          <w:lang w:val="zh-CN"/>
        </w:rPr>
        <w:t>不得撤回其投标。</w:t>
      </w:r>
    </w:p>
    <w:p w14:paraId="64DCE7A8">
      <w:pPr>
        <w:spacing w:line="360" w:lineRule="auto"/>
        <w:ind w:firstLine="602"/>
        <w:rPr>
          <w:rFonts w:ascii="宋体" w:hAnsi="宋体" w:cs="宋体"/>
          <w:b/>
          <w:bCs/>
          <w:sz w:val="24"/>
          <w:lang w:val="zh-CN"/>
        </w:rPr>
      </w:pPr>
      <w:r>
        <w:rPr>
          <w:rFonts w:hint="eastAsia" w:ascii="宋体" w:hAnsi="宋体" w:cs="宋体"/>
          <w:b/>
          <w:bCs/>
          <w:sz w:val="24"/>
          <w:lang w:val="zh-CN"/>
        </w:rPr>
        <w:t>五、开标</w:t>
      </w:r>
      <w:r>
        <w:rPr>
          <w:rFonts w:hint="eastAsia" w:ascii="宋体" w:hAnsi="宋体" w:cs="宋体"/>
          <w:b/>
          <w:bCs/>
          <w:sz w:val="24"/>
        </w:rPr>
        <w:t>与</w:t>
      </w:r>
      <w:r>
        <w:rPr>
          <w:rFonts w:hint="eastAsia" w:ascii="宋体" w:hAnsi="宋体" w:cs="宋体"/>
          <w:b/>
          <w:bCs/>
          <w:sz w:val="24"/>
          <w:lang w:val="zh-CN"/>
        </w:rPr>
        <w:t>评标</w:t>
      </w:r>
    </w:p>
    <w:p w14:paraId="4D2ED174">
      <w:pPr>
        <w:spacing w:line="360" w:lineRule="auto"/>
        <w:ind w:firstLine="600"/>
        <w:rPr>
          <w:rFonts w:ascii="宋体" w:hAnsi="宋体" w:cs="宋体"/>
          <w:b/>
          <w:sz w:val="24"/>
          <w:lang w:val="zh-CN"/>
        </w:rPr>
      </w:pPr>
      <w:r>
        <w:rPr>
          <w:rFonts w:hint="eastAsia" w:ascii="宋体" w:hAnsi="宋体" w:cs="宋体"/>
          <w:b/>
          <w:sz w:val="24"/>
        </w:rPr>
        <w:t>15</w:t>
      </w:r>
      <w:r>
        <w:rPr>
          <w:rFonts w:hint="eastAsia" w:ascii="宋体" w:hAnsi="宋体" w:cs="宋体"/>
          <w:b/>
          <w:sz w:val="24"/>
          <w:lang w:val="zh-CN"/>
        </w:rPr>
        <w:t>、开标</w:t>
      </w:r>
    </w:p>
    <w:p w14:paraId="6224D5B3">
      <w:pPr>
        <w:spacing w:line="360" w:lineRule="auto"/>
        <w:ind w:firstLine="600"/>
        <w:rPr>
          <w:rFonts w:ascii="宋体" w:hAnsi="宋体" w:cs="宋体"/>
          <w:bCs/>
          <w:sz w:val="24"/>
          <w:lang w:val="zh-CN"/>
        </w:rPr>
      </w:pPr>
      <w:r>
        <w:rPr>
          <w:rFonts w:hint="eastAsia" w:ascii="宋体" w:hAnsi="宋体" w:cs="宋体"/>
          <w:bCs/>
          <w:sz w:val="24"/>
        </w:rPr>
        <w:t>15</w:t>
      </w:r>
      <w:r>
        <w:rPr>
          <w:rFonts w:hint="eastAsia" w:ascii="宋体" w:hAnsi="宋体" w:cs="宋体"/>
          <w:bCs/>
          <w:sz w:val="24"/>
          <w:lang w:val="zh-CN"/>
        </w:rPr>
        <w:t>.1</w:t>
      </w:r>
      <w:r>
        <w:rPr>
          <w:rFonts w:hint="eastAsia" w:ascii="宋体" w:hAnsi="宋体" w:cs="宋体"/>
          <w:bCs/>
          <w:sz w:val="24"/>
        </w:rPr>
        <w:t>代理机构</w:t>
      </w:r>
      <w:r>
        <w:rPr>
          <w:rFonts w:hint="eastAsia" w:ascii="宋体" w:hAnsi="宋体" w:cs="宋体"/>
          <w:bCs/>
          <w:sz w:val="24"/>
          <w:lang w:val="zh-CN"/>
        </w:rPr>
        <w:t>在招标公告中规定的时间和地点组织公开开标。</w:t>
      </w:r>
      <w:r>
        <w:rPr>
          <w:rFonts w:hint="eastAsia" w:ascii="宋体" w:hAnsi="宋体" w:cs="宋体"/>
          <w:bCs/>
          <w:sz w:val="24"/>
        </w:rPr>
        <w:t>供应商</w:t>
      </w:r>
      <w:r>
        <w:rPr>
          <w:rFonts w:hint="eastAsia" w:ascii="宋体" w:hAnsi="宋体" w:cs="宋体"/>
          <w:bCs/>
          <w:sz w:val="24"/>
          <w:lang w:val="zh-CN"/>
        </w:rPr>
        <w:t>按照《操作手册》规定参加开标活动，并在苏采云系统规定的时间内对投标文件进行解密。苏采云系统公布各投标人名称和投标价格。</w:t>
      </w:r>
    </w:p>
    <w:p w14:paraId="5840082C">
      <w:pPr>
        <w:spacing w:line="360" w:lineRule="auto"/>
        <w:ind w:firstLine="600"/>
        <w:rPr>
          <w:rFonts w:ascii="宋体" w:hAnsi="宋体" w:cs="宋体"/>
          <w:bCs/>
          <w:sz w:val="24"/>
          <w:lang w:val="zh-CN"/>
        </w:rPr>
      </w:pPr>
      <w:r>
        <w:rPr>
          <w:rFonts w:hint="eastAsia" w:ascii="宋体" w:hAnsi="宋体" w:cs="宋体"/>
          <w:bCs/>
          <w:sz w:val="24"/>
        </w:rPr>
        <w:t>15.2供应商</w:t>
      </w:r>
      <w:r>
        <w:rPr>
          <w:rFonts w:hint="eastAsia" w:ascii="宋体" w:hAnsi="宋体" w:cs="宋体"/>
          <w:bCs/>
          <w:sz w:val="24"/>
          <w:lang w:val="zh-CN"/>
        </w:rPr>
        <w:t>在开标过程中涉及到的投标文件解密、开标结果确认等工作，应按照《操作手册》规定执行。</w:t>
      </w:r>
    </w:p>
    <w:p w14:paraId="763FB3A2">
      <w:pPr>
        <w:spacing w:line="360" w:lineRule="auto"/>
        <w:ind w:firstLine="600"/>
        <w:rPr>
          <w:rFonts w:ascii="宋体" w:hAnsi="宋体" w:cs="宋体"/>
          <w:bCs/>
          <w:sz w:val="24"/>
          <w:lang w:val="zh-CN"/>
        </w:rPr>
      </w:pPr>
      <w:r>
        <w:rPr>
          <w:rFonts w:hint="eastAsia" w:ascii="宋体" w:hAnsi="宋体" w:cs="宋体"/>
          <w:bCs/>
          <w:sz w:val="24"/>
        </w:rPr>
        <w:t>15.3供应商</w:t>
      </w:r>
      <w:r>
        <w:rPr>
          <w:rFonts w:hint="eastAsia" w:ascii="宋体" w:hAnsi="宋体" w:cs="宋体"/>
          <w:bCs/>
          <w:sz w:val="24"/>
          <w:lang w:val="zh-CN"/>
        </w:rPr>
        <w:t>如果对开标过程和开标结果有疑义，应当根据《操作手册》规定提出，苏采云系统中《开标记录表》公布后5分钟内未提出的，视同认可开标结果。</w:t>
      </w:r>
    </w:p>
    <w:p w14:paraId="20C4A495">
      <w:pPr>
        <w:spacing w:line="360" w:lineRule="auto"/>
        <w:ind w:firstLine="600"/>
        <w:rPr>
          <w:rFonts w:ascii="宋体" w:hAnsi="宋体" w:cs="宋体"/>
          <w:bCs/>
          <w:sz w:val="24"/>
          <w:lang w:val="zh-CN"/>
        </w:rPr>
      </w:pPr>
      <w:r>
        <w:rPr>
          <w:rFonts w:hint="eastAsia" w:ascii="宋体" w:hAnsi="宋体" w:cs="宋体"/>
          <w:bCs/>
          <w:sz w:val="24"/>
        </w:rPr>
        <w:t>15.4</w:t>
      </w:r>
      <w:r>
        <w:rPr>
          <w:rFonts w:hint="eastAsia" w:ascii="宋体" w:hAnsi="宋体" w:cs="宋体"/>
          <w:bCs/>
          <w:sz w:val="24"/>
          <w:lang w:val="zh-CN"/>
        </w:rPr>
        <w:t>供应商不足3家的，不得开标。</w:t>
      </w:r>
    </w:p>
    <w:p w14:paraId="76300CCE">
      <w:pPr>
        <w:spacing w:line="360" w:lineRule="auto"/>
        <w:ind w:firstLine="600"/>
        <w:rPr>
          <w:rFonts w:ascii="宋体" w:hAnsi="宋体" w:cs="宋体"/>
          <w:bCs/>
          <w:sz w:val="24"/>
          <w:lang w:val="zh-CN"/>
        </w:rPr>
      </w:pPr>
      <w:r>
        <w:rPr>
          <w:rFonts w:hint="eastAsia" w:ascii="宋体" w:hAnsi="宋体" w:cs="宋体"/>
          <w:bCs/>
          <w:sz w:val="24"/>
        </w:rPr>
        <w:t>15.5</w:t>
      </w:r>
      <w:r>
        <w:rPr>
          <w:rFonts w:hint="eastAsia" w:ascii="宋体" w:hAnsi="宋体" w:cs="宋体"/>
          <w:bCs/>
          <w:sz w:val="24"/>
          <w:lang w:val="zh-CN"/>
        </w:rPr>
        <w:t>公开招标数额标准以上的采购项目，投标截止后供应商不足3家或者通过资格审查或符合性审查的供应商不足3家的，除采购任务取消情形外，按照以下方式处理：</w:t>
      </w:r>
    </w:p>
    <w:p w14:paraId="725D2597">
      <w:pPr>
        <w:spacing w:line="360" w:lineRule="auto"/>
        <w:ind w:firstLine="600"/>
        <w:rPr>
          <w:rFonts w:ascii="宋体" w:hAnsi="宋体" w:cs="宋体"/>
          <w:bCs/>
          <w:sz w:val="24"/>
          <w:lang w:val="zh-CN"/>
        </w:rPr>
      </w:pPr>
      <w:r>
        <w:rPr>
          <w:rFonts w:hint="eastAsia" w:ascii="宋体" w:hAnsi="宋体" w:cs="宋体"/>
          <w:bCs/>
          <w:sz w:val="24"/>
          <w:lang w:val="zh-CN"/>
        </w:rPr>
        <w:t>（1）招标文件存在不合理条款或者招标程序不符合规定的，采购人、采购代理机构改正后依法重新招标；</w:t>
      </w:r>
    </w:p>
    <w:p w14:paraId="0807B0ED">
      <w:pPr>
        <w:spacing w:line="360" w:lineRule="auto"/>
        <w:ind w:firstLine="600"/>
        <w:rPr>
          <w:rFonts w:ascii="宋体" w:hAnsi="宋体" w:cs="宋体"/>
          <w:bCs/>
          <w:sz w:val="24"/>
          <w:lang w:val="zh-CN"/>
        </w:rPr>
      </w:pPr>
      <w:r>
        <w:rPr>
          <w:rFonts w:hint="eastAsia" w:ascii="宋体" w:hAnsi="宋体" w:cs="宋体"/>
          <w:bCs/>
          <w:sz w:val="24"/>
          <w:lang w:val="zh-CN"/>
        </w:rPr>
        <w:t>（2）招标文件没有不合理条款、招标程序符合规定，需要采用其他采购方式采购的，采购人依法报财政部门批准，经批准后，可变更为其他采购方式采购。本次招标文件中对供应商资格条件、技术和商务等要求，将作为其他采购方式采购的基本要求和谈判依据。</w:t>
      </w:r>
    </w:p>
    <w:p w14:paraId="09854156">
      <w:pPr>
        <w:spacing w:line="360" w:lineRule="auto"/>
        <w:ind w:firstLine="602"/>
        <w:rPr>
          <w:rFonts w:ascii="宋体" w:hAnsi="宋体" w:cs="宋体"/>
          <w:b/>
          <w:bCs/>
          <w:sz w:val="24"/>
          <w:lang w:val="zh-CN"/>
        </w:rPr>
      </w:pPr>
      <w:r>
        <w:rPr>
          <w:rFonts w:hint="eastAsia" w:ascii="宋体" w:hAnsi="宋体" w:cs="宋体"/>
          <w:b/>
          <w:bCs/>
          <w:sz w:val="24"/>
        </w:rPr>
        <w:t>16</w:t>
      </w:r>
      <w:r>
        <w:rPr>
          <w:rFonts w:hint="eastAsia" w:ascii="宋体" w:hAnsi="宋体" w:cs="宋体"/>
          <w:b/>
          <w:bCs/>
          <w:sz w:val="24"/>
          <w:lang w:val="zh-CN"/>
        </w:rPr>
        <w:t>、评标</w:t>
      </w:r>
    </w:p>
    <w:p w14:paraId="263A8E89">
      <w:pPr>
        <w:spacing w:line="360" w:lineRule="auto"/>
        <w:ind w:firstLine="600"/>
        <w:rPr>
          <w:rFonts w:ascii="宋体" w:hAnsi="宋体" w:cs="宋体"/>
          <w:bCs/>
          <w:sz w:val="24"/>
          <w:lang w:val="zh-CN"/>
        </w:rPr>
      </w:pPr>
      <w:r>
        <w:rPr>
          <w:rFonts w:hint="eastAsia" w:ascii="宋体" w:hAnsi="宋体" w:cs="宋体"/>
          <w:bCs/>
          <w:sz w:val="24"/>
        </w:rPr>
        <w:t>16.1</w:t>
      </w:r>
      <w:r>
        <w:rPr>
          <w:rFonts w:hint="eastAsia" w:ascii="宋体" w:hAnsi="宋体" w:cs="宋体"/>
          <w:bCs/>
          <w:sz w:val="24"/>
          <w:lang w:val="zh-CN"/>
        </w:rPr>
        <w:t>评标由</w:t>
      </w:r>
      <w:r>
        <w:rPr>
          <w:rFonts w:hint="eastAsia" w:ascii="宋体" w:hAnsi="宋体" w:cs="宋体"/>
          <w:bCs/>
          <w:sz w:val="24"/>
        </w:rPr>
        <w:t>代理机构</w:t>
      </w:r>
      <w:r>
        <w:rPr>
          <w:rFonts w:hint="eastAsia" w:ascii="宋体" w:hAnsi="宋体" w:cs="宋体"/>
          <w:bCs/>
          <w:sz w:val="24"/>
          <w:lang w:val="zh-CN"/>
        </w:rPr>
        <w:t>组织评标委员会进行。</w:t>
      </w:r>
    </w:p>
    <w:p w14:paraId="1A80DD3C">
      <w:pPr>
        <w:spacing w:line="360" w:lineRule="auto"/>
        <w:ind w:firstLine="600"/>
        <w:rPr>
          <w:rFonts w:ascii="宋体" w:hAnsi="宋体" w:cs="宋体"/>
          <w:bCs/>
          <w:sz w:val="24"/>
          <w:lang w:val="zh-CN"/>
        </w:rPr>
      </w:pPr>
      <w:r>
        <w:rPr>
          <w:rFonts w:hint="eastAsia" w:ascii="宋体" w:hAnsi="宋体" w:cs="宋体"/>
          <w:bCs/>
          <w:sz w:val="24"/>
        </w:rPr>
        <w:t>16.2</w:t>
      </w:r>
      <w:r>
        <w:rPr>
          <w:rFonts w:hint="eastAsia" w:ascii="宋体" w:hAnsi="宋体" w:cs="宋体"/>
          <w:bCs/>
          <w:sz w:val="24"/>
          <w:lang w:val="zh-CN"/>
        </w:rPr>
        <w:t>评标委员会由采购人代表和有关技术、经济等方面的专家组成，且人员构成符合政府采购有关规定。</w:t>
      </w:r>
    </w:p>
    <w:p w14:paraId="2ECBBF04">
      <w:pPr>
        <w:spacing w:line="360" w:lineRule="auto"/>
        <w:ind w:firstLine="600"/>
        <w:rPr>
          <w:rFonts w:ascii="宋体" w:hAnsi="宋体" w:cs="宋体"/>
          <w:bCs/>
          <w:sz w:val="24"/>
          <w:lang w:val="zh-CN"/>
        </w:rPr>
      </w:pPr>
      <w:r>
        <w:rPr>
          <w:rFonts w:hint="eastAsia" w:ascii="宋体" w:hAnsi="宋体" w:cs="宋体"/>
          <w:bCs/>
          <w:sz w:val="24"/>
        </w:rPr>
        <w:t>16</w:t>
      </w:r>
      <w:r>
        <w:rPr>
          <w:rFonts w:hint="eastAsia" w:ascii="宋体" w:hAnsi="宋体" w:cs="宋体"/>
          <w:bCs/>
          <w:sz w:val="24"/>
          <w:lang w:val="zh-CN"/>
        </w:rPr>
        <w:t>.</w:t>
      </w:r>
      <w:r>
        <w:rPr>
          <w:rFonts w:hint="eastAsia" w:ascii="宋体" w:hAnsi="宋体" w:cs="宋体"/>
          <w:bCs/>
          <w:sz w:val="24"/>
        </w:rPr>
        <w:t>2</w:t>
      </w:r>
      <w:r>
        <w:rPr>
          <w:rFonts w:hint="eastAsia" w:ascii="宋体" w:hAnsi="宋体" w:cs="宋体"/>
          <w:bCs/>
          <w:sz w:val="24"/>
          <w:lang w:val="zh-CN"/>
        </w:rPr>
        <w:t>.1评标委员会负责具体评标事务，并独立履行下列职责：</w:t>
      </w:r>
    </w:p>
    <w:p w14:paraId="3733ACA0">
      <w:pPr>
        <w:spacing w:line="360" w:lineRule="auto"/>
        <w:ind w:firstLine="600"/>
        <w:rPr>
          <w:rFonts w:ascii="宋体" w:hAnsi="宋体" w:cs="宋体"/>
          <w:bCs/>
          <w:sz w:val="24"/>
          <w:lang w:val="zh-CN"/>
        </w:rPr>
      </w:pPr>
      <w:r>
        <w:rPr>
          <w:rFonts w:hint="eastAsia" w:ascii="宋体" w:hAnsi="宋体" w:cs="宋体"/>
          <w:bCs/>
          <w:sz w:val="24"/>
          <w:lang w:val="zh-CN"/>
        </w:rPr>
        <w:t>（</w:t>
      </w:r>
      <w:r>
        <w:rPr>
          <w:rFonts w:hint="eastAsia" w:ascii="宋体" w:hAnsi="宋体" w:cs="宋体"/>
          <w:bCs/>
          <w:sz w:val="24"/>
        </w:rPr>
        <w:t>1</w:t>
      </w:r>
      <w:r>
        <w:rPr>
          <w:rFonts w:hint="eastAsia" w:ascii="宋体" w:hAnsi="宋体" w:cs="宋体"/>
          <w:bCs/>
          <w:sz w:val="24"/>
          <w:lang w:val="zh-CN"/>
        </w:rPr>
        <w:t>）审查、评价投标文件是否符合招标文件的商务、技术等实质性要求；</w:t>
      </w:r>
    </w:p>
    <w:p w14:paraId="6731AF97">
      <w:pPr>
        <w:spacing w:line="360" w:lineRule="auto"/>
        <w:ind w:firstLine="600"/>
        <w:rPr>
          <w:rFonts w:ascii="宋体" w:hAnsi="宋体" w:cs="宋体"/>
          <w:bCs/>
          <w:sz w:val="24"/>
          <w:lang w:val="zh-CN"/>
        </w:rPr>
      </w:pPr>
      <w:r>
        <w:rPr>
          <w:rFonts w:hint="eastAsia" w:ascii="宋体" w:hAnsi="宋体" w:cs="宋体"/>
          <w:bCs/>
          <w:sz w:val="24"/>
          <w:lang w:val="zh-CN"/>
        </w:rPr>
        <w:t>（</w:t>
      </w:r>
      <w:r>
        <w:rPr>
          <w:rFonts w:hint="eastAsia" w:ascii="宋体" w:hAnsi="宋体" w:cs="宋体"/>
          <w:bCs/>
          <w:sz w:val="24"/>
        </w:rPr>
        <w:t>2</w:t>
      </w:r>
      <w:r>
        <w:rPr>
          <w:rFonts w:hint="eastAsia" w:ascii="宋体" w:hAnsi="宋体" w:cs="宋体"/>
          <w:bCs/>
          <w:sz w:val="24"/>
          <w:lang w:val="zh-CN"/>
        </w:rPr>
        <w:t>）要求供应商对投标文件有关事项作出澄清或者说明；</w:t>
      </w:r>
    </w:p>
    <w:p w14:paraId="3F318300">
      <w:pPr>
        <w:spacing w:line="360" w:lineRule="auto"/>
        <w:ind w:firstLine="600"/>
        <w:rPr>
          <w:rFonts w:ascii="宋体" w:hAnsi="宋体" w:cs="宋体"/>
          <w:bCs/>
          <w:sz w:val="24"/>
          <w:lang w:val="zh-CN"/>
        </w:rPr>
      </w:pPr>
      <w:r>
        <w:rPr>
          <w:rFonts w:hint="eastAsia" w:ascii="宋体" w:hAnsi="宋体" w:cs="宋体"/>
          <w:bCs/>
          <w:sz w:val="24"/>
          <w:lang w:val="zh-CN"/>
        </w:rPr>
        <w:t>（</w:t>
      </w:r>
      <w:r>
        <w:rPr>
          <w:rFonts w:hint="eastAsia" w:ascii="宋体" w:hAnsi="宋体" w:cs="宋体"/>
          <w:bCs/>
          <w:sz w:val="24"/>
        </w:rPr>
        <w:t>3</w:t>
      </w:r>
      <w:r>
        <w:rPr>
          <w:rFonts w:hint="eastAsia" w:ascii="宋体" w:hAnsi="宋体" w:cs="宋体"/>
          <w:bCs/>
          <w:sz w:val="24"/>
          <w:lang w:val="zh-CN"/>
        </w:rPr>
        <w:t>）对投标文件进行比较和评价；</w:t>
      </w:r>
    </w:p>
    <w:p w14:paraId="2BD7B2CB">
      <w:pPr>
        <w:spacing w:line="360" w:lineRule="auto"/>
        <w:ind w:firstLine="600"/>
        <w:rPr>
          <w:rFonts w:ascii="宋体" w:hAnsi="宋体" w:cs="宋体"/>
          <w:bCs/>
          <w:sz w:val="24"/>
          <w:lang w:val="zh-CN"/>
        </w:rPr>
      </w:pPr>
      <w:r>
        <w:rPr>
          <w:rFonts w:hint="eastAsia" w:ascii="宋体" w:hAnsi="宋体" w:cs="宋体"/>
          <w:bCs/>
          <w:sz w:val="24"/>
          <w:lang w:val="zh-CN"/>
        </w:rPr>
        <w:t>（</w:t>
      </w:r>
      <w:r>
        <w:rPr>
          <w:rFonts w:hint="eastAsia" w:ascii="宋体" w:hAnsi="宋体" w:cs="宋体"/>
          <w:bCs/>
          <w:sz w:val="24"/>
        </w:rPr>
        <w:t>4</w:t>
      </w:r>
      <w:r>
        <w:rPr>
          <w:rFonts w:hint="eastAsia" w:ascii="宋体" w:hAnsi="宋体" w:cs="宋体"/>
          <w:bCs/>
          <w:sz w:val="24"/>
          <w:lang w:val="zh-CN"/>
        </w:rPr>
        <w:t>）确定中标候选人名单，以及根据采购人委托直接确定中标单位；</w:t>
      </w:r>
    </w:p>
    <w:p w14:paraId="6E904BD9">
      <w:pPr>
        <w:spacing w:line="360" w:lineRule="auto"/>
        <w:ind w:firstLine="600"/>
        <w:rPr>
          <w:rFonts w:ascii="宋体" w:hAnsi="宋体" w:cs="宋体"/>
          <w:bCs/>
          <w:sz w:val="24"/>
          <w:lang w:val="zh-CN"/>
        </w:rPr>
      </w:pPr>
      <w:r>
        <w:rPr>
          <w:rFonts w:hint="eastAsia" w:ascii="宋体" w:hAnsi="宋体" w:cs="宋体"/>
          <w:bCs/>
          <w:sz w:val="24"/>
          <w:lang w:val="zh-CN"/>
        </w:rPr>
        <w:t>（</w:t>
      </w:r>
      <w:r>
        <w:rPr>
          <w:rFonts w:hint="eastAsia" w:ascii="宋体" w:hAnsi="宋体" w:cs="宋体"/>
          <w:bCs/>
          <w:sz w:val="24"/>
        </w:rPr>
        <w:t>5</w:t>
      </w:r>
      <w:r>
        <w:rPr>
          <w:rFonts w:hint="eastAsia" w:ascii="宋体" w:hAnsi="宋体" w:cs="宋体"/>
          <w:bCs/>
          <w:sz w:val="24"/>
          <w:lang w:val="zh-CN"/>
        </w:rPr>
        <w:t>）向采购人、采购代理机构或者有关部门报告评标中发现的违法行为。</w:t>
      </w:r>
    </w:p>
    <w:p w14:paraId="60253ED7">
      <w:pPr>
        <w:spacing w:line="360" w:lineRule="auto"/>
        <w:ind w:firstLine="600"/>
        <w:rPr>
          <w:rFonts w:ascii="宋体" w:hAnsi="宋体" w:cs="宋体"/>
          <w:bCs/>
          <w:sz w:val="24"/>
          <w:lang w:val="zh-CN"/>
        </w:rPr>
      </w:pPr>
      <w:r>
        <w:rPr>
          <w:rFonts w:hint="eastAsia" w:ascii="宋体" w:hAnsi="宋体" w:cs="宋体"/>
          <w:bCs/>
          <w:sz w:val="24"/>
        </w:rPr>
        <w:t>16.3</w:t>
      </w:r>
      <w:r>
        <w:rPr>
          <w:rFonts w:hint="eastAsia" w:ascii="宋体" w:hAnsi="宋体" w:cs="宋体"/>
          <w:bCs/>
          <w:sz w:val="24"/>
          <w:lang w:val="zh-CN"/>
        </w:rPr>
        <w:t>评标委员会独立工作，负责评审所有投标文件并推荐中标候选人，或根据采购人授权直接确定中标人。</w:t>
      </w:r>
    </w:p>
    <w:p w14:paraId="581CC76F">
      <w:pPr>
        <w:spacing w:line="360" w:lineRule="auto"/>
        <w:ind w:firstLine="600"/>
        <w:rPr>
          <w:rFonts w:ascii="宋体" w:hAnsi="宋体" w:cs="宋体"/>
          <w:b/>
          <w:sz w:val="24"/>
          <w:lang w:val="zh-CN"/>
        </w:rPr>
      </w:pPr>
      <w:r>
        <w:rPr>
          <w:rFonts w:hint="eastAsia" w:ascii="宋体" w:hAnsi="宋体" w:cs="宋体"/>
          <w:b/>
          <w:sz w:val="24"/>
        </w:rPr>
        <w:t>17、</w:t>
      </w:r>
      <w:r>
        <w:rPr>
          <w:rFonts w:hint="eastAsia" w:ascii="宋体" w:hAnsi="宋体" w:cs="宋体"/>
          <w:b/>
          <w:sz w:val="24"/>
          <w:lang w:val="zh-CN"/>
        </w:rPr>
        <w:t>评标过程的保密与公正</w:t>
      </w:r>
    </w:p>
    <w:p w14:paraId="1CC81C3E">
      <w:pPr>
        <w:spacing w:line="360" w:lineRule="auto"/>
        <w:ind w:firstLine="600"/>
        <w:rPr>
          <w:rFonts w:ascii="宋体" w:hAnsi="宋体" w:cs="宋体"/>
          <w:sz w:val="24"/>
          <w:lang w:val="zh-CN"/>
        </w:rPr>
      </w:pPr>
      <w:r>
        <w:rPr>
          <w:rFonts w:hint="eastAsia" w:ascii="宋体" w:hAnsi="宋体" w:cs="宋体"/>
          <w:sz w:val="24"/>
        </w:rPr>
        <w:t>17.1</w:t>
      </w:r>
      <w:r>
        <w:rPr>
          <w:rFonts w:hint="eastAsia" w:ascii="宋体" w:hAnsi="宋体" w:cs="宋体"/>
          <w:sz w:val="24"/>
          <w:lang w:val="zh-CN"/>
        </w:rPr>
        <w:t>采购人和采购代理机构将采取必要措施，保证评标在严格保密的情况下进行。</w:t>
      </w:r>
    </w:p>
    <w:p w14:paraId="29EE9449">
      <w:pPr>
        <w:spacing w:line="360" w:lineRule="auto"/>
        <w:ind w:firstLine="600"/>
        <w:rPr>
          <w:rFonts w:ascii="宋体" w:hAnsi="宋体" w:cs="宋体"/>
          <w:bCs/>
          <w:sz w:val="24"/>
          <w:lang w:val="zh-CN"/>
        </w:rPr>
      </w:pPr>
      <w:r>
        <w:rPr>
          <w:rFonts w:hint="eastAsia" w:ascii="宋体" w:hAnsi="宋体" w:cs="宋体"/>
          <w:bCs/>
          <w:sz w:val="24"/>
        </w:rPr>
        <w:t>17.2</w:t>
      </w:r>
      <w:r>
        <w:rPr>
          <w:rFonts w:hint="eastAsia" w:ascii="宋体" w:hAnsi="宋体" w:cs="宋体"/>
          <w:bCs/>
          <w:sz w:val="24"/>
          <w:lang w:val="zh-CN"/>
        </w:rPr>
        <w:t>凡是与审查、澄清、评价和比较投标的有关资料以及授标建议等，采购人、评委、</w:t>
      </w:r>
      <w:r>
        <w:rPr>
          <w:rFonts w:hint="eastAsia" w:ascii="宋体" w:hAnsi="宋体" w:cs="宋体"/>
          <w:bCs/>
          <w:sz w:val="24"/>
        </w:rPr>
        <w:t>代理机构</w:t>
      </w:r>
      <w:r>
        <w:rPr>
          <w:rFonts w:hint="eastAsia" w:ascii="宋体" w:hAnsi="宋体" w:cs="宋体"/>
          <w:bCs/>
          <w:sz w:val="24"/>
          <w:lang w:val="zh-CN"/>
        </w:rPr>
        <w:t>均不得向投标人或与评标无关的其他人员透露。</w:t>
      </w:r>
    </w:p>
    <w:p w14:paraId="6A5F713E">
      <w:pPr>
        <w:spacing w:line="360" w:lineRule="auto"/>
        <w:ind w:firstLine="600"/>
        <w:rPr>
          <w:rFonts w:ascii="宋体" w:hAnsi="宋体" w:cs="宋体"/>
          <w:bCs/>
          <w:sz w:val="24"/>
          <w:lang w:val="zh-CN"/>
        </w:rPr>
      </w:pPr>
      <w:r>
        <w:rPr>
          <w:rFonts w:hint="eastAsia" w:ascii="宋体" w:hAnsi="宋体" w:cs="宋体"/>
          <w:sz w:val="24"/>
        </w:rPr>
        <w:t>17.3</w:t>
      </w:r>
      <w:r>
        <w:rPr>
          <w:rFonts w:hint="eastAsia" w:ascii="宋体" w:hAnsi="宋体" w:cs="宋体"/>
          <w:sz w:val="24"/>
          <w:lang w:val="zh-CN"/>
        </w:rPr>
        <w:t>任何单位和个人不得非法干预、影响评标办法的确定，以及评标过程和结果。</w:t>
      </w:r>
    </w:p>
    <w:p w14:paraId="06F8D7B9">
      <w:pPr>
        <w:spacing w:line="360" w:lineRule="auto"/>
        <w:ind w:firstLine="600"/>
        <w:rPr>
          <w:rFonts w:ascii="宋体" w:hAnsi="宋体" w:cs="宋体"/>
          <w:bCs/>
          <w:sz w:val="24"/>
          <w:lang w:val="zh-CN"/>
        </w:rPr>
      </w:pPr>
      <w:r>
        <w:rPr>
          <w:rFonts w:hint="eastAsia" w:ascii="宋体" w:hAnsi="宋体" w:cs="宋体"/>
          <w:bCs/>
          <w:sz w:val="24"/>
        </w:rPr>
        <w:t>17.4供应商</w:t>
      </w:r>
      <w:r>
        <w:rPr>
          <w:rFonts w:hint="eastAsia" w:ascii="宋体" w:hAnsi="宋体" w:cs="宋体"/>
          <w:bCs/>
          <w:sz w:val="24"/>
          <w:lang w:val="zh-CN"/>
        </w:rPr>
        <w:t>不得以任何方式影响评标，否则其投标文件将被作为无效投标文件。</w:t>
      </w:r>
    </w:p>
    <w:p w14:paraId="7C49884A">
      <w:pPr>
        <w:spacing w:line="360" w:lineRule="auto"/>
        <w:ind w:firstLine="600"/>
        <w:rPr>
          <w:rFonts w:ascii="宋体" w:hAnsi="宋体" w:cs="宋体"/>
          <w:bCs/>
          <w:sz w:val="24"/>
          <w:lang w:val="zh-CN"/>
        </w:rPr>
      </w:pPr>
      <w:r>
        <w:rPr>
          <w:rFonts w:hint="eastAsia" w:ascii="宋体" w:hAnsi="宋体" w:cs="宋体"/>
          <w:bCs/>
          <w:sz w:val="24"/>
        </w:rPr>
        <w:t>17.5代理机构</w:t>
      </w:r>
      <w:r>
        <w:rPr>
          <w:rFonts w:hint="eastAsia" w:ascii="宋体" w:hAnsi="宋体" w:cs="宋体"/>
          <w:bCs/>
          <w:sz w:val="24"/>
          <w:lang w:val="zh-CN"/>
        </w:rPr>
        <w:t>和评标委员会不向未中标的投标人解释未中标原因，也不公布评标过程中的相关细节。</w:t>
      </w:r>
    </w:p>
    <w:p w14:paraId="3EFE6E9E">
      <w:pPr>
        <w:spacing w:line="360" w:lineRule="auto"/>
        <w:ind w:firstLine="600"/>
        <w:rPr>
          <w:rFonts w:ascii="宋体" w:hAnsi="宋体" w:cs="宋体"/>
          <w:bCs/>
          <w:sz w:val="24"/>
          <w:lang w:val="zh-CN"/>
        </w:rPr>
      </w:pPr>
      <w:r>
        <w:rPr>
          <w:rFonts w:hint="eastAsia" w:ascii="宋体" w:hAnsi="宋体" w:cs="宋体"/>
          <w:bCs/>
          <w:sz w:val="24"/>
        </w:rPr>
        <w:t>17.6</w:t>
      </w:r>
      <w:r>
        <w:rPr>
          <w:rFonts w:hint="eastAsia" w:ascii="宋体" w:hAnsi="宋体" w:cs="宋体"/>
          <w:bCs/>
          <w:sz w:val="24"/>
          <w:lang w:val="zh-CN"/>
        </w:rPr>
        <w:t>采用综合评分法的项目，未中标的投标人可于中标结果公告期限届满之日起通过苏采云系统查看本单位的评审得分及排名情况。</w:t>
      </w:r>
    </w:p>
    <w:p w14:paraId="603B15DF">
      <w:pPr>
        <w:spacing w:line="360" w:lineRule="auto"/>
        <w:ind w:firstLine="600"/>
        <w:rPr>
          <w:rFonts w:ascii="宋体" w:hAnsi="宋体" w:cs="宋体"/>
          <w:b/>
          <w:sz w:val="24"/>
          <w:lang w:val="zh-CN"/>
        </w:rPr>
      </w:pPr>
      <w:r>
        <w:rPr>
          <w:rFonts w:hint="eastAsia" w:ascii="宋体" w:hAnsi="宋体" w:cs="宋体"/>
          <w:b/>
          <w:sz w:val="24"/>
        </w:rPr>
        <w:t>18、</w:t>
      </w:r>
      <w:r>
        <w:rPr>
          <w:rFonts w:hint="eastAsia" w:ascii="宋体" w:hAnsi="宋体" w:cs="宋体"/>
          <w:b/>
          <w:sz w:val="24"/>
          <w:lang w:val="zh-CN"/>
        </w:rPr>
        <w:t>投标文件的澄清</w:t>
      </w:r>
    </w:p>
    <w:p w14:paraId="4C1A5347">
      <w:pPr>
        <w:spacing w:line="360" w:lineRule="auto"/>
        <w:ind w:firstLine="600"/>
        <w:rPr>
          <w:rFonts w:ascii="宋体" w:hAnsi="宋体" w:cs="宋体"/>
          <w:bCs/>
          <w:sz w:val="24"/>
          <w:lang w:val="zh-CN"/>
        </w:rPr>
      </w:pPr>
      <w:r>
        <w:rPr>
          <w:rFonts w:hint="eastAsia" w:ascii="宋体" w:hAnsi="宋体" w:cs="宋体"/>
          <w:bCs/>
          <w:sz w:val="24"/>
        </w:rPr>
        <w:t>18.1</w:t>
      </w:r>
      <w:r>
        <w:rPr>
          <w:rFonts w:hint="eastAsia" w:ascii="宋体" w:hAnsi="宋体" w:cs="宋体"/>
          <w:bCs/>
          <w:sz w:val="24"/>
          <w:lang w:val="zh-CN"/>
        </w:rPr>
        <w:t>评标期间，评标委员会对投标文件中含义不明确、同类问题表述不一致或者有明显文字和计算错误的内容，有权要求投标人作出必要的澄清、说明或者补正。</w:t>
      </w:r>
    </w:p>
    <w:p w14:paraId="60F77F80">
      <w:pPr>
        <w:spacing w:line="360" w:lineRule="auto"/>
        <w:ind w:firstLine="600"/>
        <w:rPr>
          <w:rFonts w:ascii="宋体" w:hAnsi="宋体" w:cs="宋体"/>
          <w:bCs/>
          <w:sz w:val="24"/>
          <w:lang w:val="zh-CN"/>
        </w:rPr>
      </w:pPr>
      <w:r>
        <w:rPr>
          <w:rFonts w:hint="eastAsia" w:ascii="宋体" w:hAnsi="宋体" w:cs="宋体"/>
          <w:bCs/>
          <w:sz w:val="24"/>
          <w:lang w:val="zh-CN"/>
        </w:rPr>
        <w:t>投标人的澄清、说明或者补正不得超出投标文件的范围或者改变投标文件的实质性内容。</w:t>
      </w:r>
    </w:p>
    <w:p w14:paraId="1B01C05F">
      <w:pPr>
        <w:spacing w:line="360" w:lineRule="auto"/>
        <w:ind w:firstLine="600"/>
        <w:rPr>
          <w:rFonts w:ascii="宋体" w:hAnsi="宋体" w:cs="宋体"/>
          <w:bCs/>
          <w:sz w:val="24"/>
          <w:lang w:val="zh-CN"/>
        </w:rPr>
      </w:pPr>
      <w:r>
        <w:rPr>
          <w:rFonts w:hint="eastAsia" w:ascii="宋体" w:hAnsi="宋体" w:cs="宋体"/>
          <w:bCs/>
          <w:sz w:val="24"/>
          <w:lang w:val="zh-CN"/>
        </w:rPr>
        <w:t>评委会并非对每个投标人都做澄清要求。</w:t>
      </w:r>
    </w:p>
    <w:p w14:paraId="21CE63A8">
      <w:pPr>
        <w:spacing w:line="360" w:lineRule="auto"/>
        <w:ind w:firstLine="600"/>
        <w:rPr>
          <w:rFonts w:ascii="宋体" w:hAnsi="宋体" w:cs="宋体"/>
          <w:bCs/>
          <w:sz w:val="24"/>
          <w:lang w:val="zh-CN"/>
        </w:rPr>
      </w:pPr>
      <w:r>
        <w:rPr>
          <w:rFonts w:hint="eastAsia" w:ascii="宋体" w:hAnsi="宋体" w:cs="宋体"/>
          <w:bCs/>
          <w:sz w:val="24"/>
        </w:rPr>
        <w:t>18.2</w:t>
      </w:r>
      <w:r>
        <w:rPr>
          <w:rFonts w:hint="eastAsia" w:ascii="宋体" w:hAnsi="宋体" w:cs="宋体"/>
          <w:bCs/>
          <w:sz w:val="24"/>
          <w:lang w:val="zh-CN"/>
        </w:rPr>
        <w:t>需要供应商进行澄清、说明和补正的，评委会将通过苏采云系统向</w:t>
      </w:r>
      <w:r>
        <w:rPr>
          <w:rFonts w:hint="eastAsia" w:ascii="宋体" w:hAnsi="宋体" w:cs="宋体"/>
          <w:bCs/>
          <w:sz w:val="24"/>
        </w:rPr>
        <w:t>供应商</w:t>
      </w:r>
      <w:r>
        <w:rPr>
          <w:rFonts w:hint="eastAsia" w:ascii="宋体" w:hAnsi="宋体" w:cs="宋体"/>
          <w:bCs/>
          <w:sz w:val="24"/>
          <w:lang w:val="zh-CN"/>
        </w:rPr>
        <w:t>发出《澄清要求函》，接到《澄清要求函》的</w:t>
      </w:r>
      <w:r>
        <w:rPr>
          <w:rFonts w:hint="eastAsia" w:ascii="宋体" w:hAnsi="宋体" w:cs="宋体"/>
          <w:bCs/>
          <w:sz w:val="24"/>
        </w:rPr>
        <w:t>供应商</w:t>
      </w:r>
      <w:r>
        <w:rPr>
          <w:rFonts w:hint="eastAsia" w:ascii="宋体" w:hAnsi="宋体" w:cs="宋体"/>
          <w:bCs/>
          <w:sz w:val="24"/>
          <w:lang w:val="zh-CN"/>
        </w:rPr>
        <w:t>应当按照要求在苏采云系统中提交《澄清响应函》并加盖电子公章。澄清、说明和补正的内容作为投标文件的补充部分，具体操作方式见《操作手册》。</w:t>
      </w:r>
    </w:p>
    <w:p w14:paraId="49D63B45">
      <w:pPr>
        <w:spacing w:line="360" w:lineRule="auto"/>
        <w:ind w:firstLine="600"/>
        <w:rPr>
          <w:rFonts w:ascii="宋体" w:hAnsi="宋体" w:cs="宋体"/>
          <w:bCs/>
          <w:sz w:val="24"/>
          <w:lang w:val="zh-CN"/>
        </w:rPr>
      </w:pPr>
      <w:r>
        <w:rPr>
          <w:rFonts w:hint="eastAsia" w:ascii="宋体" w:hAnsi="宋体" w:cs="宋体"/>
          <w:bCs/>
          <w:sz w:val="24"/>
        </w:rPr>
        <w:t>18.3</w:t>
      </w:r>
      <w:r>
        <w:rPr>
          <w:rFonts w:hint="eastAsia" w:ascii="宋体" w:hAnsi="宋体" w:cs="宋体"/>
          <w:bCs/>
          <w:sz w:val="24"/>
          <w:lang w:val="zh-CN"/>
        </w:rPr>
        <w:t>接到评委会澄清、说明和补正要求的，</w:t>
      </w:r>
      <w:r>
        <w:rPr>
          <w:rFonts w:hint="eastAsia" w:ascii="宋体" w:hAnsi="宋体" w:cs="宋体"/>
          <w:bCs/>
          <w:sz w:val="24"/>
        </w:rPr>
        <w:t>供应商</w:t>
      </w:r>
      <w:r>
        <w:rPr>
          <w:rFonts w:hint="eastAsia" w:ascii="宋体" w:hAnsi="宋体" w:cs="宋体"/>
          <w:bCs/>
          <w:sz w:val="24"/>
          <w:lang w:val="zh-CN"/>
        </w:rPr>
        <w:t>如未按规定作出澄清、说明和补正，其风险由</w:t>
      </w:r>
      <w:r>
        <w:rPr>
          <w:rFonts w:hint="eastAsia" w:ascii="宋体" w:hAnsi="宋体" w:cs="宋体"/>
          <w:bCs/>
          <w:sz w:val="24"/>
        </w:rPr>
        <w:t>供应商</w:t>
      </w:r>
      <w:r>
        <w:rPr>
          <w:rFonts w:hint="eastAsia" w:ascii="宋体" w:hAnsi="宋体" w:cs="宋体"/>
          <w:bCs/>
          <w:sz w:val="24"/>
          <w:lang w:val="zh-CN"/>
        </w:rPr>
        <w:t>自行承担。</w:t>
      </w:r>
    </w:p>
    <w:p w14:paraId="6CB94F60">
      <w:pPr>
        <w:spacing w:line="360" w:lineRule="auto"/>
        <w:ind w:firstLine="600"/>
        <w:rPr>
          <w:rFonts w:ascii="宋体" w:hAnsi="宋体" w:cs="宋体"/>
          <w:b/>
          <w:sz w:val="24"/>
        </w:rPr>
      </w:pPr>
      <w:r>
        <w:rPr>
          <w:rFonts w:hint="eastAsia" w:ascii="宋体" w:hAnsi="宋体" w:cs="宋体"/>
          <w:bCs/>
          <w:sz w:val="24"/>
        </w:rPr>
        <w:t>18.4</w:t>
      </w:r>
      <w:r>
        <w:rPr>
          <w:rFonts w:hint="eastAsia" w:ascii="宋体" w:hAnsi="宋体" w:cs="宋体"/>
          <w:bCs/>
          <w:sz w:val="24"/>
          <w:lang w:val="zh-CN"/>
        </w:rPr>
        <w:t>评标委员会认为供应商的报价明显低于其他通过符合性审查供应商的报价，有可能影响产品质量或者不能诚信履约的，将要求其在</w:t>
      </w:r>
      <w:r>
        <w:rPr>
          <w:rFonts w:hint="eastAsia" w:ascii="宋体" w:hAnsi="宋体" w:cs="宋体"/>
          <w:bCs/>
          <w:sz w:val="24"/>
        </w:rPr>
        <w:t>苏采云系统</w:t>
      </w:r>
      <w:r>
        <w:rPr>
          <w:rFonts w:hint="eastAsia" w:ascii="宋体" w:hAnsi="宋体" w:cs="宋体"/>
          <w:bCs/>
          <w:sz w:val="24"/>
          <w:lang w:val="zh-CN"/>
        </w:rPr>
        <w:t>合理的时间内提供书面说明，必要时提交相关证明材料；供应商不能证明其报价合理性的，评标委员会将其作为无效投标处理。</w:t>
      </w:r>
    </w:p>
    <w:p w14:paraId="5F1193EB">
      <w:pPr>
        <w:spacing w:line="360" w:lineRule="auto"/>
        <w:ind w:firstLine="600"/>
        <w:rPr>
          <w:rFonts w:ascii="宋体" w:hAnsi="宋体" w:cs="宋体"/>
          <w:b/>
          <w:sz w:val="24"/>
        </w:rPr>
      </w:pPr>
      <w:r>
        <w:rPr>
          <w:rFonts w:hint="eastAsia" w:ascii="宋体" w:hAnsi="宋体" w:cs="宋体"/>
          <w:bCs/>
          <w:sz w:val="24"/>
        </w:rPr>
        <w:t>18.5供应商</w:t>
      </w:r>
      <w:r>
        <w:rPr>
          <w:rFonts w:hint="eastAsia" w:ascii="宋体" w:hAnsi="宋体" w:cs="宋体"/>
          <w:bCs/>
          <w:sz w:val="24"/>
          <w:lang w:val="zh-CN"/>
        </w:rPr>
        <w:t>应充分考虑网络环境、网络带宽等因素可能对投标产生的影响，如因</w:t>
      </w:r>
      <w:r>
        <w:rPr>
          <w:rFonts w:hint="eastAsia" w:ascii="宋体" w:hAnsi="宋体" w:cs="宋体"/>
          <w:bCs/>
          <w:sz w:val="24"/>
        </w:rPr>
        <w:t>供应商</w:t>
      </w:r>
      <w:r>
        <w:rPr>
          <w:rFonts w:hint="eastAsia" w:ascii="宋体" w:hAnsi="宋体" w:cs="宋体"/>
          <w:bCs/>
          <w:sz w:val="24"/>
          <w:lang w:val="zh-CN"/>
        </w:rPr>
        <w:t>自身原因造成文件上传不成功的，</w:t>
      </w:r>
      <w:r>
        <w:rPr>
          <w:rFonts w:hint="eastAsia" w:ascii="宋体" w:hAnsi="宋体" w:cs="宋体"/>
          <w:bCs/>
          <w:sz w:val="24"/>
        </w:rPr>
        <w:t>供应商自行承担其后果</w:t>
      </w:r>
      <w:r>
        <w:rPr>
          <w:rFonts w:hint="eastAsia" w:ascii="宋体" w:hAnsi="宋体" w:cs="宋体"/>
          <w:bCs/>
          <w:sz w:val="24"/>
          <w:lang w:val="zh-CN"/>
        </w:rPr>
        <w:t>。</w:t>
      </w:r>
    </w:p>
    <w:p w14:paraId="233BA54D">
      <w:pPr>
        <w:spacing w:line="360" w:lineRule="auto"/>
        <w:ind w:firstLine="600"/>
        <w:rPr>
          <w:rFonts w:ascii="宋体" w:hAnsi="宋体" w:cs="宋体"/>
          <w:b/>
          <w:sz w:val="24"/>
          <w:lang w:val="zh-CN"/>
        </w:rPr>
      </w:pPr>
      <w:r>
        <w:rPr>
          <w:rFonts w:hint="eastAsia" w:ascii="宋体" w:hAnsi="宋体" w:cs="宋体"/>
          <w:b/>
          <w:sz w:val="24"/>
        </w:rPr>
        <w:t>19、</w:t>
      </w:r>
      <w:r>
        <w:rPr>
          <w:rFonts w:hint="eastAsia" w:ascii="宋体" w:hAnsi="宋体" w:cs="宋体"/>
          <w:b/>
          <w:sz w:val="24"/>
          <w:lang w:val="zh-CN"/>
        </w:rPr>
        <w:t>投标文件的资格审查</w:t>
      </w:r>
    </w:p>
    <w:p w14:paraId="7A0F25D1">
      <w:pPr>
        <w:spacing w:line="360" w:lineRule="auto"/>
        <w:ind w:firstLine="600"/>
        <w:rPr>
          <w:rFonts w:ascii="宋体" w:hAnsi="宋体" w:cs="宋体"/>
          <w:bCs/>
          <w:sz w:val="24"/>
          <w:lang w:val="zh-CN"/>
        </w:rPr>
      </w:pPr>
      <w:r>
        <w:rPr>
          <w:rFonts w:hint="eastAsia" w:ascii="宋体" w:hAnsi="宋体" w:cs="宋体"/>
          <w:bCs/>
          <w:sz w:val="24"/>
        </w:rPr>
        <w:t>19.1</w:t>
      </w:r>
      <w:r>
        <w:rPr>
          <w:rFonts w:hint="eastAsia" w:ascii="宋体" w:hAnsi="宋体" w:cs="宋体"/>
          <w:bCs/>
          <w:sz w:val="24"/>
          <w:lang w:val="zh-CN"/>
        </w:rPr>
        <w:t>投标文件审查分为资格审查和符合性审查。</w:t>
      </w:r>
    </w:p>
    <w:p w14:paraId="21FAE501">
      <w:pPr>
        <w:spacing w:line="360" w:lineRule="auto"/>
        <w:ind w:firstLine="600"/>
        <w:rPr>
          <w:rFonts w:ascii="宋体" w:hAnsi="宋体" w:cs="宋体"/>
          <w:bCs/>
          <w:sz w:val="24"/>
          <w:lang w:val="zh-CN"/>
        </w:rPr>
      </w:pPr>
      <w:r>
        <w:rPr>
          <w:rFonts w:hint="eastAsia" w:ascii="宋体" w:hAnsi="宋体" w:cs="宋体"/>
          <w:bCs/>
          <w:sz w:val="24"/>
        </w:rPr>
        <w:t>19.1.1</w:t>
      </w:r>
      <w:r>
        <w:rPr>
          <w:rFonts w:hint="eastAsia" w:ascii="宋体" w:hAnsi="宋体" w:cs="宋体"/>
          <w:bCs/>
          <w:sz w:val="24"/>
          <w:lang w:val="zh-CN"/>
        </w:rPr>
        <w:t>资格审查。依据法律法规和招标文件规定，由采购人对投标文件中的资格证明文件进行审查，并向评委会反馈审查结论。</w:t>
      </w:r>
    </w:p>
    <w:p w14:paraId="696FD8A5">
      <w:pPr>
        <w:spacing w:line="360" w:lineRule="auto"/>
        <w:ind w:firstLine="600"/>
        <w:rPr>
          <w:rFonts w:ascii="宋体" w:hAnsi="宋体" w:cs="宋体"/>
          <w:bCs/>
          <w:sz w:val="24"/>
          <w:lang w:val="zh-CN"/>
        </w:rPr>
      </w:pPr>
      <w:r>
        <w:rPr>
          <w:rFonts w:hint="eastAsia" w:ascii="宋体" w:hAnsi="宋体" w:cs="宋体"/>
          <w:bCs/>
          <w:sz w:val="24"/>
          <w:lang w:val="zh-CN"/>
        </w:rPr>
        <w:t>采购人进行资格审查时，将在“信用中国”网站（www.creditchina.gov.cn）查询投标人的信用记录，以确定投标人是否具备投标资格，查询结果留存并归档。</w:t>
      </w:r>
    </w:p>
    <w:p w14:paraId="40D00462">
      <w:pPr>
        <w:spacing w:line="360" w:lineRule="auto"/>
        <w:ind w:firstLine="600"/>
        <w:rPr>
          <w:rFonts w:ascii="宋体" w:hAnsi="宋体" w:cs="宋体"/>
          <w:bCs/>
          <w:sz w:val="24"/>
          <w:lang w:val="zh-CN"/>
        </w:rPr>
      </w:pPr>
      <w:r>
        <w:rPr>
          <w:rFonts w:hint="eastAsia" w:ascii="宋体" w:hAnsi="宋体" w:cs="宋体"/>
          <w:bCs/>
          <w:sz w:val="24"/>
          <w:lang w:val="zh-CN"/>
        </w:rPr>
        <w:t>接受联合体的项目，联合体成员存在不良信用记录的，视同联合体存在不良信用记录。</w:t>
      </w:r>
    </w:p>
    <w:p w14:paraId="1C2ED708">
      <w:pPr>
        <w:spacing w:line="360" w:lineRule="auto"/>
        <w:ind w:firstLine="600"/>
        <w:rPr>
          <w:rFonts w:ascii="宋体" w:hAnsi="宋体" w:cs="宋体"/>
          <w:bCs/>
          <w:sz w:val="24"/>
          <w:lang w:val="zh-CN"/>
        </w:rPr>
      </w:pPr>
      <w:r>
        <w:rPr>
          <w:rFonts w:hint="eastAsia" w:ascii="宋体" w:hAnsi="宋体" w:cs="宋体"/>
          <w:bCs/>
          <w:sz w:val="24"/>
        </w:rPr>
        <w:t>19.1.2</w:t>
      </w:r>
      <w:r>
        <w:rPr>
          <w:rFonts w:hint="eastAsia" w:ascii="宋体" w:hAnsi="宋体" w:cs="宋体"/>
          <w:bCs/>
          <w:sz w:val="24"/>
          <w:lang w:val="zh-CN"/>
        </w:rPr>
        <w:t>符合性审查。依据招标文件的规定，由评委会从有效性、完整性和对招标文件的响应程度等方面对投标文件进行审查，以确定是否对招标文件的实质性要求作出响应。</w:t>
      </w:r>
    </w:p>
    <w:p w14:paraId="79F1DAD5">
      <w:pPr>
        <w:spacing w:line="360" w:lineRule="auto"/>
        <w:ind w:firstLine="600"/>
        <w:rPr>
          <w:rFonts w:ascii="宋体" w:hAnsi="宋体" w:cs="宋体"/>
          <w:bCs/>
          <w:sz w:val="24"/>
          <w:lang w:val="zh-CN"/>
        </w:rPr>
      </w:pPr>
      <w:r>
        <w:rPr>
          <w:rFonts w:hint="eastAsia" w:ascii="宋体" w:hAnsi="宋体" w:cs="宋体"/>
          <w:bCs/>
          <w:sz w:val="24"/>
        </w:rPr>
        <w:t>19.1.3</w:t>
      </w:r>
      <w:r>
        <w:rPr>
          <w:rFonts w:hint="eastAsia" w:ascii="宋体" w:hAnsi="宋体" w:cs="宋体"/>
          <w:bCs/>
          <w:sz w:val="24"/>
          <w:lang w:val="zh-CN"/>
        </w:rPr>
        <w:t>未通过资格审查或符合性审查的</w:t>
      </w:r>
      <w:r>
        <w:rPr>
          <w:rFonts w:hint="eastAsia" w:ascii="宋体" w:hAnsi="宋体" w:cs="宋体"/>
          <w:bCs/>
          <w:sz w:val="24"/>
        </w:rPr>
        <w:t>供应商</w:t>
      </w:r>
      <w:r>
        <w:rPr>
          <w:rFonts w:hint="eastAsia" w:ascii="宋体" w:hAnsi="宋体" w:cs="宋体"/>
          <w:bCs/>
          <w:sz w:val="24"/>
          <w:lang w:val="zh-CN"/>
        </w:rPr>
        <w:t>，</w:t>
      </w:r>
      <w:r>
        <w:rPr>
          <w:rFonts w:hint="eastAsia" w:ascii="宋体" w:hAnsi="宋体" w:cs="宋体"/>
          <w:bCs/>
          <w:sz w:val="24"/>
        </w:rPr>
        <w:t>代理机构</w:t>
      </w:r>
      <w:r>
        <w:rPr>
          <w:rFonts w:hint="eastAsia" w:ascii="宋体" w:hAnsi="宋体" w:cs="宋体"/>
          <w:bCs/>
          <w:sz w:val="24"/>
          <w:lang w:val="zh-CN"/>
        </w:rPr>
        <w:t>将通过苏采云系统告知其具体原因，评标结束后不再接受有关询问。</w:t>
      </w:r>
    </w:p>
    <w:p w14:paraId="5A3DB8EE">
      <w:pPr>
        <w:spacing w:line="360" w:lineRule="auto"/>
        <w:ind w:firstLine="600"/>
        <w:rPr>
          <w:rFonts w:ascii="宋体" w:hAnsi="宋体" w:cs="宋体"/>
          <w:bCs/>
          <w:sz w:val="24"/>
          <w:lang w:val="zh-CN"/>
        </w:rPr>
      </w:pPr>
      <w:r>
        <w:rPr>
          <w:rFonts w:hint="eastAsia" w:ascii="宋体" w:hAnsi="宋体" w:cs="宋体"/>
          <w:bCs/>
          <w:sz w:val="24"/>
        </w:rPr>
        <w:t>19.2评标委员会</w:t>
      </w:r>
      <w:r>
        <w:rPr>
          <w:rFonts w:hint="eastAsia" w:ascii="宋体" w:hAnsi="宋体" w:cs="宋体"/>
          <w:bCs/>
          <w:sz w:val="24"/>
          <w:lang w:val="zh-CN"/>
        </w:rPr>
        <w:t>仅对实质性响应招标文件要求的投标文件进行详细评审。实质性响应的投标文件应该是与招标文件要求的全部条款、条件和规格相符，没有重大偏离或保留的文件。</w:t>
      </w:r>
    </w:p>
    <w:p w14:paraId="69829565">
      <w:pPr>
        <w:spacing w:line="360" w:lineRule="auto"/>
        <w:ind w:firstLine="600"/>
        <w:rPr>
          <w:rFonts w:ascii="宋体" w:hAnsi="宋体" w:cs="宋体"/>
          <w:bCs/>
          <w:sz w:val="24"/>
          <w:lang w:val="zh-CN"/>
        </w:rPr>
      </w:pPr>
      <w:r>
        <w:rPr>
          <w:rFonts w:hint="eastAsia" w:ascii="宋体" w:hAnsi="宋体" w:cs="宋体"/>
          <w:bCs/>
          <w:sz w:val="24"/>
          <w:lang w:val="zh-CN"/>
        </w:rPr>
        <w:t>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p>
    <w:p w14:paraId="5F9916E8">
      <w:pPr>
        <w:spacing w:line="360" w:lineRule="auto"/>
        <w:ind w:firstLine="600"/>
        <w:rPr>
          <w:rFonts w:ascii="宋体" w:hAnsi="宋体" w:cs="宋体"/>
          <w:bCs/>
          <w:sz w:val="24"/>
          <w:lang w:val="zh-CN"/>
        </w:rPr>
      </w:pPr>
      <w:r>
        <w:rPr>
          <w:rFonts w:hint="eastAsia" w:ascii="宋体" w:hAnsi="宋体" w:cs="宋体"/>
          <w:bCs/>
          <w:sz w:val="24"/>
        </w:rPr>
        <w:t>19.3</w:t>
      </w:r>
      <w:r>
        <w:rPr>
          <w:rFonts w:hint="eastAsia" w:ascii="宋体" w:hAnsi="宋体" w:cs="宋体"/>
          <w:bCs/>
          <w:sz w:val="24"/>
          <w:lang w:val="zh-CN"/>
        </w:rPr>
        <w:t>如果投标文件实质上没有响应招标文件的要求，评委会将予以拒绝，</w:t>
      </w:r>
      <w:r>
        <w:rPr>
          <w:rFonts w:hint="eastAsia" w:ascii="宋体" w:hAnsi="宋体" w:cs="宋体"/>
          <w:bCs/>
          <w:sz w:val="24"/>
        </w:rPr>
        <w:t>供应商</w:t>
      </w:r>
      <w:r>
        <w:rPr>
          <w:rFonts w:hint="eastAsia" w:ascii="宋体" w:hAnsi="宋体" w:cs="宋体"/>
          <w:bCs/>
          <w:sz w:val="24"/>
          <w:lang w:val="zh-CN"/>
        </w:rPr>
        <w:t>不得通过修改或撤销不合要求的偏离或保留而使其投标成为实质性响应的投标。</w:t>
      </w:r>
    </w:p>
    <w:p w14:paraId="616D31C2">
      <w:pPr>
        <w:spacing w:line="360" w:lineRule="auto"/>
        <w:ind w:firstLine="600"/>
        <w:rPr>
          <w:rFonts w:ascii="宋体" w:hAnsi="宋体" w:cs="宋体"/>
          <w:bCs/>
          <w:sz w:val="24"/>
          <w:lang w:val="zh-CN"/>
        </w:rPr>
      </w:pPr>
      <w:r>
        <w:rPr>
          <w:rFonts w:hint="eastAsia" w:ascii="宋体" w:hAnsi="宋体" w:cs="宋体"/>
          <w:bCs/>
          <w:sz w:val="24"/>
        </w:rPr>
        <w:t>19.4评标委员会</w:t>
      </w:r>
      <w:r>
        <w:rPr>
          <w:rFonts w:hint="eastAsia" w:ascii="宋体" w:hAnsi="宋体" w:cs="宋体"/>
          <w:bCs/>
          <w:sz w:val="24"/>
          <w:lang w:val="zh-CN"/>
        </w:rPr>
        <w:t>将对确定为实质性响应的投标进行进一步审核，确定其是否有计算上或累加上的算术错误。修正错误的原则如下：</w:t>
      </w:r>
    </w:p>
    <w:p w14:paraId="783E71EE">
      <w:pPr>
        <w:spacing w:line="360" w:lineRule="auto"/>
        <w:ind w:firstLine="600"/>
        <w:rPr>
          <w:rFonts w:ascii="宋体" w:hAnsi="宋体" w:cs="宋体"/>
          <w:bCs/>
          <w:sz w:val="24"/>
          <w:lang w:val="zh-CN"/>
        </w:rPr>
      </w:pPr>
      <w:r>
        <w:rPr>
          <w:rFonts w:hint="eastAsia" w:ascii="宋体" w:hAnsi="宋体" w:cs="宋体"/>
          <w:bCs/>
          <w:sz w:val="24"/>
          <w:lang w:val="zh-CN"/>
        </w:rPr>
        <w:t>（1）投标文件中开标一览表内容与投标文件中相应内容不一致的，以开标一览表为准；</w:t>
      </w:r>
    </w:p>
    <w:p w14:paraId="1FD37D45">
      <w:pPr>
        <w:spacing w:line="360" w:lineRule="auto"/>
        <w:ind w:firstLine="600"/>
        <w:rPr>
          <w:rFonts w:ascii="宋体" w:hAnsi="宋体" w:cs="宋体"/>
          <w:bCs/>
          <w:sz w:val="24"/>
          <w:lang w:val="zh-CN"/>
        </w:rPr>
      </w:pPr>
      <w:r>
        <w:rPr>
          <w:rFonts w:hint="eastAsia" w:ascii="宋体" w:hAnsi="宋体" w:cs="宋体"/>
          <w:bCs/>
          <w:sz w:val="24"/>
          <w:lang w:val="zh-CN"/>
        </w:rPr>
        <w:t>（2）大写金额和小写金额不一致的，以大写金额为准；</w:t>
      </w:r>
    </w:p>
    <w:p w14:paraId="301535A8">
      <w:pPr>
        <w:spacing w:line="360" w:lineRule="auto"/>
        <w:ind w:firstLine="600"/>
        <w:rPr>
          <w:rFonts w:ascii="宋体" w:hAnsi="宋体" w:cs="宋体"/>
          <w:bCs/>
          <w:sz w:val="24"/>
          <w:lang w:val="zh-CN"/>
        </w:rPr>
      </w:pPr>
      <w:r>
        <w:rPr>
          <w:rFonts w:hint="eastAsia" w:ascii="宋体" w:hAnsi="宋体" w:cs="宋体"/>
          <w:bCs/>
          <w:sz w:val="24"/>
          <w:lang w:val="zh-CN"/>
        </w:rPr>
        <w:t>（3）单价金额小数点或者百分比有明显错位的，以开标一览表的总价为准，并修改单价；</w:t>
      </w:r>
    </w:p>
    <w:p w14:paraId="22C92B36">
      <w:pPr>
        <w:spacing w:line="360" w:lineRule="auto"/>
        <w:ind w:firstLine="600"/>
        <w:rPr>
          <w:rFonts w:ascii="宋体" w:hAnsi="宋体" w:cs="宋体"/>
          <w:bCs/>
          <w:sz w:val="24"/>
          <w:lang w:val="zh-CN"/>
        </w:rPr>
      </w:pPr>
      <w:r>
        <w:rPr>
          <w:rFonts w:hint="eastAsia" w:ascii="宋体" w:hAnsi="宋体" w:cs="宋体"/>
          <w:bCs/>
          <w:sz w:val="24"/>
          <w:lang w:val="zh-CN"/>
        </w:rPr>
        <w:t>（4）总价金额与按单价汇总金额不一致的，以单价金额计算结果为准。</w:t>
      </w:r>
    </w:p>
    <w:p w14:paraId="30E72AA9">
      <w:pPr>
        <w:spacing w:line="360" w:lineRule="auto"/>
        <w:ind w:firstLine="600"/>
        <w:rPr>
          <w:rFonts w:ascii="宋体" w:hAnsi="宋体" w:cs="宋体"/>
          <w:bCs/>
          <w:sz w:val="24"/>
          <w:lang w:val="zh-CN"/>
        </w:rPr>
      </w:pPr>
      <w:r>
        <w:rPr>
          <w:rFonts w:hint="eastAsia" w:ascii="宋体" w:hAnsi="宋体" w:cs="宋体"/>
          <w:bCs/>
          <w:sz w:val="24"/>
          <w:lang w:val="zh-CN"/>
        </w:rPr>
        <w:t>同时出现两种以上错误的，按照前款规定的顺序修正。</w:t>
      </w:r>
    </w:p>
    <w:p w14:paraId="2CE1A09B">
      <w:pPr>
        <w:spacing w:line="360" w:lineRule="auto"/>
        <w:ind w:firstLine="600"/>
        <w:rPr>
          <w:rFonts w:ascii="宋体" w:hAnsi="宋体" w:cs="宋体"/>
          <w:bCs/>
          <w:sz w:val="24"/>
          <w:lang w:val="zh-CN"/>
        </w:rPr>
      </w:pPr>
      <w:r>
        <w:rPr>
          <w:rFonts w:hint="eastAsia" w:ascii="宋体" w:hAnsi="宋体" w:cs="宋体"/>
          <w:bCs/>
          <w:sz w:val="24"/>
        </w:rPr>
        <w:t>19.5评标委员会</w:t>
      </w:r>
      <w:r>
        <w:rPr>
          <w:rFonts w:hint="eastAsia" w:ascii="宋体" w:hAnsi="宋体" w:cs="宋体"/>
          <w:bCs/>
          <w:sz w:val="24"/>
          <w:lang w:val="zh-CN"/>
        </w:rPr>
        <w:t>将按上述修正错误的方法调整投标文件中的投标报价，并通过苏采云系统告知</w:t>
      </w:r>
      <w:r>
        <w:rPr>
          <w:rFonts w:hint="eastAsia" w:ascii="宋体" w:hAnsi="宋体" w:cs="宋体"/>
          <w:bCs/>
          <w:sz w:val="24"/>
        </w:rPr>
        <w:t>供应商</w:t>
      </w:r>
      <w:r>
        <w:rPr>
          <w:rFonts w:hint="eastAsia" w:ascii="宋体" w:hAnsi="宋体" w:cs="宋体"/>
          <w:bCs/>
          <w:sz w:val="24"/>
          <w:lang w:val="zh-CN"/>
        </w:rPr>
        <w:t>，调整后的价格对</w:t>
      </w:r>
      <w:r>
        <w:rPr>
          <w:rFonts w:hint="eastAsia" w:ascii="宋体" w:hAnsi="宋体" w:cs="宋体"/>
          <w:bCs/>
          <w:sz w:val="24"/>
        </w:rPr>
        <w:t>供应商</w:t>
      </w:r>
      <w:r>
        <w:rPr>
          <w:rFonts w:hint="eastAsia" w:ascii="宋体" w:hAnsi="宋体" w:cs="宋体"/>
          <w:bCs/>
          <w:sz w:val="24"/>
          <w:lang w:val="zh-CN"/>
        </w:rPr>
        <w:t>具有约束力。如果</w:t>
      </w:r>
      <w:r>
        <w:rPr>
          <w:rFonts w:hint="eastAsia" w:ascii="宋体" w:hAnsi="宋体" w:cs="宋体"/>
          <w:bCs/>
          <w:sz w:val="24"/>
        </w:rPr>
        <w:t>供应商</w:t>
      </w:r>
      <w:r>
        <w:rPr>
          <w:rFonts w:hint="eastAsia" w:ascii="宋体" w:hAnsi="宋体" w:cs="宋体"/>
          <w:bCs/>
          <w:sz w:val="24"/>
          <w:lang w:val="zh-CN"/>
        </w:rPr>
        <w:t>不接受修正后的价格，则其投标将被拒绝。</w:t>
      </w:r>
    </w:p>
    <w:p w14:paraId="6730D441">
      <w:pPr>
        <w:spacing w:line="360" w:lineRule="auto"/>
        <w:ind w:firstLine="600"/>
        <w:rPr>
          <w:rFonts w:ascii="宋体" w:hAnsi="宋体" w:cs="宋体"/>
          <w:bCs/>
          <w:sz w:val="24"/>
          <w:lang w:val="zh-CN"/>
        </w:rPr>
      </w:pPr>
      <w:r>
        <w:rPr>
          <w:rFonts w:hint="eastAsia" w:ascii="宋体" w:hAnsi="宋体" w:cs="宋体"/>
          <w:bCs/>
          <w:sz w:val="24"/>
        </w:rPr>
        <w:t>19.6供应商</w:t>
      </w:r>
      <w:r>
        <w:rPr>
          <w:rFonts w:hint="eastAsia" w:ascii="宋体" w:hAnsi="宋体" w:cs="宋体"/>
          <w:bCs/>
          <w:sz w:val="24"/>
          <w:lang w:val="zh-CN"/>
        </w:rPr>
        <w:t>在开、评标全过程中应保持通讯畅通，及时登录苏采云系统查阅、答复相关信息，并安排专人与</w:t>
      </w:r>
      <w:r>
        <w:rPr>
          <w:rFonts w:hint="eastAsia" w:ascii="宋体" w:hAnsi="宋体" w:cs="宋体"/>
          <w:bCs/>
          <w:sz w:val="24"/>
        </w:rPr>
        <w:t>代理机构</w:t>
      </w:r>
      <w:r>
        <w:rPr>
          <w:rFonts w:hint="eastAsia" w:ascii="宋体" w:hAnsi="宋体" w:cs="宋体"/>
          <w:bCs/>
          <w:sz w:val="24"/>
          <w:lang w:val="zh-CN"/>
        </w:rPr>
        <w:t>及评委会联系。</w:t>
      </w:r>
    </w:p>
    <w:p w14:paraId="280046D4">
      <w:pPr>
        <w:spacing w:line="360" w:lineRule="auto"/>
        <w:ind w:firstLine="600"/>
        <w:rPr>
          <w:rFonts w:ascii="宋体" w:hAnsi="宋体" w:cs="宋体"/>
          <w:b/>
          <w:sz w:val="24"/>
        </w:rPr>
      </w:pPr>
      <w:r>
        <w:rPr>
          <w:rFonts w:hint="eastAsia" w:ascii="宋体" w:hAnsi="宋体" w:cs="宋体"/>
          <w:b/>
          <w:sz w:val="24"/>
        </w:rPr>
        <w:t>20、无效投标和废标</w:t>
      </w:r>
    </w:p>
    <w:p w14:paraId="1295B0A5">
      <w:pPr>
        <w:spacing w:line="360" w:lineRule="auto"/>
        <w:ind w:firstLine="600"/>
        <w:rPr>
          <w:rFonts w:ascii="宋体" w:hAnsi="宋体" w:cs="宋体"/>
          <w:bCs/>
          <w:sz w:val="24"/>
        </w:rPr>
      </w:pPr>
      <w:r>
        <w:rPr>
          <w:rFonts w:hint="eastAsia" w:ascii="宋体" w:hAnsi="宋体" w:cs="宋体"/>
          <w:bCs/>
          <w:sz w:val="24"/>
        </w:rPr>
        <w:t>20.1无效投标条款</w:t>
      </w:r>
    </w:p>
    <w:p w14:paraId="43550064">
      <w:pPr>
        <w:spacing w:line="360" w:lineRule="auto"/>
        <w:ind w:firstLine="600"/>
        <w:rPr>
          <w:rFonts w:ascii="宋体" w:hAnsi="宋体" w:cs="宋体"/>
          <w:bCs/>
          <w:sz w:val="24"/>
        </w:rPr>
      </w:pPr>
      <w:r>
        <w:rPr>
          <w:rFonts w:hint="eastAsia" w:ascii="宋体" w:hAnsi="宋体" w:cs="宋体"/>
          <w:bCs/>
          <w:sz w:val="24"/>
        </w:rPr>
        <w:t>（1）供应商在苏采云系统规定的时间内未成功解密电子投标文件。</w:t>
      </w:r>
    </w:p>
    <w:p w14:paraId="562B45CE">
      <w:pPr>
        <w:spacing w:line="360" w:lineRule="auto"/>
        <w:ind w:firstLine="600"/>
        <w:rPr>
          <w:rFonts w:ascii="宋体" w:hAnsi="宋体" w:cs="宋体"/>
          <w:bCs/>
          <w:sz w:val="24"/>
        </w:rPr>
      </w:pPr>
      <w:r>
        <w:rPr>
          <w:rFonts w:hint="eastAsia" w:ascii="宋体" w:hAnsi="宋体" w:cs="宋体"/>
          <w:bCs/>
          <w:sz w:val="24"/>
        </w:rPr>
        <w:t>（2）供应商未按照招标文件要求上传电子投标文件。</w:t>
      </w:r>
    </w:p>
    <w:p w14:paraId="26748FFC">
      <w:pPr>
        <w:spacing w:line="360" w:lineRule="auto"/>
        <w:ind w:firstLine="600"/>
        <w:rPr>
          <w:rFonts w:ascii="宋体" w:hAnsi="宋体" w:cs="宋体"/>
          <w:bCs/>
          <w:sz w:val="24"/>
        </w:rPr>
      </w:pPr>
      <w:r>
        <w:rPr>
          <w:rFonts w:hint="eastAsia" w:ascii="宋体" w:hAnsi="宋体" w:cs="宋体"/>
          <w:bCs/>
          <w:sz w:val="24"/>
        </w:rPr>
        <w:t>（3）同一供应商提交两个（含两个）以上不同的投标报价。</w:t>
      </w:r>
    </w:p>
    <w:p w14:paraId="02428FE9">
      <w:pPr>
        <w:spacing w:line="360" w:lineRule="auto"/>
        <w:ind w:firstLine="600"/>
        <w:rPr>
          <w:rFonts w:ascii="宋体" w:hAnsi="宋体" w:cs="宋体"/>
          <w:bCs/>
          <w:sz w:val="24"/>
        </w:rPr>
      </w:pPr>
      <w:r>
        <w:rPr>
          <w:rFonts w:hint="eastAsia" w:ascii="宋体" w:hAnsi="宋体" w:cs="宋体"/>
          <w:bCs/>
          <w:sz w:val="24"/>
        </w:rPr>
        <w:t>（4）供应商不具备招标文件中规定资格要求。</w:t>
      </w:r>
    </w:p>
    <w:p w14:paraId="275D5409">
      <w:pPr>
        <w:spacing w:line="360" w:lineRule="auto"/>
        <w:ind w:firstLine="600"/>
        <w:rPr>
          <w:rFonts w:ascii="宋体" w:hAnsi="宋体" w:cs="宋体"/>
          <w:bCs/>
          <w:sz w:val="24"/>
        </w:rPr>
      </w:pPr>
      <w:r>
        <w:rPr>
          <w:rFonts w:hint="eastAsia" w:ascii="宋体" w:hAnsi="宋体" w:cs="宋体"/>
          <w:bCs/>
          <w:sz w:val="24"/>
        </w:rPr>
        <w:t>（5）</w:t>
      </w:r>
      <w:r>
        <w:rPr>
          <w:rFonts w:hint="eastAsia" w:ascii="宋体" w:hAnsi="宋体" w:cs="宋体"/>
          <w:bCs/>
          <w:sz w:val="24"/>
          <w:lang w:val="zh-CN"/>
        </w:rPr>
        <w:t>报价超过招标文件中规定的预算金额或者最高限价（</w:t>
      </w:r>
      <w:r>
        <w:rPr>
          <w:rFonts w:hint="eastAsia" w:ascii="宋体" w:hAnsi="宋体" w:cs="宋体"/>
          <w:bCs/>
          <w:sz w:val="24"/>
        </w:rPr>
        <w:t>最高限制单价</w:t>
      </w:r>
      <w:r>
        <w:rPr>
          <w:rFonts w:hint="eastAsia" w:ascii="宋体" w:hAnsi="宋体" w:cs="宋体"/>
          <w:bCs/>
          <w:sz w:val="24"/>
          <w:lang w:val="zh-CN"/>
        </w:rPr>
        <w:t>）的；</w:t>
      </w:r>
    </w:p>
    <w:p w14:paraId="5FC7A660">
      <w:pPr>
        <w:spacing w:line="360" w:lineRule="auto"/>
        <w:ind w:firstLine="600"/>
        <w:rPr>
          <w:rFonts w:ascii="宋体" w:hAnsi="宋体" w:cs="宋体"/>
          <w:bCs/>
          <w:sz w:val="24"/>
        </w:rPr>
      </w:pPr>
      <w:r>
        <w:rPr>
          <w:rFonts w:hint="eastAsia" w:ascii="宋体" w:hAnsi="宋体" w:cs="宋体"/>
          <w:bCs/>
          <w:sz w:val="24"/>
        </w:rPr>
        <w:t>（6）未通过符合性审查。</w:t>
      </w:r>
    </w:p>
    <w:p w14:paraId="2568E5F2">
      <w:pPr>
        <w:spacing w:line="360" w:lineRule="auto"/>
        <w:ind w:firstLine="600"/>
        <w:rPr>
          <w:rFonts w:ascii="宋体" w:hAnsi="宋体" w:cs="宋体"/>
          <w:bCs/>
          <w:sz w:val="24"/>
        </w:rPr>
      </w:pPr>
      <w:r>
        <w:rPr>
          <w:rFonts w:hint="eastAsia" w:ascii="宋体" w:hAnsi="宋体" w:cs="宋体"/>
          <w:bCs/>
          <w:sz w:val="24"/>
        </w:rPr>
        <w:t>（7）不符合招标文件中实质性要求和条件（本招标文件中斜体且有下划线部分，或者打“★”内容为实质性要求和条件）。</w:t>
      </w:r>
    </w:p>
    <w:p w14:paraId="57A1C4B2">
      <w:pPr>
        <w:spacing w:line="360" w:lineRule="auto"/>
        <w:ind w:firstLine="600"/>
        <w:rPr>
          <w:rFonts w:ascii="宋体" w:hAnsi="宋体" w:cs="宋体"/>
          <w:bCs/>
          <w:sz w:val="24"/>
        </w:rPr>
      </w:pPr>
      <w:r>
        <w:rPr>
          <w:rFonts w:hint="eastAsia" w:ascii="宋体" w:hAnsi="宋体" w:cs="宋体"/>
          <w:bCs/>
          <w:sz w:val="24"/>
        </w:rPr>
        <w:t>（8）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如</w:t>
      </w:r>
      <w:r>
        <w:rPr>
          <w:rFonts w:hint="eastAsia" w:ascii="宋体" w:hAnsi="宋体" w:cs="宋体"/>
          <w:bCs/>
          <w:sz w:val="24"/>
          <w:lang w:val="zh-CN"/>
        </w:rPr>
        <w:t>接受联合体的项目，两个以上的自然人、法人或者其他组织组成一个联合体，以一个供应商的身份共同参加政府采购活动的，联合体成员存在不良信用记录的，视同联合体存在不良应用记录；</w:t>
      </w:r>
    </w:p>
    <w:p w14:paraId="5E1CA910">
      <w:pPr>
        <w:spacing w:line="360" w:lineRule="auto"/>
        <w:ind w:firstLine="600"/>
        <w:rPr>
          <w:rFonts w:ascii="宋体" w:hAnsi="宋体" w:cs="宋体"/>
          <w:bCs/>
          <w:sz w:val="24"/>
        </w:rPr>
      </w:pPr>
      <w:r>
        <w:rPr>
          <w:rFonts w:hint="eastAsia" w:ascii="宋体" w:hAnsi="宋体" w:cs="宋体"/>
          <w:bCs/>
          <w:sz w:val="24"/>
        </w:rPr>
        <w:t>（9）投标文件含有采购人不能接受的附加条件。</w:t>
      </w:r>
    </w:p>
    <w:p w14:paraId="62866E39">
      <w:pPr>
        <w:spacing w:line="360" w:lineRule="auto"/>
        <w:ind w:firstLine="600"/>
        <w:rPr>
          <w:rFonts w:ascii="宋体" w:hAnsi="宋体" w:cs="宋体"/>
          <w:bCs/>
          <w:sz w:val="24"/>
          <w:lang w:val="zh-CN"/>
        </w:rPr>
      </w:pPr>
      <w:r>
        <w:rPr>
          <w:rFonts w:hint="eastAsia" w:ascii="宋体" w:hAnsi="宋体" w:cs="宋体"/>
          <w:bCs/>
          <w:sz w:val="24"/>
          <w:lang w:val="zh-CN"/>
        </w:rPr>
        <w:t>（</w:t>
      </w:r>
      <w:r>
        <w:rPr>
          <w:rFonts w:hint="eastAsia" w:ascii="宋体" w:hAnsi="宋体" w:cs="宋体"/>
          <w:bCs/>
          <w:sz w:val="24"/>
        </w:rPr>
        <w:t>10</w:t>
      </w:r>
      <w:r>
        <w:rPr>
          <w:rFonts w:hint="eastAsia" w:ascii="宋体" w:hAnsi="宋体" w:cs="宋体"/>
          <w:bCs/>
          <w:sz w:val="24"/>
          <w:lang w:val="zh-CN"/>
        </w:rPr>
        <w:t>）不同供应商的投标文件由同一单位或者个人编制；</w:t>
      </w:r>
    </w:p>
    <w:p w14:paraId="3A4BFB19">
      <w:pPr>
        <w:spacing w:line="360" w:lineRule="auto"/>
        <w:ind w:firstLine="600"/>
        <w:rPr>
          <w:rFonts w:ascii="宋体" w:hAnsi="宋体" w:cs="宋体"/>
          <w:bCs/>
          <w:sz w:val="24"/>
          <w:lang w:val="zh-CN"/>
        </w:rPr>
      </w:pPr>
      <w:r>
        <w:rPr>
          <w:rFonts w:hint="eastAsia" w:ascii="宋体" w:hAnsi="宋体" w:cs="宋体"/>
          <w:bCs/>
          <w:sz w:val="24"/>
          <w:lang w:val="zh-CN"/>
        </w:rPr>
        <w:t>（</w:t>
      </w:r>
      <w:r>
        <w:rPr>
          <w:rFonts w:hint="eastAsia" w:ascii="宋体" w:hAnsi="宋体" w:cs="宋体"/>
          <w:bCs/>
          <w:sz w:val="24"/>
        </w:rPr>
        <w:t>11</w:t>
      </w:r>
      <w:r>
        <w:rPr>
          <w:rFonts w:hint="eastAsia" w:ascii="宋体" w:hAnsi="宋体" w:cs="宋体"/>
          <w:bCs/>
          <w:sz w:val="24"/>
          <w:lang w:val="zh-CN"/>
        </w:rPr>
        <w:t>）不同供应商委托同一单位或者个人办理投标事宜；</w:t>
      </w:r>
    </w:p>
    <w:p w14:paraId="3C519E91">
      <w:pPr>
        <w:spacing w:line="360" w:lineRule="auto"/>
        <w:ind w:firstLine="600"/>
        <w:rPr>
          <w:rFonts w:ascii="宋体" w:hAnsi="宋体" w:cs="宋体"/>
          <w:bCs/>
          <w:sz w:val="24"/>
          <w:lang w:val="zh-CN"/>
        </w:rPr>
      </w:pPr>
      <w:r>
        <w:rPr>
          <w:rFonts w:hint="eastAsia" w:ascii="宋体" w:hAnsi="宋体" w:cs="宋体"/>
          <w:bCs/>
          <w:sz w:val="24"/>
          <w:lang w:val="zh-CN"/>
        </w:rPr>
        <w:t>（</w:t>
      </w:r>
      <w:r>
        <w:rPr>
          <w:rFonts w:hint="eastAsia" w:ascii="宋体" w:hAnsi="宋体" w:cs="宋体"/>
          <w:bCs/>
          <w:sz w:val="24"/>
        </w:rPr>
        <w:t>12</w:t>
      </w:r>
      <w:r>
        <w:rPr>
          <w:rFonts w:hint="eastAsia" w:ascii="宋体" w:hAnsi="宋体" w:cs="宋体"/>
          <w:bCs/>
          <w:sz w:val="24"/>
          <w:lang w:val="zh-CN"/>
        </w:rPr>
        <w:t>）不同供应商的投标文件载明的项目管理成员或者联系人员为同一人；</w:t>
      </w:r>
    </w:p>
    <w:p w14:paraId="41B7DB19">
      <w:pPr>
        <w:spacing w:line="360" w:lineRule="auto"/>
        <w:ind w:firstLine="600"/>
        <w:rPr>
          <w:rFonts w:ascii="宋体" w:hAnsi="宋体" w:cs="宋体"/>
          <w:bCs/>
          <w:sz w:val="24"/>
          <w:lang w:val="zh-CN"/>
        </w:rPr>
      </w:pPr>
      <w:r>
        <w:rPr>
          <w:rFonts w:hint="eastAsia" w:ascii="宋体" w:hAnsi="宋体" w:cs="宋体"/>
          <w:bCs/>
          <w:sz w:val="24"/>
          <w:lang w:val="zh-CN"/>
        </w:rPr>
        <w:t>（</w:t>
      </w:r>
      <w:r>
        <w:rPr>
          <w:rFonts w:hint="eastAsia" w:ascii="宋体" w:hAnsi="宋体" w:cs="宋体"/>
          <w:bCs/>
          <w:sz w:val="24"/>
        </w:rPr>
        <w:t>13</w:t>
      </w:r>
      <w:r>
        <w:rPr>
          <w:rFonts w:hint="eastAsia" w:ascii="宋体" w:hAnsi="宋体" w:cs="宋体"/>
          <w:bCs/>
          <w:sz w:val="24"/>
          <w:lang w:val="zh-CN"/>
        </w:rPr>
        <w:t>）不同供应商的投标文件异常一致或者投标报价呈规律性差异；</w:t>
      </w:r>
    </w:p>
    <w:p w14:paraId="0E408FA3">
      <w:pPr>
        <w:spacing w:line="360" w:lineRule="auto"/>
        <w:ind w:firstLine="600"/>
        <w:rPr>
          <w:rFonts w:ascii="宋体" w:hAnsi="宋体" w:cs="宋体"/>
          <w:bCs/>
          <w:sz w:val="24"/>
          <w:lang w:val="zh-CN"/>
        </w:rPr>
      </w:pPr>
      <w:r>
        <w:rPr>
          <w:rFonts w:hint="eastAsia" w:ascii="宋体" w:hAnsi="宋体" w:cs="宋体"/>
          <w:bCs/>
          <w:sz w:val="24"/>
          <w:lang w:val="zh-CN"/>
        </w:rPr>
        <w:t>（</w:t>
      </w:r>
      <w:r>
        <w:rPr>
          <w:rFonts w:hint="eastAsia" w:ascii="宋体" w:hAnsi="宋体" w:cs="宋体"/>
          <w:bCs/>
          <w:sz w:val="24"/>
        </w:rPr>
        <w:t>14</w:t>
      </w:r>
      <w:r>
        <w:rPr>
          <w:rFonts w:hint="eastAsia" w:ascii="宋体" w:hAnsi="宋体" w:cs="宋体"/>
          <w:bCs/>
          <w:sz w:val="24"/>
          <w:lang w:val="zh-CN"/>
        </w:rPr>
        <w:t>）不同供应商的法定代表人或委托代理人有夫妻、直系血亲关系的；</w:t>
      </w:r>
    </w:p>
    <w:p w14:paraId="47CA5BD7">
      <w:pPr>
        <w:spacing w:line="360" w:lineRule="auto"/>
        <w:ind w:firstLine="600"/>
        <w:rPr>
          <w:rFonts w:ascii="宋体" w:hAnsi="宋体" w:cs="宋体"/>
          <w:bCs/>
          <w:sz w:val="24"/>
          <w:lang w:val="zh-CN"/>
        </w:rPr>
      </w:pPr>
      <w:r>
        <w:rPr>
          <w:rFonts w:hint="eastAsia" w:ascii="宋体" w:hAnsi="宋体" w:cs="宋体"/>
          <w:bCs/>
          <w:sz w:val="24"/>
          <w:lang w:val="zh-CN"/>
        </w:rPr>
        <w:t>（</w:t>
      </w:r>
      <w:r>
        <w:rPr>
          <w:rFonts w:hint="eastAsia" w:ascii="宋体" w:hAnsi="宋体" w:cs="宋体"/>
          <w:bCs/>
          <w:sz w:val="24"/>
        </w:rPr>
        <w:t>15</w:t>
      </w:r>
      <w:r>
        <w:rPr>
          <w:rFonts w:hint="eastAsia" w:ascii="宋体" w:hAnsi="宋体" w:cs="宋体"/>
          <w:bCs/>
          <w:sz w:val="24"/>
          <w:lang w:val="zh-CN"/>
        </w:rPr>
        <w:t>）不同供应商的负责人为同一人或者存在控股、管理关系的；</w:t>
      </w:r>
    </w:p>
    <w:p w14:paraId="29BB337A">
      <w:pPr>
        <w:spacing w:line="360" w:lineRule="auto"/>
        <w:ind w:firstLine="600"/>
        <w:rPr>
          <w:rFonts w:ascii="宋体" w:hAnsi="宋体" w:cs="宋体"/>
          <w:bCs/>
          <w:sz w:val="24"/>
          <w:lang w:val="zh-CN"/>
        </w:rPr>
      </w:pPr>
      <w:r>
        <w:rPr>
          <w:rFonts w:hint="eastAsia" w:ascii="宋体" w:hAnsi="宋体" w:cs="宋体"/>
          <w:bCs/>
          <w:sz w:val="24"/>
          <w:lang w:val="zh-CN"/>
        </w:rPr>
        <w:t>（</w:t>
      </w:r>
      <w:r>
        <w:rPr>
          <w:rFonts w:hint="eastAsia" w:ascii="宋体" w:hAnsi="宋体" w:cs="宋体"/>
          <w:bCs/>
          <w:sz w:val="24"/>
        </w:rPr>
        <w:t>16</w:t>
      </w:r>
      <w:r>
        <w:rPr>
          <w:rFonts w:hint="eastAsia" w:ascii="宋体" w:hAnsi="宋体" w:cs="宋体"/>
          <w:bCs/>
          <w:sz w:val="24"/>
          <w:lang w:val="zh-CN"/>
        </w:rPr>
        <w:t>）不同供应商的委托代理人（或法定代表人、项目经理、项目总监、项目负责人等）在招标文件发布日上月至投标截止日当月在同一单位缴纳社会保险的；</w:t>
      </w:r>
    </w:p>
    <w:p w14:paraId="165373DE">
      <w:pPr>
        <w:spacing w:line="360" w:lineRule="auto"/>
        <w:ind w:firstLine="600"/>
        <w:rPr>
          <w:rFonts w:ascii="宋体" w:hAnsi="宋体" w:cs="宋体"/>
          <w:bCs/>
          <w:sz w:val="24"/>
          <w:lang w:val="zh-CN"/>
        </w:rPr>
      </w:pPr>
      <w:r>
        <w:rPr>
          <w:rFonts w:hint="eastAsia" w:ascii="宋体" w:hAnsi="宋体" w:cs="宋体"/>
          <w:bCs/>
          <w:sz w:val="24"/>
          <w:lang w:val="zh-CN"/>
        </w:rPr>
        <w:t>（</w:t>
      </w:r>
      <w:r>
        <w:rPr>
          <w:rFonts w:hint="eastAsia" w:ascii="宋体" w:hAnsi="宋体" w:cs="宋体"/>
          <w:bCs/>
          <w:sz w:val="24"/>
        </w:rPr>
        <w:t>17</w:t>
      </w:r>
      <w:r>
        <w:rPr>
          <w:rFonts w:hint="eastAsia" w:ascii="宋体" w:hAnsi="宋体" w:cs="宋体"/>
          <w:bCs/>
          <w:sz w:val="24"/>
          <w:lang w:val="zh-CN"/>
        </w:rPr>
        <w:t>）属于招标公告中第六条第</w:t>
      </w:r>
      <w:r>
        <w:rPr>
          <w:rFonts w:hint="eastAsia" w:ascii="宋体" w:hAnsi="宋体" w:cs="宋体"/>
          <w:bCs/>
          <w:sz w:val="24"/>
        </w:rPr>
        <w:t>1</w:t>
      </w:r>
      <w:r>
        <w:rPr>
          <w:rFonts w:hint="eastAsia" w:ascii="宋体" w:hAnsi="宋体" w:cs="宋体"/>
          <w:bCs/>
          <w:sz w:val="24"/>
          <w:lang w:val="zh-CN"/>
        </w:rPr>
        <w:t>款拒绝参加本次采购活动供应商的；</w:t>
      </w:r>
    </w:p>
    <w:p w14:paraId="18622DA3">
      <w:pPr>
        <w:spacing w:line="360" w:lineRule="auto"/>
        <w:ind w:firstLine="600"/>
        <w:rPr>
          <w:rFonts w:ascii="宋体" w:hAnsi="宋体" w:cs="宋体"/>
          <w:bCs/>
          <w:sz w:val="24"/>
          <w:lang w:val="zh-CN"/>
        </w:rPr>
      </w:pPr>
      <w:r>
        <w:rPr>
          <w:rFonts w:hint="eastAsia" w:ascii="宋体" w:hAnsi="宋体" w:cs="宋体"/>
          <w:bCs/>
          <w:sz w:val="24"/>
          <w:lang w:val="zh-CN"/>
        </w:rPr>
        <w:t>（1</w:t>
      </w:r>
      <w:r>
        <w:rPr>
          <w:rFonts w:hint="eastAsia" w:ascii="宋体" w:hAnsi="宋体" w:cs="宋体"/>
          <w:bCs/>
          <w:sz w:val="24"/>
        </w:rPr>
        <w:t>8</w:t>
      </w:r>
      <w:r>
        <w:rPr>
          <w:rFonts w:hint="eastAsia" w:ascii="宋体" w:hAnsi="宋体" w:cs="宋体"/>
          <w:bCs/>
          <w:sz w:val="24"/>
          <w:lang w:val="zh-CN"/>
        </w:rPr>
        <w:t>）</w:t>
      </w:r>
      <w:r>
        <w:rPr>
          <w:rFonts w:hint="eastAsia" w:ascii="宋体" w:hAnsi="宋体" w:cs="宋体"/>
          <w:bCs/>
          <w:sz w:val="24"/>
        </w:rPr>
        <w:t>如为货物采购，</w:t>
      </w:r>
      <w:r>
        <w:rPr>
          <w:rFonts w:hint="eastAsia" w:ascii="宋体" w:hAnsi="宋体" w:cs="宋体"/>
          <w:bCs/>
          <w:sz w:val="24"/>
          <w:lang w:val="zh-CN"/>
        </w:rPr>
        <w:t>没有逐一说明投标产品品牌、型号、产地、性能参数，而是直接拷贝招标文件技术要求的；</w:t>
      </w:r>
    </w:p>
    <w:p w14:paraId="766172F4">
      <w:pPr>
        <w:spacing w:line="360" w:lineRule="auto"/>
        <w:ind w:firstLine="600"/>
        <w:rPr>
          <w:rFonts w:ascii="宋体" w:hAnsi="宋体" w:cs="宋体"/>
          <w:bCs/>
          <w:sz w:val="24"/>
          <w:lang w:val="zh-CN"/>
        </w:rPr>
      </w:pPr>
      <w:r>
        <w:rPr>
          <w:rFonts w:hint="eastAsia" w:ascii="宋体" w:hAnsi="宋体" w:cs="宋体"/>
          <w:bCs/>
          <w:sz w:val="24"/>
          <w:lang w:val="zh-CN"/>
        </w:rPr>
        <w:t>（</w:t>
      </w:r>
      <w:r>
        <w:rPr>
          <w:rFonts w:hint="eastAsia" w:ascii="宋体" w:hAnsi="宋体" w:cs="宋体"/>
          <w:bCs/>
          <w:sz w:val="24"/>
        </w:rPr>
        <w:t>19</w:t>
      </w:r>
      <w:r>
        <w:rPr>
          <w:rFonts w:hint="eastAsia" w:ascii="宋体" w:hAnsi="宋体" w:cs="宋体"/>
          <w:bCs/>
          <w:sz w:val="24"/>
          <w:lang w:val="zh-CN"/>
        </w:rPr>
        <w:t>）服务承诺和付款条件未响应招标要求的；</w:t>
      </w:r>
    </w:p>
    <w:p w14:paraId="32F96D05">
      <w:pPr>
        <w:spacing w:line="360" w:lineRule="auto"/>
        <w:ind w:firstLine="600"/>
        <w:rPr>
          <w:rFonts w:ascii="宋体" w:hAnsi="宋体" w:cs="宋体"/>
          <w:bCs/>
          <w:sz w:val="24"/>
          <w:lang w:val="zh-CN"/>
        </w:rPr>
      </w:pPr>
      <w:r>
        <w:rPr>
          <w:rFonts w:hint="eastAsia" w:ascii="宋体" w:hAnsi="宋体" w:cs="宋体"/>
          <w:bCs/>
          <w:sz w:val="24"/>
          <w:lang w:val="zh-CN"/>
        </w:rPr>
        <w:t>（</w:t>
      </w:r>
      <w:r>
        <w:rPr>
          <w:rFonts w:hint="eastAsia" w:ascii="宋体" w:hAnsi="宋体" w:cs="宋体"/>
          <w:bCs/>
          <w:sz w:val="24"/>
        </w:rPr>
        <w:t>20</w:t>
      </w:r>
      <w:r>
        <w:rPr>
          <w:rFonts w:hint="eastAsia" w:ascii="宋体" w:hAnsi="宋体" w:cs="宋体"/>
          <w:bCs/>
          <w:sz w:val="24"/>
          <w:lang w:val="zh-CN"/>
        </w:rPr>
        <w:t>）提供虚假材料的（包括营业执照、资格证明文件等）；</w:t>
      </w:r>
    </w:p>
    <w:p w14:paraId="7EEA5EAA">
      <w:pPr>
        <w:spacing w:line="360" w:lineRule="auto"/>
        <w:ind w:firstLine="600"/>
        <w:rPr>
          <w:rFonts w:ascii="宋体" w:hAnsi="宋体" w:cs="宋体"/>
          <w:bCs/>
          <w:sz w:val="24"/>
        </w:rPr>
      </w:pPr>
      <w:r>
        <w:rPr>
          <w:rFonts w:hint="eastAsia" w:ascii="宋体" w:hAnsi="宋体" w:cs="宋体"/>
          <w:bCs/>
          <w:sz w:val="24"/>
          <w:lang w:val="zh-CN"/>
        </w:rPr>
        <w:t>（</w:t>
      </w:r>
      <w:r>
        <w:rPr>
          <w:rFonts w:hint="eastAsia" w:ascii="宋体" w:hAnsi="宋体" w:cs="宋体"/>
          <w:bCs/>
          <w:sz w:val="24"/>
        </w:rPr>
        <w:t>21</w:t>
      </w:r>
      <w:r>
        <w:rPr>
          <w:rFonts w:hint="eastAsia" w:ascii="宋体" w:hAnsi="宋体" w:cs="宋体"/>
          <w:bCs/>
          <w:sz w:val="24"/>
          <w:lang w:val="zh-CN"/>
        </w:rPr>
        <w:t>）</w:t>
      </w:r>
      <w:r>
        <w:rPr>
          <w:rFonts w:hint="eastAsia" w:ascii="宋体" w:hAnsi="宋体" w:cs="宋体"/>
          <w:bCs/>
          <w:sz w:val="24"/>
        </w:rPr>
        <w:t>未提供</w:t>
      </w:r>
      <w:r>
        <w:rPr>
          <w:rFonts w:hint="eastAsia" w:ascii="宋体" w:hAnsi="宋体" w:cs="宋体"/>
          <w:bCs/>
          <w:sz w:val="24"/>
          <w:lang w:val="zh-CN"/>
        </w:rPr>
        <w:t>《南京市政府采购供应商信用记录表暨信用承诺书》；</w:t>
      </w:r>
    </w:p>
    <w:p w14:paraId="030C1037">
      <w:pPr>
        <w:spacing w:line="360" w:lineRule="auto"/>
        <w:ind w:firstLine="600"/>
        <w:rPr>
          <w:rFonts w:ascii="宋体" w:hAnsi="宋体" w:cs="宋体"/>
          <w:bCs/>
          <w:sz w:val="24"/>
        </w:rPr>
      </w:pPr>
      <w:r>
        <w:rPr>
          <w:rFonts w:hint="eastAsia" w:ascii="宋体" w:hAnsi="宋体" w:cs="宋体"/>
          <w:bCs/>
          <w:sz w:val="24"/>
        </w:rPr>
        <w:t>（22）评标委员会认为供应商的报价明显低于其他通过符合性审查供应商的报价，有可能影响服务质量或者不能诚信履约的，将通过苏采云系统要求其在合理的时间内提供说明，必要时提交相关证明材料。供应商不能证明其报价合理性的，评标委员会应当将其作为无效投标处理。</w:t>
      </w:r>
    </w:p>
    <w:p w14:paraId="6633CDE9">
      <w:pPr>
        <w:spacing w:line="360" w:lineRule="auto"/>
        <w:ind w:firstLine="600"/>
        <w:rPr>
          <w:rFonts w:ascii="宋体" w:hAnsi="宋体" w:cs="宋体"/>
          <w:bCs/>
          <w:sz w:val="24"/>
        </w:rPr>
      </w:pPr>
      <w:r>
        <w:rPr>
          <w:rFonts w:hint="eastAsia" w:ascii="宋体" w:hAnsi="宋体" w:cs="宋体"/>
          <w:bCs/>
          <w:sz w:val="24"/>
        </w:rPr>
        <w:t>（23）采购产品被财政部、国家发改委、生态环境部等列入“节能产品品目清单”强制采购范围，而供应商提供的产品不在强制采购范围内。</w:t>
      </w:r>
    </w:p>
    <w:p w14:paraId="4FA8875D">
      <w:pPr>
        <w:spacing w:line="360" w:lineRule="auto"/>
        <w:ind w:firstLine="600"/>
        <w:rPr>
          <w:rFonts w:ascii="宋体" w:hAnsi="宋体" w:cs="宋体"/>
          <w:bCs/>
          <w:sz w:val="24"/>
        </w:rPr>
      </w:pPr>
      <w:r>
        <w:rPr>
          <w:rFonts w:hint="eastAsia" w:ascii="宋体" w:hAnsi="宋体" w:cs="宋体"/>
          <w:bCs/>
          <w:sz w:val="24"/>
        </w:rPr>
        <w:t>（24）投标文件未按照招标文件要求加盖电子公章。</w:t>
      </w:r>
    </w:p>
    <w:p w14:paraId="04D3F7BB">
      <w:pPr>
        <w:spacing w:line="360" w:lineRule="auto"/>
        <w:ind w:firstLine="600"/>
        <w:rPr>
          <w:rFonts w:ascii="宋体" w:hAnsi="宋体" w:cs="宋体"/>
          <w:bCs/>
          <w:sz w:val="24"/>
        </w:rPr>
      </w:pPr>
      <w:r>
        <w:rPr>
          <w:rFonts w:hint="eastAsia" w:ascii="宋体" w:hAnsi="宋体" w:cs="宋体"/>
          <w:bCs/>
          <w:sz w:val="24"/>
        </w:rPr>
        <w:t>（25）</w:t>
      </w:r>
      <w:r>
        <w:rPr>
          <w:rFonts w:hint="eastAsia" w:ascii="宋体" w:hAnsi="宋体" w:cs="宋体"/>
          <w:bCs/>
          <w:sz w:val="24"/>
          <w:lang w:val="zh-CN"/>
        </w:rPr>
        <w:t>投标文件内容不全或不符合招标文件中规定的其它实质性要求的；</w:t>
      </w:r>
    </w:p>
    <w:p w14:paraId="057E1CFC">
      <w:pPr>
        <w:spacing w:line="360" w:lineRule="auto"/>
        <w:ind w:firstLine="600"/>
        <w:rPr>
          <w:rFonts w:ascii="宋体" w:hAnsi="宋体" w:cs="宋体"/>
          <w:bCs/>
          <w:sz w:val="24"/>
        </w:rPr>
      </w:pPr>
      <w:r>
        <w:rPr>
          <w:rFonts w:hint="eastAsia" w:ascii="宋体" w:hAnsi="宋体" w:cs="宋体"/>
          <w:bCs/>
          <w:sz w:val="24"/>
        </w:rPr>
        <w:t>（26）法律法规及本招标文件规定的其他无效投标情形。</w:t>
      </w:r>
    </w:p>
    <w:p w14:paraId="3AA61E04">
      <w:pPr>
        <w:spacing w:line="360" w:lineRule="auto"/>
        <w:ind w:firstLine="600"/>
        <w:rPr>
          <w:rFonts w:ascii="宋体" w:hAnsi="宋体" w:cs="宋体"/>
          <w:bCs/>
          <w:sz w:val="24"/>
        </w:rPr>
      </w:pPr>
      <w:r>
        <w:rPr>
          <w:rFonts w:hint="eastAsia" w:ascii="宋体" w:hAnsi="宋体" w:cs="宋体"/>
          <w:bCs/>
          <w:sz w:val="24"/>
        </w:rPr>
        <w:t>20.2废标条款</w:t>
      </w:r>
    </w:p>
    <w:p w14:paraId="02D5C99C">
      <w:pPr>
        <w:spacing w:line="360" w:lineRule="auto"/>
        <w:ind w:firstLine="600"/>
        <w:rPr>
          <w:rFonts w:ascii="宋体" w:hAnsi="宋体" w:cs="宋体"/>
          <w:bCs/>
          <w:sz w:val="24"/>
        </w:rPr>
      </w:pPr>
      <w:r>
        <w:rPr>
          <w:rFonts w:hint="eastAsia" w:ascii="宋体" w:hAnsi="宋体" w:cs="宋体"/>
          <w:bCs/>
          <w:sz w:val="24"/>
        </w:rPr>
        <w:t>（1）符合资格条件的供应商或者对招标文件作实质响应的供应商不足三家。</w:t>
      </w:r>
    </w:p>
    <w:p w14:paraId="7534EBFC">
      <w:pPr>
        <w:spacing w:line="360" w:lineRule="auto"/>
        <w:ind w:firstLine="600"/>
        <w:rPr>
          <w:rFonts w:ascii="宋体" w:hAnsi="宋体" w:cs="宋体"/>
          <w:bCs/>
          <w:sz w:val="24"/>
        </w:rPr>
      </w:pPr>
      <w:r>
        <w:rPr>
          <w:rFonts w:hint="eastAsia" w:ascii="宋体" w:hAnsi="宋体" w:cs="宋体"/>
          <w:bCs/>
          <w:sz w:val="24"/>
        </w:rPr>
        <w:t>（2）出现影响采购公正的违法、违规行为。</w:t>
      </w:r>
    </w:p>
    <w:p w14:paraId="6E5235D5">
      <w:pPr>
        <w:spacing w:line="360" w:lineRule="auto"/>
        <w:ind w:firstLine="600"/>
        <w:rPr>
          <w:rFonts w:ascii="宋体" w:hAnsi="宋体" w:cs="宋体"/>
          <w:bCs/>
          <w:sz w:val="24"/>
        </w:rPr>
      </w:pPr>
      <w:r>
        <w:rPr>
          <w:rFonts w:hint="eastAsia" w:ascii="宋体" w:hAnsi="宋体" w:cs="宋体"/>
          <w:bCs/>
          <w:sz w:val="24"/>
          <w:lang w:val="zh-CN"/>
        </w:rPr>
        <w:t>（3）供应商的报价均超过了采购预算</w:t>
      </w:r>
      <w:r>
        <w:rPr>
          <w:rFonts w:hint="eastAsia" w:ascii="宋体" w:hAnsi="宋体" w:cs="宋体"/>
          <w:bCs/>
          <w:sz w:val="24"/>
        </w:rPr>
        <w:t>或最高限价</w:t>
      </w:r>
      <w:r>
        <w:rPr>
          <w:rFonts w:hint="eastAsia" w:ascii="宋体" w:hAnsi="宋体" w:cs="宋体"/>
          <w:bCs/>
          <w:sz w:val="24"/>
          <w:lang w:val="zh-CN"/>
        </w:rPr>
        <w:t>，采购人不能支付的；</w:t>
      </w:r>
    </w:p>
    <w:p w14:paraId="070111D8">
      <w:pPr>
        <w:spacing w:line="360" w:lineRule="auto"/>
        <w:ind w:firstLine="600"/>
        <w:rPr>
          <w:rFonts w:ascii="宋体" w:hAnsi="宋体" w:cs="宋体"/>
          <w:bCs/>
          <w:sz w:val="24"/>
        </w:rPr>
      </w:pPr>
      <w:r>
        <w:rPr>
          <w:rFonts w:hint="eastAsia" w:ascii="宋体" w:hAnsi="宋体" w:cs="宋体"/>
          <w:bCs/>
          <w:sz w:val="24"/>
        </w:rPr>
        <w:t>（3）因重大变故，采购任务取消。</w:t>
      </w:r>
    </w:p>
    <w:p w14:paraId="3369C717">
      <w:pPr>
        <w:spacing w:line="360" w:lineRule="auto"/>
        <w:ind w:firstLine="600"/>
        <w:rPr>
          <w:rFonts w:ascii="宋体" w:hAnsi="宋体" w:cs="宋体"/>
          <w:bCs/>
          <w:sz w:val="24"/>
        </w:rPr>
      </w:pPr>
      <w:r>
        <w:rPr>
          <w:rFonts w:hint="eastAsia" w:ascii="宋体" w:hAnsi="宋体" w:cs="宋体"/>
          <w:bCs/>
          <w:sz w:val="24"/>
        </w:rPr>
        <w:t>（4）评标委员会认定招标文件存在歧义、重大缺陷导致评审工作无法进行。</w:t>
      </w:r>
    </w:p>
    <w:p w14:paraId="41C6E5C2">
      <w:pPr>
        <w:spacing w:line="360" w:lineRule="auto"/>
        <w:ind w:firstLine="600"/>
        <w:rPr>
          <w:rFonts w:ascii="宋体" w:hAnsi="宋体" w:cs="宋体"/>
          <w:bCs/>
          <w:sz w:val="24"/>
        </w:rPr>
      </w:pPr>
      <w:r>
        <w:rPr>
          <w:rFonts w:hint="eastAsia" w:ascii="宋体" w:hAnsi="宋体" w:cs="宋体"/>
          <w:bCs/>
          <w:sz w:val="24"/>
        </w:rPr>
        <w:t>（5）因苏采云系统故障造成开标不成功。</w:t>
      </w:r>
    </w:p>
    <w:p w14:paraId="19148DB6">
      <w:pPr>
        <w:spacing w:line="360" w:lineRule="auto"/>
        <w:ind w:firstLine="600"/>
        <w:rPr>
          <w:rFonts w:ascii="宋体" w:hAnsi="宋体" w:cs="宋体"/>
          <w:bCs/>
          <w:sz w:val="24"/>
        </w:rPr>
      </w:pPr>
      <w:r>
        <w:rPr>
          <w:rFonts w:hint="eastAsia" w:ascii="宋体" w:hAnsi="宋体" w:cs="宋体"/>
          <w:bCs/>
          <w:sz w:val="24"/>
        </w:rPr>
        <w:t>20.3如出现投标截止时间后参加投标的供应商或者对招标文件作出实质性响应的供应商不足三家的情况，按政府采购相关规定执行。</w:t>
      </w:r>
    </w:p>
    <w:p w14:paraId="1BB0E26E">
      <w:pPr>
        <w:spacing w:line="360" w:lineRule="auto"/>
        <w:ind w:firstLine="600"/>
        <w:rPr>
          <w:rFonts w:ascii="宋体" w:hAnsi="宋体" w:cs="宋体"/>
          <w:bCs/>
          <w:sz w:val="24"/>
          <w:lang w:val="zh-CN"/>
        </w:rPr>
      </w:pPr>
      <w:r>
        <w:rPr>
          <w:rFonts w:hint="eastAsia" w:ascii="宋体" w:hAnsi="宋体" w:cs="宋体"/>
          <w:bCs/>
          <w:sz w:val="24"/>
        </w:rPr>
        <w:t>20.4</w:t>
      </w:r>
      <w:r>
        <w:rPr>
          <w:rFonts w:hint="eastAsia" w:ascii="宋体" w:hAnsi="宋体" w:cs="宋体"/>
          <w:bCs/>
          <w:sz w:val="24"/>
          <w:lang w:val="zh-CN"/>
        </w:rPr>
        <w:t>比较与评价。评标委员会应当按照招标文件中规定的评标方法和标准，对符合性审查合格的投标文件进行商务和技术评估，综合比较与评价。</w:t>
      </w:r>
    </w:p>
    <w:p w14:paraId="4C9CA9DC">
      <w:pPr>
        <w:spacing w:line="360" w:lineRule="auto"/>
        <w:ind w:firstLine="600"/>
        <w:rPr>
          <w:rFonts w:ascii="宋体" w:hAnsi="宋体" w:cs="宋体"/>
          <w:bCs/>
          <w:sz w:val="24"/>
          <w:lang w:val="zh-CN"/>
        </w:rPr>
      </w:pPr>
      <w:r>
        <w:rPr>
          <w:rFonts w:hint="eastAsia" w:ascii="宋体" w:hAnsi="宋体" w:cs="宋体"/>
          <w:bCs/>
          <w:sz w:val="24"/>
        </w:rPr>
        <w:t>20.5</w:t>
      </w:r>
      <w:r>
        <w:rPr>
          <w:rFonts w:hint="eastAsia" w:ascii="宋体" w:hAnsi="宋体" w:cs="宋体"/>
          <w:bCs/>
          <w:sz w:val="24"/>
          <w:lang w:val="zh-CN"/>
        </w:rPr>
        <w:t>相同品牌产品的投标</w:t>
      </w:r>
    </w:p>
    <w:p w14:paraId="74A78B4F">
      <w:pPr>
        <w:spacing w:line="360" w:lineRule="auto"/>
        <w:ind w:firstLine="600"/>
        <w:rPr>
          <w:rFonts w:ascii="宋体" w:hAnsi="宋体" w:cs="宋体"/>
          <w:bCs/>
          <w:sz w:val="24"/>
          <w:lang w:val="zh-CN"/>
        </w:rPr>
      </w:pPr>
      <w:r>
        <w:rPr>
          <w:rFonts w:hint="eastAsia" w:ascii="宋体" w:hAnsi="宋体" w:cs="宋体"/>
          <w:bCs/>
          <w:sz w:val="24"/>
          <w:lang w:val="zh-CN"/>
        </w:rPr>
        <w:t>使用综合评分法的采购项目，提供相同品牌产品且通过资格审查、符合性审查的不同供应商参加同一合同项下投标的，按一家供应商计算，评审后得分最高的同品牌供应商获得中标单位推荐资格；评审得分相同的，由采购人委托评标委员会按照招标文件规定的方式确定一个供应商获得中标单位推荐资格，招标文件未规定的采取随机抽取方式确定，其他同品牌供应商不作为中标候选人。</w:t>
      </w:r>
    </w:p>
    <w:p w14:paraId="2C7991D3">
      <w:pPr>
        <w:spacing w:line="360" w:lineRule="auto"/>
        <w:ind w:firstLine="600"/>
        <w:rPr>
          <w:rFonts w:ascii="宋体" w:hAnsi="宋体" w:cs="宋体"/>
          <w:bCs/>
          <w:sz w:val="24"/>
          <w:lang w:val="zh-CN"/>
        </w:rPr>
      </w:pPr>
      <w:r>
        <w:rPr>
          <w:rFonts w:hint="eastAsia" w:ascii="宋体" w:hAnsi="宋体" w:cs="宋体"/>
          <w:bCs/>
          <w:sz w:val="24"/>
          <w:lang w:val="zh-CN"/>
        </w:rPr>
        <w:t>非单一产品采购项目，确定核心产品的方法在招标文件技术需求中载明。多家供应商提供的核心产品品牌相同的，按前两款规定处理。</w:t>
      </w:r>
    </w:p>
    <w:p w14:paraId="5467261F">
      <w:pPr>
        <w:spacing w:line="360" w:lineRule="auto"/>
        <w:ind w:firstLine="600"/>
        <w:rPr>
          <w:rFonts w:ascii="宋体" w:hAnsi="宋体" w:cs="宋体"/>
          <w:bCs/>
          <w:sz w:val="24"/>
          <w:lang w:val="zh-CN"/>
        </w:rPr>
      </w:pPr>
      <w:r>
        <w:rPr>
          <w:rFonts w:hint="eastAsia" w:ascii="宋体" w:hAnsi="宋体" w:cs="宋体"/>
          <w:bCs/>
          <w:sz w:val="24"/>
        </w:rPr>
        <w:t>20.6</w:t>
      </w:r>
      <w:r>
        <w:rPr>
          <w:rFonts w:hint="eastAsia" w:ascii="宋体" w:hAnsi="宋体" w:cs="宋体"/>
          <w:bCs/>
          <w:sz w:val="24"/>
          <w:lang w:val="zh-CN"/>
        </w:rPr>
        <w:t>评标方法和标准</w:t>
      </w:r>
    </w:p>
    <w:p w14:paraId="11F53BD8">
      <w:pPr>
        <w:spacing w:line="360" w:lineRule="auto"/>
        <w:ind w:firstLine="600"/>
        <w:rPr>
          <w:rFonts w:ascii="宋体" w:hAnsi="宋体" w:cs="宋体"/>
          <w:bCs/>
          <w:sz w:val="24"/>
          <w:lang w:val="zh-CN"/>
        </w:rPr>
      </w:pPr>
      <w:r>
        <w:rPr>
          <w:rFonts w:hint="eastAsia" w:ascii="宋体" w:hAnsi="宋体" w:cs="宋体"/>
          <w:bCs/>
          <w:sz w:val="24"/>
        </w:rPr>
        <w:t>20.6.1</w:t>
      </w:r>
      <w:r>
        <w:rPr>
          <w:rFonts w:hint="eastAsia" w:ascii="宋体" w:hAnsi="宋体" w:cs="宋体"/>
          <w:bCs/>
          <w:sz w:val="24"/>
          <w:lang w:val="zh-CN"/>
        </w:rPr>
        <w:t>本项目采用综合评分法。本次招标的评标方法和标准，详见本采购文件第三章。</w:t>
      </w:r>
    </w:p>
    <w:p w14:paraId="5AAD51BE">
      <w:pPr>
        <w:spacing w:line="360" w:lineRule="auto"/>
        <w:ind w:firstLine="602"/>
        <w:rPr>
          <w:rFonts w:ascii="宋体" w:hAnsi="宋体" w:cs="宋体"/>
          <w:b/>
          <w:sz w:val="24"/>
        </w:rPr>
      </w:pPr>
      <w:r>
        <w:rPr>
          <w:rFonts w:hint="eastAsia" w:ascii="宋体" w:hAnsi="宋体" w:cs="宋体"/>
          <w:b/>
          <w:sz w:val="24"/>
        </w:rPr>
        <w:t>六、定标</w:t>
      </w:r>
    </w:p>
    <w:p w14:paraId="38CC1D8F">
      <w:pPr>
        <w:spacing w:line="360" w:lineRule="auto"/>
        <w:ind w:firstLine="602"/>
        <w:rPr>
          <w:rFonts w:ascii="宋体" w:hAnsi="宋体" w:cs="宋体"/>
          <w:b/>
          <w:sz w:val="24"/>
          <w:lang w:val="zh-CN"/>
        </w:rPr>
      </w:pPr>
      <w:r>
        <w:rPr>
          <w:rFonts w:hint="eastAsia" w:ascii="宋体" w:hAnsi="宋体" w:cs="宋体"/>
          <w:b/>
          <w:sz w:val="24"/>
          <w:lang w:val="zh-CN"/>
        </w:rPr>
        <w:t>21、确定中标单位</w:t>
      </w:r>
    </w:p>
    <w:p w14:paraId="735834E1">
      <w:pPr>
        <w:spacing w:line="360" w:lineRule="auto"/>
        <w:ind w:firstLine="600"/>
        <w:rPr>
          <w:rFonts w:ascii="宋体" w:hAnsi="宋体" w:cs="宋体"/>
          <w:sz w:val="24"/>
          <w:lang w:val="zh-CN"/>
        </w:rPr>
      </w:pPr>
      <w:r>
        <w:rPr>
          <w:rFonts w:hint="eastAsia" w:ascii="宋体" w:hAnsi="宋体" w:cs="宋体"/>
          <w:sz w:val="24"/>
          <w:lang w:val="zh-CN"/>
        </w:rPr>
        <w:t xml:space="preserve">21.1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 </w:t>
      </w:r>
    </w:p>
    <w:p w14:paraId="64846DB8">
      <w:pPr>
        <w:spacing w:line="360" w:lineRule="auto"/>
        <w:ind w:firstLine="600"/>
        <w:rPr>
          <w:rFonts w:ascii="宋体" w:hAnsi="宋体" w:cs="宋体"/>
          <w:sz w:val="24"/>
          <w:lang w:val="zh-CN"/>
        </w:rPr>
      </w:pPr>
      <w:r>
        <w:rPr>
          <w:rFonts w:hint="eastAsia" w:ascii="宋体" w:hAnsi="宋体" w:cs="宋体"/>
          <w:sz w:val="24"/>
        </w:rPr>
        <w:t>21.2</w:t>
      </w:r>
      <w:r>
        <w:rPr>
          <w:rFonts w:hint="eastAsia" w:ascii="宋体" w:hAnsi="宋体" w:cs="宋体"/>
          <w:sz w:val="24"/>
          <w:lang w:val="zh-CN"/>
        </w:rPr>
        <w:t>按以下第（1）种方式确定中标人：</w:t>
      </w:r>
    </w:p>
    <w:p w14:paraId="18B1E3DE">
      <w:pPr>
        <w:spacing w:line="360" w:lineRule="auto"/>
        <w:ind w:firstLine="600"/>
        <w:rPr>
          <w:rFonts w:ascii="宋体" w:hAnsi="宋体" w:cs="宋体"/>
          <w:sz w:val="24"/>
          <w:lang w:val="zh-CN"/>
        </w:rPr>
      </w:pPr>
      <w:r>
        <w:rPr>
          <w:rFonts w:hint="eastAsia" w:ascii="宋体" w:hAnsi="宋体" w:cs="宋体"/>
          <w:sz w:val="24"/>
          <w:lang w:val="zh-CN"/>
        </w:rPr>
        <w:t>（1）</w:t>
      </w:r>
      <w:r>
        <w:rPr>
          <w:rFonts w:hint="eastAsia" w:ascii="宋体" w:hAnsi="宋体" w:cs="宋体"/>
          <w:sz w:val="24"/>
        </w:rPr>
        <w:t>评标委员会</w:t>
      </w:r>
      <w:r>
        <w:rPr>
          <w:rFonts w:hint="eastAsia" w:ascii="宋体" w:hAnsi="宋体" w:cs="宋体"/>
          <w:sz w:val="24"/>
          <w:lang w:val="zh-CN"/>
        </w:rPr>
        <w:t>直接确定排名第一的中标候选人为中标人；</w:t>
      </w:r>
    </w:p>
    <w:p w14:paraId="23405E90">
      <w:pPr>
        <w:spacing w:line="360" w:lineRule="auto"/>
        <w:ind w:firstLine="600"/>
        <w:rPr>
          <w:rFonts w:ascii="宋体" w:hAnsi="宋体" w:cs="宋体"/>
          <w:sz w:val="24"/>
          <w:lang w:val="zh-CN"/>
        </w:rPr>
      </w:pPr>
      <w:r>
        <w:rPr>
          <w:rFonts w:hint="eastAsia" w:ascii="宋体" w:hAnsi="宋体" w:cs="宋体"/>
          <w:sz w:val="24"/>
          <w:lang w:val="zh-CN"/>
        </w:rPr>
        <w:t>（2）采购人在评委会推荐的中标候选人中按顺序确定中标人。</w:t>
      </w:r>
    </w:p>
    <w:p w14:paraId="3BEF2640">
      <w:pPr>
        <w:spacing w:line="360" w:lineRule="auto"/>
        <w:ind w:firstLine="600"/>
        <w:rPr>
          <w:rFonts w:ascii="宋体" w:hAnsi="宋体" w:cs="宋体"/>
          <w:sz w:val="24"/>
          <w:lang w:val="zh-CN"/>
        </w:rPr>
      </w:pPr>
      <w:r>
        <w:rPr>
          <w:rFonts w:hint="eastAsia" w:ascii="宋体" w:hAnsi="宋体" w:cs="宋体"/>
          <w:sz w:val="24"/>
          <w:lang w:val="zh-CN"/>
        </w:rPr>
        <w:t>按第二种方式确定中标人的，</w:t>
      </w:r>
      <w:r>
        <w:rPr>
          <w:rFonts w:hint="eastAsia" w:ascii="宋体" w:hAnsi="宋体" w:cs="宋体"/>
          <w:sz w:val="24"/>
        </w:rPr>
        <w:t>代理机构</w:t>
      </w:r>
      <w:r>
        <w:rPr>
          <w:rFonts w:hint="eastAsia" w:ascii="宋体" w:hAnsi="宋体" w:cs="宋体"/>
          <w:sz w:val="24"/>
          <w:lang w:val="zh-CN"/>
        </w:rPr>
        <w:t>自评审结束之日起两个工作日内将评审报告送达采购人，采购人自收到评审报告之日起五个工作日内，在评审报告推荐的中标候选人中按顺序确定中标人。</w:t>
      </w:r>
    </w:p>
    <w:p w14:paraId="4DD2F41C">
      <w:pPr>
        <w:spacing w:line="360" w:lineRule="auto"/>
        <w:ind w:firstLine="600"/>
        <w:rPr>
          <w:rFonts w:ascii="宋体" w:hAnsi="宋体" w:cs="宋体"/>
          <w:sz w:val="24"/>
          <w:lang w:val="zh-CN"/>
        </w:rPr>
      </w:pPr>
      <w:r>
        <w:rPr>
          <w:rFonts w:hint="eastAsia" w:ascii="宋体" w:hAnsi="宋体" w:cs="宋体"/>
          <w:sz w:val="24"/>
        </w:rPr>
        <w:t>21.3代理机构</w:t>
      </w:r>
      <w:r>
        <w:rPr>
          <w:rFonts w:hint="eastAsia" w:ascii="宋体" w:hAnsi="宋体" w:cs="宋体"/>
          <w:sz w:val="24"/>
          <w:lang w:val="zh-CN"/>
        </w:rPr>
        <w:t>将在“</w:t>
      </w:r>
      <w:r>
        <w:rPr>
          <w:rFonts w:hint="eastAsia" w:ascii="宋体" w:hAnsi="宋体" w:cs="宋体"/>
          <w:sz w:val="24"/>
        </w:rPr>
        <w:t>南京市公共采购信息网</w:t>
      </w:r>
      <w:r>
        <w:rPr>
          <w:rFonts w:hint="eastAsia" w:ascii="宋体" w:hAnsi="宋体" w:cs="宋体"/>
          <w:sz w:val="24"/>
          <w:lang w:val="zh-CN"/>
        </w:rPr>
        <w:t>”“江苏政府采购网”发布中标公告，公告期限为1个工作日。</w:t>
      </w:r>
    </w:p>
    <w:p w14:paraId="3E807B3B">
      <w:pPr>
        <w:spacing w:line="360" w:lineRule="auto"/>
        <w:ind w:firstLine="600"/>
        <w:rPr>
          <w:rFonts w:ascii="宋体" w:hAnsi="宋体" w:cs="宋体"/>
          <w:sz w:val="24"/>
          <w:lang w:val="zh-CN"/>
        </w:rPr>
      </w:pPr>
      <w:r>
        <w:rPr>
          <w:rFonts w:hint="eastAsia" w:ascii="宋体" w:hAnsi="宋体" w:cs="宋体"/>
          <w:sz w:val="24"/>
        </w:rPr>
        <w:t>21.4</w:t>
      </w:r>
      <w:r>
        <w:rPr>
          <w:rFonts w:hint="eastAsia" w:ascii="宋体" w:hAnsi="宋体" w:cs="宋体"/>
          <w:sz w:val="24"/>
          <w:lang w:val="zh-CN"/>
        </w:rPr>
        <w:t>若有充分证据证明中标人有下列情况之一的，一经查实将被取消中标资格：</w:t>
      </w:r>
    </w:p>
    <w:p w14:paraId="5D62FDCA">
      <w:pPr>
        <w:spacing w:line="360" w:lineRule="auto"/>
        <w:ind w:firstLine="600"/>
        <w:rPr>
          <w:rFonts w:ascii="宋体" w:hAnsi="宋体" w:cs="宋体"/>
          <w:sz w:val="24"/>
          <w:lang w:val="zh-CN"/>
        </w:rPr>
      </w:pPr>
      <w:r>
        <w:rPr>
          <w:rFonts w:hint="eastAsia" w:ascii="宋体" w:hAnsi="宋体" w:cs="宋体"/>
          <w:sz w:val="24"/>
        </w:rPr>
        <w:t>（1）</w:t>
      </w:r>
      <w:r>
        <w:rPr>
          <w:rFonts w:hint="eastAsia" w:ascii="宋体" w:hAnsi="宋体" w:cs="宋体"/>
          <w:sz w:val="24"/>
          <w:lang w:val="zh-CN"/>
        </w:rPr>
        <w:t>提供虚假材料谋取中标。</w:t>
      </w:r>
    </w:p>
    <w:p w14:paraId="3D41E193">
      <w:pPr>
        <w:spacing w:line="360" w:lineRule="auto"/>
        <w:ind w:firstLine="600"/>
        <w:rPr>
          <w:rFonts w:ascii="宋体" w:hAnsi="宋体" w:cs="宋体"/>
          <w:sz w:val="24"/>
          <w:lang w:val="zh-CN"/>
        </w:rPr>
      </w:pPr>
      <w:r>
        <w:rPr>
          <w:rFonts w:hint="eastAsia" w:ascii="宋体" w:hAnsi="宋体" w:cs="宋体"/>
          <w:sz w:val="24"/>
          <w:lang w:val="zh-CN"/>
        </w:rPr>
        <w:t>（</w:t>
      </w:r>
      <w:r>
        <w:rPr>
          <w:rFonts w:hint="eastAsia" w:ascii="宋体" w:hAnsi="宋体" w:cs="宋体"/>
          <w:sz w:val="24"/>
        </w:rPr>
        <w:t>2</w:t>
      </w:r>
      <w:r>
        <w:rPr>
          <w:rFonts w:hint="eastAsia" w:ascii="宋体" w:hAnsi="宋体" w:cs="宋体"/>
          <w:sz w:val="24"/>
          <w:lang w:val="zh-CN"/>
        </w:rPr>
        <w:t>）向采购人、</w:t>
      </w:r>
      <w:r>
        <w:rPr>
          <w:rFonts w:hint="eastAsia" w:ascii="宋体" w:hAnsi="宋体" w:cs="宋体"/>
          <w:sz w:val="24"/>
        </w:rPr>
        <w:t>代理机构</w:t>
      </w:r>
      <w:r>
        <w:rPr>
          <w:rFonts w:hint="eastAsia" w:ascii="宋体" w:hAnsi="宋体" w:cs="宋体"/>
          <w:sz w:val="24"/>
          <w:lang w:val="zh-CN"/>
        </w:rPr>
        <w:t>行贿或者提供其他不正当利益。</w:t>
      </w:r>
    </w:p>
    <w:p w14:paraId="3925C14A">
      <w:pPr>
        <w:spacing w:line="360" w:lineRule="auto"/>
        <w:ind w:firstLine="600"/>
        <w:rPr>
          <w:rFonts w:ascii="宋体" w:hAnsi="宋体" w:cs="宋体"/>
          <w:sz w:val="24"/>
          <w:lang w:val="zh-CN"/>
        </w:rPr>
      </w:pPr>
      <w:r>
        <w:rPr>
          <w:rFonts w:hint="eastAsia" w:ascii="宋体" w:hAnsi="宋体" w:cs="宋体"/>
          <w:sz w:val="24"/>
          <w:lang w:val="zh-CN"/>
        </w:rPr>
        <w:t>（</w:t>
      </w:r>
      <w:r>
        <w:rPr>
          <w:rFonts w:hint="eastAsia" w:ascii="宋体" w:hAnsi="宋体" w:cs="宋体"/>
          <w:sz w:val="24"/>
        </w:rPr>
        <w:t>3</w:t>
      </w:r>
      <w:r>
        <w:rPr>
          <w:rFonts w:hint="eastAsia" w:ascii="宋体" w:hAnsi="宋体" w:cs="宋体"/>
          <w:sz w:val="24"/>
          <w:lang w:val="zh-CN"/>
        </w:rPr>
        <w:t>）属于本文件规定的无效投标情形，但在评标过程中未被评委会发现。</w:t>
      </w:r>
    </w:p>
    <w:p w14:paraId="5067A227">
      <w:pPr>
        <w:spacing w:line="360" w:lineRule="auto"/>
        <w:ind w:firstLine="600"/>
        <w:rPr>
          <w:rFonts w:ascii="宋体" w:hAnsi="宋体" w:cs="宋体"/>
          <w:sz w:val="24"/>
          <w:lang w:val="zh-CN"/>
        </w:rPr>
      </w:pPr>
      <w:r>
        <w:rPr>
          <w:rFonts w:hint="eastAsia" w:ascii="宋体" w:hAnsi="宋体" w:cs="宋体"/>
          <w:sz w:val="24"/>
          <w:lang w:val="zh-CN"/>
        </w:rPr>
        <w:t>（</w:t>
      </w:r>
      <w:r>
        <w:rPr>
          <w:rFonts w:hint="eastAsia" w:ascii="宋体" w:hAnsi="宋体" w:cs="宋体"/>
          <w:sz w:val="24"/>
        </w:rPr>
        <w:t>4</w:t>
      </w:r>
      <w:r>
        <w:rPr>
          <w:rFonts w:hint="eastAsia" w:ascii="宋体" w:hAnsi="宋体" w:cs="宋体"/>
          <w:sz w:val="24"/>
          <w:lang w:val="zh-CN"/>
        </w:rPr>
        <w:t>）与采购人或者其他供应商恶意串通。</w:t>
      </w:r>
    </w:p>
    <w:p w14:paraId="67733F22">
      <w:pPr>
        <w:spacing w:line="360" w:lineRule="auto"/>
        <w:ind w:firstLine="600"/>
        <w:rPr>
          <w:rFonts w:ascii="宋体" w:hAnsi="宋体" w:cs="宋体"/>
          <w:sz w:val="24"/>
          <w:lang w:val="zh-CN"/>
        </w:rPr>
      </w:pPr>
      <w:r>
        <w:rPr>
          <w:rFonts w:hint="eastAsia" w:ascii="宋体" w:hAnsi="宋体" w:cs="宋体"/>
          <w:sz w:val="24"/>
          <w:lang w:val="zh-CN"/>
        </w:rPr>
        <w:t>（</w:t>
      </w:r>
      <w:r>
        <w:rPr>
          <w:rFonts w:hint="eastAsia" w:ascii="宋体" w:hAnsi="宋体" w:cs="宋体"/>
          <w:sz w:val="24"/>
        </w:rPr>
        <w:t>5</w:t>
      </w:r>
      <w:r>
        <w:rPr>
          <w:rFonts w:hint="eastAsia" w:ascii="宋体" w:hAnsi="宋体" w:cs="宋体"/>
          <w:sz w:val="24"/>
          <w:lang w:val="zh-CN"/>
        </w:rPr>
        <w:t>）采取不正当手段诋毁、排挤其他供应商。</w:t>
      </w:r>
    </w:p>
    <w:p w14:paraId="0143FCF0">
      <w:pPr>
        <w:spacing w:line="360" w:lineRule="auto"/>
        <w:ind w:firstLine="600"/>
        <w:rPr>
          <w:rFonts w:ascii="宋体" w:hAnsi="宋体" w:cs="宋体"/>
          <w:b/>
          <w:bCs/>
          <w:sz w:val="24"/>
          <w:lang w:val="zh-CN"/>
        </w:rPr>
      </w:pPr>
      <w:r>
        <w:rPr>
          <w:rFonts w:hint="eastAsia" w:ascii="宋体" w:hAnsi="宋体" w:cs="宋体"/>
          <w:b/>
          <w:bCs/>
          <w:sz w:val="24"/>
        </w:rPr>
        <w:t>22、</w:t>
      </w:r>
      <w:r>
        <w:rPr>
          <w:rFonts w:hint="eastAsia" w:ascii="宋体" w:hAnsi="宋体" w:cs="宋体"/>
          <w:b/>
          <w:bCs/>
          <w:sz w:val="24"/>
          <w:lang w:val="zh-CN"/>
        </w:rPr>
        <w:t>中标通知书</w:t>
      </w:r>
    </w:p>
    <w:p w14:paraId="14C9F9DD">
      <w:pPr>
        <w:spacing w:line="360" w:lineRule="auto"/>
        <w:ind w:firstLine="600"/>
        <w:rPr>
          <w:rFonts w:ascii="宋体" w:hAnsi="宋体" w:cs="宋体"/>
          <w:sz w:val="24"/>
          <w:lang w:val="zh-CN"/>
        </w:rPr>
      </w:pPr>
      <w:r>
        <w:rPr>
          <w:rFonts w:hint="eastAsia" w:ascii="宋体" w:hAnsi="宋体" w:cs="宋体"/>
          <w:sz w:val="24"/>
        </w:rPr>
        <w:t>22.1</w:t>
      </w:r>
      <w:r>
        <w:rPr>
          <w:rFonts w:hint="eastAsia" w:ascii="宋体" w:hAnsi="宋体" w:cs="宋体"/>
          <w:sz w:val="24"/>
          <w:lang w:val="zh-CN"/>
        </w:rPr>
        <w:t>中标结果确定后，</w:t>
      </w:r>
      <w:r>
        <w:rPr>
          <w:rFonts w:hint="eastAsia" w:ascii="宋体" w:hAnsi="宋体" w:cs="宋体"/>
          <w:sz w:val="24"/>
        </w:rPr>
        <w:t>代理机构</w:t>
      </w:r>
      <w:r>
        <w:rPr>
          <w:rFonts w:hint="eastAsia" w:ascii="宋体" w:hAnsi="宋体" w:cs="宋体"/>
          <w:sz w:val="24"/>
          <w:lang w:val="zh-CN"/>
        </w:rPr>
        <w:t>将向中标人发出《中标通知书》。中标人可在中标结果公告届满之日起三十日内,登录苏采云系统下载。</w:t>
      </w:r>
    </w:p>
    <w:p w14:paraId="0CF18B54">
      <w:pPr>
        <w:spacing w:line="360" w:lineRule="auto"/>
        <w:ind w:firstLine="600"/>
        <w:rPr>
          <w:rFonts w:ascii="宋体" w:hAnsi="宋体" w:cs="宋体"/>
          <w:sz w:val="24"/>
          <w:lang w:val="zh-CN"/>
        </w:rPr>
      </w:pPr>
      <w:r>
        <w:rPr>
          <w:rFonts w:hint="eastAsia" w:ascii="宋体" w:hAnsi="宋体" w:cs="宋体"/>
          <w:sz w:val="24"/>
          <w:lang w:val="zh-CN"/>
        </w:rPr>
        <w:t>因系统存储空间有限，中标结果公告届满之日起三十日后，苏采云系统不再保证提供下载《中标通知书》服务，因未及时下载而造成的不利后果由中标人自行承担。</w:t>
      </w:r>
    </w:p>
    <w:p w14:paraId="49D301B7">
      <w:pPr>
        <w:spacing w:line="360" w:lineRule="auto"/>
        <w:ind w:firstLine="600"/>
        <w:rPr>
          <w:rFonts w:ascii="宋体" w:hAnsi="宋体" w:cs="宋体"/>
          <w:sz w:val="24"/>
          <w:lang w:val="zh-CN"/>
        </w:rPr>
      </w:pPr>
      <w:r>
        <w:rPr>
          <w:rFonts w:hint="eastAsia" w:ascii="宋体" w:hAnsi="宋体" w:cs="宋体"/>
          <w:sz w:val="24"/>
        </w:rPr>
        <w:t>22.2</w:t>
      </w:r>
      <w:r>
        <w:rPr>
          <w:rFonts w:hint="eastAsia" w:ascii="宋体" w:hAnsi="宋体" w:cs="宋体"/>
          <w:sz w:val="24"/>
          <w:lang w:val="zh-CN"/>
        </w:rPr>
        <w:t>《中标通知书》是合同的一个组成部分，对采购人和中标人均具有法律效力。《中标通知书》发出后，采购人改变中标结果或者中标人放弃中标项目的，应当依法承担法律责任。</w:t>
      </w:r>
    </w:p>
    <w:p w14:paraId="1B272706">
      <w:pPr>
        <w:spacing w:line="360" w:lineRule="auto"/>
        <w:ind w:firstLine="602"/>
        <w:rPr>
          <w:rFonts w:ascii="宋体" w:hAnsi="宋体" w:cs="宋体"/>
          <w:b/>
          <w:sz w:val="24"/>
          <w:lang w:val="zh-CN"/>
        </w:rPr>
      </w:pPr>
      <w:r>
        <w:rPr>
          <w:rFonts w:hint="eastAsia" w:ascii="宋体" w:hAnsi="宋体" w:cs="宋体"/>
          <w:b/>
          <w:sz w:val="24"/>
        </w:rPr>
        <w:t>七</w:t>
      </w:r>
      <w:r>
        <w:rPr>
          <w:rFonts w:hint="eastAsia" w:ascii="宋体" w:hAnsi="宋体" w:cs="宋体"/>
          <w:b/>
          <w:sz w:val="24"/>
          <w:lang w:val="zh-CN"/>
        </w:rPr>
        <w:t>、签订合同</w:t>
      </w:r>
    </w:p>
    <w:p w14:paraId="3E4999A2">
      <w:pPr>
        <w:spacing w:line="360" w:lineRule="auto"/>
        <w:ind w:firstLine="600"/>
        <w:rPr>
          <w:rFonts w:ascii="宋体" w:hAnsi="宋体" w:cs="宋体"/>
          <w:sz w:val="24"/>
          <w:lang w:val="zh-CN"/>
        </w:rPr>
      </w:pPr>
      <w:r>
        <w:rPr>
          <w:rFonts w:hint="eastAsia" w:ascii="宋体" w:hAnsi="宋体" w:cs="宋体"/>
          <w:sz w:val="24"/>
        </w:rPr>
        <w:t>23、</w:t>
      </w:r>
      <w:r>
        <w:rPr>
          <w:rFonts w:hint="eastAsia" w:ascii="宋体" w:hAnsi="宋体" w:cs="宋体"/>
          <w:sz w:val="24"/>
          <w:lang w:val="zh-CN"/>
        </w:rPr>
        <w:t>签订合同</w:t>
      </w:r>
    </w:p>
    <w:p w14:paraId="00841F06">
      <w:pPr>
        <w:spacing w:line="360" w:lineRule="auto"/>
        <w:ind w:firstLine="600"/>
        <w:rPr>
          <w:rFonts w:ascii="宋体" w:hAnsi="宋体" w:cs="宋体"/>
          <w:sz w:val="24"/>
          <w:lang w:val="zh-CN"/>
        </w:rPr>
      </w:pPr>
      <w:r>
        <w:rPr>
          <w:rFonts w:hint="eastAsia" w:ascii="宋体" w:hAnsi="宋体" w:cs="宋体"/>
          <w:sz w:val="24"/>
        </w:rPr>
        <w:t>23.1</w:t>
      </w:r>
      <w:r>
        <w:rPr>
          <w:rFonts w:hint="eastAsia" w:ascii="宋体" w:hAnsi="宋体" w:cs="宋体"/>
          <w:sz w:val="24"/>
          <w:lang w:val="zh-CN"/>
        </w:rPr>
        <w:t>中标人应当在《中标通知书》发出之日起三十日内，按照招标文件确定的事项与采购人签订政府采购合同。所签订的合同不得对招标文件确定的事项和中标单位投标文件作实质性修改。</w:t>
      </w:r>
    </w:p>
    <w:p w14:paraId="4A1836F0">
      <w:pPr>
        <w:spacing w:line="360" w:lineRule="auto"/>
        <w:ind w:firstLine="600"/>
        <w:rPr>
          <w:rFonts w:ascii="宋体" w:hAnsi="宋体" w:cs="宋体"/>
          <w:sz w:val="24"/>
          <w:lang w:val="zh-CN"/>
        </w:rPr>
      </w:pPr>
      <w:r>
        <w:rPr>
          <w:rFonts w:hint="eastAsia" w:ascii="宋体" w:hAnsi="宋体" w:cs="宋体"/>
          <w:sz w:val="24"/>
        </w:rPr>
        <w:t>23.2</w:t>
      </w:r>
      <w:r>
        <w:rPr>
          <w:rFonts w:hint="eastAsia" w:ascii="宋体" w:hAnsi="宋体" w:cs="宋体"/>
          <w:sz w:val="24"/>
          <w:lang w:val="zh-CN"/>
        </w:rPr>
        <w:t>招标文件、中标人的投标文件及招标过程中有关澄清、承诺文件均作为合同附件。</w:t>
      </w:r>
    </w:p>
    <w:p w14:paraId="01254D93">
      <w:pPr>
        <w:spacing w:line="360" w:lineRule="auto"/>
        <w:ind w:firstLine="600"/>
        <w:rPr>
          <w:rFonts w:ascii="宋体" w:hAnsi="宋体" w:cs="宋体"/>
          <w:sz w:val="24"/>
          <w:lang w:val="zh-CN"/>
        </w:rPr>
      </w:pPr>
      <w:r>
        <w:rPr>
          <w:rFonts w:hint="eastAsia" w:ascii="宋体" w:hAnsi="宋体" w:cs="宋体"/>
          <w:sz w:val="24"/>
        </w:rPr>
        <w:t>23.3</w:t>
      </w:r>
      <w:r>
        <w:rPr>
          <w:rFonts w:hint="eastAsia" w:ascii="宋体" w:hAnsi="宋体" w:cs="宋体"/>
          <w:sz w:val="24"/>
          <w:lang w:val="zh-CN"/>
        </w:rPr>
        <w:t>签订合同后，中标人不得将合同标的进行转包。未经采购人同意，中标人也不得采用分包的形式履行合同，否则采购人有权终止合同。转包或分包造成采购人损失的，中标人应承担相应赔偿责任。</w:t>
      </w:r>
    </w:p>
    <w:p w14:paraId="7A00027C">
      <w:pPr>
        <w:spacing w:line="360" w:lineRule="auto"/>
        <w:ind w:firstLine="600"/>
        <w:rPr>
          <w:rFonts w:ascii="宋体" w:hAnsi="宋体" w:cs="宋体"/>
          <w:sz w:val="24"/>
          <w:lang w:val="zh-CN"/>
        </w:rPr>
      </w:pPr>
      <w:r>
        <w:rPr>
          <w:rFonts w:hint="eastAsia" w:ascii="宋体" w:hAnsi="宋体" w:cs="宋体"/>
          <w:sz w:val="24"/>
        </w:rPr>
        <w:t>23.4</w:t>
      </w:r>
      <w:r>
        <w:rPr>
          <w:rFonts w:hint="eastAsia" w:ascii="宋体" w:hAnsi="宋体" w:cs="宋体"/>
          <w:sz w:val="24"/>
          <w:lang w:val="zh-CN"/>
        </w:rPr>
        <w:t>中标通知书发出后，采购人或中标单位拒绝签订合同的，拒绝签订合同的一方应至少向另一方支付补偿金，以及为招标、投标所发生的有关费用和双方商定的其他补偿。</w:t>
      </w:r>
    </w:p>
    <w:p w14:paraId="3B053EF0">
      <w:pPr>
        <w:spacing w:line="360" w:lineRule="auto"/>
        <w:ind w:firstLine="600"/>
        <w:rPr>
          <w:rFonts w:ascii="宋体" w:hAnsi="宋体" w:cs="宋体"/>
          <w:sz w:val="24"/>
          <w:lang w:val="zh-CN"/>
        </w:rPr>
      </w:pPr>
      <w:r>
        <w:rPr>
          <w:rFonts w:hint="eastAsia" w:ascii="宋体" w:hAnsi="宋体" w:cs="宋体"/>
          <w:sz w:val="24"/>
        </w:rPr>
        <w:t>23.5</w:t>
      </w:r>
      <w:r>
        <w:rPr>
          <w:rFonts w:hint="eastAsia" w:ascii="宋体" w:hAnsi="宋体" w:cs="宋体"/>
          <w:sz w:val="24"/>
          <w:lang w:val="zh-CN"/>
        </w:rPr>
        <w:t>中标通知书发出后，中标单位无正当理由不与采购人签订合同的，不得参加采购人重新组织的采购活动，且将可能被拒绝参加该采购人一年内的其他政府采购活动。情节严重的，由财政部门将其列入不良行为记录名单并予以通报。</w:t>
      </w:r>
    </w:p>
    <w:p w14:paraId="052CC12B">
      <w:pPr>
        <w:spacing w:line="360" w:lineRule="auto"/>
        <w:ind w:firstLine="600"/>
        <w:rPr>
          <w:rFonts w:ascii="宋体" w:hAnsi="宋体" w:cs="宋体"/>
          <w:sz w:val="24"/>
          <w:lang w:val="zh-CN"/>
        </w:rPr>
      </w:pPr>
      <w:r>
        <w:rPr>
          <w:rFonts w:hint="eastAsia" w:ascii="宋体" w:hAnsi="宋体" w:cs="宋体"/>
          <w:sz w:val="24"/>
        </w:rPr>
        <w:t>23.6</w:t>
      </w:r>
      <w:r>
        <w:rPr>
          <w:rFonts w:hint="eastAsia" w:ascii="宋体" w:hAnsi="宋体" w:cs="宋体"/>
          <w:sz w:val="24"/>
          <w:lang w:val="zh-CN"/>
        </w:rPr>
        <w:t>采购人不得向中标单位提出任何不合理的要求作为签订合同的条件。</w:t>
      </w:r>
    </w:p>
    <w:p w14:paraId="4331BB64">
      <w:pPr>
        <w:spacing w:line="360" w:lineRule="auto"/>
        <w:ind w:firstLine="600"/>
        <w:rPr>
          <w:rFonts w:ascii="宋体" w:hAnsi="宋体" w:cs="宋体"/>
          <w:sz w:val="24"/>
          <w:lang w:val="zh-CN"/>
        </w:rPr>
      </w:pPr>
      <w:r>
        <w:rPr>
          <w:rFonts w:hint="eastAsia" w:ascii="宋体" w:hAnsi="宋体" w:cs="宋体"/>
          <w:sz w:val="24"/>
        </w:rPr>
        <w:t>23.7</w:t>
      </w:r>
      <w:r>
        <w:rPr>
          <w:rFonts w:hint="eastAsia" w:ascii="宋体" w:hAnsi="宋体" w:cs="宋体"/>
          <w:sz w:val="24"/>
          <w:lang w:val="zh-CN"/>
        </w:rPr>
        <w:t>中标单位拒绝与采购人签订合同的，采购人可以按照评审报告推荐的中标或者成交候选人名单排序，确定下一候选人为中标或者中标单位，也可以重新开展政府采购活动。</w:t>
      </w:r>
    </w:p>
    <w:p w14:paraId="1205550D">
      <w:pPr>
        <w:spacing w:line="360" w:lineRule="auto"/>
        <w:ind w:firstLine="600"/>
        <w:rPr>
          <w:rFonts w:ascii="宋体" w:hAnsi="宋体" w:cs="宋体"/>
          <w:sz w:val="24"/>
          <w:lang w:val="zh-CN"/>
        </w:rPr>
      </w:pPr>
      <w:r>
        <w:rPr>
          <w:rFonts w:hint="eastAsia" w:ascii="宋体" w:hAnsi="宋体" w:cs="宋体"/>
          <w:sz w:val="24"/>
        </w:rPr>
        <w:t>23.8</w:t>
      </w:r>
      <w:r>
        <w:rPr>
          <w:rFonts w:hint="eastAsia" w:ascii="宋体" w:hAnsi="宋体" w:cs="宋体"/>
          <w:sz w:val="24"/>
          <w:lang w:val="zh-CN"/>
        </w:rPr>
        <w:t>政府采购合同履行中，采购人需追加与合同标的相同的货物或者服务的，在不改变合同其他条款的前提下，可以与供应商协商签订补充合同，但所有补充合同的采购金额不得超过原合同采购金额的百分之十。</w:t>
      </w:r>
    </w:p>
    <w:p w14:paraId="730DF646">
      <w:pPr>
        <w:spacing w:line="360" w:lineRule="auto"/>
        <w:ind w:firstLine="600"/>
        <w:rPr>
          <w:rFonts w:ascii="宋体" w:hAnsi="宋体" w:cs="宋体"/>
          <w:sz w:val="24"/>
          <w:lang w:val="zh-CN"/>
        </w:rPr>
      </w:pPr>
      <w:r>
        <w:rPr>
          <w:rFonts w:hint="eastAsia" w:ascii="宋体" w:hAnsi="宋体" w:cs="宋体"/>
          <w:sz w:val="24"/>
        </w:rPr>
        <w:t>23.9</w:t>
      </w:r>
      <w:r>
        <w:rPr>
          <w:rFonts w:hint="eastAsia" w:ascii="宋体" w:hAnsi="宋体" w:cs="宋体"/>
          <w:sz w:val="24"/>
          <w:lang w:val="zh-CN"/>
        </w:rPr>
        <w:t>采购人与中标单位应当根据合同的约定依法履行合同义务。</w:t>
      </w:r>
    </w:p>
    <w:p w14:paraId="3C024258">
      <w:pPr>
        <w:spacing w:line="360" w:lineRule="auto"/>
        <w:ind w:firstLine="600"/>
        <w:rPr>
          <w:rFonts w:ascii="宋体" w:hAnsi="宋体" w:cs="宋体"/>
          <w:sz w:val="24"/>
          <w:lang w:val="zh-CN"/>
        </w:rPr>
      </w:pPr>
      <w:r>
        <w:rPr>
          <w:rFonts w:hint="eastAsia" w:ascii="宋体" w:hAnsi="宋体" w:cs="宋体"/>
          <w:sz w:val="24"/>
        </w:rPr>
        <w:t>23.10</w:t>
      </w:r>
      <w:r>
        <w:rPr>
          <w:rFonts w:hint="eastAsia" w:ascii="宋体" w:hAnsi="宋体" w:cs="宋体"/>
          <w:sz w:val="24"/>
          <w:lang w:val="zh-CN"/>
        </w:rPr>
        <w:t>联合体各方应当共同与采购人签订采购合同，就采购合同约定的事项对采购人承担连带责任。</w:t>
      </w:r>
    </w:p>
    <w:p w14:paraId="4D4DB868">
      <w:pPr>
        <w:spacing w:line="360" w:lineRule="auto"/>
        <w:ind w:firstLine="602"/>
        <w:rPr>
          <w:rFonts w:ascii="宋体" w:hAnsi="宋体" w:cs="宋体"/>
          <w:b/>
          <w:sz w:val="24"/>
          <w:lang w:val="zh-CN"/>
        </w:rPr>
      </w:pPr>
      <w:r>
        <w:rPr>
          <w:rFonts w:hint="eastAsia" w:ascii="宋体" w:hAnsi="宋体" w:cs="宋体"/>
          <w:b/>
          <w:sz w:val="24"/>
        </w:rPr>
        <w:t>八</w:t>
      </w:r>
      <w:r>
        <w:rPr>
          <w:rFonts w:hint="eastAsia" w:ascii="宋体" w:hAnsi="宋体" w:cs="宋体"/>
          <w:b/>
          <w:sz w:val="24"/>
          <w:lang w:val="zh-CN"/>
        </w:rPr>
        <w:t>、询问、质疑、投诉和诚实信用</w:t>
      </w:r>
    </w:p>
    <w:p w14:paraId="38BCE4D7">
      <w:pPr>
        <w:spacing w:line="360" w:lineRule="auto"/>
        <w:ind w:firstLine="600"/>
        <w:rPr>
          <w:rFonts w:ascii="宋体" w:hAnsi="宋体" w:cs="宋体"/>
          <w:b/>
          <w:bCs/>
          <w:sz w:val="24"/>
          <w:lang w:val="zh-CN"/>
        </w:rPr>
      </w:pPr>
      <w:r>
        <w:rPr>
          <w:rFonts w:hint="eastAsia" w:ascii="宋体" w:hAnsi="宋体" w:cs="宋体"/>
          <w:b/>
          <w:bCs/>
          <w:sz w:val="24"/>
        </w:rPr>
        <w:t>24、</w:t>
      </w:r>
      <w:r>
        <w:rPr>
          <w:rFonts w:hint="eastAsia" w:ascii="宋体" w:hAnsi="宋体" w:cs="宋体"/>
          <w:b/>
          <w:bCs/>
          <w:sz w:val="24"/>
          <w:lang w:val="zh-CN"/>
        </w:rPr>
        <w:t>询问</w:t>
      </w:r>
    </w:p>
    <w:p w14:paraId="52C69626">
      <w:pPr>
        <w:spacing w:line="360" w:lineRule="auto"/>
        <w:ind w:firstLine="600"/>
        <w:rPr>
          <w:rFonts w:ascii="宋体" w:hAnsi="宋体" w:cs="宋体"/>
          <w:sz w:val="24"/>
          <w:lang w:val="zh-CN"/>
        </w:rPr>
      </w:pPr>
      <w:r>
        <w:rPr>
          <w:rFonts w:hint="eastAsia" w:ascii="宋体" w:hAnsi="宋体" w:cs="宋体"/>
          <w:sz w:val="24"/>
          <w:lang w:val="zh-CN"/>
        </w:rPr>
        <w:t>供应商对招标活动事项有疑问的，可以向采购代理机构或采购人提出询问，采购代理机构或采购人将在两个工作日内作出答复，但答复的内容不涉及商业秘密。</w:t>
      </w:r>
    </w:p>
    <w:p w14:paraId="0BDC9020">
      <w:pPr>
        <w:spacing w:line="360" w:lineRule="auto"/>
        <w:ind w:firstLine="600"/>
        <w:rPr>
          <w:rFonts w:ascii="宋体" w:hAnsi="宋体" w:cs="宋体"/>
          <w:b/>
          <w:bCs/>
          <w:sz w:val="24"/>
          <w:lang w:val="zh-CN"/>
        </w:rPr>
      </w:pPr>
      <w:r>
        <w:rPr>
          <w:rFonts w:hint="eastAsia" w:ascii="宋体" w:hAnsi="宋体" w:cs="宋体"/>
          <w:b/>
          <w:bCs/>
          <w:sz w:val="24"/>
        </w:rPr>
        <w:t>25、</w:t>
      </w:r>
      <w:r>
        <w:rPr>
          <w:rFonts w:hint="eastAsia" w:ascii="宋体" w:hAnsi="宋体" w:cs="宋体"/>
          <w:b/>
          <w:bCs/>
          <w:sz w:val="24"/>
          <w:lang w:val="zh-CN"/>
        </w:rPr>
        <w:t>质疑</w:t>
      </w:r>
    </w:p>
    <w:p w14:paraId="437D1D25">
      <w:pPr>
        <w:spacing w:line="360" w:lineRule="auto"/>
        <w:ind w:firstLine="600"/>
        <w:rPr>
          <w:rFonts w:ascii="宋体" w:hAnsi="宋体" w:cs="宋体"/>
          <w:sz w:val="24"/>
          <w:lang w:val="zh-CN"/>
        </w:rPr>
      </w:pPr>
      <w:r>
        <w:rPr>
          <w:rFonts w:hint="eastAsia" w:ascii="宋体" w:hAnsi="宋体" w:cs="宋体"/>
          <w:sz w:val="24"/>
        </w:rPr>
        <w:t>25.1</w:t>
      </w:r>
      <w:r>
        <w:rPr>
          <w:rFonts w:hint="eastAsia" w:ascii="宋体" w:hAnsi="宋体" w:cs="宋体"/>
          <w:sz w:val="24"/>
          <w:lang w:val="zh-CN"/>
        </w:rPr>
        <w:t>供应商认为采购文件、采购过程和中标结果使自己的合法权益受到损害的，可以在知道或者应知其权益受到损害之日起七个工作日内，将质疑文件原件送达采购人或采购代理机构。</w:t>
      </w:r>
    </w:p>
    <w:p w14:paraId="6BF1D1EC">
      <w:pPr>
        <w:spacing w:line="360" w:lineRule="auto"/>
        <w:ind w:firstLine="600"/>
        <w:rPr>
          <w:rFonts w:ascii="宋体" w:hAnsi="宋体" w:cs="宋体"/>
          <w:sz w:val="24"/>
          <w:lang w:val="zh-CN"/>
        </w:rPr>
      </w:pPr>
      <w:r>
        <w:rPr>
          <w:rFonts w:hint="eastAsia" w:ascii="宋体" w:hAnsi="宋体" w:cs="宋体"/>
          <w:sz w:val="24"/>
        </w:rPr>
        <w:t>25.2</w:t>
      </w:r>
      <w:r>
        <w:rPr>
          <w:rFonts w:hint="eastAsia" w:ascii="宋体" w:hAnsi="宋体" w:cs="宋体"/>
          <w:sz w:val="24"/>
          <w:lang w:val="zh-CN"/>
        </w:rPr>
        <w:t>提出质疑的供应商应当是参与所质疑项目采购活动的供应商。潜在供应商已依法获取其可质疑的采购文件的，可以对该文件提出质疑。</w:t>
      </w:r>
    </w:p>
    <w:p w14:paraId="7C778BFF">
      <w:pPr>
        <w:spacing w:line="360" w:lineRule="auto"/>
        <w:ind w:firstLine="600"/>
        <w:rPr>
          <w:rFonts w:ascii="宋体" w:hAnsi="宋体" w:cs="宋体"/>
          <w:sz w:val="24"/>
          <w:lang w:val="zh-CN"/>
        </w:rPr>
      </w:pPr>
      <w:r>
        <w:rPr>
          <w:rFonts w:hint="eastAsia" w:ascii="宋体" w:hAnsi="宋体" w:cs="宋体"/>
          <w:sz w:val="24"/>
        </w:rPr>
        <w:t>25.3</w:t>
      </w:r>
      <w:r>
        <w:rPr>
          <w:rFonts w:hint="eastAsia" w:ascii="宋体" w:hAnsi="宋体" w:cs="宋体"/>
          <w:sz w:val="24"/>
          <w:lang w:val="zh-CN"/>
        </w:rPr>
        <w:t>供应商应知其权益受到损害之日，是指：对采购文件提出质疑的，应当在获取采购文件或者采购文件公告期限届满之日起7个工作日内提出；对采购过程提出质疑的，为各采购程序环节结束之日；对中标或者成交结果提出质疑的，为中标或者成交结果公告期限届满之日。</w:t>
      </w:r>
    </w:p>
    <w:p w14:paraId="5D74C794">
      <w:pPr>
        <w:spacing w:line="360" w:lineRule="auto"/>
        <w:ind w:firstLine="600"/>
        <w:rPr>
          <w:rFonts w:ascii="宋体" w:hAnsi="宋体" w:cs="宋体"/>
          <w:sz w:val="24"/>
          <w:lang w:val="zh-CN"/>
        </w:rPr>
      </w:pPr>
      <w:r>
        <w:rPr>
          <w:rFonts w:hint="eastAsia" w:ascii="宋体" w:hAnsi="宋体" w:cs="宋体"/>
          <w:sz w:val="24"/>
        </w:rPr>
        <w:t>25.4</w:t>
      </w:r>
      <w:r>
        <w:rPr>
          <w:rFonts w:hint="eastAsia" w:ascii="宋体" w:hAnsi="宋体" w:cs="宋体"/>
          <w:sz w:val="24"/>
          <w:lang w:val="zh-CN"/>
        </w:rPr>
        <w:t>供应商必须在法定质疑期内一次性提出针对同一采购程序环节的质疑。</w:t>
      </w:r>
    </w:p>
    <w:p w14:paraId="3B67FF8B">
      <w:pPr>
        <w:spacing w:line="360" w:lineRule="auto"/>
        <w:ind w:firstLine="600"/>
        <w:rPr>
          <w:rFonts w:ascii="宋体" w:hAnsi="宋体" w:cs="宋体"/>
          <w:sz w:val="24"/>
          <w:lang w:val="zh-CN"/>
        </w:rPr>
      </w:pPr>
      <w:r>
        <w:rPr>
          <w:rFonts w:hint="eastAsia" w:ascii="宋体" w:hAnsi="宋体" w:cs="宋体"/>
          <w:sz w:val="24"/>
        </w:rPr>
        <w:t>25.</w:t>
      </w:r>
      <w:r>
        <w:rPr>
          <w:rFonts w:hint="eastAsia" w:ascii="宋体" w:hAnsi="宋体" w:cs="宋体"/>
          <w:sz w:val="24"/>
          <w:lang w:val="zh-CN"/>
        </w:rPr>
        <w:t>5采购代理机构遵循“谁过错谁负担”的原则，有过错的一方承担调查论证费用。违规质疑或多次质疑不成立的，将报财政部门记入供应商诚信档案。</w:t>
      </w:r>
    </w:p>
    <w:p w14:paraId="4CE6FCE6">
      <w:pPr>
        <w:spacing w:line="360" w:lineRule="auto"/>
        <w:ind w:firstLine="600"/>
        <w:rPr>
          <w:rFonts w:ascii="宋体" w:hAnsi="宋体" w:cs="宋体"/>
          <w:sz w:val="24"/>
          <w:lang w:val="zh-CN"/>
        </w:rPr>
      </w:pPr>
      <w:r>
        <w:rPr>
          <w:rFonts w:hint="eastAsia" w:ascii="宋体" w:hAnsi="宋体" w:cs="宋体"/>
          <w:sz w:val="24"/>
        </w:rPr>
        <w:t>25.</w:t>
      </w:r>
      <w:r>
        <w:rPr>
          <w:rFonts w:hint="eastAsia" w:ascii="宋体" w:hAnsi="宋体" w:cs="宋体"/>
          <w:sz w:val="24"/>
          <w:lang w:val="zh-CN"/>
        </w:rPr>
        <w:t>6供应商提出质疑应当提交质疑函和必要的证明材料。质疑函应当包括下列内容：</w:t>
      </w:r>
    </w:p>
    <w:p w14:paraId="0F0E29E2">
      <w:pPr>
        <w:spacing w:line="360" w:lineRule="auto"/>
        <w:ind w:firstLine="600"/>
        <w:rPr>
          <w:rFonts w:ascii="宋体" w:hAnsi="宋体" w:cs="宋体"/>
          <w:sz w:val="24"/>
          <w:lang w:val="zh-CN"/>
        </w:rPr>
      </w:pPr>
      <w:r>
        <w:rPr>
          <w:rFonts w:hint="eastAsia" w:ascii="宋体" w:hAnsi="宋体" w:cs="宋体"/>
          <w:sz w:val="24"/>
          <w:lang w:val="zh-CN"/>
        </w:rPr>
        <w:t>（一）供应商的姓名或者名称、地址、邮编、联系人及联系电话；</w:t>
      </w:r>
    </w:p>
    <w:p w14:paraId="1AF06CDF">
      <w:pPr>
        <w:spacing w:line="360" w:lineRule="auto"/>
        <w:ind w:firstLine="600"/>
        <w:rPr>
          <w:rFonts w:ascii="宋体" w:hAnsi="宋体" w:cs="宋体"/>
          <w:sz w:val="24"/>
          <w:lang w:val="zh-CN"/>
        </w:rPr>
      </w:pPr>
      <w:r>
        <w:rPr>
          <w:rFonts w:hint="eastAsia" w:ascii="宋体" w:hAnsi="宋体" w:cs="宋体"/>
          <w:sz w:val="24"/>
          <w:lang w:val="zh-CN"/>
        </w:rPr>
        <w:t>（二）质疑项目的名称、编号；</w:t>
      </w:r>
    </w:p>
    <w:p w14:paraId="24D539F6">
      <w:pPr>
        <w:spacing w:line="360" w:lineRule="auto"/>
        <w:ind w:firstLine="600"/>
        <w:rPr>
          <w:rFonts w:ascii="宋体" w:hAnsi="宋体" w:cs="宋体"/>
          <w:sz w:val="24"/>
          <w:lang w:val="zh-CN"/>
        </w:rPr>
      </w:pPr>
      <w:r>
        <w:rPr>
          <w:rFonts w:hint="eastAsia" w:ascii="宋体" w:hAnsi="宋体" w:cs="宋体"/>
          <w:sz w:val="24"/>
          <w:lang w:val="zh-CN"/>
        </w:rPr>
        <w:t>（三）具体、明确的质疑事项和与质疑事项相关的请求（具体条款）；</w:t>
      </w:r>
    </w:p>
    <w:p w14:paraId="6CC4BF71">
      <w:pPr>
        <w:spacing w:line="360" w:lineRule="auto"/>
        <w:ind w:firstLine="600"/>
        <w:rPr>
          <w:rFonts w:ascii="宋体" w:hAnsi="宋体" w:cs="宋体"/>
          <w:sz w:val="24"/>
          <w:lang w:val="zh-CN"/>
        </w:rPr>
      </w:pPr>
      <w:r>
        <w:rPr>
          <w:rFonts w:hint="eastAsia" w:ascii="宋体" w:hAnsi="宋体" w:cs="宋体"/>
          <w:sz w:val="24"/>
          <w:lang w:val="zh-CN"/>
        </w:rPr>
        <w:t>（四）事实依据（具体条款）；</w:t>
      </w:r>
    </w:p>
    <w:p w14:paraId="0FD3E61C">
      <w:pPr>
        <w:spacing w:line="360" w:lineRule="auto"/>
        <w:ind w:firstLine="600"/>
        <w:rPr>
          <w:rFonts w:ascii="宋体" w:hAnsi="宋体" w:cs="宋体"/>
          <w:sz w:val="24"/>
          <w:lang w:val="zh-CN"/>
        </w:rPr>
      </w:pPr>
      <w:r>
        <w:rPr>
          <w:rFonts w:hint="eastAsia" w:ascii="宋体" w:hAnsi="宋体" w:cs="宋体"/>
          <w:sz w:val="24"/>
          <w:lang w:val="zh-CN"/>
        </w:rPr>
        <w:t>（五）必要的法律依据（具体条款）；</w:t>
      </w:r>
    </w:p>
    <w:p w14:paraId="2F100DD0">
      <w:pPr>
        <w:spacing w:line="360" w:lineRule="auto"/>
        <w:ind w:firstLine="600"/>
        <w:rPr>
          <w:rFonts w:ascii="宋体" w:hAnsi="宋体" w:cs="宋体"/>
          <w:sz w:val="24"/>
          <w:lang w:val="zh-CN"/>
        </w:rPr>
      </w:pPr>
      <w:r>
        <w:rPr>
          <w:rFonts w:hint="eastAsia" w:ascii="宋体" w:hAnsi="宋体" w:cs="宋体"/>
          <w:sz w:val="24"/>
          <w:lang w:val="zh-CN"/>
        </w:rPr>
        <w:t>（六）提出质疑的日期。</w:t>
      </w:r>
    </w:p>
    <w:p w14:paraId="09FA06A7">
      <w:pPr>
        <w:spacing w:line="360" w:lineRule="auto"/>
        <w:ind w:firstLine="600"/>
        <w:rPr>
          <w:rFonts w:ascii="宋体" w:hAnsi="宋体" w:cs="宋体"/>
          <w:sz w:val="24"/>
          <w:lang w:val="zh-CN"/>
        </w:rPr>
      </w:pPr>
      <w:r>
        <w:rPr>
          <w:rFonts w:hint="eastAsia" w:ascii="宋体" w:hAnsi="宋体" w:cs="宋体"/>
          <w:sz w:val="24"/>
          <w:lang w:val="zh-CN"/>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506675CC">
      <w:pPr>
        <w:spacing w:line="360" w:lineRule="auto"/>
        <w:ind w:firstLine="600"/>
        <w:rPr>
          <w:rFonts w:ascii="宋体" w:hAnsi="宋体" w:cs="宋体"/>
          <w:sz w:val="24"/>
          <w:lang w:val="zh-CN"/>
        </w:rPr>
      </w:pPr>
      <w:r>
        <w:rPr>
          <w:rFonts w:hint="eastAsia" w:ascii="宋体" w:hAnsi="宋体" w:cs="宋体"/>
          <w:sz w:val="24"/>
          <w:lang w:val="zh-CN"/>
        </w:rPr>
        <w:t>质疑函应当使用中文。相关当事人提供外文书证或者外国语视听资料的，应当附有中文译本，由翻译机构盖章或者翻译人员签名。</w:t>
      </w:r>
    </w:p>
    <w:p w14:paraId="73398D6C">
      <w:pPr>
        <w:spacing w:line="360" w:lineRule="auto"/>
        <w:ind w:firstLine="600"/>
        <w:rPr>
          <w:rFonts w:ascii="宋体" w:hAnsi="宋体" w:cs="宋体"/>
          <w:sz w:val="24"/>
          <w:lang w:val="zh-CN"/>
        </w:rPr>
      </w:pPr>
      <w:r>
        <w:rPr>
          <w:rFonts w:hint="eastAsia" w:ascii="宋体" w:hAnsi="宋体" w:cs="宋体"/>
          <w:sz w:val="24"/>
        </w:rPr>
        <w:t>25.</w:t>
      </w:r>
      <w:r>
        <w:rPr>
          <w:rFonts w:hint="eastAsia" w:ascii="宋体" w:hAnsi="宋体" w:cs="宋体"/>
          <w:sz w:val="24"/>
          <w:lang w:val="zh-CN"/>
        </w:rPr>
        <w:t>7质疑函应当现场提交至采购代理机构联系人处，提交时应出示有效身份证明。未按上述要求提交质疑函的，质疑不予受理。</w:t>
      </w:r>
    </w:p>
    <w:p w14:paraId="4F24A673">
      <w:pPr>
        <w:spacing w:line="360" w:lineRule="auto"/>
        <w:ind w:firstLine="600"/>
        <w:rPr>
          <w:rFonts w:ascii="宋体" w:hAnsi="宋体" w:cs="宋体"/>
          <w:sz w:val="24"/>
          <w:lang w:val="zh-CN"/>
        </w:rPr>
      </w:pPr>
      <w:r>
        <w:rPr>
          <w:rFonts w:hint="eastAsia" w:ascii="宋体" w:hAnsi="宋体" w:cs="宋体"/>
          <w:sz w:val="24"/>
        </w:rPr>
        <w:t>25.</w:t>
      </w:r>
      <w:r>
        <w:rPr>
          <w:rFonts w:hint="eastAsia" w:ascii="宋体" w:hAnsi="宋体" w:cs="宋体"/>
          <w:sz w:val="24"/>
          <w:lang w:val="zh-CN"/>
        </w:rPr>
        <w:t>8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p>
    <w:p w14:paraId="0987DFA3">
      <w:pPr>
        <w:spacing w:line="360" w:lineRule="auto"/>
        <w:ind w:firstLine="600"/>
        <w:rPr>
          <w:rFonts w:ascii="宋体" w:hAnsi="宋体" w:cs="宋体"/>
          <w:sz w:val="24"/>
          <w:lang w:val="zh-CN"/>
        </w:rPr>
      </w:pPr>
      <w:r>
        <w:rPr>
          <w:rFonts w:hint="eastAsia" w:ascii="宋体" w:hAnsi="宋体" w:cs="宋体"/>
          <w:sz w:val="24"/>
        </w:rPr>
        <w:t>25.</w:t>
      </w:r>
      <w:r>
        <w:rPr>
          <w:rFonts w:hint="eastAsia" w:ascii="宋体" w:hAnsi="宋体" w:cs="宋体"/>
          <w:sz w:val="24"/>
          <w:lang w:val="zh-CN"/>
        </w:rPr>
        <w:t>9采购代理机构在收到供应商的书面质疑后将及时组织调查核实，在七个工作日内作出答复，并以书面或在网站公告形式通知质疑供应商和其他有关供应商，答复的内容不涉及商业秘密。</w:t>
      </w:r>
    </w:p>
    <w:p w14:paraId="0D3147F7">
      <w:pPr>
        <w:spacing w:line="360" w:lineRule="auto"/>
        <w:ind w:firstLine="600"/>
        <w:rPr>
          <w:rFonts w:ascii="宋体" w:hAnsi="宋体" w:cs="宋体"/>
          <w:sz w:val="24"/>
          <w:lang w:val="zh-CN"/>
        </w:rPr>
      </w:pPr>
      <w:r>
        <w:rPr>
          <w:rFonts w:hint="eastAsia" w:ascii="宋体" w:hAnsi="宋体" w:cs="宋体"/>
          <w:sz w:val="24"/>
          <w:lang w:val="zh-CN"/>
        </w:rPr>
        <w:t>任何单位和个人对代理机构在招标采购活动中的违法行为，有权控告和检举，联系招标代理机构。</w:t>
      </w:r>
    </w:p>
    <w:p w14:paraId="14FFB082">
      <w:pPr>
        <w:spacing w:line="360" w:lineRule="auto"/>
        <w:ind w:firstLine="600"/>
        <w:rPr>
          <w:rFonts w:ascii="宋体" w:hAnsi="宋体" w:cs="宋体"/>
          <w:sz w:val="24"/>
          <w:lang w:val="zh-CN"/>
        </w:rPr>
      </w:pPr>
      <w:r>
        <w:rPr>
          <w:rFonts w:hint="eastAsia" w:ascii="宋体" w:hAnsi="宋体" w:cs="宋体"/>
          <w:sz w:val="24"/>
          <w:lang w:val="zh-CN"/>
        </w:rPr>
        <w:t>以联合体形式参加政府采购活动的，其质疑及投诉应当由组成联合体的所有供应商共同提出。</w:t>
      </w:r>
    </w:p>
    <w:p w14:paraId="72C9193E">
      <w:pPr>
        <w:spacing w:line="360" w:lineRule="auto"/>
        <w:ind w:firstLine="602"/>
        <w:rPr>
          <w:rFonts w:ascii="宋体" w:hAnsi="宋体" w:cs="宋体"/>
          <w:b/>
          <w:sz w:val="24"/>
          <w:lang w:val="zh-CN"/>
        </w:rPr>
      </w:pPr>
      <w:r>
        <w:rPr>
          <w:rFonts w:hint="eastAsia" w:ascii="宋体" w:hAnsi="宋体" w:cs="宋体"/>
          <w:b/>
          <w:sz w:val="24"/>
        </w:rPr>
        <w:t>26、</w:t>
      </w:r>
      <w:r>
        <w:rPr>
          <w:rFonts w:hint="eastAsia" w:ascii="宋体" w:hAnsi="宋体" w:cs="宋体"/>
          <w:b/>
          <w:sz w:val="24"/>
          <w:lang w:val="zh-CN"/>
        </w:rPr>
        <w:t>投诉</w:t>
      </w:r>
    </w:p>
    <w:p w14:paraId="63287268">
      <w:pPr>
        <w:spacing w:line="360" w:lineRule="auto"/>
        <w:ind w:firstLine="600"/>
        <w:rPr>
          <w:rFonts w:ascii="宋体" w:hAnsi="宋体" w:cs="宋体"/>
          <w:sz w:val="24"/>
          <w:lang w:val="zh-CN"/>
        </w:rPr>
      </w:pPr>
      <w:r>
        <w:rPr>
          <w:rFonts w:hint="eastAsia" w:ascii="宋体" w:hAnsi="宋体" w:cs="宋体"/>
          <w:sz w:val="24"/>
        </w:rPr>
        <w:t>26.</w:t>
      </w:r>
      <w:r>
        <w:rPr>
          <w:rFonts w:hint="eastAsia" w:ascii="宋体" w:hAnsi="宋体" w:cs="宋体"/>
          <w:sz w:val="24"/>
          <w:lang w:val="zh-CN"/>
        </w:rPr>
        <w:t>1质疑供应商对采购代理机构的答复不满意或者采购代理机构未在规定的时间内作出答复的，可以在答复期满后十五个工作日内向同级政府采购监督管理部门投诉。</w:t>
      </w:r>
    </w:p>
    <w:p w14:paraId="1016C61F">
      <w:pPr>
        <w:spacing w:line="360" w:lineRule="auto"/>
        <w:ind w:firstLine="600"/>
        <w:rPr>
          <w:rFonts w:ascii="宋体" w:hAnsi="宋体" w:cs="宋体"/>
          <w:sz w:val="24"/>
          <w:lang w:val="zh-CN"/>
        </w:rPr>
      </w:pPr>
      <w:r>
        <w:rPr>
          <w:rFonts w:hint="eastAsia" w:ascii="宋体" w:hAnsi="宋体" w:cs="宋体"/>
          <w:sz w:val="24"/>
        </w:rPr>
        <w:t>26</w:t>
      </w:r>
      <w:r>
        <w:rPr>
          <w:rFonts w:hint="eastAsia" w:ascii="宋体" w:hAnsi="宋体" w:cs="宋体"/>
          <w:sz w:val="24"/>
          <w:lang w:val="zh-CN"/>
        </w:rPr>
        <w:t>.2供应商投诉应当有明确的请求和必要的证明材料。供应商投诉的事项不得超出已质疑事项的范围。</w:t>
      </w:r>
    </w:p>
    <w:p w14:paraId="7006E487">
      <w:pPr>
        <w:spacing w:line="360" w:lineRule="auto"/>
        <w:ind w:firstLine="600"/>
        <w:rPr>
          <w:rFonts w:ascii="宋体" w:hAnsi="宋体" w:cs="宋体"/>
          <w:sz w:val="24"/>
          <w:lang w:val="zh-CN"/>
        </w:rPr>
      </w:pPr>
      <w:r>
        <w:rPr>
          <w:rFonts w:hint="eastAsia" w:ascii="宋体" w:hAnsi="宋体" w:cs="宋体"/>
          <w:sz w:val="24"/>
        </w:rPr>
        <w:t>26</w:t>
      </w:r>
      <w:r>
        <w:rPr>
          <w:rFonts w:hint="eastAsia" w:ascii="宋体" w:hAnsi="宋体" w:cs="宋体"/>
          <w:sz w:val="24"/>
          <w:lang w:val="zh-CN"/>
        </w:rPr>
        <w:t>.3投诉人对政府采购监督管理部门的投诉处理决定不服或者政府采购监督管理部门逾期未作处理的，可以依法申请行政复议或者向人民法院提起行政诉讼。</w:t>
      </w:r>
    </w:p>
    <w:p w14:paraId="7D807B75">
      <w:pPr>
        <w:spacing w:line="360" w:lineRule="auto"/>
        <w:ind w:firstLine="600"/>
        <w:rPr>
          <w:rFonts w:ascii="宋体" w:hAnsi="宋体" w:cs="宋体"/>
          <w:sz w:val="24"/>
          <w:lang w:val="zh-CN"/>
        </w:rPr>
      </w:pPr>
      <w:r>
        <w:rPr>
          <w:rFonts w:hint="eastAsia" w:ascii="宋体" w:hAnsi="宋体" w:cs="宋体"/>
          <w:sz w:val="24"/>
        </w:rPr>
        <w:t>26</w:t>
      </w:r>
      <w:r>
        <w:rPr>
          <w:rFonts w:hint="eastAsia" w:ascii="宋体" w:hAnsi="宋体" w:cs="宋体"/>
          <w:sz w:val="24"/>
          <w:lang w:val="zh-CN"/>
        </w:rPr>
        <w:t>.4投诉人有下列行为之一的，属于严重失信行为，由财政部门列入不良行为记录名单，禁止其一至三年内参加政府采购活动。</w:t>
      </w:r>
    </w:p>
    <w:p w14:paraId="06C1A736">
      <w:pPr>
        <w:spacing w:line="360" w:lineRule="auto"/>
        <w:ind w:firstLine="600"/>
        <w:rPr>
          <w:rFonts w:ascii="宋体" w:hAnsi="宋体" w:cs="宋体"/>
          <w:sz w:val="24"/>
          <w:lang w:val="zh-CN"/>
        </w:rPr>
      </w:pPr>
      <w:r>
        <w:rPr>
          <w:rFonts w:hint="eastAsia" w:ascii="宋体" w:hAnsi="宋体" w:cs="宋体"/>
          <w:sz w:val="24"/>
          <w:lang w:val="zh-CN"/>
        </w:rPr>
        <w:t>（1）投诉人在全国范围12个月内三次以上投诉查无实据的；</w:t>
      </w:r>
    </w:p>
    <w:p w14:paraId="09D60AAC">
      <w:pPr>
        <w:spacing w:line="360" w:lineRule="auto"/>
        <w:ind w:firstLine="600"/>
        <w:rPr>
          <w:rFonts w:ascii="宋体" w:hAnsi="宋体" w:cs="宋体"/>
          <w:sz w:val="24"/>
          <w:lang w:val="zh-CN"/>
        </w:rPr>
      </w:pPr>
      <w:r>
        <w:rPr>
          <w:rFonts w:hint="eastAsia" w:ascii="宋体" w:hAnsi="宋体" w:cs="宋体"/>
          <w:sz w:val="24"/>
          <w:lang w:val="zh-CN"/>
        </w:rPr>
        <w:t>（2）采用捏造事实、提供虚假材料或者以非法手段取得证明材料等方式进行虚假、恶意投诉。证据来源的合法性存在明显疑问，投诉人无法证明其取得方式合法的，视为以非法手段取得证明材料。</w:t>
      </w:r>
    </w:p>
    <w:p w14:paraId="52C31374">
      <w:pPr>
        <w:spacing w:line="360" w:lineRule="auto"/>
        <w:ind w:firstLine="602"/>
        <w:rPr>
          <w:rFonts w:ascii="宋体" w:hAnsi="宋体" w:cs="宋体"/>
          <w:b/>
          <w:sz w:val="24"/>
          <w:lang w:val="zh-CN"/>
        </w:rPr>
      </w:pPr>
      <w:r>
        <w:rPr>
          <w:rFonts w:hint="eastAsia" w:ascii="宋体" w:hAnsi="宋体" w:cs="宋体"/>
          <w:b/>
          <w:sz w:val="24"/>
        </w:rPr>
        <w:t>27、</w:t>
      </w:r>
      <w:r>
        <w:rPr>
          <w:rFonts w:hint="eastAsia" w:ascii="宋体" w:hAnsi="宋体" w:cs="宋体"/>
          <w:b/>
          <w:sz w:val="24"/>
          <w:lang w:val="zh-CN"/>
        </w:rPr>
        <w:t>诚实信用</w:t>
      </w:r>
    </w:p>
    <w:p w14:paraId="49A2ADAE">
      <w:pPr>
        <w:spacing w:line="360" w:lineRule="auto"/>
        <w:ind w:firstLine="600"/>
        <w:rPr>
          <w:rFonts w:ascii="宋体" w:hAnsi="宋体" w:cs="宋体"/>
          <w:sz w:val="24"/>
          <w:lang w:val="zh-CN"/>
        </w:rPr>
      </w:pPr>
      <w:r>
        <w:rPr>
          <w:rFonts w:hint="eastAsia" w:ascii="宋体" w:hAnsi="宋体" w:cs="宋体"/>
          <w:sz w:val="24"/>
        </w:rPr>
        <w:t>27.1</w:t>
      </w:r>
      <w:r>
        <w:rPr>
          <w:rFonts w:hint="eastAsia" w:ascii="宋体" w:hAnsi="宋体" w:cs="宋体"/>
          <w:sz w:val="24"/>
          <w:lang w:val="zh-CN"/>
        </w:rPr>
        <w:t>供应商之间不得相互串通投标报价，不得妨碍其他供应商的公平竞争，不得损害采购人和其他供应商的合法权益。</w:t>
      </w:r>
    </w:p>
    <w:p w14:paraId="4FF55EA3">
      <w:pPr>
        <w:spacing w:line="360" w:lineRule="auto"/>
        <w:ind w:firstLine="600"/>
        <w:rPr>
          <w:rFonts w:ascii="宋体" w:hAnsi="宋体" w:cs="宋体"/>
          <w:sz w:val="24"/>
          <w:lang w:val="zh-CN"/>
        </w:rPr>
      </w:pPr>
      <w:r>
        <w:rPr>
          <w:rFonts w:hint="eastAsia" w:ascii="宋体" w:hAnsi="宋体" w:cs="宋体"/>
          <w:sz w:val="24"/>
        </w:rPr>
        <w:t>27.2</w:t>
      </w:r>
      <w:r>
        <w:rPr>
          <w:rFonts w:hint="eastAsia" w:ascii="宋体" w:hAnsi="宋体" w:cs="宋体"/>
          <w:sz w:val="24"/>
          <w:lang w:val="zh-CN"/>
        </w:rPr>
        <w:t>供应商不得以向采购代理机构工作人员、评标委员会成员行贿或者采取其他不正当手段谋取中标。经查实供应商有此行为的，政府采购管理部门将供应商列入不良行为记录名单，按照《政府采购法》有关规定处理。</w:t>
      </w:r>
    </w:p>
    <w:p w14:paraId="121C801A">
      <w:pPr>
        <w:spacing w:line="360" w:lineRule="auto"/>
        <w:ind w:firstLine="600"/>
        <w:rPr>
          <w:rFonts w:ascii="宋体" w:hAnsi="宋体" w:cs="宋体"/>
          <w:sz w:val="24"/>
          <w:lang w:val="zh-CN"/>
        </w:rPr>
      </w:pPr>
      <w:r>
        <w:rPr>
          <w:rFonts w:hint="eastAsia" w:ascii="宋体" w:hAnsi="宋体" w:cs="宋体"/>
          <w:sz w:val="24"/>
        </w:rPr>
        <w:t>27.3</w:t>
      </w:r>
      <w:r>
        <w:rPr>
          <w:rFonts w:hint="eastAsia" w:ascii="宋体" w:hAnsi="宋体" w:cs="宋体"/>
          <w:sz w:val="24"/>
          <w:lang w:val="zh-CN"/>
        </w:rPr>
        <w:t>供应商提出书面质疑必须有理、有据，不得虚假质疑和恶意质疑，并对质疑内容的真实性承担责任。否则，一经查实，采购代理机构有权依据政府采购的有关规定，报请政府采购监管部门对该供应商进行相应的行政处罚并予以公示。如果供应商或者其他利害关系人通过捏造事实、伪造证明材料等方式提出质疑，干扰政府采购活动正常进行的，属于严重不良行为，采购代理机构将提请财政部门将其列入不良行为记录名单，并依法予以处罚。</w:t>
      </w:r>
    </w:p>
    <w:p w14:paraId="04BE5667">
      <w:pPr>
        <w:spacing w:line="360" w:lineRule="auto"/>
        <w:ind w:firstLine="600"/>
        <w:rPr>
          <w:rFonts w:ascii="宋体" w:hAnsi="宋体" w:cs="宋体"/>
          <w:sz w:val="24"/>
          <w:lang w:val="zh-CN"/>
        </w:rPr>
      </w:pPr>
      <w:r>
        <w:rPr>
          <w:rFonts w:hint="eastAsia" w:ascii="宋体" w:hAnsi="宋体" w:cs="宋体"/>
          <w:sz w:val="24"/>
        </w:rPr>
        <w:t>27.4</w:t>
      </w:r>
      <w:r>
        <w:rPr>
          <w:rFonts w:hint="eastAsia" w:ascii="宋体" w:hAnsi="宋体" w:cs="宋体"/>
          <w:sz w:val="24"/>
          <w:lang w:val="zh-CN"/>
        </w:rPr>
        <w:t>供应商不得虚假承诺，否则，按照提供虚假材料谋取中标处理。</w:t>
      </w:r>
    </w:p>
    <w:p w14:paraId="6C590EE2">
      <w:pPr>
        <w:spacing w:line="360" w:lineRule="auto"/>
        <w:ind w:firstLine="600"/>
        <w:rPr>
          <w:rFonts w:ascii="宋体" w:hAnsi="宋体" w:cs="宋体"/>
          <w:sz w:val="24"/>
          <w:lang w:val="zh-CN"/>
        </w:rPr>
      </w:pPr>
      <w:r>
        <w:rPr>
          <w:rFonts w:hint="eastAsia" w:ascii="宋体" w:hAnsi="宋体" w:cs="宋体"/>
          <w:sz w:val="24"/>
        </w:rPr>
        <w:t>27.5</w:t>
      </w:r>
      <w:r>
        <w:rPr>
          <w:rFonts w:hint="eastAsia" w:ascii="宋体" w:hAnsi="宋体" w:cs="宋体"/>
          <w:sz w:val="24"/>
          <w:lang w:val="zh-CN"/>
        </w:rPr>
        <w:t>供应商应自觉遵守开标、评标纪律，扰乱开标评标现场秩序的，属于失信行为，根据《江苏省政府采购供应商监督管理暂行办法》，失信行为将被记入供应商诚信档案。</w:t>
      </w:r>
    </w:p>
    <w:p w14:paraId="4E7DBC1C">
      <w:pPr>
        <w:pStyle w:val="2"/>
        <w:spacing w:line="240" w:lineRule="auto"/>
        <w:jc w:val="center"/>
        <w:rPr>
          <w:rFonts w:ascii="宋体" w:hAnsi="宋体" w:cs="宋体"/>
          <w:sz w:val="32"/>
        </w:rPr>
      </w:pPr>
      <w:r>
        <w:rPr>
          <w:rFonts w:hint="eastAsia" w:ascii="宋体" w:hAnsi="宋体" w:cs="宋体"/>
          <w:sz w:val="32"/>
        </w:rPr>
        <w:br w:type="page" w:clear="all"/>
      </w:r>
      <w:bookmarkStart w:id="52" w:name="_Toc27215"/>
      <w:r>
        <w:rPr>
          <w:rFonts w:hint="eastAsia" w:ascii="宋体" w:hAnsi="宋体" w:cs="宋体"/>
          <w:sz w:val="32"/>
        </w:rPr>
        <w:t>第三章 评标标准</w:t>
      </w:r>
      <w:bookmarkEnd w:id="52"/>
    </w:p>
    <w:p w14:paraId="548586B6">
      <w:pPr>
        <w:spacing w:line="290" w:lineRule="exact"/>
        <w:ind w:firstLine="420" w:firstLineChars="200"/>
        <w:jc w:val="left"/>
        <w:rPr>
          <w:rFonts w:ascii="宋体" w:hAnsi="宋体" w:cs="宋体"/>
          <w:szCs w:val="21"/>
          <w:u w:color="000000"/>
          <w:lang w:val="zh-CN"/>
        </w:rPr>
      </w:pPr>
      <w:r>
        <w:rPr>
          <w:rFonts w:hint="eastAsia" w:ascii="宋体" w:hAnsi="宋体" w:cs="宋体"/>
          <w:szCs w:val="21"/>
          <w:u w:color="000000"/>
          <w:lang w:val="zh-CN"/>
        </w:rPr>
        <w:t>评分方法和标准：采用综合评分法，评分统计方法采用百分制（满分100 分），将全部评委评分直接进行算术平均，小数点后保留 2 位。按评审后得分由高到低顺序排列，得分相同的，按投标报价由低到高顺序排列，得分且投标报价相同的，按技术指标优劣顺序排列，由评标委员会确定排名第一名的供应商为中标单位。</w:t>
      </w:r>
    </w:p>
    <w:tbl>
      <w:tblPr>
        <w:tblStyle w:val="6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5"/>
        <w:gridCol w:w="667"/>
        <w:gridCol w:w="656"/>
        <w:gridCol w:w="6594"/>
      </w:tblGrid>
      <w:tr w14:paraId="3E8CD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5" w:type="dxa"/>
            <w:vAlign w:val="center"/>
          </w:tcPr>
          <w:p w14:paraId="232291A7">
            <w:pPr>
              <w:spacing w:line="290" w:lineRule="exact"/>
              <w:jc w:val="center"/>
              <w:rPr>
                <w:rFonts w:ascii="宋体" w:hAnsi="宋体" w:cs="宋体"/>
                <w:color w:val="auto"/>
                <w:sz w:val="24"/>
                <w:szCs w:val="21"/>
                <w:lang w:val="zh-CN"/>
              </w:rPr>
            </w:pPr>
            <w:r>
              <w:rPr>
                <w:rFonts w:hint="eastAsia" w:ascii="宋体" w:hAnsi="宋体" w:cs="宋体"/>
                <w:b/>
                <w:color w:val="auto"/>
                <w:szCs w:val="21"/>
                <w:u w:color="000000"/>
                <w:lang w:val="zh-TW" w:eastAsia="zh-TW"/>
              </w:rPr>
              <w:t>序号</w:t>
            </w:r>
          </w:p>
        </w:tc>
        <w:tc>
          <w:tcPr>
            <w:tcW w:w="667" w:type="dxa"/>
            <w:vAlign w:val="center"/>
          </w:tcPr>
          <w:p w14:paraId="36D22CAB">
            <w:pPr>
              <w:keepNext/>
              <w:spacing w:line="290" w:lineRule="exact"/>
              <w:jc w:val="center"/>
              <w:rPr>
                <w:rFonts w:ascii="宋体" w:hAnsi="宋体" w:cs="宋体"/>
                <w:color w:val="auto"/>
                <w:sz w:val="24"/>
                <w:szCs w:val="21"/>
                <w:lang w:val="zh-CN"/>
              </w:rPr>
            </w:pPr>
            <w:r>
              <w:rPr>
                <w:rFonts w:hint="eastAsia" w:ascii="宋体" w:hAnsi="宋体" w:cs="宋体"/>
                <w:b/>
                <w:color w:val="auto"/>
                <w:szCs w:val="21"/>
                <w:u w:color="000000"/>
                <w:lang w:val="zh-TW" w:eastAsia="zh-TW"/>
              </w:rPr>
              <w:t>评审项目</w:t>
            </w:r>
          </w:p>
        </w:tc>
        <w:tc>
          <w:tcPr>
            <w:tcW w:w="656" w:type="dxa"/>
            <w:vAlign w:val="center"/>
          </w:tcPr>
          <w:p w14:paraId="6937C144">
            <w:pPr>
              <w:keepNext/>
              <w:spacing w:line="290" w:lineRule="exact"/>
              <w:jc w:val="center"/>
              <w:rPr>
                <w:rFonts w:ascii="宋体" w:hAnsi="宋体" w:cs="宋体"/>
                <w:color w:val="auto"/>
                <w:sz w:val="24"/>
                <w:szCs w:val="21"/>
                <w:lang w:val="zh-CN"/>
              </w:rPr>
            </w:pPr>
            <w:r>
              <w:rPr>
                <w:rFonts w:hint="eastAsia" w:ascii="宋体" w:hAnsi="宋体" w:cs="宋体"/>
                <w:b/>
                <w:color w:val="auto"/>
                <w:szCs w:val="21"/>
                <w:u w:color="000000"/>
                <w:lang w:val="zh-TW" w:eastAsia="zh-TW"/>
              </w:rPr>
              <w:t>分值</w:t>
            </w:r>
          </w:p>
        </w:tc>
        <w:tc>
          <w:tcPr>
            <w:tcW w:w="6594" w:type="dxa"/>
            <w:vAlign w:val="center"/>
          </w:tcPr>
          <w:p w14:paraId="0E717496">
            <w:pPr>
              <w:keepNext/>
              <w:spacing w:line="290" w:lineRule="exact"/>
              <w:ind w:left="648"/>
              <w:jc w:val="center"/>
              <w:rPr>
                <w:rFonts w:ascii="宋体" w:hAnsi="宋体" w:cs="宋体"/>
                <w:color w:val="auto"/>
                <w:sz w:val="24"/>
                <w:szCs w:val="21"/>
                <w:lang w:val="zh-CN"/>
              </w:rPr>
            </w:pPr>
            <w:r>
              <w:rPr>
                <w:rFonts w:hint="eastAsia" w:ascii="宋体" w:hAnsi="宋体" w:cs="宋体"/>
                <w:b/>
                <w:color w:val="auto"/>
                <w:szCs w:val="21"/>
                <w:u w:color="000000"/>
                <w:lang w:val="zh-TW" w:eastAsia="zh-TW"/>
              </w:rPr>
              <w:t>评分细则</w:t>
            </w:r>
          </w:p>
        </w:tc>
      </w:tr>
      <w:tr w14:paraId="3F660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5" w:type="dxa"/>
            <w:vAlign w:val="center"/>
          </w:tcPr>
          <w:p w14:paraId="78650C19">
            <w:pPr>
              <w:spacing w:line="290" w:lineRule="exact"/>
              <w:jc w:val="center"/>
              <w:rPr>
                <w:rFonts w:ascii="宋体" w:hAnsi="宋体" w:cs="宋体"/>
                <w:color w:val="auto"/>
                <w:sz w:val="24"/>
                <w:szCs w:val="21"/>
                <w:lang w:val="zh-CN"/>
              </w:rPr>
            </w:pPr>
            <w:r>
              <w:rPr>
                <w:rFonts w:hint="eastAsia" w:ascii="宋体" w:hAnsi="宋体" w:cs="宋体"/>
                <w:color w:val="auto"/>
                <w:szCs w:val="21"/>
                <w:u w:color="000000"/>
              </w:rPr>
              <w:t>1</w:t>
            </w:r>
          </w:p>
        </w:tc>
        <w:tc>
          <w:tcPr>
            <w:tcW w:w="667" w:type="dxa"/>
            <w:vAlign w:val="center"/>
          </w:tcPr>
          <w:p w14:paraId="09494EB1">
            <w:pPr>
              <w:spacing w:line="290" w:lineRule="exact"/>
              <w:jc w:val="center"/>
              <w:rPr>
                <w:rFonts w:ascii="宋体" w:hAnsi="宋体" w:cs="宋体"/>
                <w:color w:val="auto"/>
                <w:sz w:val="24"/>
                <w:szCs w:val="21"/>
                <w:lang w:val="zh-CN"/>
              </w:rPr>
            </w:pPr>
            <w:r>
              <w:rPr>
                <w:rFonts w:hint="eastAsia" w:ascii="宋体" w:hAnsi="宋体" w:cs="宋体"/>
                <w:color w:val="auto"/>
                <w:szCs w:val="21"/>
                <w:u w:color="000000"/>
                <w:lang w:val="zh-TW" w:eastAsia="zh-TW"/>
              </w:rPr>
              <w:t>价格分</w:t>
            </w:r>
          </w:p>
        </w:tc>
        <w:tc>
          <w:tcPr>
            <w:tcW w:w="656" w:type="dxa"/>
            <w:vAlign w:val="center"/>
          </w:tcPr>
          <w:p w14:paraId="16F0C17F">
            <w:pPr>
              <w:spacing w:line="290" w:lineRule="exact"/>
              <w:jc w:val="center"/>
              <w:rPr>
                <w:rFonts w:ascii="宋体" w:hAnsi="宋体" w:cs="宋体"/>
                <w:color w:val="auto"/>
                <w:sz w:val="24"/>
                <w:szCs w:val="21"/>
                <w:lang w:val="zh-CN"/>
              </w:rPr>
            </w:pPr>
            <w:r>
              <w:rPr>
                <w:rFonts w:hint="eastAsia" w:ascii="宋体" w:hAnsi="宋体" w:cs="宋体"/>
                <w:color w:val="auto"/>
                <w:szCs w:val="21"/>
                <w:u w:color="000000"/>
              </w:rPr>
              <w:t>30</w:t>
            </w:r>
          </w:p>
        </w:tc>
        <w:tc>
          <w:tcPr>
            <w:tcW w:w="6594" w:type="dxa"/>
            <w:vAlign w:val="center"/>
          </w:tcPr>
          <w:p w14:paraId="3B5E33CE">
            <w:pPr>
              <w:adjustRightInd w:val="0"/>
              <w:snapToGrid w:val="0"/>
              <w:jc w:val="left"/>
              <w:rPr>
                <w:rFonts w:ascii="宋体" w:hAnsi="宋体" w:cs="宋体"/>
                <w:color w:val="auto"/>
                <w:sz w:val="24"/>
                <w:szCs w:val="21"/>
                <w:lang w:val="zh-CN"/>
              </w:rPr>
            </w:pPr>
            <w:r>
              <w:rPr>
                <w:rFonts w:hint="eastAsia" w:ascii="宋体" w:hAnsi="宋体" w:cs="宋体"/>
                <w:color w:val="auto"/>
                <w:szCs w:val="21"/>
                <w:u w:color="000000"/>
                <w:lang w:val="zh-TW" w:eastAsia="zh-TW"/>
              </w:rPr>
              <w:t>价格分采用低价优先法计算，即满足招标文件要求且报价最低的供应商报价为评标基准价，其价格分为满分30分，其他投标人的价格分统一按照以下公式计算：投标报价得分=（评标基准价/投标报价）×30分，小数点保留2位。</w:t>
            </w:r>
          </w:p>
        </w:tc>
      </w:tr>
      <w:tr w14:paraId="43691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5" w:type="dxa"/>
            <w:vAlign w:val="center"/>
          </w:tcPr>
          <w:p w14:paraId="5FE83319">
            <w:pPr>
              <w:spacing w:line="290" w:lineRule="exact"/>
              <w:jc w:val="center"/>
              <w:rPr>
                <w:rFonts w:ascii="宋体" w:hAnsi="宋体" w:cs="宋体"/>
                <w:color w:val="auto"/>
                <w:sz w:val="24"/>
                <w:szCs w:val="21"/>
              </w:rPr>
            </w:pPr>
            <w:r>
              <w:rPr>
                <w:rFonts w:hint="eastAsia" w:ascii="宋体" w:hAnsi="宋体" w:cs="宋体"/>
                <w:color w:val="auto"/>
                <w:sz w:val="24"/>
                <w:szCs w:val="21"/>
              </w:rPr>
              <w:t>2</w:t>
            </w:r>
          </w:p>
        </w:tc>
        <w:tc>
          <w:tcPr>
            <w:tcW w:w="667" w:type="dxa"/>
            <w:vAlign w:val="center"/>
          </w:tcPr>
          <w:p w14:paraId="69F60779">
            <w:pPr>
              <w:spacing w:line="290" w:lineRule="exact"/>
              <w:jc w:val="center"/>
              <w:rPr>
                <w:rFonts w:ascii="宋体" w:hAnsi="宋体" w:cs="宋体"/>
                <w:color w:val="auto"/>
                <w:szCs w:val="21"/>
                <w:u w:color="000000"/>
                <w:lang w:val="zh-CN"/>
              </w:rPr>
            </w:pPr>
            <w:r>
              <w:rPr>
                <w:rFonts w:hint="eastAsia" w:ascii="宋体" w:hAnsi="宋体" w:cs="宋体"/>
                <w:color w:val="auto"/>
                <w:szCs w:val="21"/>
                <w:u w:color="000000"/>
                <w:lang w:val="zh-TW" w:eastAsia="zh-TW"/>
              </w:rPr>
              <w:t>技术参</w:t>
            </w:r>
            <w:r>
              <w:rPr>
                <w:rFonts w:hint="eastAsia" w:ascii="宋体" w:hAnsi="宋体" w:cs="宋体"/>
                <w:color w:val="auto"/>
                <w:szCs w:val="21"/>
                <w:u w:color="000000"/>
              </w:rPr>
              <w:t>数</w:t>
            </w:r>
          </w:p>
        </w:tc>
        <w:tc>
          <w:tcPr>
            <w:tcW w:w="656" w:type="dxa"/>
            <w:vAlign w:val="center"/>
          </w:tcPr>
          <w:p w14:paraId="6B7C29EE">
            <w:pPr>
              <w:spacing w:line="290" w:lineRule="exact"/>
              <w:jc w:val="center"/>
              <w:rPr>
                <w:rFonts w:ascii="宋体" w:hAnsi="宋体" w:cs="宋体"/>
                <w:color w:val="auto"/>
                <w:szCs w:val="21"/>
                <w:u w:color="000000"/>
              </w:rPr>
            </w:pPr>
            <w:r>
              <w:rPr>
                <w:rFonts w:hint="eastAsia" w:ascii="宋体" w:hAnsi="宋体" w:cs="宋体"/>
                <w:color w:val="auto"/>
                <w:szCs w:val="21"/>
                <w:u w:color="000000"/>
              </w:rPr>
              <w:t>28</w:t>
            </w:r>
          </w:p>
        </w:tc>
        <w:tc>
          <w:tcPr>
            <w:tcW w:w="6594" w:type="dxa"/>
            <w:vAlign w:val="center"/>
          </w:tcPr>
          <w:p w14:paraId="0F565733">
            <w:pPr>
              <w:spacing w:line="290" w:lineRule="exact"/>
              <w:jc w:val="left"/>
              <w:rPr>
                <w:rFonts w:ascii="宋体" w:hAnsi="宋体" w:cs="宋体"/>
                <w:b w:val="0"/>
                <w:bCs w:val="0"/>
                <w:color w:val="auto"/>
                <w:szCs w:val="21"/>
                <w:u w:color="000000"/>
                <w:lang w:val="zh-TW"/>
              </w:rPr>
            </w:pPr>
            <w:r>
              <w:rPr>
                <w:rFonts w:hint="eastAsia" w:ascii="宋体" w:hAnsi="宋体" w:cs="宋体"/>
                <w:b w:val="0"/>
                <w:bCs w:val="0"/>
                <w:color w:val="auto"/>
                <w:szCs w:val="21"/>
                <w:u w:color="000000"/>
                <w:lang w:val="zh-TW" w:eastAsia="zh-TW"/>
              </w:rPr>
              <w:t>技术参数全部满足招标要求的得满分</w:t>
            </w:r>
            <w:r>
              <w:rPr>
                <w:rFonts w:hint="eastAsia" w:ascii="宋体" w:hAnsi="宋体" w:cs="宋体"/>
                <w:b w:val="0"/>
                <w:bCs w:val="0"/>
                <w:color w:val="auto"/>
                <w:szCs w:val="21"/>
                <w:u w:color="000000"/>
                <w:lang w:val="zh-TW"/>
              </w:rPr>
              <w:t>；</w:t>
            </w:r>
          </w:p>
          <w:p w14:paraId="0FE4E632">
            <w:pPr>
              <w:spacing w:line="290" w:lineRule="exact"/>
              <w:jc w:val="left"/>
              <w:rPr>
                <w:rFonts w:ascii="宋体" w:hAnsi="宋体" w:cs="宋体"/>
                <w:b w:val="0"/>
                <w:bCs w:val="0"/>
                <w:color w:val="auto"/>
                <w:szCs w:val="21"/>
                <w:u w:color="000000"/>
                <w:lang w:val="zh-TW" w:eastAsia="zh-TW"/>
              </w:rPr>
            </w:pPr>
            <w:r>
              <w:rPr>
                <w:rFonts w:hint="eastAsia" w:ascii="宋体" w:hAnsi="宋体" w:cs="宋体"/>
                <w:b w:val="0"/>
                <w:bCs w:val="0"/>
                <w:color w:val="auto"/>
                <w:szCs w:val="21"/>
                <w:u w:color="000000"/>
                <w:lang w:val="zh-TW" w:eastAsia="zh-TW"/>
              </w:rPr>
              <w:t xml:space="preserve">技术要求中带“★”标识的内容为不允许负偏离的实质性要求，如有负偏离将作为无效报价； </w:t>
            </w:r>
          </w:p>
          <w:p w14:paraId="38A5D1FE">
            <w:pPr>
              <w:spacing w:line="290" w:lineRule="exact"/>
              <w:jc w:val="left"/>
              <w:rPr>
                <w:rFonts w:ascii="宋体" w:hAnsi="宋体" w:cs="宋体"/>
                <w:b w:val="0"/>
                <w:bCs w:val="0"/>
                <w:color w:val="auto"/>
                <w:szCs w:val="21"/>
                <w:u w:color="000000"/>
                <w:lang w:val="zh-TW" w:eastAsia="zh-TW"/>
              </w:rPr>
            </w:pPr>
            <w:r>
              <w:rPr>
                <w:rFonts w:hint="eastAsia" w:ascii="宋体" w:hAnsi="宋体" w:cs="宋体"/>
                <w:b w:val="0"/>
                <w:bCs w:val="0"/>
                <w:color w:val="auto"/>
                <w:szCs w:val="21"/>
                <w:u w:color="000000"/>
                <w:lang w:val="zh-TW" w:eastAsia="zh-TW"/>
              </w:rPr>
              <w:t>其他带“▲”标识的内容，每</w:t>
            </w:r>
            <w:r>
              <w:rPr>
                <w:rFonts w:hint="eastAsia" w:ascii="宋体" w:hAnsi="宋体" w:cs="宋体"/>
                <w:b w:val="0"/>
                <w:bCs w:val="0"/>
                <w:color w:val="auto"/>
                <w:szCs w:val="21"/>
                <w:u w:color="000000"/>
                <w:lang w:val="zh-TW"/>
              </w:rPr>
              <w:t>一个</w:t>
            </w:r>
            <w:r>
              <w:rPr>
                <w:rFonts w:hint="eastAsia" w:ascii="宋体" w:hAnsi="宋体" w:cs="宋体"/>
                <w:b w:val="0"/>
                <w:bCs w:val="0"/>
                <w:color w:val="auto"/>
                <w:szCs w:val="21"/>
                <w:u w:color="000000"/>
                <w:lang w:val="zh-TW" w:eastAsia="zh-TW"/>
              </w:rPr>
              <w:t>不满足项扣</w:t>
            </w:r>
            <w:r>
              <w:rPr>
                <w:rFonts w:hint="eastAsia" w:ascii="宋体" w:hAnsi="宋体" w:cs="宋体"/>
                <w:b w:val="0"/>
                <w:bCs w:val="0"/>
                <w:color w:val="auto"/>
                <w:szCs w:val="21"/>
                <w:u w:color="000000"/>
              </w:rPr>
              <w:t>2</w:t>
            </w:r>
            <w:r>
              <w:rPr>
                <w:rFonts w:hint="eastAsia" w:ascii="宋体" w:hAnsi="宋体" w:cs="宋体"/>
                <w:b w:val="0"/>
                <w:bCs w:val="0"/>
                <w:color w:val="auto"/>
                <w:szCs w:val="21"/>
                <w:u w:color="000000"/>
                <w:lang w:val="zh-TW" w:eastAsia="zh-TW"/>
              </w:rPr>
              <w:t>分，扣完为止。</w:t>
            </w:r>
          </w:p>
          <w:p w14:paraId="14ADE5CD">
            <w:pPr>
              <w:spacing w:line="290" w:lineRule="exact"/>
              <w:jc w:val="left"/>
              <w:rPr>
                <w:rFonts w:ascii="宋体" w:hAnsi="宋体" w:cs="宋体"/>
                <w:b w:val="0"/>
                <w:bCs w:val="0"/>
                <w:color w:val="auto"/>
                <w:szCs w:val="21"/>
                <w:u w:color="000000"/>
                <w:lang w:val="zh-TW" w:eastAsia="zh-TW"/>
              </w:rPr>
            </w:pPr>
            <w:r>
              <w:rPr>
                <w:rFonts w:hint="eastAsia" w:ascii="宋体" w:hAnsi="宋体" w:cs="宋体"/>
                <w:b w:val="0"/>
                <w:bCs w:val="0"/>
                <w:color w:val="auto"/>
                <w:szCs w:val="21"/>
                <w:u w:color="000000"/>
                <w:lang w:val="zh-TW" w:eastAsia="zh-TW"/>
              </w:rPr>
              <w:t>其他未带标识的内容，每</w:t>
            </w:r>
            <w:r>
              <w:rPr>
                <w:rFonts w:hint="eastAsia" w:ascii="宋体" w:hAnsi="宋体" w:cs="宋体"/>
                <w:b w:val="0"/>
                <w:bCs w:val="0"/>
                <w:color w:val="auto"/>
                <w:szCs w:val="21"/>
                <w:u w:color="000000"/>
                <w:lang w:val="zh-TW"/>
              </w:rPr>
              <w:t>一个</w:t>
            </w:r>
            <w:r>
              <w:rPr>
                <w:rFonts w:hint="eastAsia" w:ascii="宋体" w:hAnsi="宋体" w:cs="宋体"/>
                <w:b w:val="0"/>
                <w:bCs w:val="0"/>
                <w:color w:val="auto"/>
                <w:szCs w:val="21"/>
                <w:u w:color="000000"/>
                <w:lang w:val="zh-TW" w:eastAsia="zh-TW"/>
              </w:rPr>
              <w:t>不满足项扣</w:t>
            </w:r>
            <w:r>
              <w:rPr>
                <w:rFonts w:hint="eastAsia" w:ascii="宋体" w:hAnsi="宋体" w:cs="宋体"/>
                <w:b w:val="0"/>
                <w:bCs w:val="0"/>
                <w:color w:val="auto"/>
                <w:szCs w:val="21"/>
                <w:u w:color="000000"/>
              </w:rPr>
              <w:t>1</w:t>
            </w:r>
            <w:r>
              <w:rPr>
                <w:rFonts w:hint="eastAsia" w:ascii="宋体" w:hAnsi="宋体" w:cs="宋体"/>
                <w:b w:val="0"/>
                <w:bCs w:val="0"/>
                <w:color w:val="auto"/>
                <w:szCs w:val="21"/>
                <w:u w:color="000000"/>
                <w:lang w:val="zh-TW" w:eastAsia="zh-TW"/>
              </w:rPr>
              <w:t>分，扣完为止。</w:t>
            </w:r>
          </w:p>
          <w:p w14:paraId="1363A68B">
            <w:pPr>
              <w:spacing w:line="290" w:lineRule="exact"/>
              <w:jc w:val="left"/>
              <w:rPr>
                <w:rFonts w:ascii="宋体" w:hAnsi="宋体" w:cs="宋体"/>
                <w:b w:val="0"/>
                <w:bCs w:val="0"/>
                <w:color w:val="auto"/>
                <w:szCs w:val="21"/>
                <w:u w:color="000000"/>
                <w:lang w:val="zh-CN"/>
              </w:rPr>
            </w:pPr>
            <w:r>
              <w:rPr>
                <w:rFonts w:hint="eastAsia" w:ascii="宋体" w:hAnsi="宋体" w:cs="宋体"/>
                <w:b w:val="0"/>
                <w:bCs w:val="0"/>
                <w:color w:val="auto"/>
                <w:szCs w:val="21"/>
                <w:u w:color="000000"/>
                <w:lang w:val="zh-TW" w:eastAsia="zh-TW"/>
              </w:rPr>
              <w:t>注：技术参数必须在投标文件内提供</w:t>
            </w:r>
            <w:r>
              <w:rPr>
                <w:rFonts w:hint="eastAsia" w:ascii="宋体" w:hAnsi="宋体" w:cs="宋体"/>
                <w:b w:val="0"/>
                <w:bCs w:val="0"/>
                <w:color w:val="auto"/>
                <w:szCs w:val="21"/>
                <w:u w:color="000000"/>
                <w:lang w:val="zh-TW"/>
              </w:rPr>
              <w:t>相应</w:t>
            </w:r>
            <w:r>
              <w:rPr>
                <w:rFonts w:hint="eastAsia" w:ascii="宋体" w:hAnsi="宋体" w:cs="宋体"/>
                <w:b w:val="0"/>
                <w:bCs w:val="0"/>
                <w:color w:val="auto"/>
                <w:szCs w:val="21"/>
                <w:u w:color="000000"/>
                <w:lang w:val="zh-TW" w:eastAsia="zh-TW"/>
              </w:rPr>
              <w:t>技术支持资料</w:t>
            </w:r>
            <w:r>
              <w:rPr>
                <w:rFonts w:hint="eastAsia" w:ascii="宋体" w:hAnsi="宋体" w:cs="宋体"/>
                <w:b w:val="0"/>
                <w:bCs w:val="0"/>
                <w:color w:val="auto"/>
                <w:szCs w:val="21"/>
                <w:u w:color="000000"/>
                <w:lang w:val="zh-TW"/>
              </w:rPr>
              <w:t>，并在技术偏离表中标注对应的页码</w:t>
            </w:r>
            <w:r>
              <w:rPr>
                <w:rFonts w:hint="eastAsia" w:ascii="宋体" w:hAnsi="宋体" w:cs="宋体"/>
                <w:b w:val="0"/>
                <w:bCs w:val="0"/>
                <w:color w:val="auto"/>
                <w:szCs w:val="21"/>
                <w:u w:color="000000"/>
                <w:lang w:val="zh-TW" w:eastAsia="zh-TW"/>
              </w:rPr>
              <w:t>（如白皮书、彩页、手册、检测报告等），未提供技术支持资料的，评审时不予认可。注：项目参数、技术参数和相关要求响应情况需如实填写，不得虚假响应，否则视为提供虚假材料谋取中标</w:t>
            </w:r>
            <w:r>
              <w:rPr>
                <w:rFonts w:hint="eastAsia" w:ascii="宋体" w:hAnsi="宋体" w:cs="宋体"/>
                <w:b w:val="0"/>
                <w:bCs w:val="0"/>
                <w:color w:val="auto"/>
                <w:szCs w:val="21"/>
                <w:u w:color="000000"/>
                <w:lang w:val="zh-TW"/>
              </w:rPr>
              <w:t>。</w:t>
            </w:r>
          </w:p>
        </w:tc>
      </w:tr>
      <w:tr w14:paraId="7E71A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05" w:type="dxa"/>
            <w:vAlign w:val="center"/>
          </w:tcPr>
          <w:p w14:paraId="2CE1BAF2">
            <w:pPr>
              <w:adjustRightInd w:val="0"/>
              <w:snapToGrid w:val="0"/>
              <w:jc w:val="center"/>
              <w:rPr>
                <w:rFonts w:ascii="宋体" w:hAnsi="宋体" w:cs="宋体"/>
                <w:color w:val="auto"/>
                <w:sz w:val="24"/>
                <w:szCs w:val="21"/>
                <w:lang w:val="zh-CN"/>
              </w:rPr>
            </w:pPr>
            <w:r>
              <w:rPr>
                <w:rFonts w:hint="eastAsia" w:ascii="宋体" w:hAnsi="宋体" w:cs="宋体"/>
                <w:color w:val="auto"/>
                <w:szCs w:val="21"/>
                <w:u w:color="000000"/>
              </w:rPr>
              <w:t>3</w:t>
            </w:r>
          </w:p>
        </w:tc>
        <w:tc>
          <w:tcPr>
            <w:tcW w:w="667" w:type="dxa"/>
            <w:vAlign w:val="center"/>
          </w:tcPr>
          <w:p w14:paraId="166E8622">
            <w:pPr>
              <w:spacing w:line="290" w:lineRule="exact"/>
              <w:jc w:val="center"/>
              <w:rPr>
                <w:rFonts w:ascii="宋体" w:hAnsi="宋体" w:cs="宋体"/>
                <w:color w:val="auto"/>
                <w:szCs w:val="21"/>
                <w:u w:color="000000"/>
                <w:lang w:val="zh-CN"/>
              </w:rPr>
            </w:pPr>
            <w:r>
              <w:rPr>
                <w:rFonts w:hint="eastAsia" w:ascii="宋体" w:hAnsi="宋体" w:cs="宋体"/>
                <w:color w:val="auto"/>
                <w:szCs w:val="21"/>
                <w:u w:color="000000"/>
              </w:rPr>
              <w:t>业绩分</w:t>
            </w:r>
          </w:p>
        </w:tc>
        <w:tc>
          <w:tcPr>
            <w:tcW w:w="656" w:type="dxa"/>
            <w:vAlign w:val="center"/>
          </w:tcPr>
          <w:p w14:paraId="33A383D0">
            <w:pPr>
              <w:spacing w:line="290" w:lineRule="exact"/>
              <w:jc w:val="center"/>
              <w:rPr>
                <w:rFonts w:ascii="宋体" w:hAnsi="宋体" w:cs="宋体"/>
                <w:color w:val="auto"/>
                <w:szCs w:val="21"/>
                <w:u w:color="000000"/>
                <w:lang w:val="zh-CN"/>
              </w:rPr>
            </w:pPr>
            <w:r>
              <w:rPr>
                <w:rFonts w:hint="eastAsia" w:ascii="宋体" w:hAnsi="宋体" w:cs="宋体"/>
                <w:color w:val="auto"/>
                <w:szCs w:val="21"/>
                <w:u w:color="000000"/>
              </w:rPr>
              <w:t>8</w:t>
            </w:r>
          </w:p>
        </w:tc>
        <w:tc>
          <w:tcPr>
            <w:tcW w:w="6594" w:type="dxa"/>
            <w:vAlign w:val="center"/>
          </w:tcPr>
          <w:p w14:paraId="4FAC7E72">
            <w:pPr>
              <w:spacing w:line="290" w:lineRule="exact"/>
              <w:jc w:val="left"/>
              <w:rPr>
                <w:rFonts w:ascii="宋体" w:hAnsi="宋体" w:cs="宋体"/>
                <w:b w:val="0"/>
                <w:bCs w:val="0"/>
                <w:color w:val="auto"/>
                <w:szCs w:val="21"/>
                <w:u w:color="000000"/>
                <w:lang w:val="zh-CN"/>
              </w:rPr>
            </w:pPr>
            <w:r>
              <w:rPr>
                <w:rFonts w:hint="eastAsia" w:ascii="宋体" w:hAnsi="宋体" w:cs="宋体"/>
                <w:b w:val="0"/>
                <w:bCs w:val="0"/>
                <w:color w:val="auto"/>
                <w:szCs w:val="21"/>
                <w:u w:color="000000"/>
              </w:rPr>
              <w:t>供应商在2021年1月1日至今有机械设备类供货业绩，每提供1个得2分，最高得8分。以上项目需提供合同、中标通知书及发票复印件，资料不齐全视为无效，不得分。时间以合同签订时间为准。</w:t>
            </w:r>
          </w:p>
        </w:tc>
      </w:tr>
      <w:tr w14:paraId="34D82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5" w:type="dxa"/>
            <w:vAlign w:val="center"/>
          </w:tcPr>
          <w:p w14:paraId="6BB58092">
            <w:pPr>
              <w:spacing w:line="290" w:lineRule="exact"/>
              <w:jc w:val="center"/>
              <w:rPr>
                <w:rFonts w:ascii="宋体" w:hAnsi="宋体" w:cs="宋体"/>
                <w:color w:val="auto"/>
                <w:sz w:val="24"/>
                <w:szCs w:val="21"/>
              </w:rPr>
            </w:pPr>
            <w:r>
              <w:rPr>
                <w:rFonts w:hint="eastAsia" w:ascii="宋体" w:hAnsi="宋体" w:cs="宋体"/>
                <w:color w:val="auto"/>
                <w:sz w:val="24"/>
                <w:szCs w:val="21"/>
              </w:rPr>
              <w:t>4</w:t>
            </w:r>
          </w:p>
        </w:tc>
        <w:tc>
          <w:tcPr>
            <w:tcW w:w="667" w:type="dxa"/>
            <w:vAlign w:val="center"/>
          </w:tcPr>
          <w:p w14:paraId="43EF093A">
            <w:pPr>
              <w:keepNext/>
              <w:spacing w:line="290" w:lineRule="exact"/>
              <w:jc w:val="center"/>
              <w:rPr>
                <w:rFonts w:ascii="宋体" w:hAnsi="宋体" w:cs="宋体"/>
                <w:color w:val="auto"/>
                <w:szCs w:val="21"/>
              </w:rPr>
            </w:pPr>
            <w:r>
              <w:rPr>
                <w:rFonts w:hint="eastAsia" w:ascii="宋体" w:hAnsi="宋体" w:cs="宋体"/>
                <w:color w:val="auto"/>
                <w:szCs w:val="21"/>
              </w:rPr>
              <w:t>实施方案</w:t>
            </w:r>
          </w:p>
        </w:tc>
        <w:tc>
          <w:tcPr>
            <w:tcW w:w="656" w:type="dxa"/>
            <w:vAlign w:val="center"/>
          </w:tcPr>
          <w:p w14:paraId="4C64BDCE">
            <w:pPr>
              <w:keepNext/>
              <w:spacing w:line="290" w:lineRule="exact"/>
              <w:jc w:val="center"/>
              <w:rPr>
                <w:rFonts w:ascii="宋体" w:hAnsi="宋体" w:cs="宋体"/>
                <w:color w:val="auto"/>
                <w:szCs w:val="21"/>
                <w:lang w:val="zh-CN"/>
              </w:rPr>
            </w:pPr>
            <w:r>
              <w:rPr>
                <w:rFonts w:hint="eastAsia" w:ascii="宋体" w:hAnsi="宋体" w:cs="宋体"/>
                <w:color w:val="auto"/>
                <w:szCs w:val="21"/>
              </w:rPr>
              <w:t>10</w:t>
            </w:r>
          </w:p>
        </w:tc>
        <w:tc>
          <w:tcPr>
            <w:tcW w:w="6594" w:type="dxa"/>
            <w:vAlign w:val="center"/>
          </w:tcPr>
          <w:p w14:paraId="43125632">
            <w:pPr>
              <w:adjustRightInd w:val="0"/>
              <w:snapToGrid w:val="0"/>
              <w:ind w:right="136"/>
              <w:rPr>
                <w:rFonts w:ascii="宋体" w:hAnsi="宋体" w:cs="宋体"/>
                <w:b w:val="0"/>
                <w:bCs w:val="0"/>
                <w:color w:val="auto"/>
                <w:szCs w:val="21"/>
              </w:rPr>
            </w:pPr>
            <w:r>
              <w:rPr>
                <w:rFonts w:hint="eastAsia" w:ascii="宋体" w:hAnsi="宋体" w:cs="宋体"/>
                <w:b w:val="0"/>
                <w:bCs w:val="0"/>
                <w:color w:val="auto"/>
                <w:szCs w:val="21"/>
              </w:rPr>
              <w:t>评委根据投标供应商提供的供货进度保证措施、质量保证措施等综合评分：</w:t>
            </w:r>
          </w:p>
          <w:p w14:paraId="68781D7F">
            <w:pPr>
              <w:numPr>
                <w:ilvl w:val="0"/>
                <w:numId w:val="2"/>
              </w:numPr>
              <w:adjustRightInd w:val="0"/>
              <w:snapToGrid w:val="0"/>
              <w:ind w:right="136"/>
              <w:rPr>
                <w:rFonts w:ascii="宋体" w:hAnsi="宋体" w:cs="宋体"/>
                <w:b w:val="0"/>
                <w:bCs w:val="0"/>
                <w:color w:val="auto"/>
                <w:szCs w:val="21"/>
              </w:rPr>
            </w:pPr>
            <w:r>
              <w:rPr>
                <w:rFonts w:hint="eastAsia" w:ascii="宋体" w:hAnsi="宋体" w:cs="宋体"/>
                <w:b w:val="0"/>
                <w:bCs w:val="0"/>
                <w:color w:val="auto"/>
                <w:szCs w:val="21"/>
              </w:rPr>
              <w:t xml:space="preserve">供货进度安排科学合理，质量保证措施切实有效的，得10分； </w:t>
            </w:r>
          </w:p>
          <w:p w14:paraId="1C473B73">
            <w:pPr>
              <w:numPr>
                <w:ilvl w:val="0"/>
                <w:numId w:val="2"/>
              </w:numPr>
              <w:adjustRightInd w:val="0"/>
              <w:snapToGrid w:val="0"/>
              <w:ind w:right="136"/>
              <w:rPr>
                <w:rFonts w:ascii="宋体" w:hAnsi="宋体" w:cs="宋体"/>
                <w:b w:val="0"/>
                <w:bCs w:val="0"/>
                <w:color w:val="auto"/>
                <w:szCs w:val="21"/>
              </w:rPr>
            </w:pPr>
            <w:r>
              <w:rPr>
                <w:rFonts w:hint="eastAsia" w:ascii="宋体" w:hAnsi="宋体" w:cs="宋体"/>
                <w:b w:val="0"/>
                <w:bCs w:val="0"/>
                <w:color w:val="auto"/>
                <w:szCs w:val="21"/>
              </w:rPr>
              <w:t>供货进度安排较为科学合理，质量保证措施较为有效的，得7分；</w:t>
            </w:r>
          </w:p>
          <w:p w14:paraId="640DAD6B">
            <w:pPr>
              <w:numPr>
                <w:ilvl w:val="0"/>
                <w:numId w:val="2"/>
              </w:numPr>
              <w:adjustRightInd w:val="0"/>
              <w:snapToGrid w:val="0"/>
              <w:ind w:right="136"/>
              <w:rPr>
                <w:rFonts w:ascii="宋体" w:hAnsi="宋体" w:cs="宋体"/>
                <w:b w:val="0"/>
                <w:bCs w:val="0"/>
                <w:color w:val="auto"/>
                <w:szCs w:val="21"/>
              </w:rPr>
            </w:pPr>
            <w:r>
              <w:rPr>
                <w:rFonts w:hint="eastAsia" w:ascii="宋体" w:hAnsi="宋体" w:cs="宋体"/>
                <w:b w:val="0"/>
                <w:bCs w:val="0"/>
                <w:color w:val="auto"/>
                <w:szCs w:val="21"/>
              </w:rPr>
              <w:t>供货进度安排一般，质量保证措施一般的，得4分；</w:t>
            </w:r>
          </w:p>
          <w:p w14:paraId="116A1765">
            <w:pPr>
              <w:numPr>
                <w:ilvl w:val="0"/>
                <w:numId w:val="2"/>
              </w:numPr>
              <w:adjustRightInd w:val="0"/>
              <w:snapToGrid w:val="0"/>
              <w:ind w:right="136"/>
              <w:rPr>
                <w:rFonts w:ascii="宋体" w:hAnsi="宋体" w:cs="宋体"/>
                <w:b w:val="0"/>
                <w:bCs w:val="0"/>
                <w:color w:val="auto"/>
                <w:szCs w:val="21"/>
                <w:lang w:val="zh-CN"/>
              </w:rPr>
            </w:pPr>
            <w:r>
              <w:rPr>
                <w:rFonts w:hint="eastAsia" w:ascii="宋体" w:hAnsi="宋体" w:cs="宋体"/>
                <w:b w:val="0"/>
                <w:bCs w:val="0"/>
                <w:color w:val="auto"/>
                <w:szCs w:val="21"/>
              </w:rPr>
              <w:t>未提供整体项目实施方案的，不得分。</w:t>
            </w:r>
          </w:p>
        </w:tc>
      </w:tr>
      <w:tr w14:paraId="4AE97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7" w:hRule="atLeast"/>
        </w:trPr>
        <w:tc>
          <w:tcPr>
            <w:tcW w:w="605" w:type="dxa"/>
            <w:vAlign w:val="center"/>
          </w:tcPr>
          <w:p w14:paraId="136CF55A">
            <w:pPr>
              <w:spacing w:line="290" w:lineRule="exact"/>
              <w:jc w:val="center"/>
              <w:rPr>
                <w:rFonts w:ascii="宋体" w:hAnsi="宋体" w:cs="宋体"/>
                <w:color w:val="auto"/>
                <w:sz w:val="24"/>
                <w:szCs w:val="21"/>
              </w:rPr>
            </w:pPr>
            <w:r>
              <w:rPr>
                <w:rFonts w:hint="eastAsia" w:ascii="宋体" w:hAnsi="宋体" w:cs="宋体"/>
                <w:color w:val="auto"/>
                <w:sz w:val="24"/>
                <w:szCs w:val="21"/>
              </w:rPr>
              <w:t>5</w:t>
            </w:r>
          </w:p>
        </w:tc>
        <w:tc>
          <w:tcPr>
            <w:tcW w:w="667" w:type="dxa"/>
            <w:vAlign w:val="center"/>
          </w:tcPr>
          <w:p w14:paraId="155F462F">
            <w:pPr>
              <w:keepNext/>
              <w:spacing w:line="290" w:lineRule="exact"/>
              <w:jc w:val="center"/>
              <w:rPr>
                <w:rFonts w:ascii="宋体" w:hAnsi="宋体" w:cs="宋体"/>
                <w:color w:val="auto"/>
                <w:sz w:val="24"/>
                <w:szCs w:val="21"/>
                <w:lang w:val="zh-CN"/>
              </w:rPr>
            </w:pPr>
            <w:r>
              <w:rPr>
                <w:rFonts w:hint="eastAsia" w:ascii="宋体" w:hAnsi="宋体" w:cs="宋体"/>
                <w:color w:val="auto"/>
                <w:szCs w:val="21"/>
              </w:rPr>
              <w:t>应急预案</w:t>
            </w:r>
          </w:p>
        </w:tc>
        <w:tc>
          <w:tcPr>
            <w:tcW w:w="656" w:type="dxa"/>
            <w:vAlign w:val="center"/>
          </w:tcPr>
          <w:p w14:paraId="50BED3F5">
            <w:pPr>
              <w:adjustRightInd w:val="0"/>
              <w:snapToGrid w:val="0"/>
              <w:jc w:val="center"/>
              <w:rPr>
                <w:rFonts w:ascii="宋体" w:hAnsi="宋体" w:cs="宋体"/>
                <w:color w:val="auto"/>
                <w:kern w:val="20"/>
                <w:szCs w:val="21"/>
                <w:u w:color="000000"/>
              </w:rPr>
            </w:pPr>
            <w:r>
              <w:rPr>
                <w:rFonts w:hint="eastAsia" w:ascii="宋体" w:hAnsi="宋体" w:cs="宋体"/>
                <w:color w:val="auto"/>
                <w:kern w:val="20"/>
                <w:szCs w:val="21"/>
                <w:u w:color="000000"/>
              </w:rPr>
              <w:t>8</w:t>
            </w:r>
          </w:p>
        </w:tc>
        <w:tc>
          <w:tcPr>
            <w:tcW w:w="6594" w:type="dxa"/>
            <w:vAlign w:val="center"/>
          </w:tcPr>
          <w:p w14:paraId="235C91B6">
            <w:pPr>
              <w:adjustRightInd w:val="0"/>
              <w:snapToGrid w:val="0"/>
              <w:ind w:right="136"/>
              <w:rPr>
                <w:rFonts w:ascii="宋体" w:hAnsi="宋体" w:cs="宋体"/>
                <w:b w:val="0"/>
                <w:bCs w:val="0"/>
                <w:color w:val="auto"/>
                <w:szCs w:val="21"/>
              </w:rPr>
            </w:pPr>
            <w:r>
              <w:rPr>
                <w:rFonts w:hint="eastAsia" w:ascii="宋体" w:hAnsi="宋体" w:cs="宋体"/>
                <w:b w:val="0"/>
                <w:bCs w:val="0"/>
                <w:color w:val="auto"/>
                <w:szCs w:val="21"/>
              </w:rPr>
              <w:t>评委根据对项目的突发问题的应急预案进行评分：</w:t>
            </w:r>
          </w:p>
          <w:p w14:paraId="67405788">
            <w:pPr>
              <w:numPr>
                <w:ilvl w:val="0"/>
                <w:numId w:val="3"/>
              </w:numPr>
              <w:adjustRightInd w:val="0"/>
              <w:snapToGrid w:val="0"/>
              <w:ind w:right="136"/>
              <w:rPr>
                <w:rFonts w:ascii="宋体" w:hAnsi="宋体" w:cs="宋体"/>
                <w:b w:val="0"/>
                <w:bCs w:val="0"/>
                <w:color w:val="auto"/>
                <w:szCs w:val="21"/>
              </w:rPr>
            </w:pPr>
            <w:r>
              <w:rPr>
                <w:rFonts w:hint="eastAsia" w:ascii="宋体" w:hAnsi="宋体" w:cs="宋体"/>
                <w:b w:val="0"/>
                <w:bCs w:val="0"/>
                <w:color w:val="auto"/>
                <w:szCs w:val="21"/>
              </w:rPr>
              <w:t>突发情况应急预案科学合理，突发问题处理措施全面、可操作性强的得 8分；</w:t>
            </w:r>
          </w:p>
          <w:p w14:paraId="6A1BFC70">
            <w:pPr>
              <w:numPr>
                <w:ilvl w:val="0"/>
                <w:numId w:val="3"/>
              </w:numPr>
              <w:adjustRightInd w:val="0"/>
              <w:snapToGrid w:val="0"/>
              <w:ind w:right="136"/>
              <w:rPr>
                <w:rFonts w:ascii="宋体" w:hAnsi="宋体" w:cs="宋体"/>
                <w:b w:val="0"/>
                <w:bCs w:val="0"/>
                <w:color w:val="auto"/>
                <w:szCs w:val="21"/>
              </w:rPr>
            </w:pPr>
            <w:r>
              <w:rPr>
                <w:rFonts w:hint="eastAsia" w:ascii="宋体" w:hAnsi="宋体" w:cs="宋体"/>
                <w:b w:val="0"/>
                <w:bCs w:val="0"/>
                <w:color w:val="auto"/>
                <w:szCs w:val="21"/>
              </w:rPr>
              <w:t>突发情况应急预案合理，突发问题处理措施较详细、可操作性一般的得5分；</w:t>
            </w:r>
          </w:p>
          <w:p w14:paraId="1087A95C">
            <w:pPr>
              <w:numPr>
                <w:ilvl w:val="0"/>
                <w:numId w:val="3"/>
              </w:numPr>
              <w:adjustRightInd w:val="0"/>
              <w:snapToGrid w:val="0"/>
              <w:ind w:right="136"/>
              <w:rPr>
                <w:rFonts w:ascii="宋体" w:hAnsi="宋体" w:cs="宋体"/>
                <w:b w:val="0"/>
                <w:bCs w:val="0"/>
                <w:color w:val="auto"/>
                <w:szCs w:val="21"/>
              </w:rPr>
            </w:pPr>
            <w:r>
              <w:rPr>
                <w:rFonts w:hint="eastAsia" w:ascii="宋体" w:hAnsi="宋体" w:cs="宋体"/>
                <w:b w:val="0"/>
                <w:bCs w:val="0"/>
                <w:color w:val="auto"/>
                <w:szCs w:val="21"/>
              </w:rPr>
              <w:t>突发情况应急预案可行，突发问题处理措施、可操作性差的得2分；</w:t>
            </w:r>
          </w:p>
          <w:p w14:paraId="3CA9E7DD">
            <w:pPr>
              <w:numPr>
                <w:ilvl w:val="0"/>
                <w:numId w:val="3"/>
              </w:numPr>
              <w:adjustRightInd w:val="0"/>
              <w:snapToGrid w:val="0"/>
              <w:ind w:right="136"/>
              <w:rPr>
                <w:rFonts w:ascii="宋体" w:hAnsi="宋体" w:cs="宋体"/>
                <w:b w:val="0"/>
                <w:bCs w:val="0"/>
                <w:color w:val="auto"/>
                <w:szCs w:val="21"/>
              </w:rPr>
            </w:pPr>
            <w:r>
              <w:rPr>
                <w:rFonts w:hint="eastAsia" w:ascii="宋体" w:hAnsi="宋体" w:cs="宋体"/>
                <w:b w:val="0"/>
                <w:bCs w:val="0"/>
                <w:color w:val="auto"/>
                <w:szCs w:val="21"/>
              </w:rPr>
              <w:t>未提供方案的不得分</w:t>
            </w:r>
            <w:r>
              <w:rPr>
                <w:rFonts w:hint="eastAsia" w:ascii="宋体" w:hAnsi="宋体" w:cs="宋体"/>
                <w:b w:val="0"/>
                <w:bCs w:val="0"/>
                <w:color w:val="auto"/>
                <w:szCs w:val="21"/>
                <w:lang w:eastAsia="zh-CN"/>
              </w:rPr>
              <w:t>。</w:t>
            </w:r>
          </w:p>
        </w:tc>
      </w:tr>
      <w:tr w14:paraId="31249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5" w:type="dxa"/>
          </w:tcPr>
          <w:p w14:paraId="3559CBC6">
            <w:pPr>
              <w:spacing w:line="290" w:lineRule="exact"/>
              <w:jc w:val="center"/>
              <w:rPr>
                <w:rFonts w:ascii="宋体" w:hAnsi="宋体" w:cs="宋体"/>
                <w:color w:val="auto"/>
                <w:szCs w:val="21"/>
                <w:u w:color="000000"/>
              </w:rPr>
            </w:pPr>
          </w:p>
          <w:p w14:paraId="7A7C5FD3">
            <w:pPr>
              <w:spacing w:line="290" w:lineRule="exact"/>
              <w:jc w:val="center"/>
              <w:rPr>
                <w:rFonts w:ascii="宋体" w:hAnsi="宋体" w:cs="宋体"/>
                <w:color w:val="auto"/>
                <w:szCs w:val="21"/>
                <w:u w:color="000000"/>
              </w:rPr>
            </w:pPr>
          </w:p>
          <w:p w14:paraId="29DC480E">
            <w:pPr>
              <w:spacing w:line="290" w:lineRule="exact"/>
              <w:jc w:val="center"/>
              <w:rPr>
                <w:rFonts w:ascii="宋体" w:hAnsi="宋体" w:cs="宋体"/>
                <w:color w:val="auto"/>
                <w:szCs w:val="21"/>
                <w:u w:color="000000"/>
              </w:rPr>
            </w:pPr>
          </w:p>
          <w:p w14:paraId="29524EFC">
            <w:pPr>
              <w:spacing w:line="290" w:lineRule="exact"/>
              <w:jc w:val="center"/>
              <w:rPr>
                <w:rFonts w:ascii="宋体" w:hAnsi="宋体" w:cs="宋体"/>
                <w:color w:val="auto"/>
                <w:szCs w:val="21"/>
                <w:u w:color="000000"/>
              </w:rPr>
            </w:pPr>
            <w:r>
              <w:rPr>
                <w:rFonts w:hint="eastAsia" w:ascii="宋体" w:hAnsi="宋体" w:cs="宋体"/>
                <w:color w:val="auto"/>
                <w:szCs w:val="21"/>
                <w:u w:color="000000"/>
              </w:rPr>
              <w:t>6</w:t>
            </w:r>
          </w:p>
        </w:tc>
        <w:tc>
          <w:tcPr>
            <w:tcW w:w="667" w:type="dxa"/>
          </w:tcPr>
          <w:p w14:paraId="466BD0C2">
            <w:pPr>
              <w:spacing w:line="290" w:lineRule="exact"/>
              <w:jc w:val="center"/>
              <w:rPr>
                <w:rFonts w:ascii="宋体" w:hAnsi="宋体" w:cs="宋体"/>
                <w:color w:val="auto"/>
                <w:szCs w:val="21"/>
                <w:u w:color="000000"/>
                <w:lang w:val="zh-TW"/>
              </w:rPr>
            </w:pPr>
          </w:p>
          <w:p w14:paraId="3281CD85">
            <w:pPr>
              <w:spacing w:line="290" w:lineRule="exact"/>
              <w:jc w:val="center"/>
              <w:rPr>
                <w:rFonts w:ascii="宋体" w:hAnsi="宋体" w:cs="宋体"/>
                <w:color w:val="auto"/>
                <w:szCs w:val="21"/>
                <w:u w:color="000000"/>
                <w:lang w:val="zh-TW"/>
              </w:rPr>
            </w:pPr>
          </w:p>
          <w:p w14:paraId="04F93244">
            <w:pPr>
              <w:spacing w:line="290" w:lineRule="exact"/>
              <w:jc w:val="center"/>
              <w:rPr>
                <w:rFonts w:ascii="宋体" w:hAnsi="宋体" w:cs="宋体"/>
                <w:color w:val="auto"/>
                <w:szCs w:val="21"/>
                <w:u w:color="000000"/>
                <w:lang w:val="zh-CN" w:eastAsia="zh-TW"/>
              </w:rPr>
            </w:pPr>
            <w:r>
              <w:rPr>
                <w:rFonts w:hint="eastAsia" w:ascii="宋体" w:hAnsi="宋体" w:cs="宋体"/>
                <w:color w:val="auto"/>
                <w:szCs w:val="21"/>
                <w:u w:color="000000"/>
                <w:lang w:val="zh-TW"/>
              </w:rPr>
              <w:t>售后服务方案</w:t>
            </w:r>
          </w:p>
        </w:tc>
        <w:tc>
          <w:tcPr>
            <w:tcW w:w="656" w:type="dxa"/>
            <w:vAlign w:val="center"/>
          </w:tcPr>
          <w:p w14:paraId="5B8D5DB1">
            <w:pPr>
              <w:spacing w:line="290" w:lineRule="exact"/>
              <w:jc w:val="center"/>
              <w:rPr>
                <w:rFonts w:ascii="宋体" w:hAnsi="宋体" w:cs="宋体"/>
                <w:color w:val="auto"/>
                <w:szCs w:val="21"/>
                <w:u w:color="000000"/>
                <w:lang w:val="zh-CN" w:eastAsia="zh-TW"/>
              </w:rPr>
            </w:pPr>
            <w:r>
              <w:rPr>
                <w:rFonts w:hint="eastAsia" w:ascii="宋体" w:hAnsi="宋体" w:cs="宋体"/>
                <w:color w:val="auto"/>
                <w:szCs w:val="21"/>
                <w:u w:color="000000"/>
              </w:rPr>
              <w:t>8</w:t>
            </w:r>
          </w:p>
        </w:tc>
        <w:tc>
          <w:tcPr>
            <w:tcW w:w="6594" w:type="dxa"/>
            <w:vAlign w:val="center"/>
          </w:tcPr>
          <w:p w14:paraId="10F43CA8">
            <w:pPr>
              <w:spacing w:line="290" w:lineRule="exact"/>
              <w:jc w:val="left"/>
              <w:rPr>
                <w:rFonts w:ascii="宋体" w:hAnsi="宋体" w:cs="宋体"/>
                <w:color w:val="auto"/>
                <w:szCs w:val="21"/>
                <w:u w:color="000000"/>
                <w:lang w:val="zh-TW"/>
              </w:rPr>
            </w:pPr>
            <w:r>
              <w:rPr>
                <w:rFonts w:hint="eastAsia" w:ascii="宋体" w:hAnsi="宋体" w:cs="宋体"/>
                <w:color w:val="auto"/>
                <w:szCs w:val="21"/>
                <w:u w:color="000000"/>
                <w:lang w:val="zh-TW"/>
              </w:rPr>
              <w:t>评委根据供应商提供的售后服务方案（如</w:t>
            </w:r>
            <w:r>
              <w:rPr>
                <w:rFonts w:hint="eastAsia" w:ascii="宋体" w:hAnsi="宋体" w:cs="宋体"/>
                <w:color w:val="auto"/>
                <w:szCs w:val="21"/>
                <w:u w:color="000000"/>
                <w:lang w:val="zh-TW" w:eastAsia="zh-TW"/>
              </w:rPr>
              <w:t>售后</w:t>
            </w:r>
            <w:r>
              <w:rPr>
                <w:rFonts w:hint="eastAsia" w:ascii="宋体" w:hAnsi="宋体" w:cs="宋体"/>
                <w:color w:val="auto"/>
                <w:szCs w:val="21"/>
                <w:u w:color="000000"/>
                <w:lang w:val="zh-TW"/>
              </w:rPr>
              <w:t>服务体系、</w:t>
            </w:r>
            <w:r>
              <w:rPr>
                <w:rFonts w:hint="eastAsia" w:ascii="宋体" w:hAnsi="宋体" w:cs="宋体"/>
                <w:color w:val="auto"/>
                <w:szCs w:val="21"/>
                <w:u w:color="000000"/>
                <w:lang w:val="zh-TW" w:eastAsia="zh-TW"/>
              </w:rPr>
              <w:t>售后</w:t>
            </w:r>
            <w:r>
              <w:rPr>
                <w:rFonts w:hint="eastAsia" w:ascii="宋体" w:hAnsi="宋体" w:cs="宋体"/>
                <w:color w:val="auto"/>
                <w:szCs w:val="21"/>
                <w:u w:color="000000"/>
                <w:lang w:val="zh-TW"/>
              </w:rPr>
              <w:t>服务内容、故障解决方案、故障响应、专业技术人员保障等）综合评分：</w:t>
            </w:r>
          </w:p>
          <w:p w14:paraId="31B9A4D0">
            <w:pPr>
              <w:spacing w:line="290" w:lineRule="exact"/>
              <w:jc w:val="left"/>
              <w:rPr>
                <w:rFonts w:ascii="宋体" w:hAnsi="宋体" w:cs="宋体"/>
                <w:color w:val="auto"/>
                <w:szCs w:val="21"/>
                <w:u w:color="000000"/>
                <w:lang w:val="zh-TW"/>
              </w:rPr>
            </w:pPr>
            <w:r>
              <w:rPr>
                <w:rFonts w:hint="eastAsia" w:ascii="宋体" w:hAnsi="宋体" w:cs="宋体"/>
                <w:color w:val="auto"/>
                <w:szCs w:val="21"/>
                <w:u w:color="000000"/>
                <w:lang w:val="zh-TW"/>
              </w:rPr>
              <w:t>服务体系健全，服务内容满足采购人实际需求，解决方案切实有效，故障响应迅速，技术人员专业性强的得</w:t>
            </w:r>
            <w:r>
              <w:rPr>
                <w:rFonts w:hint="eastAsia" w:ascii="宋体" w:hAnsi="宋体" w:cs="宋体"/>
                <w:color w:val="auto"/>
                <w:szCs w:val="21"/>
                <w:u w:color="000000"/>
              </w:rPr>
              <w:t>8</w:t>
            </w:r>
            <w:r>
              <w:rPr>
                <w:rFonts w:hint="eastAsia" w:ascii="宋体" w:hAnsi="宋体" w:cs="宋体"/>
                <w:color w:val="auto"/>
                <w:szCs w:val="21"/>
                <w:u w:color="000000"/>
                <w:lang w:val="zh-TW"/>
              </w:rPr>
              <w:t>分；</w:t>
            </w:r>
          </w:p>
          <w:p w14:paraId="759F6307">
            <w:pPr>
              <w:spacing w:line="290" w:lineRule="exact"/>
              <w:jc w:val="left"/>
              <w:rPr>
                <w:rFonts w:ascii="宋体" w:hAnsi="宋体" w:cs="宋体"/>
                <w:color w:val="auto"/>
                <w:szCs w:val="21"/>
                <w:u w:color="000000"/>
                <w:lang w:val="zh-TW"/>
              </w:rPr>
            </w:pPr>
            <w:r>
              <w:rPr>
                <w:rFonts w:hint="eastAsia" w:ascii="宋体" w:hAnsi="宋体" w:cs="宋体"/>
                <w:color w:val="auto"/>
                <w:szCs w:val="21"/>
                <w:u w:color="000000"/>
                <w:lang w:val="zh-TW"/>
              </w:rPr>
              <w:t>服务体系健全，服务内容基本满足采购人实际需求，解决方案比较合理有效，故障响应较快，技术人员专业性较强的得</w:t>
            </w:r>
            <w:r>
              <w:rPr>
                <w:rFonts w:hint="eastAsia" w:ascii="宋体" w:hAnsi="宋体" w:cs="宋体"/>
                <w:color w:val="auto"/>
                <w:szCs w:val="21"/>
                <w:u w:color="000000"/>
              </w:rPr>
              <w:t>5</w:t>
            </w:r>
            <w:r>
              <w:rPr>
                <w:rFonts w:hint="eastAsia" w:ascii="宋体" w:hAnsi="宋体" w:cs="宋体"/>
                <w:color w:val="auto"/>
                <w:szCs w:val="21"/>
                <w:u w:color="000000"/>
                <w:lang w:val="zh-TW"/>
              </w:rPr>
              <w:t xml:space="preserve">分； </w:t>
            </w:r>
          </w:p>
          <w:p w14:paraId="4D3F8940">
            <w:pPr>
              <w:spacing w:line="290" w:lineRule="exact"/>
              <w:jc w:val="left"/>
              <w:rPr>
                <w:rFonts w:ascii="宋体" w:hAnsi="宋体" w:cs="宋体"/>
                <w:color w:val="auto"/>
                <w:szCs w:val="21"/>
                <w:u w:color="000000"/>
                <w:lang w:val="zh-CN" w:eastAsia="zh-TW"/>
              </w:rPr>
            </w:pPr>
            <w:r>
              <w:rPr>
                <w:rFonts w:hint="eastAsia" w:ascii="宋体" w:hAnsi="宋体" w:cs="宋体"/>
                <w:color w:val="auto"/>
                <w:szCs w:val="21"/>
                <w:u w:color="000000"/>
                <w:lang w:val="zh-TW"/>
              </w:rPr>
              <w:t>（3）服务体系不够健全，服务内容比采购人实际需求不够匹配，解决方案不够有效，故障响应缓慢，技术人员专业性较弱的得</w:t>
            </w:r>
            <w:r>
              <w:rPr>
                <w:rFonts w:hint="eastAsia" w:ascii="宋体" w:hAnsi="宋体" w:cs="宋体"/>
                <w:color w:val="auto"/>
                <w:szCs w:val="21"/>
                <w:u w:color="000000"/>
              </w:rPr>
              <w:t>2</w:t>
            </w:r>
            <w:r>
              <w:rPr>
                <w:rFonts w:hint="eastAsia" w:ascii="宋体" w:hAnsi="宋体" w:cs="宋体"/>
                <w:color w:val="auto"/>
                <w:szCs w:val="21"/>
                <w:u w:color="000000"/>
                <w:lang w:val="zh-TW"/>
              </w:rPr>
              <w:t xml:space="preserve">分。 </w:t>
            </w:r>
            <w:r>
              <w:rPr>
                <w:rFonts w:hint="eastAsia" w:ascii="宋体" w:hAnsi="宋体" w:cs="宋体"/>
                <w:color w:val="auto"/>
                <w:szCs w:val="21"/>
                <w:u w:color="000000"/>
                <w:lang w:val="zh-TW" w:eastAsia="zh-TW"/>
              </w:rPr>
              <w:t>（4）未提供方案不得分。</w:t>
            </w:r>
          </w:p>
        </w:tc>
      </w:tr>
      <w:tr w14:paraId="04EEE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5" w:type="dxa"/>
          </w:tcPr>
          <w:p w14:paraId="765CEC39">
            <w:pPr>
              <w:spacing w:line="290" w:lineRule="exact"/>
              <w:jc w:val="center"/>
              <w:rPr>
                <w:rFonts w:ascii="宋体" w:hAnsi="宋体" w:cs="宋体"/>
                <w:color w:val="auto"/>
                <w:szCs w:val="21"/>
                <w:u w:color="000000"/>
                <w:lang w:eastAsia="zh-TW"/>
              </w:rPr>
            </w:pPr>
          </w:p>
          <w:p w14:paraId="1D0797AF">
            <w:pPr>
              <w:spacing w:line="290" w:lineRule="exact"/>
              <w:jc w:val="center"/>
              <w:rPr>
                <w:rFonts w:ascii="宋体" w:hAnsi="宋体" w:cs="宋体"/>
                <w:color w:val="auto"/>
                <w:szCs w:val="21"/>
                <w:u w:color="000000"/>
                <w:lang w:eastAsia="zh-TW"/>
              </w:rPr>
            </w:pPr>
          </w:p>
          <w:p w14:paraId="3B24A1E5">
            <w:pPr>
              <w:spacing w:line="290" w:lineRule="exact"/>
              <w:jc w:val="center"/>
              <w:rPr>
                <w:rFonts w:ascii="宋体" w:hAnsi="宋体" w:cs="宋体"/>
                <w:color w:val="auto"/>
                <w:szCs w:val="21"/>
                <w:u w:color="000000"/>
                <w:lang w:eastAsia="zh-TW"/>
              </w:rPr>
            </w:pPr>
          </w:p>
          <w:p w14:paraId="1DCACD3A">
            <w:pPr>
              <w:spacing w:line="290" w:lineRule="exact"/>
              <w:jc w:val="center"/>
              <w:rPr>
                <w:rFonts w:ascii="宋体" w:hAnsi="宋体" w:cs="宋体"/>
                <w:color w:val="auto"/>
                <w:szCs w:val="21"/>
                <w:u w:color="000000"/>
              </w:rPr>
            </w:pPr>
            <w:r>
              <w:rPr>
                <w:rFonts w:hint="eastAsia" w:ascii="宋体" w:hAnsi="宋体" w:cs="宋体"/>
                <w:color w:val="auto"/>
                <w:szCs w:val="21"/>
                <w:u w:color="000000"/>
              </w:rPr>
              <w:t>7</w:t>
            </w:r>
          </w:p>
        </w:tc>
        <w:tc>
          <w:tcPr>
            <w:tcW w:w="667" w:type="dxa"/>
          </w:tcPr>
          <w:p w14:paraId="7FE7C1B7">
            <w:pPr>
              <w:spacing w:line="290" w:lineRule="exact"/>
              <w:jc w:val="center"/>
              <w:rPr>
                <w:rFonts w:ascii="宋体" w:hAnsi="宋体" w:cs="宋体"/>
                <w:color w:val="auto"/>
                <w:szCs w:val="21"/>
                <w:u w:color="000000"/>
                <w:lang w:val="zh-CN" w:eastAsia="zh-TW"/>
              </w:rPr>
            </w:pPr>
          </w:p>
          <w:p w14:paraId="5BFA6321">
            <w:pPr>
              <w:spacing w:line="290" w:lineRule="exact"/>
              <w:jc w:val="center"/>
              <w:rPr>
                <w:rFonts w:ascii="宋体" w:hAnsi="宋体" w:cs="宋体"/>
                <w:color w:val="auto"/>
                <w:szCs w:val="21"/>
                <w:u w:color="000000"/>
                <w:lang w:val="zh-CN" w:eastAsia="zh-TW"/>
              </w:rPr>
            </w:pPr>
          </w:p>
          <w:p w14:paraId="0D7330C0">
            <w:pPr>
              <w:spacing w:line="290" w:lineRule="exact"/>
              <w:jc w:val="center"/>
              <w:rPr>
                <w:rFonts w:ascii="宋体" w:hAnsi="宋体" w:cs="宋体"/>
                <w:color w:val="auto"/>
                <w:szCs w:val="21"/>
                <w:u w:color="000000"/>
                <w:lang w:val="zh-CN" w:eastAsia="zh-TW"/>
              </w:rPr>
            </w:pPr>
          </w:p>
          <w:p w14:paraId="67A98A88">
            <w:pPr>
              <w:spacing w:line="290" w:lineRule="exact"/>
              <w:jc w:val="center"/>
              <w:rPr>
                <w:rFonts w:ascii="宋体" w:hAnsi="宋体" w:cs="宋体"/>
                <w:color w:val="auto"/>
                <w:szCs w:val="21"/>
                <w:u w:color="000000"/>
                <w:lang w:val="zh-CN" w:eastAsia="zh-TW"/>
              </w:rPr>
            </w:pPr>
            <w:r>
              <w:rPr>
                <w:rFonts w:hint="eastAsia" w:ascii="宋体" w:hAnsi="宋体" w:cs="宋体"/>
                <w:color w:val="auto"/>
                <w:szCs w:val="21"/>
                <w:u w:color="000000"/>
                <w:lang w:val="zh-CN" w:eastAsia="zh-TW"/>
              </w:rPr>
              <w:t>培训方案</w:t>
            </w:r>
          </w:p>
        </w:tc>
        <w:tc>
          <w:tcPr>
            <w:tcW w:w="656" w:type="dxa"/>
            <w:vAlign w:val="center"/>
          </w:tcPr>
          <w:p w14:paraId="42F55EAA">
            <w:pPr>
              <w:keepNext/>
              <w:spacing w:line="290" w:lineRule="exact"/>
              <w:jc w:val="center"/>
              <w:rPr>
                <w:rFonts w:ascii="宋体" w:hAnsi="宋体" w:cs="宋体"/>
                <w:color w:val="auto"/>
                <w:szCs w:val="21"/>
                <w:lang w:val="zh-CN" w:eastAsia="zh-TW"/>
              </w:rPr>
            </w:pPr>
            <w:r>
              <w:rPr>
                <w:rFonts w:hint="eastAsia" w:ascii="宋体" w:hAnsi="宋体" w:cs="宋体"/>
                <w:color w:val="auto"/>
                <w:szCs w:val="21"/>
              </w:rPr>
              <w:t>6</w:t>
            </w:r>
          </w:p>
        </w:tc>
        <w:tc>
          <w:tcPr>
            <w:tcW w:w="6594" w:type="dxa"/>
            <w:vAlign w:val="center"/>
          </w:tcPr>
          <w:p w14:paraId="159FC590">
            <w:pPr>
              <w:spacing w:line="290" w:lineRule="exact"/>
              <w:jc w:val="left"/>
              <w:rPr>
                <w:rFonts w:ascii="宋体" w:hAnsi="宋体" w:cs="宋体"/>
                <w:color w:val="auto"/>
                <w:szCs w:val="21"/>
                <w:u w:color="000000"/>
              </w:rPr>
            </w:pPr>
            <w:r>
              <w:rPr>
                <w:rFonts w:hint="eastAsia" w:ascii="宋体" w:hAnsi="宋体" w:cs="宋体"/>
                <w:color w:val="auto"/>
                <w:szCs w:val="21"/>
                <w:u w:color="000000"/>
              </w:rPr>
              <w:t>评委根据供应商对本项目有完整的技术培训方案（含质保期内和质保期外），主要内容包括但不限于：培训团队、培训计划、培训措施、培训内容（材料）等。有健全的且富有经验培训团队，完善的培训计划、具体的培训措施、详细的培训内容（材料）等综合评分：</w:t>
            </w:r>
          </w:p>
          <w:p w14:paraId="7FFC0750">
            <w:pPr>
              <w:spacing w:line="290" w:lineRule="exact"/>
              <w:jc w:val="left"/>
              <w:rPr>
                <w:rFonts w:ascii="宋体" w:hAnsi="宋体" w:cs="宋体"/>
                <w:color w:val="auto"/>
                <w:szCs w:val="21"/>
                <w:u w:color="000000"/>
              </w:rPr>
            </w:pPr>
            <w:r>
              <w:rPr>
                <w:rFonts w:hint="eastAsia" w:ascii="宋体" w:hAnsi="宋体" w:cs="宋体"/>
                <w:color w:val="auto"/>
                <w:szCs w:val="21"/>
                <w:u w:color="000000"/>
              </w:rPr>
              <w:t>整个技术培训方案安排科学合理，满足或优于招标文件的得6分；</w:t>
            </w:r>
          </w:p>
          <w:p w14:paraId="3C03AE84">
            <w:pPr>
              <w:spacing w:line="290" w:lineRule="exact"/>
              <w:jc w:val="left"/>
              <w:rPr>
                <w:rFonts w:ascii="宋体" w:hAnsi="宋体" w:cs="宋体"/>
                <w:color w:val="auto"/>
                <w:szCs w:val="21"/>
                <w:u w:color="000000"/>
              </w:rPr>
            </w:pPr>
            <w:r>
              <w:rPr>
                <w:rFonts w:hint="eastAsia" w:ascii="宋体" w:hAnsi="宋体" w:cs="宋体"/>
                <w:color w:val="auto"/>
                <w:szCs w:val="21"/>
                <w:u w:color="000000"/>
              </w:rPr>
              <w:t>方案一般，基本满足招标文件的得4分；</w:t>
            </w:r>
          </w:p>
          <w:p w14:paraId="4F9B5228">
            <w:pPr>
              <w:spacing w:line="290" w:lineRule="exact"/>
              <w:jc w:val="left"/>
              <w:rPr>
                <w:rFonts w:ascii="宋体" w:hAnsi="宋体" w:cs="宋体"/>
                <w:color w:val="auto"/>
                <w:szCs w:val="21"/>
                <w:u w:color="000000"/>
              </w:rPr>
            </w:pPr>
            <w:r>
              <w:rPr>
                <w:rFonts w:hint="eastAsia" w:ascii="宋体" w:hAnsi="宋体" w:cs="宋体"/>
                <w:color w:val="auto"/>
                <w:szCs w:val="21"/>
                <w:u w:color="000000"/>
              </w:rPr>
              <w:t>方案差得2分；</w:t>
            </w:r>
          </w:p>
          <w:p w14:paraId="57CE3976">
            <w:pPr>
              <w:spacing w:line="290" w:lineRule="exact"/>
              <w:jc w:val="left"/>
              <w:rPr>
                <w:rFonts w:ascii="宋体" w:hAnsi="宋体" w:cs="宋体"/>
                <w:color w:val="auto"/>
                <w:szCs w:val="21"/>
                <w:u w:color="000000"/>
                <w:lang w:eastAsia="zh-TW"/>
              </w:rPr>
            </w:pPr>
            <w:r>
              <w:rPr>
                <w:rFonts w:hint="eastAsia" w:ascii="宋体" w:hAnsi="宋体" w:cs="宋体"/>
                <w:color w:val="auto"/>
                <w:szCs w:val="21"/>
                <w:u w:color="000000"/>
              </w:rPr>
              <w:t>未提供的不得分。</w:t>
            </w:r>
          </w:p>
        </w:tc>
      </w:tr>
      <w:tr w14:paraId="639B8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5" w:type="dxa"/>
          </w:tcPr>
          <w:p w14:paraId="20ED321E">
            <w:pPr>
              <w:spacing w:line="290" w:lineRule="exact"/>
              <w:jc w:val="center"/>
              <w:rPr>
                <w:rFonts w:ascii="宋体" w:hAnsi="宋体" w:cs="宋体"/>
                <w:color w:val="auto"/>
                <w:szCs w:val="21"/>
                <w:u w:color="000000"/>
              </w:rPr>
            </w:pPr>
          </w:p>
          <w:p w14:paraId="4FC766C1">
            <w:pPr>
              <w:spacing w:line="290" w:lineRule="exact"/>
              <w:jc w:val="center"/>
              <w:rPr>
                <w:rFonts w:ascii="宋体" w:hAnsi="宋体" w:cs="宋体"/>
                <w:color w:val="auto"/>
                <w:szCs w:val="21"/>
                <w:u w:color="000000"/>
              </w:rPr>
            </w:pPr>
            <w:r>
              <w:rPr>
                <w:rFonts w:hint="eastAsia" w:ascii="宋体" w:hAnsi="宋体" w:cs="宋体"/>
                <w:color w:val="auto"/>
                <w:szCs w:val="21"/>
                <w:u w:color="000000"/>
              </w:rPr>
              <w:t>8</w:t>
            </w:r>
          </w:p>
        </w:tc>
        <w:tc>
          <w:tcPr>
            <w:tcW w:w="667" w:type="dxa"/>
            <w:vAlign w:val="center"/>
          </w:tcPr>
          <w:p w14:paraId="525F346D">
            <w:pPr>
              <w:spacing w:line="290" w:lineRule="exact"/>
              <w:jc w:val="center"/>
              <w:rPr>
                <w:rFonts w:ascii="宋体" w:hAnsi="宋体" w:cs="宋体"/>
                <w:color w:val="auto"/>
                <w:szCs w:val="21"/>
                <w:u w:color="000000"/>
                <w:lang w:eastAsia="zh-TW"/>
              </w:rPr>
            </w:pPr>
            <w:r>
              <w:rPr>
                <w:rFonts w:hint="eastAsia" w:ascii="宋体" w:hAnsi="宋体" w:cs="宋体"/>
                <w:color w:val="auto"/>
                <w:szCs w:val="21"/>
                <w:u w:color="000000"/>
              </w:rPr>
              <w:t>售后服务</w:t>
            </w:r>
          </w:p>
        </w:tc>
        <w:tc>
          <w:tcPr>
            <w:tcW w:w="656" w:type="dxa"/>
            <w:vAlign w:val="center"/>
          </w:tcPr>
          <w:p w14:paraId="1E4ED1E7">
            <w:pPr>
              <w:spacing w:line="290" w:lineRule="exact"/>
              <w:jc w:val="center"/>
              <w:rPr>
                <w:rFonts w:ascii="宋体" w:hAnsi="宋体" w:cs="宋体"/>
                <w:color w:val="auto"/>
                <w:szCs w:val="21"/>
                <w:u w:color="000000"/>
                <w:lang w:val="zh-CN" w:eastAsia="zh-TW"/>
              </w:rPr>
            </w:pPr>
            <w:r>
              <w:rPr>
                <w:rFonts w:hint="eastAsia" w:ascii="宋体" w:hAnsi="宋体" w:cs="宋体"/>
                <w:color w:val="auto"/>
                <w:szCs w:val="21"/>
                <w:u w:color="000000"/>
              </w:rPr>
              <w:t>2</w:t>
            </w:r>
          </w:p>
        </w:tc>
        <w:tc>
          <w:tcPr>
            <w:tcW w:w="6594" w:type="dxa"/>
            <w:vAlign w:val="center"/>
          </w:tcPr>
          <w:p w14:paraId="4C6D5C33">
            <w:pPr>
              <w:spacing w:line="290" w:lineRule="exact"/>
              <w:jc w:val="left"/>
              <w:rPr>
                <w:rFonts w:ascii="宋体" w:hAnsi="宋体" w:cs="宋体"/>
                <w:color w:val="auto"/>
                <w:szCs w:val="21"/>
                <w:u w:color="000000"/>
                <w:lang w:val="zh-CN" w:eastAsia="zh-TW"/>
              </w:rPr>
            </w:pPr>
            <w:r>
              <w:rPr>
                <w:rFonts w:hint="eastAsia" w:ascii="宋体" w:hAnsi="宋体" w:cs="宋体"/>
                <w:color w:val="auto"/>
                <w:szCs w:val="21"/>
                <w:u w:color="000000"/>
                <w:lang w:val="zh-TW"/>
              </w:rPr>
              <w:t>供应商承诺中标后机具交付前在采购人所在地区设立售后机构，以保证售后服务质量，得</w:t>
            </w:r>
            <w:r>
              <w:rPr>
                <w:rFonts w:hint="eastAsia" w:ascii="宋体" w:hAnsi="宋体" w:cs="宋体"/>
                <w:color w:val="auto"/>
                <w:szCs w:val="21"/>
                <w:u w:color="000000"/>
              </w:rPr>
              <w:t>2</w:t>
            </w:r>
            <w:r>
              <w:rPr>
                <w:rFonts w:hint="eastAsia" w:ascii="宋体" w:hAnsi="宋体" w:cs="宋体"/>
                <w:color w:val="auto"/>
                <w:szCs w:val="21"/>
                <w:u w:color="000000"/>
                <w:lang w:val="zh-TW"/>
              </w:rPr>
              <w:t>分，无不得分。(签订合同时必须提供相关房产证明或租房协议复印件）</w:t>
            </w:r>
          </w:p>
        </w:tc>
      </w:tr>
    </w:tbl>
    <w:p w14:paraId="2DAA1440">
      <w:pPr>
        <w:spacing w:line="360" w:lineRule="auto"/>
        <w:ind w:firstLine="480"/>
        <w:rPr>
          <w:rFonts w:ascii="宋体" w:hAnsi="宋体" w:cs="宋体"/>
          <w:b/>
          <w:bCs/>
          <w:sz w:val="24"/>
          <w:lang w:val="zh-CN"/>
        </w:rPr>
      </w:pPr>
      <w:r>
        <w:rPr>
          <w:rFonts w:hint="eastAsia" w:ascii="宋体" w:hAnsi="宋体" w:cs="宋体"/>
          <w:b/>
          <w:bCs/>
          <w:sz w:val="24"/>
        </w:rPr>
        <w:t>为保障所购产品售后服务得到长期保障，成交商若不是设备生产厂家，需在合同签订前，向采购人提供设备生产厂家的销售和服务授权书及承诺函原件，否则取消成交商成交（中标）资格，并由成交商承担相应责任和后果。</w:t>
      </w:r>
    </w:p>
    <w:p w14:paraId="30AC3D31">
      <w:pPr>
        <w:spacing w:line="360" w:lineRule="auto"/>
        <w:ind w:firstLine="602"/>
        <w:rPr>
          <w:rFonts w:ascii="宋体" w:hAnsi="宋体" w:cs="宋体"/>
          <w:b/>
          <w:sz w:val="24"/>
        </w:rPr>
      </w:pPr>
      <w:r>
        <w:rPr>
          <w:rFonts w:hint="eastAsia" w:ascii="宋体" w:hAnsi="宋体" w:cs="宋体"/>
          <w:b/>
          <w:sz w:val="24"/>
        </w:rPr>
        <w:t>说明：</w:t>
      </w:r>
      <w:bookmarkStart w:id="53" w:name="_Toc12893449"/>
    </w:p>
    <w:p w14:paraId="03CFAF4E">
      <w:pPr>
        <w:spacing w:line="360" w:lineRule="auto"/>
        <w:ind w:firstLine="480"/>
        <w:rPr>
          <w:rFonts w:ascii="宋体" w:hAnsi="宋体" w:cs="宋体"/>
          <w:sz w:val="24"/>
        </w:rPr>
      </w:pPr>
      <w:r>
        <w:rPr>
          <w:rFonts w:hint="eastAsia" w:ascii="宋体" w:hAnsi="宋体" w:cs="宋体"/>
          <w:sz w:val="24"/>
        </w:rPr>
        <w:t>1.小微企业价格扣除</w:t>
      </w:r>
    </w:p>
    <w:p w14:paraId="1AE80AEA">
      <w:pPr>
        <w:spacing w:line="360" w:lineRule="auto"/>
        <w:ind w:firstLine="480"/>
        <w:rPr>
          <w:rFonts w:ascii="宋体" w:hAnsi="宋体" w:cs="宋体"/>
          <w:sz w:val="24"/>
        </w:rPr>
      </w:pPr>
      <w:r>
        <w:rPr>
          <w:rFonts w:hint="eastAsia" w:ascii="宋体" w:hAnsi="宋体" w:cs="宋体"/>
          <w:sz w:val="24"/>
        </w:rPr>
        <w:t>1.1对小微企业生产的产品给予报价的10%价格扣除，用扣除后的价格参与评审。</w:t>
      </w:r>
    </w:p>
    <w:p w14:paraId="0D18A4F3">
      <w:pPr>
        <w:spacing w:line="360" w:lineRule="auto"/>
        <w:ind w:firstLine="480"/>
        <w:rPr>
          <w:rFonts w:ascii="宋体" w:hAnsi="宋体" w:cs="宋体"/>
          <w:sz w:val="24"/>
        </w:rPr>
      </w:pPr>
      <w:r>
        <w:rPr>
          <w:rFonts w:hint="eastAsia" w:ascii="宋体" w:hAnsi="宋体" w:cs="宋体"/>
          <w:sz w:val="24"/>
        </w:rPr>
        <w:t>1.2大中型企业和其他自然人、法人或者其他组织与小型、微型企业组成联合体共同参加招标，如果联合协议中约定，小型、微型企业的协议合同金额占到联合体协议合同总金额30%以上的，给予联合体4%的价格扣除。联合体各方均为小型、微型企业的，联合体视同为小型、微型企业享受10%价格扣除，用扣除后的价格参与评审。 小企业（含小型、微型企业）应当同时符合以下条件：</w:t>
      </w:r>
    </w:p>
    <w:p w14:paraId="0F0AE6D5">
      <w:pPr>
        <w:spacing w:line="360" w:lineRule="auto"/>
        <w:ind w:firstLine="480"/>
        <w:rPr>
          <w:rFonts w:ascii="宋体" w:hAnsi="宋体" w:cs="宋体"/>
          <w:sz w:val="24"/>
        </w:rPr>
      </w:pPr>
      <w:r>
        <w:rPr>
          <w:rFonts w:hint="eastAsia" w:ascii="宋体" w:hAnsi="宋体" w:cs="宋体"/>
          <w:sz w:val="24"/>
        </w:rPr>
        <w:t>（1）供应商为小企业，且符合中小企业划分标准；</w:t>
      </w:r>
    </w:p>
    <w:p w14:paraId="6E29DD02">
      <w:pPr>
        <w:spacing w:line="360" w:lineRule="auto"/>
        <w:ind w:firstLine="480"/>
        <w:rPr>
          <w:rFonts w:ascii="宋体" w:hAnsi="宋体" w:cs="宋体"/>
          <w:sz w:val="24"/>
        </w:rPr>
      </w:pPr>
      <w:r>
        <w:rPr>
          <w:rFonts w:hint="eastAsia" w:ascii="宋体" w:hAnsi="宋体" w:cs="宋体"/>
          <w:sz w:val="24"/>
        </w:rPr>
        <w:t>（2）提供本企业制造的货物、承担的工程或者服务，或者提供其他小企业制造的货物。如果提供的货物为大中型企业注册商标的货物，视同大中型企业。</w:t>
      </w:r>
    </w:p>
    <w:p w14:paraId="379C25BE">
      <w:pPr>
        <w:spacing w:line="360" w:lineRule="auto"/>
        <w:ind w:firstLine="480"/>
        <w:rPr>
          <w:rFonts w:ascii="宋体" w:hAnsi="宋体" w:cs="宋体"/>
          <w:sz w:val="24"/>
        </w:rPr>
      </w:pPr>
      <w:r>
        <w:rPr>
          <w:rFonts w:hint="eastAsia" w:ascii="宋体" w:hAnsi="宋体" w:cs="宋体"/>
          <w:sz w:val="24"/>
        </w:rPr>
        <w:t>2.监狱和戒毒企业的价格扣除</w:t>
      </w:r>
    </w:p>
    <w:p w14:paraId="4CC41970">
      <w:pPr>
        <w:spacing w:line="360" w:lineRule="auto"/>
        <w:ind w:firstLine="480"/>
        <w:rPr>
          <w:rFonts w:ascii="宋体" w:hAnsi="宋体" w:cs="宋体"/>
          <w:sz w:val="24"/>
        </w:rPr>
      </w:pPr>
      <w:r>
        <w:rPr>
          <w:rFonts w:hint="eastAsia" w:ascii="宋体" w:hAnsi="宋体" w:cs="宋体"/>
          <w:sz w:val="24"/>
        </w:rPr>
        <w:t>2.1 本项目对监狱和戒毒企业，给予 10%的价格扣除，用扣除后的价格参与评审。</w:t>
      </w:r>
    </w:p>
    <w:p w14:paraId="2678D71F">
      <w:pPr>
        <w:spacing w:line="360" w:lineRule="auto"/>
        <w:ind w:firstLine="480"/>
        <w:rPr>
          <w:rFonts w:ascii="宋体" w:hAnsi="宋体" w:cs="宋体"/>
          <w:sz w:val="24"/>
        </w:rPr>
      </w:pPr>
      <w:r>
        <w:rPr>
          <w:rFonts w:hint="eastAsia" w:ascii="宋体" w:hAnsi="宋体" w:cs="宋体"/>
          <w:sz w:val="24"/>
        </w:rPr>
        <w:t>2.2 监狱企业需提供由省级以上监狱管理局、戒毒管理局（含新疆生产建设兵团）出具的属于监狱企业的证明文件。</w:t>
      </w:r>
    </w:p>
    <w:p w14:paraId="76905DFD">
      <w:pPr>
        <w:spacing w:line="360" w:lineRule="auto"/>
        <w:ind w:firstLine="480"/>
        <w:rPr>
          <w:rFonts w:ascii="宋体" w:hAnsi="宋体" w:cs="宋体"/>
          <w:sz w:val="24"/>
        </w:rPr>
      </w:pPr>
      <w:r>
        <w:rPr>
          <w:rFonts w:hint="eastAsia" w:ascii="宋体" w:hAnsi="宋体" w:cs="宋体"/>
          <w:sz w:val="24"/>
        </w:rPr>
        <w:t>2.3 监狱企业标准请参照《关于政府采购支持监狱企业发展有关问题的通知》（财库〔2014〕68 号）。</w:t>
      </w:r>
    </w:p>
    <w:p w14:paraId="686833CF">
      <w:pPr>
        <w:spacing w:line="360" w:lineRule="auto"/>
        <w:ind w:firstLine="480"/>
        <w:rPr>
          <w:rFonts w:ascii="宋体" w:hAnsi="宋体" w:cs="宋体"/>
          <w:sz w:val="24"/>
        </w:rPr>
      </w:pPr>
      <w:r>
        <w:rPr>
          <w:rFonts w:hint="eastAsia" w:ascii="宋体" w:hAnsi="宋体" w:cs="宋体"/>
          <w:sz w:val="24"/>
        </w:rPr>
        <w:t>3.残疾人福利性单位的价格扣除</w:t>
      </w:r>
    </w:p>
    <w:p w14:paraId="5C665808">
      <w:pPr>
        <w:spacing w:line="360" w:lineRule="auto"/>
        <w:ind w:firstLine="480"/>
        <w:rPr>
          <w:rFonts w:ascii="宋体" w:hAnsi="宋体" w:cs="宋体"/>
          <w:sz w:val="24"/>
        </w:rPr>
      </w:pPr>
      <w:r>
        <w:rPr>
          <w:rFonts w:hint="eastAsia" w:ascii="宋体" w:hAnsi="宋体" w:cs="宋体"/>
          <w:sz w:val="24"/>
        </w:rPr>
        <w:t>3.1 本项目对残疾人福利性单位，给予 10%的价格扣除，用扣除后的价格参与评审。</w:t>
      </w:r>
    </w:p>
    <w:p w14:paraId="245CFD5A">
      <w:pPr>
        <w:spacing w:line="360" w:lineRule="auto"/>
        <w:ind w:firstLine="480"/>
        <w:rPr>
          <w:rFonts w:ascii="宋体" w:hAnsi="宋体" w:cs="宋体"/>
          <w:sz w:val="24"/>
        </w:rPr>
      </w:pPr>
      <w:r>
        <w:rPr>
          <w:rFonts w:hint="eastAsia" w:ascii="宋体" w:hAnsi="宋体" w:cs="宋体"/>
          <w:sz w:val="24"/>
        </w:rPr>
        <w:t>3.2 残疾人福利性单位需提供《残疾人福利性单位声明函》。</w:t>
      </w:r>
    </w:p>
    <w:p w14:paraId="1A304D2E">
      <w:pPr>
        <w:spacing w:line="360" w:lineRule="auto"/>
        <w:ind w:firstLine="480"/>
        <w:rPr>
          <w:rFonts w:ascii="宋体" w:hAnsi="宋体" w:cs="宋体"/>
          <w:sz w:val="24"/>
        </w:rPr>
      </w:pPr>
      <w:r>
        <w:rPr>
          <w:rFonts w:hint="eastAsia" w:ascii="宋体" w:hAnsi="宋体" w:cs="宋体"/>
          <w:sz w:val="24"/>
        </w:rPr>
        <w:t>3.3 残疾人福利性单位标准请参照《关于促进残疾人就业政府采购政策的通知》（财库〔2017〕141 号）。</w:t>
      </w:r>
    </w:p>
    <w:p w14:paraId="57CC2B70">
      <w:pPr>
        <w:spacing w:line="360" w:lineRule="auto"/>
        <w:ind w:firstLine="480"/>
        <w:rPr>
          <w:rFonts w:ascii="宋体" w:hAnsi="宋体" w:cs="宋体"/>
          <w:sz w:val="24"/>
        </w:rPr>
      </w:pPr>
      <w:r>
        <w:rPr>
          <w:rFonts w:hint="eastAsia" w:ascii="宋体" w:hAnsi="宋体" w:cs="宋体"/>
          <w:sz w:val="24"/>
        </w:rPr>
        <w:t>4.监狱企业、残疾人福利性单位属于小型、微型企业的，不重复享受政策。</w:t>
      </w:r>
    </w:p>
    <w:p w14:paraId="3E3CFF9D">
      <w:pPr>
        <w:spacing w:line="360" w:lineRule="auto"/>
        <w:ind w:firstLine="482"/>
        <w:rPr>
          <w:rFonts w:ascii="宋体" w:hAnsi="宋体" w:cs="宋体"/>
          <w:b/>
          <w:sz w:val="24"/>
        </w:rPr>
      </w:pPr>
      <w:r>
        <w:rPr>
          <w:rFonts w:hint="eastAsia" w:ascii="宋体" w:hAnsi="宋体" w:cs="宋体"/>
          <w:b/>
          <w:sz w:val="24"/>
        </w:rPr>
        <w:t>5、评分标准中提到的认证、业绩均以有效的证明文件的扫描件（加盖电子公章）为依据。</w:t>
      </w:r>
    </w:p>
    <w:p w14:paraId="00101AEC">
      <w:pPr>
        <w:spacing w:line="360" w:lineRule="auto"/>
        <w:ind w:firstLine="480"/>
        <w:rPr>
          <w:rFonts w:ascii="宋体" w:hAnsi="宋体" w:cs="宋体"/>
          <w:sz w:val="24"/>
        </w:rPr>
        <w:sectPr>
          <w:footerReference r:id="rId4" w:type="first"/>
          <w:footerReference r:id="rId3" w:type="default"/>
          <w:pgSz w:w="11906" w:h="16838"/>
          <w:pgMar w:top="1440" w:right="1800" w:bottom="1440" w:left="1800" w:header="851" w:footer="567" w:gutter="0"/>
          <w:pgNumType w:fmt="decimal" w:start="1"/>
          <w:cols w:space="720" w:num="1"/>
          <w:titlePg/>
          <w:docGrid w:linePitch="360" w:charSpace="0"/>
        </w:sectPr>
      </w:pPr>
      <w:r>
        <w:rPr>
          <w:rFonts w:hint="eastAsia" w:ascii="宋体" w:hAnsi="宋体" w:cs="宋体"/>
          <w:sz w:val="24"/>
        </w:rPr>
        <w:t>6、供应商必须提供真实信息，如有提供虚假信息、证明、合同或证书等虚假资料的，按照无效投标处理，如已签署合同的，则中止合同并承担相应法律责任。</w:t>
      </w:r>
    </w:p>
    <w:p w14:paraId="343345F6">
      <w:pPr>
        <w:pStyle w:val="2"/>
        <w:spacing w:line="240" w:lineRule="auto"/>
        <w:jc w:val="center"/>
        <w:rPr>
          <w:rFonts w:ascii="宋体" w:hAnsi="宋体" w:cs="宋体"/>
          <w:sz w:val="32"/>
        </w:rPr>
      </w:pPr>
      <w:bookmarkStart w:id="54" w:name="_Toc2067"/>
      <w:r>
        <w:rPr>
          <w:rFonts w:hint="eastAsia" w:ascii="宋体" w:hAnsi="宋体" w:cs="宋体"/>
          <w:sz w:val="32"/>
        </w:rPr>
        <w:t>第四章 采购需求及服务要求</w:t>
      </w:r>
      <w:bookmarkEnd w:id="53"/>
      <w:bookmarkEnd w:id="54"/>
    </w:p>
    <w:p w14:paraId="01D4B410">
      <w:pPr>
        <w:spacing w:line="360" w:lineRule="auto"/>
        <w:ind w:firstLine="482"/>
        <w:rPr>
          <w:rFonts w:ascii="宋体" w:hAnsi="宋体" w:cs="宋体"/>
          <w:sz w:val="24"/>
        </w:rPr>
      </w:pPr>
      <w:r>
        <w:rPr>
          <w:rFonts w:hint="eastAsia" w:ascii="宋体" w:hAnsi="宋体" w:cs="宋体"/>
          <w:sz w:val="24"/>
        </w:rPr>
        <w:t>一、项目概况</w:t>
      </w:r>
    </w:p>
    <w:p w14:paraId="7E2F8F9A">
      <w:pPr>
        <w:tabs>
          <w:tab w:val="left" w:pos="1010"/>
        </w:tabs>
        <w:spacing w:line="360" w:lineRule="auto"/>
        <w:ind w:firstLine="482"/>
        <w:rPr>
          <w:rFonts w:ascii="宋体" w:hAnsi="宋体" w:cs="宋体"/>
          <w:sz w:val="24"/>
        </w:rPr>
      </w:pPr>
      <w:r>
        <w:rPr>
          <w:rFonts w:hint="eastAsia" w:ascii="宋体" w:hAnsi="宋体" w:cs="宋体"/>
          <w:sz w:val="24"/>
        </w:rPr>
        <w:t>桠溪街道计划购置设备用于秸秆离田收储作业。</w:t>
      </w:r>
    </w:p>
    <w:p w14:paraId="382C841D">
      <w:pPr>
        <w:spacing w:line="360" w:lineRule="auto"/>
        <w:ind w:firstLine="482"/>
        <w:rPr>
          <w:rFonts w:ascii="宋体" w:hAnsi="宋体" w:cs="宋体"/>
          <w:sz w:val="24"/>
        </w:rPr>
      </w:pPr>
      <w:r>
        <w:rPr>
          <w:rFonts w:hint="eastAsia" w:ascii="宋体" w:hAnsi="宋体" w:cs="宋体"/>
          <w:sz w:val="24"/>
        </w:rPr>
        <w:t>二、服务要求</w:t>
      </w:r>
    </w:p>
    <w:p w14:paraId="2462C331">
      <w:pPr>
        <w:tabs>
          <w:tab w:val="left" w:pos="1010"/>
        </w:tabs>
        <w:spacing w:line="360" w:lineRule="auto"/>
        <w:ind w:firstLine="482"/>
        <w:rPr>
          <w:rFonts w:ascii="宋体" w:hAnsi="宋体" w:cs="宋体"/>
          <w:sz w:val="24"/>
        </w:rPr>
      </w:pPr>
      <w:bookmarkStart w:id="55" w:name="_Toc30716"/>
      <w:r>
        <w:rPr>
          <w:rFonts w:hint="eastAsia" w:ascii="宋体" w:hAnsi="宋体" w:cs="宋体"/>
          <w:sz w:val="24"/>
        </w:rPr>
        <w:t>（一）交货要求：</w:t>
      </w:r>
    </w:p>
    <w:p w14:paraId="42CF1623">
      <w:pPr>
        <w:tabs>
          <w:tab w:val="left" w:pos="1010"/>
        </w:tabs>
        <w:spacing w:line="360" w:lineRule="auto"/>
        <w:ind w:firstLine="482"/>
        <w:rPr>
          <w:rFonts w:ascii="宋体" w:hAnsi="宋体" w:cs="宋体"/>
          <w:sz w:val="24"/>
        </w:rPr>
      </w:pPr>
      <w:r>
        <w:rPr>
          <w:rFonts w:hint="eastAsia" w:ascii="宋体" w:hAnsi="宋体" w:cs="宋体"/>
          <w:sz w:val="24"/>
        </w:rPr>
        <w:t>1.交货期（服务时间）：合同签订后7日内完成供货并且安装调试完毕。</w:t>
      </w:r>
    </w:p>
    <w:p w14:paraId="59DEC5A5">
      <w:pPr>
        <w:tabs>
          <w:tab w:val="left" w:pos="1010"/>
        </w:tabs>
        <w:spacing w:line="360" w:lineRule="auto"/>
        <w:ind w:firstLine="482"/>
        <w:rPr>
          <w:rFonts w:ascii="宋体" w:hAnsi="宋体" w:cs="宋体"/>
          <w:sz w:val="24"/>
        </w:rPr>
      </w:pPr>
      <w:r>
        <w:rPr>
          <w:rFonts w:hint="eastAsia" w:ascii="宋体" w:hAnsi="宋体" w:cs="宋体"/>
          <w:sz w:val="24"/>
        </w:rPr>
        <w:t>2.交货（服务）地点：采购人指定地点，投标人需负责免费提供安装调试、技术援助、人员培训等。</w:t>
      </w:r>
    </w:p>
    <w:p w14:paraId="0C993F97">
      <w:pPr>
        <w:tabs>
          <w:tab w:val="left" w:pos="1010"/>
        </w:tabs>
        <w:spacing w:line="360" w:lineRule="auto"/>
        <w:ind w:firstLine="482"/>
        <w:rPr>
          <w:rFonts w:ascii="宋体" w:hAnsi="宋体" w:cs="宋体"/>
          <w:sz w:val="24"/>
        </w:rPr>
      </w:pPr>
      <w:r>
        <w:rPr>
          <w:rFonts w:hint="eastAsia" w:ascii="宋体" w:hAnsi="宋体" w:cs="宋体"/>
          <w:sz w:val="24"/>
        </w:rPr>
        <w:t>3.质保期限（自交货并验收合格之日起计）：质保期为1年（有质保期限的材料设备，质保期按国家规定要求）。</w:t>
      </w:r>
    </w:p>
    <w:p w14:paraId="0F295495">
      <w:pPr>
        <w:tabs>
          <w:tab w:val="left" w:pos="1010"/>
        </w:tabs>
        <w:spacing w:line="360" w:lineRule="auto"/>
        <w:ind w:firstLine="482"/>
        <w:rPr>
          <w:rFonts w:ascii="宋体" w:hAnsi="宋体" w:cs="宋体"/>
          <w:sz w:val="24"/>
        </w:rPr>
      </w:pPr>
      <w:r>
        <w:rPr>
          <w:rFonts w:hint="eastAsia" w:ascii="宋体" w:hAnsi="宋体" w:cs="宋体"/>
          <w:sz w:val="24"/>
        </w:rPr>
        <w:t>4.验收方案：采购人按照国家有关验收规范以及采购文件要求的参数、质量进行验收。</w:t>
      </w:r>
    </w:p>
    <w:p w14:paraId="4088CFBA">
      <w:pPr>
        <w:tabs>
          <w:tab w:val="left" w:pos="1010"/>
        </w:tabs>
        <w:spacing w:line="360" w:lineRule="auto"/>
        <w:ind w:firstLine="482"/>
        <w:rPr>
          <w:rFonts w:ascii="宋体" w:hAnsi="宋体" w:cs="宋体"/>
          <w:sz w:val="24"/>
        </w:rPr>
      </w:pPr>
      <w:r>
        <w:rPr>
          <w:rFonts w:hint="eastAsia" w:ascii="宋体" w:hAnsi="宋体" w:cs="宋体"/>
          <w:sz w:val="24"/>
        </w:rPr>
        <w:t>（二）售后服务及其他要求（含安装、调试、培训、维护等）</w:t>
      </w:r>
    </w:p>
    <w:p w14:paraId="6BB7D2EF">
      <w:pPr>
        <w:tabs>
          <w:tab w:val="left" w:pos="1010"/>
        </w:tabs>
        <w:spacing w:line="360" w:lineRule="auto"/>
        <w:ind w:firstLine="482"/>
        <w:rPr>
          <w:rFonts w:ascii="宋体" w:hAnsi="宋体" w:cs="宋体"/>
          <w:sz w:val="24"/>
        </w:rPr>
      </w:pPr>
      <w:r>
        <w:rPr>
          <w:rFonts w:hint="eastAsia" w:ascii="宋体" w:hAnsi="宋体" w:cs="宋体"/>
          <w:sz w:val="24"/>
        </w:rPr>
        <w:t>1.所有产品安装前必须经采购人验收确认。产品安装完成后， 应及时通知采购人进行验收，并提供产品相关资料（如合格证、使用说明书等）。如投标人所提供的产品不符合采购文件要求的，采购人有权拒收并要求投标人在接到通知后两天内进行弥补。因投标人原因引发风险和费用，则供应商须承担相应的损失赔偿的全部费用和责任。</w:t>
      </w:r>
    </w:p>
    <w:p w14:paraId="4D2EDD40">
      <w:pPr>
        <w:tabs>
          <w:tab w:val="left" w:pos="1010"/>
        </w:tabs>
        <w:spacing w:line="360" w:lineRule="auto"/>
        <w:ind w:firstLine="482"/>
        <w:rPr>
          <w:rFonts w:ascii="宋体" w:hAnsi="宋体" w:cs="宋体"/>
          <w:sz w:val="24"/>
        </w:rPr>
      </w:pPr>
      <w:r>
        <w:rPr>
          <w:rFonts w:hint="eastAsia" w:ascii="宋体" w:hAnsi="宋体" w:cs="宋体"/>
          <w:sz w:val="24"/>
        </w:rPr>
        <w:t>2.投标人提供的产品必须符合国家质量标准，保证提供的产品完全符合规定的质量、规格、性能和安全要求。</w:t>
      </w:r>
    </w:p>
    <w:p w14:paraId="20443451">
      <w:pPr>
        <w:tabs>
          <w:tab w:val="left" w:pos="1010"/>
        </w:tabs>
        <w:spacing w:line="360" w:lineRule="auto"/>
        <w:ind w:firstLine="482"/>
        <w:rPr>
          <w:rFonts w:ascii="宋体" w:hAnsi="宋体" w:cs="宋体"/>
          <w:sz w:val="24"/>
        </w:rPr>
      </w:pPr>
      <w:r>
        <w:rPr>
          <w:rFonts w:hint="eastAsia" w:ascii="宋体" w:hAnsi="宋体" w:cs="宋体"/>
          <w:sz w:val="24"/>
        </w:rPr>
        <w:t>3.投标人须保证所提供的货物是全新、未使用过的原装合格正品，所有设备应配套使用，并完全符合强制性的国家技术质量规范和合同规定的质量、规格、性能和技术规范等要求，保证货物经正确安装、正常运转和保养，在其使用寿命期内须具有符合质量要求和产品说明书的性能。不得以旧货翻新充数，若所提供的货物经产品质量检测机构检测认定质量不合格，造成的损失和后果由该投标人负全责。</w:t>
      </w:r>
    </w:p>
    <w:p w14:paraId="4EC010BD">
      <w:pPr>
        <w:tabs>
          <w:tab w:val="left" w:pos="1010"/>
        </w:tabs>
        <w:spacing w:line="360" w:lineRule="auto"/>
        <w:ind w:firstLine="482"/>
        <w:rPr>
          <w:rFonts w:ascii="宋体" w:hAnsi="宋体" w:cs="宋体"/>
          <w:sz w:val="24"/>
        </w:rPr>
      </w:pPr>
      <w:r>
        <w:rPr>
          <w:rFonts w:hint="eastAsia" w:ascii="宋体" w:hAnsi="宋体" w:cs="宋体"/>
          <w:sz w:val="24"/>
        </w:rPr>
        <w:t>4.设备安装调试期间各类安全保障工作由投标人自行负责。</w:t>
      </w:r>
    </w:p>
    <w:p w14:paraId="46E6C831">
      <w:pPr>
        <w:tabs>
          <w:tab w:val="left" w:pos="1010"/>
        </w:tabs>
        <w:spacing w:line="360" w:lineRule="auto"/>
        <w:ind w:firstLine="482"/>
        <w:rPr>
          <w:rFonts w:ascii="宋体" w:hAnsi="宋体" w:cs="宋体"/>
          <w:sz w:val="24"/>
        </w:rPr>
      </w:pPr>
      <w:r>
        <w:rPr>
          <w:rFonts w:hint="eastAsia" w:ascii="宋体" w:hAnsi="宋体" w:cs="宋体"/>
          <w:sz w:val="24"/>
        </w:rPr>
        <w:t>5.质保内免费提供产品的维修维护，包括非人为因素发生的产品修理、更换的费用。过质保期后仍须提供终身维修，维修费用只收取零部件成本费。</w:t>
      </w:r>
    </w:p>
    <w:p w14:paraId="59D7CA5D">
      <w:pPr>
        <w:tabs>
          <w:tab w:val="left" w:pos="1010"/>
        </w:tabs>
        <w:spacing w:line="360" w:lineRule="auto"/>
        <w:ind w:firstLine="482"/>
        <w:rPr>
          <w:rFonts w:ascii="宋体" w:hAnsi="宋体" w:cs="宋体"/>
          <w:sz w:val="24"/>
        </w:rPr>
      </w:pPr>
      <w:r>
        <w:rPr>
          <w:rFonts w:hint="eastAsia" w:ascii="宋体" w:hAnsi="宋体" w:cs="宋体"/>
          <w:sz w:val="24"/>
        </w:rPr>
        <w:t>6.投标人在接到故障通知后，须在1小时内响应，2小时内到达现场解决问题。若未能在规定的时间内进行现场响应的，采购人采取一切措施所产生的费用和风险由投标人承担。</w:t>
      </w:r>
    </w:p>
    <w:p w14:paraId="14C2BA59">
      <w:pPr>
        <w:tabs>
          <w:tab w:val="left" w:pos="1010"/>
        </w:tabs>
        <w:spacing w:line="360" w:lineRule="auto"/>
        <w:ind w:firstLine="482"/>
        <w:rPr>
          <w:rFonts w:ascii="宋体" w:hAnsi="宋体" w:cs="宋体"/>
          <w:sz w:val="24"/>
        </w:rPr>
      </w:pPr>
      <w:r>
        <w:rPr>
          <w:rFonts w:hint="eastAsia" w:ascii="宋体" w:hAnsi="宋体" w:cs="宋体"/>
          <w:sz w:val="24"/>
        </w:rPr>
        <w:t>7.质量保证期从整车经需方验收合格后计算，质保期内供应商负责“三包”。在质保期内，车辆在正常使用过程中，发生纵横梁断裂，车身骨架断裂（因制造质量问题），中标供应商负责召回。车辆质保期内，车辆在使用中因故障无法使用，中标供应商维修人员需及时赶赴现场，一般故障当场解决，不能解决的由中标供应商负责将车辆拖进特约维修点进行维修，重大故障必须在24小时内修复。</w:t>
      </w:r>
    </w:p>
    <w:p w14:paraId="6FBBB973">
      <w:pPr>
        <w:tabs>
          <w:tab w:val="left" w:pos="1010"/>
        </w:tabs>
        <w:spacing w:line="360" w:lineRule="auto"/>
        <w:ind w:firstLine="482"/>
        <w:rPr>
          <w:rFonts w:ascii="宋体" w:hAnsi="宋体" w:cs="宋体"/>
          <w:sz w:val="24"/>
        </w:rPr>
      </w:pPr>
      <w:r>
        <w:rPr>
          <w:rFonts w:hint="eastAsia" w:ascii="宋体" w:hAnsi="宋体" w:cs="宋体"/>
          <w:sz w:val="24"/>
        </w:rPr>
        <w:t>（三）付款方式：</w:t>
      </w:r>
    </w:p>
    <w:p w14:paraId="628E2B36">
      <w:pPr>
        <w:tabs>
          <w:tab w:val="left" w:pos="1010"/>
        </w:tabs>
        <w:spacing w:line="360" w:lineRule="auto"/>
        <w:ind w:firstLine="482"/>
        <w:rPr>
          <w:rFonts w:ascii="宋体" w:hAnsi="宋体" w:cs="宋体"/>
          <w:sz w:val="24"/>
          <w:lang w:val="zh-CN"/>
        </w:rPr>
      </w:pPr>
      <w:r>
        <w:rPr>
          <w:rFonts w:hint="eastAsia" w:ascii="宋体" w:hAnsi="宋体" w:cs="宋体"/>
          <w:sz w:val="24"/>
          <w:lang w:val="zh-CN"/>
        </w:rPr>
        <w:t>（1）合同签订生效后支付合同总价的30%作为预付款；</w:t>
      </w:r>
    </w:p>
    <w:p w14:paraId="008DB7F9">
      <w:pPr>
        <w:tabs>
          <w:tab w:val="left" w:pos="1010"/>
        </w:tabs>
        <w:spacing w:line="360" w:lineRule="auto"/>
        <w:ind w:firstLine="482"/>
        <w:rPr>
          <w:rFonts w:ascii="宋体" w:hAnsi="宋体" w:cs="宋体"/>
          <w:sz w:val="24"/>
          <w:lang w:val="zh-CN"/>
        </w:rPr>
      </w:pPr>
      <w:r>
        <w:rPr>
          <w:rFonts w:hint="eastAsia" w:ascii="宋体" w:hAnsi="宋体" w:cs="宋体"/>
          <w:sz w:val="24"/>
          <w:lang w:val="zh-CN"/>
        </w:rPr>
        <w:t>（2）安装、调试且验收合格后支付至合同总价的</w:t>
      </w:r>
      <w:r>
        <w:rPr>
          <w:rFonts w:hint="eastAsia" w:ascii="宋体" w:hAnsi="宋体" w:cs="宋体"/>
          <w:sz w:val="24"/>
        </w:rPr>
        <w:t>70</w:t>
      </w:r>
      <w:r>
        <w:rPr>
          <w:rFonts w:hint="eastAsia" w:ascii="宋体" w:hAnsi="宋体" w:cs="宋体"/>
          <w:sz w:val="24"/>
          <w:lang w:val="zh-CN"/>
        </w:rPr>
        <w:t>%；</w:t>
      </w:r>
    </w:p>
    <w:p w14:paraId="30F500D9">
      <w:pPr>
        <w:tabs>
          <w:tab w:val="left" w:pos="1010"/>
        </w:tabs>
        <w:spacing w:line="360" w:lineRule="auto"/>
        <w:ind w:firstLine="482"/>
        <w:rPr>
          <w:rFonts w:ascii="宋体" w:hAnsi="宋体" w:cs="宋体"/>
          <w:sz w:val="24"/>
        </w:rPr>
      </w:pPr>
      <w:r>
        <w:rPr>
          <w:rFonts w:hint="eastAsia" w:ascii="宋体" w:hAnsi="宋体" w:cs="宋体"/>
          <w:sz w:val="24"/>
          <w:lang w:val="zh-CN"/>
        </w:rPr>
        <w:t>（3）</w:t>
      </w:r>
      <w:r>
        <w:rPr>
          <w:rFonts w:hint="eastAsia" w:ascii="宋体" w:hAnsi="宋体" w:cs="宋体"/>
          <w:sz w:val="24"/>
        </w:rPr>
        <w:t>正常使用一个收割周期（夏收、秋收）以后支付至</w:t>
      </w:r>
      <w:r>
        <w:rPr>
          <w:rFonts w:hint="eastAsia" w:ascii="宋体" w:hAnsi="宋体" w:cs="宋体"/>
          <w:sz w:val="24"/>
          <w:lang w:val="zh-CN"/>
        </w:rPr>
        <w:t>合同总价的</w:t>
      </w:r>
      <w:r>
        <w:rPr>
          <w:rFonts w:hint="eastAsia" w:ascii="宋体" w:hAnsi="宋体" w:cs="宋体"/>
          <w:sz w:val="24"/>
        </w:rPr>
        <w:t>95</w:t>
      </w:r>
      <w:r>
        <w:rPr>
          <w:rFonts w:hint="eastAsia" w:ascii="宋体" w:hAnsi="宋体" w:cs="宋体"/>
          <w:sz w:val="24"/>
          <w:lang w:val="zh-CN"/>
        </w:rPr>
        <w:t>%；</w:t>
      </w:r>
    </w:p>
    <w:p w14:paraId="76C865EE">
      <w:pPr>
        <w:tabs>
          <w:tab w:val="left" w:pos="1010"/>
        </w:tabs>
        <w:spacing w:line="360" w:lineRule="auto"/>
        <w:ind w:firstLine="482"/>
        <w:rPr>
          <w:rFonts w:ascii="宋体" w:hAnsi="宋体" w:cs="宋体"/>
          <w:sz w:val="24"/>
          <w:lang w:val="zh-CN"/>
        </w:rPr>
      </w:pPr>
      <w:r>
        <w:rPr>
          <w:rFonts w:hint="eastAsia" w:ascii="宋体" w:hAnsi="宋体" w:cs="宋体"/>
          <w:sz w:val="24"/>
          <w:lang w:val="zh-CN"/>
        </w:rPr>
        <w:t>（</w:t>
      </w:r>
      <w:r>
        <w:rPr>
          <w:rFonts w:hint="eastAsia" w:ascii="宋体" w:hAnsi="宋体" w:cs="宋体"/>
          <w:sz w:val="24"/>
        </w:rPr>
        <w:t>4</w:t>
      </w:r>
      <w:r>
        <w:rPr>
          <w:rFonts w:hint="eastAsia" w:ascii="宋体" w:hAnsi="宋体" w:cs="宋体"/>
          <w:sz w:val="24"/>
          <w:lang w:val="zh-CN"/>
        </w:rPr>
        <w:t>）余款</w:t>
      </w:r>
      <w:r>
        <w:rPr>
          <w:rFonts w:hint="eastAsia" w:ascii="宋体" w:hAnsi="宋体" w:cs="宋体"/>
          <w:sz w:val="24"/>
        </w:rPr>
        <w:t>5</w:t>
      </w:r>
      <w:r>
        <w:rPr>
          <w:rFonts w:hint="eastAsia" w:ascii="宋体" w:hAnsi="宋体" w:cs="宋体"/>
          <w:sz w:val="24"/>
          <w:lang w:val="zh-CN"/>
        </w:rPr>
        <w:t>%为质量保证金，</w:t>
      </w:r>
      <w:r>
        <w:rPr>
          <w:rFonts w:hint="eastAsia" w:ascii="宋体" w:hAnsi="宋体" w:cs="宋体"/>
          <w:sz w:val="24"/>
        </w:rPr>
        <w:t>质保期满后</w:t>
      </w:r>
      <w:r>
        <w:rPr>
          <w:rFonts w:hint="eastAsia" w:ascii="宋体" w:hAnsi="宋体" w:cs="宋体"/>
          <w:sz w:val="24"/>
          <w:lang w:val="zh-CN"/>
        </w:rPr>
        <w:t>无息退还。</w:t>
      </w:r>
    </w:p>
    <w:p w14:paraId="6539662A">
      <w:pPr>
        <w:tabs>
          <w:tab w:val="left" w:pos="1010"/>
        </w:tabs>
        <w:spacing w:line="360" w:lineRule="auto"/>
        <w:ind w:firstLine="482"/>
        <w:rPr>
          <w:rFonts w:ascii="宋体" w:hAnsi="宋体" w:cs="宋体"/>
          <w:color w:val="auto"/>
          <w:sz w:val="24"/>
        </w:rPr>
      </w:pPr>
      <w:r>
        <w:rPr>
          <w:rFonts w:hint="eastAsia" w:ascii="宋体" w:hAnsi="宋体" w:cs="宋体"/>
          <w:sz w:val="24"/>
        </w:rPr>
        <w:t>注：满足合同约定支付条件的，甲方收到乙方发票后10个工作日内，将</w:t>
      </w:r>
      <w:r>
        <w:rPr>
          <w:rFonts w:hint="eastAsia" w:ascii="宋体" w:hAnsi="宋体" w:cs="宋体"/>
          <w:color w:val="auto"/>
          <w:sz w:val="24"/>
        </w:rPr>
        <w:t>资金支付到合同约定的乙方账户。</w:t>
      </w:r>
    </w:p>
    <w:p w14:paraId="77CEA2BB">
      <w:pPr>
        <w:tabs>
          <w:tab w:val="left" w:pos="1010"/>
        </w:tabs>
        <w:spacing w:line="360" w:lineRule="auto"/>
        <w:ind w:firstLine="482"/>
        <w:rPr>
          <w:rFonts w:ascii="宋体" w:hAnsi="宋体" w:cs="宋体"/>
          <w:color w:val="auto"/>
          <w:sz w:val="24"/>
        </w:rPr>
      </w:pPr>
      <w:r>
        <w:rPr>
          <w:rFonts w:hint="eastAsia" w:ascii="宋体" w:hAnsi="宋体" w:cs="宋体"/>
          <w:color w:val="auto"/>
          <w:sz w:val="24"/>
        </w:rPr>
        <w:t>（四）其它说明</w:t>
      </w:r>
    </w:p>
    <w:p w14:paraId="22CB7366">
      <w:pPr>
        <w:tabs>
          <w:tab w:val="left" w:pos="1010"/>
        </w:tabs>
        <w:spacing w:line="360" w:lineRule="auto"/>
        <w:ind w:firstLine="482"/>
        <w:rPr>
          <w:rFonts w:ascii="宋体" w:hAnsi="宋体" w:cs="宋体"/>
          <w:color w:val="auto"/>
          <w:sz w:val="24"/>
        </w:rPr>
      </w:pPr>
      <w:r>
        <w:rPr>
          <w:rFonts w:hint="eastAsia" w:ascii="宋体" w:hAnsi="宋体" w:cs="宋体"/>
          <w:color w:val="auto"/>
          <w:sz w:val="24"/>
        </w:rPr>
        <w:t>上述要求中加注 “★”符号的指标为关键指标，不允许负偏离，否则投标无效；加注 “▲”符号的指标为重要指标；其他为一般指标。所有指标均须提供佐证材料。</w:t>
      </w:r>
    </w:p>
    <w:p w14:paraId="45740424">
      <w:pPr>
        <w:tabs>
          <w:tab w:val="left" w:pos="1010"/>
        </w:tabs>
        <w:spacing w:line="360" w:lineRule="auto"/>
        <w:rPr>
          <w:rFonts w:ascii="宋体" w:hAnsi="宋体" w:cs="宋体"/>
          <w:b/>
          <w:bCs/>
          <w:color w:val="auto"/>
          <w:sz w:val="24"/>
          <w:highlight w:val="none"/>
        </w:rPr>
      </w:pPr>
      <w:r>
        <w:rPr>
          <w:rFonts w:hint="eastAsia" w:ascii="宋体" w:hAnsi="宋体" w:cs="宋体"/>
          <w:sz w:val="24"/>
        </w:rPr>
        <w:br w:type="page"/>
      </w:r>
      <w:r>
        <w:rPr>
          <w:rFonts w:hint="eastAsia" w:ascii="宋体" w:hAnsi="宋体" w:cs="宋体"/>
          <w:b/>
          <w:bCs/>
          <w:color w:val="auto"/>
          <w:sz w:val="24"/>
          <w:highlight w:val="none"/>
        </w:rPr>
        <w:t>采购清单</w:t>
      </w:r>
    </w:p>
    <w:tbl>
      <w:tblPr>
        <w:tblStyle w:val="59"/>
        <w:tblW w:w="8895" w:type="dxa"/>
        <w:tblInd w:w="100" w:type="dxa"/>
        <w:tblLayout w:type="autofit"/>
        <w:tblCellMar>
          <w:top w:w="0" w:type="dxa"/>
          <w:left w:w="108" w:type="dxa"/>
          <w:bottom w:w="0" w:type="dxa"/>
          <w:right w:w="108" w:type="dxa"/>
        </w:tblCellMar>
      </w:tblPr>
      <w:tblGrid>
        <w:gridCol w:w="580"/>
        <w:gridCol w:w="731"/>
        <w:gridCol w:w="700"/>
        <w:gridCol w:w="6884"/>
      </w:tblGrid>
      <w:tr w14:paraId="43DCC4E5">
        <w:tblPrEx>
          <w:tblCellMar>
            <w:top w:w="0" w:type="dxa"/>
            <w:left w:w="108" w:type="dxa"/>
            <w:bottom w:w="0" w:type="dxa"/>
            <w:right w:w="108" w:type="dxa"/>
          </w:tblCellMar>
        </w:tblPrEx>
        <w:trPr>
          <w:trHeight w:val="526" w:hRule="atLeast"/>
        </w:trPr>
        <w:tc>
          <w:tcPr>
            <w:tcW w:w="580" w:type="dxa"/>
            <w:tcBorders>
              <w:top w:val="single" w:color="000000" w:sz="4" w:space="0"/>
              <w:left w:val="single" w:color="000000" w:sz="4" w:space="0"/>
              <w:bottom w:val="single" w:color="auto" w:sz="4" w:space="0"/>
              <w:right w:val="single" w:color="000000" w:sz="4" w:space="0"/>
            </w:tcBorders>
            <w:shd w:val="clear" w:color="auto" w:fill="CCE8CF"/>
            <w:vAlign w:val="center"/>
          </w:tcPr>
          <w:p w14:paraId="7283A735">
            <w:pPr>
              <w:widowControl/>
              <w:jc w:val="center"/>
              <w:textAlignment w:val="center"/>
              <w:rPr>
                <w:rFonts w:ascii="宋体" w:hAnsi="宋体" w:cs="宋体"/>
                <w:b/>
                <w:bCs/>
                <w:color w:val="auto"/>
                <w:sz w:val="22"/>
                <w:szCs w:val="22"/>
                <w:highlight w:val="none"/>
              </w:rPr>
            </w:pPr>
            <w:r>
              <w:rPr>
                <w:rFonts w:hint="eastAsia" w:ascii="宋体" w:hAnsi="宋体" w:cs="宋体"/>
                <w:b/>
                <w:bCs/>
                <w:color w:val="auto"/>
                <w:sz w:val="22"/>
                <w:szCs w:val="22"/>
                <w:highlight w:val="none"/>
                <w:lang w:bidi="ar"/>
              </w:rPr>
              <w:t>序号</w:t>
            </w:r>
          </w:p>
        </w:tc>
        <w:tc>
          <w:tcPr>
            <w:tcW w:w="731" w:type="dxa"/>
            <w:tcBorders>
              <w:top w:val="single" w:color="000000" w:sz="4" w:space="0"/>
              <w:left w:val="single" w:color="000000" w:sz="4" w:space="0"/>
              <w:bottom w:val="single" w:color="auto" w:sz="4" w:space="0"/>
              <w:right w:val="single" w:color="000000" w:sz="4" w:space="0"/>
            </w:tcBorders>
            <w:shd w:val="clear" w:color="auto" w:fill="CCE8CF"/>
            <w:vAlign w:val="center"/>
          </w:tcPr>
          <w:p w14:paraId="4B35C033">
            <w:pPr>
              <w:widowControl/>
              <w:jc w:val="center"/>
              <w:textAlignment w:val="center"/>
              <w:rPr>
                <w:rFonts w:ascii="宋体" w:hAnsi="宋体" w:cs="宋体"/>
                <w:b/>
                <w:bCs/>
                <w:color w:val="auto"/>
                <w:sz w:val="22"/>
                <w:szCs w:val="22"/>
                <w:highlight w:val="none"/>
              </w:rPr>
            </w:pPr>
            <w:r>
              <w:rPr>
                <w:rFonts w:hint="eastAsia" w:ascii="宋体" w:hAnsi="宋体" w:cs="宋体"/>
                <w:b/>
                <w:bCs/>
                <w:color w:val="auto"/>
                <w:sz w:val="22"/>
                <w:szCs w:val="22"/>
                <w:highlight w:val="none"/>
                <w:lang w:bidi="ar"/>
              </w:rPr>
              <w:t>类型</w:t>
            </w:r>
          </w:p>
        </w:tc>
        <w:tc>
          <w:tcPr>
            <w:tcW w:w="700" w:type="dxa"/>
            <w:tcBorders>
              <w:top w:val="single" w:color="000000" w:sz="4" w:space="0"/>
              <w:left w:val="single" w:color="000000" w:sz="4" w:space="0"/>
              <w:bottom w:val="single" w:color="auto" w:sz="4" w:space="0"/>
              <w:right w:val="single" w:color="000000" w:sz="4" w:space="0"/>
            </w:tcBorders>
            <w:shd w:val="clear" w:color="auto" w:fill="CCE8CF"/>
            <w:vAlign w:val="center"/>
          </w:tcPr>
          <w:p w14:paraId="268516BE">
            <w:pPr>
              <w:widowControl/>
              <w:jc w:val="center"/>
              <w:textAlignment w:val="center"/>
              <w:rPr>
                <w:rFonts w:ascii="宋体" w:hAnsi="宋体" w:cs="宋体"/>
                <w:b/>
                <w:bCs/>
                <w:color w:val="auto"/>
                <w:sz w:val="22"/>
                <w:szCs w:val="22"/>
                <w:highlight w:val="none"/>
                <w:lang w:bidi="ar"/>
              </w:rPr>
            </w:pPr>
            <w:r>
              <w:rPr>
                <w:rFonts w:hint="eastAsia" w:ascii="宋体" w:hAnsi="宋体" w:cs="宋体"/>
                <w:b/>
                <w:bCs/>
                <w:color w:val="auto"/>
                <w:sz w:val="22"/>
                <w:szCs w:val="22"/>
                <w:highlight w:val="none"/>
                <w:lang w:bidi="ar"/>
              </w:rPr>
              <w:t>数量</w:t>
            </w:r>
          </w:p>
        </w:tc>
        <w:tc>
          <w:tcPr>
            <w:tcW w:w="6884" w:type="dxa"/>
            <w:tcBorders>
              <w:top w:val="single" w:color="000000" w:sz="4" w:space="0"/>
              <w:left w:val="single" w:color="000000" w:sz="4" w:space="0"/>
              <w:bottom w:val="single" w:color="auto" w:sz="4" w:space="0"/>
              <w:right w:val="single" w:color="000000" w:sz="4" w:space="0"/>
            </w:tcBorders>
            <w:shd w:val="clear" w:color="auto" w:fill="CCE8CF"/>
            <w:vAlign w:val="center"/>
          </w:tcPr>
          <w:p w14:paraId="7C39BCB9">
            <w:pPr>
              <w:widowControl/>
              <w:jc w:val="center"/>
              <w:textAlignment w:val="center"/>
              <w:rPr>
                <w:rFonts w:ascii="宋体" w:hAnsi="宋体" w:cs="宋体"/>
                <w:b/>
                <w:bCs/>
                <w:color w:val="auto"/>
                <w:sz w:val="22"/>
                <w:szCs w:val="22"/>
                <w:highlight w:val="none"/>
              </w:rPr>
            </w:pPr>
            <w:r>
              <w:rPr>
                <w:rFonts w:hint="eastAsia" w:ascii="宋体" w:hAnsi="宋体" w:cs="宋体"/>
                <w:b/>
                <w:bCs/>
                <w:color w:val="auto"/>
                <w:sz w:val="22"/>
                <w:szCs w:val="22"/>
                <w:highlight w:val="none"/>
                <w:lang w:bidi="ar"/>
              </w:rPr>
              <w:t>技术参数</w:t>
            </w:r>
          </w:p>
        </w:tc>
      </w:tr>
      <w:tr w14:paraId="5B8D9C78">
        <w:tblPrEx>
          <w:tblCellMar>
            <w:top w:w="0" w:type="dxa"/>
            <w:left w:w="108" w:type="dxa"/>
            <w:bottom w:w="0" w:type="dxa"/>
            <w:right w:w="108" w:type="dxa"/>
          </w:tblCellMar>
        </w:tblPrEx>
        <w:trPr>
          <w:trHeight w:val="1180" w:hRule="atLeast"/>
        </w:trPr>
        <w:tc>
          <w:tcPr>
            <w:tcW w:w="580" w:type="dxa"/>
            <w:vMerge w:val="restart"/>
            <w:tcBorders>
              <w:top w:val="single" w:color="auto" w:sz="4" w:space="0"/>
              <w:left w:val="single" w:color="auto" w:sz="4" w:space="0"/>
              <w:right w:val="single" w:color="auto" w:sz="4" w:space="0"/>
            </w:tcBorders>
            <w:vAlign w:val="center"/>
          </w:tcPr>
          <w:p w14:paraId="361B7688">
            <w:pPr>
              <w:widowControl/>
              <w:jc w:val="center"/>
              <w:textAlignment w:val="center"/>
              <w:rPr>
                <w:rFonts w:ascii="宋体" w:hAnsi="宋体" w:cs="宋体"/>
                <w:b/>
                <w:bCs/>
                <w:color w:val="auto"/>
                <w:sz w:val="22"/>
                <w:szCs w:val="22"/>
                <w:highlight w:val="none"/>
              </w:rPr>
            </w:pPr>
            <w:r>
              <w:rPr>
                <w:rFonts w:hint="eastAsia" w:ascii="宋体" w:hAnsi="宋体" w:cs="宋体"/>
                <w:b/>
                <w:bCs/>
                <w:color w:val="auto"/>
                <w:sz w:val="22"/>
                <w:szCs w:val="22"/>
                <w:highlight w:val="none"/>
                <w:lang w:bidi="ar"/>
              </w:rPr>
              <w:t>1</w:t>
            </w:r>
          </w:p>
        </w:tc>
        <w:tc>
          <w:tcPr>
            <w:tcW w:w="731" w:type="dxa"/>
            <w:vMerge w:val="restart"/>
            <w:tcBorders>
              <w:top w:val="single" w:color="auto" w:sz="4" w:space="0"/>
              <w:left w:val="single" w:color="auto" w:sz="4" w:space="0"/>
              <w:right w:val="single" w:color="auto" w:sz="4" w:space="0"/>
            </w:tcBorders>
            <w:vAlign w:val="center"/>
          </w:tcPr>
          <w:p w14:paraId="22CFF75B">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拖拉机</w:t>
            </w:r>
          </w:p>
        </w:tc>
        <w:tc>
          <w:tcPr>
            <w:tcW w:w="700" w:type="dxa"/>
            <w:tcBorders>
              <w:top w:val="single" w:color="auto" w:sz="4" w:space="0"/>
              <w:left w:val="single" w:color="auto" w:sz="4" w:space="0"/>
              <w:bottom w:val="single" w:color="auto" w:sz="4" w:space="0"/>
              <w:right w:val="single" w:color="auto" w:sz="4" w:space="0"/>
            </w:tcBorders>
            <w:vAlign w:val="center"/>
          </w:tcPr>
          <w:p w14:paraId="21B619F2">
            <w:pPr>
              <w:widowControl/>
              <w:jc w:val="center"/>
              <w:textAlignment w:val="center"/>
              <w:rPr>
                <w:rFonts w:ascii="宋体" w:hAnsi="宋体" w:cs="宋体"/>
                <w:color w:val="auto"/>
                <w:sz w:val="22"/>
                <w:szCs w:val="22"/>
                <w:highlight w:val="none"/>
                <w:lang w:bidi="ar"/>
              </w:rPr>
            </w:pPr>
            <w:r>
              <w:rPr>
                <w:rFonts w:hint="eastAsia" w:ascii="宋体" w:hAnsi="宋体" w:cs="宋体"/>
                <w:color w:val="auto"/>
                <w:sz w:val="22"/>
                <w:szCs w:val="22"/>
                <w:highlight w:val="none"/>
                <w:lang w:bidi="ar"/>
              </w:rPr>
              <w:t>3</w:t>
            </w:r>
          </w:p>
        </w:tc>
        <w:tc>
          <w:tcPr>
            <w:tcW w:w="6884" w:type="dxa"/>
            <w:tcBorders>
              <w:top w:val="single" w:color="auto" w:sz="4" w:space="0"/>
              <w:left w:val="single" w:color="auto" w:sz="4" w:space="0"/>
              <w:bottom w:val="single" w:color="auto" w:sz="4" w:space="0"/>
              <w:right w:val="single" w:color="auto" w:sz="4" w:space="0"/>
            </w:tcBorders>
            <w:vAlign w:val="center"/>
          </w:tcPr>
          <w:p w14:paraId="740854B8">
            <w:pPr>
              <w:widowControl/>
              <w:jc w:val="left"/>
              <w:textAlignment w:val="center"/>
              <w:rPr>
                <w:rStyle w:val="598"/>
                <w:rFonts w:hint="default"/>
                <w:color w:val="auto"/>
                <w:sz w:val="22"/>
                <w:szCs w:val="22"/>
                <w:highlight w:val="none"/>
                <w:lang w:bidi="ar"/>
              </w:rPr>
            </w:pPr>
            <w:r>
              <w:rPr>
                <w:rFonts w:hint="eastAsia" w:ascii="宋体" w:hAnsi="宋体" w:cs="宋体"/>
                <w:color w:val="auto"/>
                <w:sz w:val="22"/>
                <w:szCs w:val="22"/>
                <w:highlight w:val="none"/>
                <w:lang w:bidi="ar"/>
              </w:rPr>
              <w:t>★</w:t>
            </w:r>
            <w:r>
              <w:rPr>
                <w:rStyle w:val="598"/>
                <w:rFonts w:hint="default"/>
                <w:color w:val="auto"/>
                <w:sz w:val="22"/>
                <w:szCs w:val="22"/>
                <w:highlight w:val="none"/>
                <w:lang w:bidi="ar"/>
              </w:rPr>
              <w:t>发动机功率 ≥ 130马力；</w:t>
            </w:r>
          </w:p>
          <w:p w14:paraId="1817BB7A">
            <w:pPr>
              <w:widowControl/>
              <w:jc w:val="left"/>
              <w:textAlignment w:val="center"/>
              <w:rPr>
                <w:rStyle w:val="598"/>
                <w:rFonts w:hint="default"/>
                <w:color w:val="auto"/>
                <w:sz w:val="22"/>
                <w:szCs w:val="22"/>
                <w:highlight w:val="none"/>
                <w:lang w:bidi="ar"/>
              </w:rPr>
            </w:pPr>
            <w:r>
              <w:rPr>
                <w:rStyle w:val="598"/>
                <w:rFonts w:hint="default"/>
                <w:color w:val="auto"/>
                <w:sz w:val="22"/>
                <w:szCs w:val="22"/>
                <w:highlight w:val="none"/>
                <w:lang w:bidi="ar"/>
              </w:rPr>
              <w:t>▲转向系型式：全液压；</w:t>
            </w:r>
          </w:p>
          <w:p w14:paraId="4AB5CF37">
            <w:pPr>
              <w:widowControl/>
              <w:jc w:val="left"/>
              <w:textAlignment w:val="center"/>
              <w:rPr>
                <w:rStyle w:val="598"/>
                <w:rFonts w:hint="default"/>
                <w:color w:val="auto"/>
                <w:sz w:val="22"/>
                <w:szCs w:val="22"/>
                <w:highlight w:val="none"/>
                <w:lang w:bidi="ar"/>
              </w:rPr>
            </w:pPr>
            <w:r>
              <w:rPr>
                <w:rStyle w:val="598"/>
                <w:rFonts w:hint="default"/>
                <w:color w:val="auto"/>
                <w:sz w:val="22"/>
                <w:szCs w:val="22"/>
                <w:highlight w:val="none"/>
                <w:lang w:bidi="ar"/>
              </w:rPr>
              <w:t>▲换档方式：机械有级挡+Hi-Lo挡（2速动力换档）；</w:t>
            </w:r>
          </w:p>
          <w:p w14:paraId="1215223E">
            <w:pPr>
              <w:widowControl/>
              <w:jc w:val="left"/>
              <w:textAlignment w:val="center"/>
              <w:rPr>
                <w:rStyle w:val="598"/>
                <w:rFonts w:hint="default"/>
                <w:color w:val="auto"/>
                <w:sz w:val="22"/>
                <w:szCs w:val="22"/>
                <w:highlight w:val="none"/>
                <w:lang w:bidi="ar"/>
              </w:rPr>
            </w:pPr>
            <w:r>
              <w:rPr>
                <w:rStyle w:val="598"/>
                <w:rFonts w:hint="default"/>
                <w:color w:val="auto"/>
                <w:sz w:val="22"/>
                <w:szCs w:val="22"/>
                <w:highlight w:val="none"/>
                <w:lang w:bidi="ar"/>
              </w:rPr>
              <w:t>▲轮胎：高花胎12.4-26/16.9-34；</w:t>
            </w:r>
          </w:p>
          <w:p w14:paraId="64164C58">
            <w:pPr>
              <w:widowControl/>
              <w:ind w:firstLine="220" w:firstLineChars="100"/>
              <w:jc w:val="left"/>
              <w:textAlignment w:val="center"/>
              <w:rPr>
                <w:rStyle w:val="598"/>
                <w:rFonts w:hint="default"/>
                <w:color w:val="auto"/>
                <w:sz w:val="22"/>
                <w:szCs w:val="22"/>
                <w:highlight w:val="none"/>
                <w:lang w:bidi="ar"/>
              </w:rPr>
            </w:pPr>
            <w:r>
              <w:rPr>
                <w:rStyle w:val="598"/>
                <w:rFonts w:hint="default"/>
                <w:color w:val="auto"/>
                <w:sz w:val="22"/>
                <w:szCs w:val="22"/>
                <w:highlight w:val="none"/>
                <w:lang w:bidi="ar"/>
              </w:rPr>
              <w:t>二组液压输出装置；</w:t>
            </w:r>
          </w:p>
          <w:p w14:paraId="31DB312B">
            <w:pPr>
              <w:widowControl/>
              <w:ind w:firstLine="220" w:firstLineChars="100"/>
              <w:jc w:val="left"/>
              <w:textAlignment w:val="center"/>
              <w:rPr>
                <w:rStyle w:val="598"/>
                <w:rFonts w:hint="default"/>
                <w:color w:val="auto"/>
                <w:sz w:val="22"/>
                <w:szCs w:val="22"/>
                <w:highlight w:val="none"/>
                <w:lang w:bidi="ar"/>
              </w:rPr>
            </w:pPr>
            <w:r>
              <w:rPr>
                <w:rStyle w:val="598"/>
                <w:rFonts w:hint="default"/>
                <w:color w:val="auto"/>
                <w:sz w:val="22"/>
                <w:szCs w:val="22"/>
                <w:highlight w:val="none"/>
                <w:lang w:bidi="ar"/>
              </w:rPr>
              <w:t>空调驾驶室；</w:t>
            </w:r>
          </w:p>
          <w:p w14:paraId="1FCE2CE5">
            <w:pPr>
              <w:widowControl/>
              <w:ind w:firstLine="220" w:firstLineChars="100"/>
              <w:jc w:val="left"/>
              <w:textAlignment w:val="center"/>
              <w:rPr>
                <w:rFonts w:ascii="宋体" w:hAnsi="宋体" w:cs="宋体"/>
                <w:color w:val="auto"/>
                <w:sz w:val="22"/>
                <w:szCs w:val="22"/>
                <w:highlight w:val="none"/>
              </w:rPr>
            </w:pPr>
            <w:r>
              <w:rPr>
                <w:rStyle w:val="598"/>
                <w:rFonts w:hint="default"/>
                <w:color w:val="auto"/>
                <w:sz w:val="22"/>
                <w:szCs w:val="22"/>
                <w:highlight w:val="none"/>
                <w:lang w:bidi="ar"/>
              </w:rPr>
              <w:t>档位数（前进+后退）≥24。</w:t>
            </w:r>
          </w:p>
        </w:tc>
      </w:tr>
      <w:tr w14:paraId="224C399F">
        <w:tblPrEx>
          <w:tblCellMar>
            <w:top w:w="0" w:type="dxa"/>
            <w:left w:w="108" w:type="dxa"/>
            <w:bottom w:w="0" w:type="dxa"/>
            <w:right w:w="108" w:type="dxa"/>
          </w:tblCellMar>
        </w:tblPrEx>
        <w:trPr>
          <w:trHeight w:val="1180" w:hRule="atLeast"/>
        </w:trPr>
        <w:tc>
          <w:tcPr>
            <w:tcW w:w="580" w:type="dxa"/>
            <w:vMerge w:val="continue"/>
            <w:tcBorders>
              <w:left w:val="single" w:color="auto" w:sz="4" w:space="0"/>
              <w:bottom w:val="single" w:color="auto" w:sz="4" w:space="0"/>
              <w:right w:val="single" w:color="auto" w:sz="4" w:space="0"/>
            </w:tcBorders>
            <w:vAlign w:val="center"/>
          </w:tcPr>
          <w:p w14:paraId="1ABDD1DE">
            <w:pPr>
              <w:widowControl/>
              <w:jc w:val="center"/>
              <w:textAlignment w:val="center"/>
              <w:rPr>
                <w:rFonts w:ascii="宋体" w:hAnsi="宋体" w:cs="宋体"/>
                <w:b/>
                <w:bCs/>
                <w:color w:val="auto"/>
                <w:sz w:val="22"/>
                <w:szCs w:val="22"/>
                <w:highlight w:val="none"/>
                <w:lang w:bidi="ar"/>
              </w:rPr>
            </w:pPr>
          </w:p>
        </w:tc>
        <w:tc>
          <w:tcPr>
            <w:tcW w:w="731" w:type="dxa"/>
            <w:vMerge w:val="continue"/>
            <w:tcBorders>
              <w:left w:val="single" w:color="auto" w:sz="4" w:space="0"/>
              <w:bottom w:val="single" w:color="auto" w:sz="4" w:space="0"/>
              <w:right w:val="single" w:color="auto" w:sz="4" w:space="0"/>
            </w:tcBorders>
            <w:vAlign w:val="center"/>
          </w:tcPr>
          <w:p w14:paraId="3960C7C4">
            <w:pPr>
              <w:widowControl/>
              <w:jc w:val="center"/>
              <w:textAlignment w:val="center"/>
              <w:rPr>
                <w:rFonts w:ascii="宋体" w:hAnsi="宋体" w:cs="宋体"/>
                <w:color w:val="auto"/>
                <w:sz w:val="22"/>
                <w:szCs w:val="22"/>
                <w:highlight w:val="none"/>
                <w:lang w:bidi="ar"/>
              </w:rPr>
            </w:pPr>
          </w:p>
        </w:tc>
        <w:tc>
          <w:tcPr>
            <w:tcW w:w="700" w:type="dxa"/>
            <w:tcBorders>
              <w:top w:val="single" w:color="auto" w:sz="4" w:space="0"/>
              <w:left w:val="single" w:color="auto" w:sz="4" w:space="0"/>
              <w:bottom w:val="single" w:color="auto" w:sz="4" w:space="0"/>
              <w:right w:val="single" w:color="auto" w:sz="4" w:space="0"/>
            </w:tcBorders>
            <w:vAlign w:val="center"/>
          </w:tcPr>
          <w:p w14:paraId="571F3D58">
            <w:pPr>
              <w:widowControl/>
              <w:jc w:val="center"/>
              <w:textAlignment w:val="center"/>
              <w:rPr>
                <w:rFonts w:ascii="宋体" w:hAnsi="宋体" w:cs="宋体"/>
                <w:color w:val="auto"/>
                <w:sz w:val="22"/>
                <w:szCs w:val="22"/>
                <w:highlight w:val="none"/>
                <w:lang w:bidi="ar"/>
              </w:rPr>
            </w:pPr>
            <w:r>
              <w:rPr>
                <w:rFonts w:hint="eastAsia" w:ascii="宋体" w:hAnsi="宋体" w:cs="宋体"/>
                <w:color w:val="auto"/>
                <w:sz w:val="22"/>
                <w:szCs w:val="22"/>
                <w:highlight w:val="none"/>
                <w:lang w:bidi="ar"/>
              </w:rPr>
              <w:t>2</w:t>
            </w:r>
          </w:p>
        </w:tc>
        <w:tc>
          <w:tcPr>
            <w:tcW w:w="6884" w:type="dxa"/>
            <w:tcBorders>
              <w:top w:val="single" w:color="auto" w:sz="4" w:space="0"/>
              <w:left w:val="single" w:color="auto" w:sz="4" w:space="0"/>
              <w:bottom w:val="single" w:color="auto" w:sz="4" w:space="0"/>
              <w:right w:val="single" w:color="auto" w:sz="4" w:space="0"/>
            </w:tcBorders>
            <w:vAlign w:val="center"/>
          </w:tcPr>
          <w:p w14:paraId="5F5AE90A">
            <w:pPr>
              <w:widowControl/>
              <w:jc w:val="left"/>
              <w:textAlignment w:val="center"/>
              <w:rPr>
                <w:rStyle w:val="598"/>
                <w:rFonts w:hint="default"/>
                <w:color w:val="auto"/>
                <w:sz w:val="22"/>
                <w:szCs w:val="22"/>
                <w:highlight w:val="none"/>
                <w:lang w:bidi="ar"/>
              </w:rPr>
            </w:pPr>
            <w:r>
              <w:rPr>
                <w:rFonts w:hint="eastAsia" w:ascii="宋体" w:hAnsi="宋体" w:cs="宋体"/>
                <w:color w:val="auto"/>
                <w:sz w:val="22"/>
                <w:szCs w:val="22"/>
                <w:highlight w:val="none"/>
                <w:lang w:bidi="ar"/>
              </w:rPr>
              <w:t>★</w:t>
            </w:r>
            <w:r>
              <w:rPr>
                <w:rStyle w:val="598"/>
                <w:rFonts w:hint="default"/>
                <w:color w:val="auto"/>
                <w:sz w:val="22"/>
                <w:szCs w:val="22"/>
                <w:highlight w:val="none"/>
                <w:lang w:bidi="ar"/>
              </w:rPr>
              <w:t>发动机功率 ≥ 140马力；</w:t>
            </w:r>
          </w:p>
          <w:p w14:paraId="0D35AA6D">
            <w:pPr>
              <w:widowControl/>
              <w:jc w:val="left"/>
              <w:textAlignment w:val="center"/>
              <w:rPr>
                <w:rStyle w:val="598"/>
                <w:rFonts w:hint="default"/>
                <w:color w:val="auto"/>
                <w:sz w:val="22"/>
                <w:szCs w:val="22"/>
                <w:highlight w:val="none"/>
                <w:lang w:bidi="ar"/>
              </w:rPr>
            </w:pPr>
            <w:r>
              <w:rPr>
                <w:rStyle w:val="598"/>
                <w:rFonts w:hint="default"/>
                <w:color w:val="auto"/>
                <w:sz w:val="22"/>
                <w:szCs w:val="22"/>
                <w:highlight w:val="none"/>
                <w:lang w:bidi="ar"/>
              </w:rPr>
              <w:t>▲转向系型式：全液压；</w:t>
            </w:r>
          </w:p>
          <w:p w14:paraId="7105E7FC">
            <w:pPr>
              <w:widowControl/>
              <w:jc w:val="left"/>
              <w:textAlignment w:val="center"/>
              <w:rPr>
                <w:rStyle w:val="598"/>
                <w:rFonts w:hint="default"/>
                <w:color w:val="auto"/>
                <w:sz w:val="22"/>
                <w:szCs w:val="22"/>
                <w:highlight w:val="none"/>
                <w:lang w:bidi="ar"/>
              </w:rPr>
            </w:pPr>
            <w:r>
              <w:rPr>
                <w:rStyle w:val="598"/>
                <w:rFonts w:hint="default"/>
                <w:color w:val="auto"/>
                <w:sz w:val="22"/>
                <w:szCs w:val="22"/>
                <w:highlight w:val="none"/>
                <w:lang w:bidi="ar"/>
              </w:rPr>
              <w:t>▲换档方式：机械有级挡+Hi-Lo挡（2速动力换档）；</w:t>
            </w:r>
          </w:p>
          <w:p w14:paraId="0F9C8910">
            <w:pPr>
              <w:widowControl/>
              <w:jc w:val="left"/>
              <w:textAlignment w:val="center"/>
              <w:rPr>
                <w:rStyle w:val="598"/>
                <w:rFonts w:hint="default"/>
                <w:color w:val="auto"/>
                <w:sz w:val="22"/>
                <w:szCs w:val="22"/>
                <w:highlight w:val="none"/>
                <w:lang w:bidi="ar"/>
              </w:rPr>
            </w:pPr>
            <w:r>
              <w:rPr>
                <w:rStyle w:val="598"/>
                <w:rFonts w:hint="default"/>
                <w:color w:val="auto"/>
                <w:sz w:val="22"/>
                <w:szCs w:val="22"/>
                <w:highlight w:val="none"/>
                <w:lang w:bidi="ar"/>
              </w:rPr>
              <w:t>▲轮胎：高花胎12.4-26/16.9-34；</w:t>
            </w:r>
          </w:p>
          <w:p w14:paraId="44980677">
            <w:pPr>
              <w:widowControl/>
              <w:ind w:firstLine="220" w:firstLineChars="100"/>
              <w:jc w:val="left"/>
              <w:textAlignment w:val="center"/>
              <w:rPr>
                <w:rStyle w:val="598"/>
                <w:rFonts w:hint="default"/>
                <w:color w:val="auto"/>
                <w:sz w:val="22"/>
                <w:szCs w:val="22"/>
                <w:highlight w:val="none"/>
                <w:lang w:bidi="ar"/>
              </w:rPr>
            </w:pPr>
            <w:r>
              <w:rPr>
                <w:rStyle w:val="598"/>
                <w:rFonts w:hint="default"/>
                <w:color w:val="auto"/>
                <w:sz w:val="22"/>
                <w:szCs w:val="22"/>
                <w:highlight w:val="none"/>
                <w:lang w:bidi="ar"/>
              </w:rPr>
              <w:t>二组液压输出装置；</w:t>
            </w:r>
          </w:p>
          <w:p w14:paraId="1346B529">
            <w:pPr>
              <w:widowControl/>
              <w:ind w:firstLine="220" w:firstLineChars="100"/>
              <w:jc w:val="left"/>
              <w:textAlignment w:val="center"/>
              <w:rPr>
                <w:rStyle w:val="598"/>
                <w:rFonts w:hint="default"/>
                <w:color w:val="auto"/>
                <w:sz w:val="22"/>
                <w:szCs w:val="22"/>
                <w:highlight w:val="none"/>
                <w:lang w:bidi="ar"/>
              </w:rPr>
            </w:pPr>
            <w:r>
              <w:rPr>
                <w:rStyle w:val="598"/>
                <w:rFonts w:hint="default"/>
                <w:color w:val="auto"/>
                <w:sz w:val="22"/>
                <w:szCs w:val="22"/>
                <w:highlight w:val="none"/>
                <w:lang w:bidi="ar"/>
              </w:rPr>
              <w:t>空调驾驶室；</w:t>
            </w:r>
          </w:p>
          <w:p w14:paraId="6151B0D6">
            <w:pPr>
              <w:widowControl/>
              <w:ind w:firstLine="220" w:firstLineChars="100"/>
              <w:jc w:val="left"/>
              <w:textAlignment w:val="center"/>
              <w:rPr>
                <w:rStyle w:val="598"/>
                <w:rFonts w:hint="default"/>
                <w:color w:val="auto"/>
                <w:sz w:val="22"/>
                <w:szCs w:val="22"/>
                <w:highlight w:val="none"/>
                <w:lang w:bidi="ar"/>
              </w:rPr>
            </w:pPr>
            <w:r>
              <w:rPr>
                <w:rStyle w:val="598"/>
                <w:rFonts w:hint="default"/>
                <w:color w:val="auto"/>
                <w:sz w:val="22"/>
                <w:szCs w:val="22"/>
                <w:highlight w:val="none"/>
                <w:lang w:bidi="ar"/>
              </w:rPr>
              <w:t>档位数（前进+后退）≥24。</w:t>
            </w:r>
          </w:p>
        </w:tc>
      </w:tr>
      <w:tr w14:paraId="719E6D92">
        <w:tblPrEx>
          <w:tblCellMar>
            <w:top w:w="0" w:type="dxa"/>
            <w:left w:w="108" w:type="dxa"/>
            <w:bottom w:w="0" w:type="dxa"/>
            <w:right w:w="108" w:type="dxa"/>
          </w:tblCellMar>
        </w:tblPrEx>
        <w:trPr>
          <w:trHeight w:val="1680" w:hRule="atLeast"/>
        </w:trPr>
        <w:tc>
          <w:tcPr>
            <w:tcW w:w="580" w:type="dxa"/>
            <w:tcBorders>
              <w:top w:val="single" w:color="auto" w:sz="4" w:space="0"/>
              <w:left w:val="single" w:color="auto" w:sz="4" w:space="0"/>
              <w:bottom w:val="single" w:color="auto" w:sz="4" w:space="0"/>
              <w:right w:val="single" w:color="auto" w:sz="4" w:space="0"/>
            </w:tcBorders>
            <w:vAlign w:val="center"/>
          </w:tcPr>
          <w:p w14:paraId="3CDAB2B5">
            <w:pPr>
              <w:widowControl/>
              <w:jc w:val="center"/>
              <w:textAlignment w:val="center"/>
              <w:rPr>
                <w:rFonts w:ascii="宋体" w:hAnsi="宋体" w:cs="宋体"/>
                <w:b/>
                <w:bCs/>
                <w:color w:val="auto"/>
                <w:sz w:val="22"/>
                <w:szCs w:val="22"/>
                <w:highlight w:val="none"/>
              </w:rPr>
            </w:pPr>
            <w:r>
              <w:rPr>
                <w:rFonts w:hint="eastAsia" w:ascii="宋体" w:hAnsi="宋体" w:cs="宋体"/>
                <w:b/>
                <w:bCs/>
                <w:color w:val="auto"/>
                <w:sz w:val="22"/>
                <w:szCs w:val="22"/>
                <w:highlight w:val="none"/>
                <w:lang w:bidi="ar"/>
              </w:rPr>
              <w:t>2</w:t>
            </w:r>
          </w:p>
        </w:tc>
        <w:tc>
          <w:tcPr>
            <w:tcW w:w="731" w:type="dxa"/>
            <w:tcBorders>
              <w:top w:val="single" w:color="auto" w:sz="4" w:space="0"/>
              <w:left w:val="single" w:color="auto" w:sz="4" w:space="0"/>
              <w:bottom w:val="single" w:color="auto" w:sz="4" w:space="0"/>
              <w:right w:val="single" w:color="auto" w:sz="4" w:space="0"/>
            </w:tcBorders>
            <w:vAlign w:val="center"/>
          </w:tcPr>
          <w:p w14:paraId="38EC18CC">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圆草捆打捆机</w:t>
            </w:r>
          </w:p>
        </w:tc>
        <w:tc>
          <w:tcPr>
            <w:tcW w:w="700" w:type="dxa"/>
            <w:tcBorders>
              <w:top w:val="single" w:color="auto" w:sz="4" w:space="0"/>
              <w:left w:val="single" w:color="auto" w:sz="4" w:space="0"/>
              <w:bottom w:val="single" w:color="auto" w:sz="4" w:space="0"/>
              <w:right w:val="single" w:color="auto" w:sz="4" w:space="0"/>
            </w:tcBorders>
            <w:vAlign w:val="center"/>
          </w:tcPr>
          <w:p w14:paraId="3BF82408">
            <w:pPr>
              <w:widowControl/>
              <w:jc w:val="center"/>
              <w:textAlignment w:val="center"/>
              <w:rPr>
                <w:rFonts w:ascii="宋体" w:hAnsi="宋体" w:cs="宋体"/>
                <w:color w:val="auto"/>
                <w:sz w:val="22"/>
                <w:szCs w:val="22"/>
                <w:highlight w:val="none"/>
                <w:lang w:bidi="ar"/>
              </w:rPr>
            </w:pPr>
            <w:r>
              <w:rPr>
                <w:rFonts w:hint="eastAsia" w:ascii="宋体" w:hAnsi="宋体" w:cs="宋体"/>
                <w:color w:val="auto"/>
                <w:sz w:val="22"/>
                <w:szCs w:val="22"/>
                <w:highlight w:val="none"/>
                <w:lang w:bidi="ar"/>
              </w:rPr>
              <w:t>2</w:t>
            </w:r>
          </w:p>
        </w:tc>
        <w:tc>
          <w:tcPr>
            <w:tcW w:w="6884" w:type="dxa"/>
            <w:tcBorders>
              <w:top w:val="single" w:color="auto" w:sz="4" w:space="0"/>
              <w:left w:val="single" w:color="auto" w:sz="4" w:space="0"/>
              <w:bottom w:val="single" w:color="auto" w:sz="4" w:space="0"/>
              <w:right w:val="single" w:color="auto" w:sz="4" w:space="0"/>
            </w:tcBorders>
            <w:vAlign w:val="center"/>
          </w:tcPr>
          <w:p w14:paraId="68CFE3C9">
            <w:pPr>
              <w:widowControl/>
              <w:jc w:val="left"/>
              <w:textAlignment w:val="center"/>
              <w:rPr>
                <w:rFonts w:ascii="宋体" w:hAnsi="宋体" w:cs="宋体"/>
                <w:color w:val="auto"/>
                <w:sz w:val="22"/>
                <w:szCs w:val="22"/>
                <w:highlight w:val="none"/>
                <w:lang w:bidi="ar"/>
              </w:rPr>
            </w:pPr>
            <w:r>
              <w:rPr>
                <w:rFonts w:hint="eastAsia" w:ascii="宋体" w:hAnsi="宋体" w:cs="宋体"/>
                <w:color w:val="auto"/>
                <w:sz w:val="22"/>
                <w:szCs w:val="22"/>
                <w:highlight w:val="none"/>
                <w:lang w:bidi="ar"/>
              </w:rPr>
              <w:t>★草捆直径≥1.20m，草捆宽度≥1.20m，有效拾捡宽度≥1.95m；</w:t>
            </w:r>
          </w:p>
          <w:p w14:paraId="033291E5">
            <w:pPr>
              <w:widowControl/>
              <w:jc w:val="left"/>
              <w:textAlignment w:val="center"/>
              <w:rPr>
                <w:rFonts w:ascii="宋体" w:hAnsi="宋体" w:cs="宋体"/>
                <w:color w:val="auto"/>
                <w:sz w:val="22"/>
                <w:szCs w:val="22"/>
                <w:highlight w:val="none"/>
                <w:lang w:bidi="ar"/>
              </w:rPr>
            </w:pPr>
            <w:r>
              <w:rPr>
                <w:rFonts w:hint="eastAsia" w:ascii="宋体" w:hAnsi="宋体" w:cs="宋体"/>
                <w:color w:val="auto"/>
                <w:sz w:val="22"/>
                <w:szCs w:val="22"/>
                <w:highlight w:val="none"/>
                <w:lang w:bidi="ar"/>
              </w:rPr>
              <w:t>▲捡拾器：弹齿杆数≥5排，非凸轮型，弹齿数≥70组；</w:t>
            </w:r>
          </w:p>
          <w:p w14:paraId="410D5C54">
            <w:pPr>
              <w:widowControl/>
              <w:jc w:val="left"/>
              <w:textAlignment w:val="center"/>
              <w:rPr>
                <w:rFonts w:ascii="宋体" w:hAnsi="宋体" w:cs="宋体"/>
                <w:color w:val="auto"/>
                <w:sz w:val="22"/>
                <w:szCs w:val="22"/>
                <w:highlight w:val="none"/>
                <w:lang w:bidi="ar"/>
              </w:rPr>
            </w:pPr>
            <w:r>
              <w:rPr>
                <w:rFonts w:hint="eastAsia" w:ascii="宋体" w:hAnsi="宋体" w:cs="宋体"/>
                <w:color w:val="auto"/>
                <w:sz w:val="22"/>
                <w:szCs w:val="22"/>
                <w:highlight w:val="none"/>
                <w:lang w:bidi="ar"/>
              </w:rPr>
              <w:t>▲喂入结构型式：螺旋连续喂入机构；</w:t>
            </w:r>
          </w:p>
          <w:p w14:paraId="37B30E67">
            <w:pPr>
              <w:widowControl/>
              <w:ind w:firstLine="220" w:firstLineChars="100"/>
              <w:jc w:val="left"/>
              <w:textAlignment w:val="center"/>
              <w:rPr>
                <w:rFonts w:ascii="宋体" w:hAnsi="宋体" w:cs="宋体"/>
                <w:color w:val="auto"/>
                <w:sz w:val="22"/>
                <w:szCs w:val="22"/>
                <w:highlight w:val="none"/>
                <w:lang w:bidi="ar"/>
              </w:rPr>
            </w:pPr>
            <w:r>
              <w:rPr>
                <w:rFonts w:hint="eastAsia" w:ascii="宋体" w:hAnsi="宋体" w:cs="宋体"/>
                <w:color w:val="auto"/>
                <w:sz w:val="22"/>
                <w:szCs w:val="22"/>
                <w:highlight w:val="none"/>
                <w:lang w:bidi="ar"/>
              </w:rPr>
              <w:t>压缩室成捆结构形式：滚筒式，卷压工作部件数量≥18个；</w:t>
            </w:r>
          </w:p>
          <w:p w14:paraId="7D3932E8">
            <w:pPr>
              <w:widowControl/>
              <w:jc w:val="left"/>
              <w:textAlignment w:val="center"/>
              <w:rPr>
                <w:rFonts w:ascii="宋体" w:hAnsi="宋体" w:cs="宋体"/>
                <w:color w:val="auto"/>
                <w:sz w:val="22"/>
                <w:szCs w:val="22"/>
                <w:highlight w:val="none"/>
                <w:lang w:bidi="ar"/>
              </w:rPr>
            </w:pPr>
            <w:r>
              <w:rPr>
                <w:rFonts w:hint="eastAsia" w:ascii="宋体" w:hAnsi="宋体" w:cs="宋体"/>
                <w:color w:val="auto"/>
                <w:sz w:val="22"/>
                <w:szCs w:val="22"/>
                <w:highlight w:val="none"/>
                <w:lang w:bidi="ar"/>
              </w:rPr>
              <w:t>▲齿轮箱：进口齿轮箱；</w:t>
            </w:r>
          </w:p>
          <w:p w14:paraId="7D624333">
            <w:pPr>
              <w:widowControl/>
              <w:jc w:val="left"/>
              <w:textAlignment w:val="center"/>
              <w:rPr>
                <w:rFonts w:ascii="宋体" w:hAnsi="宋体" w:cs="宋体"/>
                <w:color w:val="auto"/>
                <w:sz w:val="22"/>
                <w:szCs w:val="22"/>
                <w:highlight w:val="none"/>
                <w:lang w:bidi="ar"/>
              </w:rPr>
            </w:pPr>
            <w:r>
              <w:rPr>
                <w:rFonts w:hint="eastAsia" w:ascii="宋体" w:hAnsi="宋体" w:cs="宋体"/>
                <w:color w:val="auto"/>
                <w:sz w:val="22"/>
                <w:szCs w:val="22"/>
                <w:highlight w:val="none"/>
                <w:lang w:bidi="ar"/>
              </w:rPr>
              <w:t>▲尾门锁止装置：配备机械锁死钩；</w:t>
            </w:r>
          </w:p>
          <w:p w14:paraId="289BC9C3">
            <w:pPr>
              <w:widowControl/>
              <w:jc w:val="left"/>
              <w:textAlignment w:val="center"/>
              <w:rPr>
                <w:rFonts w:ascii="宋体" w:hAnsi="宋体" w:cs="宋体"/>
                <w:color w:val="auto"/>
                <w:sz w:val="22"/>
                <w:szCs w:val="22"/>
                <w:highlight w:val="none"/>
                <w:lang w:bidi="ar"/>
              </w:rPr>
            </w:pPr>
            <w:r>
              <w:rPr>
                <w:rFonts w:hint="eastAsia" w:ascii="宋体" w:hAnsi="宋体" w:cs="宋体"/>
                <w:color w:val="auto"/>
                <w:sz w:val="22"/>
                <w:szCs w:val="22"/>
                <w:highlight w:val="none"/>
                <w:lang w:bidi="ar"/>
              </w:rPr>
              <w:t>▲监视器/控制器：E-Link彩色触屏控制器</w:t>
            </w:r>
          </w:p>
          <w:p w14:paraId="669AD11C">
            <w:pPr>
              <w:widowControl/>
              <w:jc w:val="left"/>
              <w:textAlignment w:val="center"/>
              <w:rPr>
                <w:rFonts w:ascii="宋体" w:hAnsi="宋体" w:cs="宋体"/>
                <w:color w:val="auto"/>
                <w:sz w:val="22"/>
                <w:szCs w:val="22"/>
                <w:highlight w:val="none"/>
                <w:lang w:bidi="ar"/>
              </w:rPr>
            </w:pPr>
            <w:r>
              <w:rPr>
                <w:rFonts w:hint="eastAsia" w:ascii="宋体" w:hAnsi="宋体" w:cs="宋体"/>
                <w:color w:val="auto"/>
                <w:sz w:val="22"/>
                <w:szCs w:val="22"/>
                <w:highlight w:val="none"/>
                <w:lang w:bidi="ar"/>
              </w:rPr>
              <w:t>▲卷压滚筒直径≥220mm；</w:t>
            </w:r>
          </w:p>
          <w:p w14:paraId="429FE9B9">
            <w:pPr>
              <w:widowControl/>
              <w:ind w:firstLine="220" w:firstLineChars="100"/>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捆扎方式：自动缠网。</w:t>
            </w:r>
          </w:p>
        </w:tc>
      </w:tr>
      <w:tr w14:paraId="3C3E8922">
        <w:tblPrEx>
          <w:tblCellMar>
            <w:top w:w="0" w:type="dxa"/>
            <w:left w:w="108" w:type="dxa"/>
            <w:bottom w:w="0" w:type="dxa"/>
            <w:right w:w="108" w:type="dxa"/>
          </w:tblCellMar>
        </w:tblPrEx>
        <w:trPr>
          <w:trHeight w:val="505" w:hRule="atLeast"/>
        </w:trPr>
        <w:tc>
          <w:tcPr>
            <w:tcW w:w="580" w:type="dxa"/>
            <w:tcBorders>
              <w:top w:val="single" w:color="auto" w:sz="4" w:space="0"/>
              <w:left w:val="single" w:color="auto" w:sz="4" w:space="0"/>
              <w:bottom w:val="single" w:color="auto" w:sz="4" w:space="0"/>
              <w:right w:val="single" w:color="auto" w:sz="4" w:space="0"/>
            </w:tcBorders>
            <w:vAlign w:val="center"/>
          </w:tcPr>
          <w:p w14:paraId="49EBF9AD">
            <w:pPr>
              <w:widowControl/>
              <w:jc w:val="center"/>
              <w:textAlignment w:val="center"/>
              <w:rPr>
                <w:rFonts w:ascii="宋体" w:hAnsi="宋体" w:cs="宋体"/>
                <w:b/>
                <w:bCs/>
                <w:color w:val="auto"/>
                <w:sz w:val="22"/>
                <w:szCs w:val="22"/>
                <w:highlight w:val="none"/>
              </w:rPr>
            </w:pPr>
            <w:r>
              <w:rPr>
                <w:rFonts w:hint="eastAsia" w:ascii="宋体" w:hAnsi="宋体" w:cs="宋体"/>
                <w:b/>
                <w:bCs/>
                <w:color w:val="auto"/>
                <w:sz w:val="22"/>
                <w:szCs w:val="22"/>
                <w:highlight w:val="none"/>
                <w:lang w:bidi="ar"/>
              </w:rPr>
              <w:t>3</w:t>
            </w:r>
          </w:p>
        </w:tc>
        <w:tc>
          <w:tcPr>
            <w:tcW w:w="731" w:type="dxa"/>
            <w:tcBorders>
              <w:top w:val="single" w:color="auto" w:sz="4" w:space="0"/>
              <w:left w:val="single" w:color="auto" w:sz="4" w:space="0"/>
              <w:bottom w:val="single" w:color="auto" w:sz="4" w:space="0"/>
              <w:right w:val="single" w:color="auto" w:sz="4" w:space="0"/>
            </w:tcBorders>
            <w:vAlign w:val="center"/>
          </w:tcPr>
          <w:p w14:paraId="46EBEB9B">
            <w:pPr>
              <w:jc w:val="center"/>
              <w:rPr>
                <w:rFonts w:ascii="宋体" w:hAnsi="宋体" w:cs="宋体"/>
                <w:color w:val="auto"/>
                <w:sz w:val="22"/>
                <w:szCs w:val="22"/>
                <w:highlight w:val="none"/>
              </w:rPr>
            </w:pPr>
            <w:r>
              <w:rPr>
                <w:rFonts w:hint="eastAsia" w:ascii="宋体" w:hAnsi="宋体" w:cs="宋体"/>
                <w:color w:val="auto"/>
                <w:sz w:val="22"/>
                <w:szCs w:val="22"/>
                <w:highlight w:val="none"/>
              </w:rPr>
              <w:t>方草捆打捆机</w:t>
            </w:r>
          </w:p>
        </w:tc>
        <w:tc>
          <w:tcPr>
            <w:tcW w:w="700" w:type="dxa"/>
            <w:tcBorders>
              <w:top w:val="single" w:color="auto" w:sz="4" w:space="0"/>
              <w:left w:val="single" w:color="auto" w:sz="4" w:space="0"/>
              <w:bottom w:val="single" w:color="auto" w:sz="4" w:space="0"/>
              <w:right w:val="single" w:color="auto" w:sz="4" w:space="0"/>
            </w:tcBorders>
            <w:vAlign w:val="center"/>
          </w:tcPr>
          <w:p w14:paraId="1227EEBC">
            <w:pPr>
              <w:jc w:val="center"/>
              <w:rPr>
                <w:rFonts w:ascii="宋体" w:hAnsi="宋体" w:cs="宋体"/>
                <w:color w:val="auto"/>
                <w:sz w:val="22"/>
                <w:szCs w:val="22"/>
                <w:highlight w:val="none"/>
              </w:rPr>
            </w:pPr>
            <w:r>
              <w:rPr>
                <w:rFonts w:hint="eastAsia" w:ascii="宋体" w:hAnsi="宋体" w:cs="宋体"/>
                <w:color w:val="auto"/>
                <w:sz w:val="22"/>
                <w:szCs w:val="22"/>
                <w:highlight w:val="none"/>
              </w:rPr>
              <w:t>3</w:t>
            </w:r>
          </w:p>
        </w:tc>
        <w:tc>
          <w:tcPr>
            <w:tcW w:w="6884" w:type="dxa"/>
            <w:tcBorders>
              <w:top w:val="single" w:color="auto" w:sz="4" w:space="0"/>
              <w:left w:val="single" w:color="auto" w:sz="4" w:space="0"/>
              <w:bottom w:val="single" w:color="auto" w:sz="4" w:space="0"/>
              <w:right w:val="single" w:color="auto" w:sz="4" w:space="0"/>
            </w:tcBorders>
            <w:vAlign w:val="center"/>
          </w:tcPr>
          <w:p w14:paraId="3F48B425">
            <w:pPr>
              <w:widowControl/>
              <w:jc w:val="left"/>
              <w:textAlignment w:val="center"/>
              <w:rPr>
                <w:rFonts w:ascii="宋体" w:hAnsi="宋体" w:cs="宋体"/>
                <w:color w:val="auto"/>
                <w:sz w:val="22"/>
                <w:szCs w:val="22"/>
                <w:highlight w:val="none"/>
                <w:lang w:bidi="ar"/>
              </w:rPr>
            </w:pPr>
            <w:r>
              <w:rPr>
                <w:rFonts w:hint="eastAsia" w:ascii="宋体" w:hAnsi="宋体" w:cs="宋体"/>
                <w:color w:val="auto"/>
                <w:sz w:val="22"/>
                <w:szCs w:val="22"/>
                <w:highlight w:val="none"/>
                <w:lang w:bidi="ar"/>
              </w:rPr>
              <w:t>★牵引方式：正牵引，捡拾有效宽度 ≥ 2m；</w:t>
            </w:r>
          </w:p>
          <w:p w14:paraId="2B4FFF17">
            <w:pPr>
              <w:widowControl/>
              <w:jc w:val="left"/>
              <w:textAlignment w:val="center"/>
              <w:rPr>
                <w:rFonts w:ascii="宋体" w:hAnsi="宋体" w:cs="宋体"/>
                <w:color w:val="auto"/>
                <w:sz w:val="22"/>
                <w:szCs w:val="22"/>
                <w:highlight w:val="none"/>
                <w:lang w:bidi="ar"/>
              </w:rPr>
            </w:pPr>
            <w:r>
              <w:rPr>
                <w:rFonts w:hint="eastAsia" w:ascii="宋体" w:hAnsi="宋体" w:cs="宋体"/>
                <w:color w:val="auto"/>
                <w:sz w:val="22"/>
                <w:szCs w:val="22"/>
                <w:highlight w:val="none"/>
                <w:lang w:bidi="ar"/>
              </w:rPr>
              <w:t>▲草捆尺寸：≥ 截面（480×360mm），草捆长度可调；</w:t>
            </w:r>
          </w:p>
          <w:p w14:paraId="6BED1D22">
            <w:pPr>
              <w:widowControl/>
              <w:jc w:val="left"/>
              <w:textAlignment w:val="center"/>
              <w:rPr>
                <w:rFonts w:ascii="宋体" w:hAnsi="宋体" w:cs="宋体"/>
                <w:color w:val="auto"/>
                <w:sz w:val="22"/>
                <w:szCs w:val="22"/>
                <w:highlight w:val="none"/>
                <w:lang w:bidi="ar"/>
              </w:rPr>
            </w:pPr>
            <w:r>
              <w:rPr>
                <w:rFonts w:hint="eastAsia" w:ascii="宋体" w:hAnsi="宋体" w:cs="宋体"/>
                <w:color w:val="auto"/>
                <w:sz w:val="22"/>
                <w:szCs w:val="22"/>
                <w:highlight w:val="none"/>
                <w:lang w:bidi="ar"/>
              </w:rPr>
              <w:t>▲弹齿数≥64组；</w:t>
            </w:r>
          </w:p>
          <w:p w14:paraId="46E3E1F7">
            <w:pPr>
              <w:widowControl/>
              <w:jc w:val="left"/>
              <w:textAlignment w:val="center"/>
              <w:rPr>
                <w:rFonts w:ascii="宋体" w:hAnsi="宋体" w:cs="宋体"/>
                <w:color w:val="auto"/>
                <w:sz w:val="22"/>
                <w:szCs w:val="22"/>
                <w:highlight w:val="none"/>
                <w:lang w:bidi="ar"/>
              </w:rPr>
            </w:pPr>
            <w:r>
              <w:rPr>
                <w:rFonts w:hint="eastAsia" w:ascii="宋体" w:hAnsi="宋体" w:cs="宋体"/>
                <w:color w:val="auto"/>
                <w:sz w:val="22"/>
                <w:szCs w:val="22"/>
                <w:highlight w:val="none"/>
                <w:lang w:bidi="ar"/>
              </w:rPr>
              <w:t>▲捡拾器保护装置：配备滑动离合器+安全螺栓；</w:t>
            </w:r>
          </w:p>
          <w:p w14:paraId="3AC92F36">
            <w:pPr>
              <w:widowControl/>
              <w:ind w:firstLine="220" w:firstLineChars="100"/>
              <w:jc w:val="left"/>
              <w:textAlignment w:val="center"/>
              <w:rPr>
                <w:rFonts w:ascii="宋体" w:hAnsi="宋体" w:cs="宋体"/>
                <w:color w:val="auto"/>
                <w:sz w:val="22"/>
                <w:szCs w:val="22"/>
                <w:highlight w:val="none"/>
                <w:lang w:bidi="ar"/>
              </w:rPr>
            </w:pPr>
            <w:r>
              <w:rPr>
                <w:rFonts w:hint="eastAsia" w:ascii="宋体" w:hAnsi="宋体" w:cs="宋体"/>
                <w:color w:val="auto"/>
                <w:sz w:val="22"/>
                <w:szCs w:val="22"/>
                <w:highlight w:val="none"/>
                <w:lang w:bidi="ar"/>
              </w:rPr>
              <w:t>打结器数量：2个；</w:t>
            </w:r>
          </w:p>
          <w:p w14:paraId="03562924">
            <w:pPr>
              <w:widowControl/>
              <w:ind w:firstLine="220" w:firstLineChars="100"/>
              <w:jc w:val="left"/>
              <w:textAlignment w:val="center"/>
              <w:rPr>
                <w:rFonts w:ascii="宋体" w:hAnsi="宋体" w:cs="宋体"/>
                <w:color w:val="auto"/>
                <w:sz w:val="22"/>
                <w:szCs w:val="22"/>
                <w:highlight w:val="none"/>
                <w:lang w:bidi="ar"/>
              </w:rPr>
            </w:pPr>
            <w:r>
              <w:rPr>
                <w:rFonts w:hint="eastAsia" w:ascii="宋体" w:hAnsi="宋体" w:cs="宋体"/>
                <w:color w:val="auto"/>
                <w:sz w:val="22"/>
                <w:szCs w:val="22"/>
                <w:highlight w:val="none"/>
                <w:lang w:bidi="ar"/>
              </w:rPr>
              <w:t>捆绳数量6个；</w:t>
            </w:r>
          </w:p>
          <w:p w14:paraId="1B220953">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  工作小时生产率（kg/h）：4000~7200</w:t>
            </w:r>
          </w:p>
        </w:tc>
      </w:tr>
      <w:tr w14:paraId="1624AACF">
        <w:tblPrEx>
          <w:tblCellMar>
            <w:top w:w="0" w:type="dxa"/>
            <w:left w:w="108" w:type="dxa"/>
            <w:bottom w:w="0" w:type="dxa"/>
            <w:right w:w="108" w:type="dxa"/>
          </w:tblCellMar>
        </w:tblPrEx>
        <w:trPr>
          <w:trHeight w:val="379" w:hRule="atLeast"/>
        </w:trPr>
        <w:tc>
          <w:tcPr>
            <w:tcW w:w="580" w:type="dxa"/>
            <w:tcBorders>
              <w:top w:val="single" w:color="auto" w:sz="4" w:space="0"/>
              <w:left w:val="single" w:color="auto" w:sz="4" w:space="0"/>
              <w:bottom w:val="single" w:color="auto" w:sz="4" w:space="0"/>
              <w:right w:val="single" w:color="auto" w:sz="4" w:space="0"/>
            </w:tcBorders>
            <w:vAlign w:val="center"/>
          </w:tcPr>
          <w:p w14:paraId="07725DD5">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4</w:t>
            </w:r>
          </w:p>
        </w:tc>
        <w:tc>
          <w:tcPr>
            <w:tcW w:w="731" w:type="dxa"/>
            <w:tcBorders>
              <w:top w:val="single" w:color="auto" w:sz="4" w:space="0"/>
              <w:left w:val="single" w:color="auto" w:sz="4" w:space="0"/>
              <w:bottom w:val="single" w:color="auto" w:sz="4" w:space="0"/>
              <w:right w:val="single" w:color="auto" w:sz="4" w:space="0"/>
            </w:tcBorders>
            <w:vAlign w:val="center"/>
          </w:tcPr>
          <w:p w14:paraId="3CDD0764">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搂草机</w:t>
            </w:r>
          </w:p>
        </w:tc>
        <w:tc>
          <w:tcPr>
            <w:tcW w:w="700" w:type="dxa"/>
            <w:tcBorders>
              <w:top w:val="single" w:color="auto" w:sz="4" w:space="0"/>
              <w:left w:val="single" w:color="auto" w:sz="4" w:space="0"/>
              <w:bottom w:val="single" w:color="auto" w:sz="4" w:space="0"/>
              <w:right w:val="single" w:color="auto" w:sz="4" w:space="0"/>
            </w:tcBorders>
            <w:vAlign w:val="center"/>
          </w:tcPr>
          <w:p w14:paraId="3EE0A6BB">
            <w:pPr>
              <w:widowControl/>
              <w:jc w:val="center"/>
              <w:textAlignment w:val="center"/>
              <w:rPr>
                <w:rFonts w:ascii="宋体" w:hAnsi="宋体" w:cs="宋体"/>
                <w:color w:val="auto"/>
                <w:sz w:val="22"/>
                <w:szCs w:val="22"/>
                <w:highlight w:val="none"/>
                <w:lang w:bidi="ar"/>
              </w:rPr>
            </w:pPr>
            <w:r>
              <w:rPr>
                <w:rFonts w:hint="eastAsia" w:ascii="宋体" w:hAnsi="宋体" w:cs="宋体"/>
                <w:color w:val="auto"/>
                <w:sz w:val="22"/>
                <w:szCs w:val="22"/>
                <w:highlight w:val="none"/>
                <w:lang w:bidi="ar"/>
              </w:rPr>
              <w:t>2</w:t>
            </w:r>
          </w:p>
        </w:tc>
        <w:tc>
          <w:tcPr>
            <w:tcW w:w="6884" w:type="dxa"/>
            <w:tcBorders>
              <w:top w:val="single" w:color="auto" w:sz="4" w:space="0"/>
              <w:left w:val="single" w:color="auto" w:sz="4" w:space="0"/>
              <w:bottom w:val="single" w:color="auto" w:sz="4" w:space="0"/>
              <w:right w:val="single" w:color="auto" w:sz="4" w:space="0"/>
            </w:tcBorders>
            <w:vAlign w:val="center"/>
          </w:tcPr>
          <w:p w14:paraId="0E25F678">
            <w:pPr>
              <w:widowControl/>
              <w:jc w:val="left"/>
              <w:textAlignment w:val="center"/>
              <w:rPr>
                <w:rFonts w:ascii="宋体" w:hAnsi="宋体" w:cs="宋体"/>
                <w:color w:val="auto"/>
                <w:sz w:val="22"/>
                <w:szCs w:val="22"/>
                <w:highlight w:val="none"/>
              </w:rPr>
            </w:pPr>
            <w:r>
              <w:rPr>
                <w:rStyle w:val="598"/>
                <w:rFonts w:hint="default"/>
                <w:color w:val="auto"/>
                <w:sz w:val="22"/>
                <w:szCs w:val="22"/>
                <w:highlight w:val="none"/>
                <w:lang w:bidi="ar"/>
              </w:rPr>
              <w:t>▲牵引式，指盘数</w:t>
            </w:r>
            <w:r>
              <w:rPr>
                <w:rStyle w:val="590"/>
                <w:rFonts w:hint="default"/>
                <w:color w:val="auto"/>
                <w:highlight w:val="none"/>
                <w:lang w:bidi="ar"/>
              </w:rPr>
              <w:t>≥</w:t>
            </w:r>
            <w:r>
              <w:rPr>
                <w:rStyle w:val="598"/>
                <w:rFonts w:hint="default"/>
                <w:color w:val="auto"/>
                <w:sz w:val="22"/>
                <w:szCs w:val="22"/>
                <w:highlight w:val="none"/>
                <w:lang w:bidi="ar"/>
              </w:rPr>
              <w:t>8</w:t>
            </w:r>
          </w:p>
        </w:tc>
      </w:tr>
      <w:tr w14:paraId="0A4559D2">
        <w:tblPrEx>
          <w:tblCellMar>
            <w:top w:w="0" w:type="dxa"/>
            <w:left w:w="108" w:type="dxa"/>
            <w:bottom w:w="0" w:type="dxa"/>
            <w:right w:w="108" w:type="dxa"/>
          </w:tblCellMar>
        </w:tblPrEx>
        <w:trPr>
          <w:trHeight w:val="860" w:hRule="atLeast"/>
        </w:trPr>
        <w:tc>
          <w:tcPr>
            <w:tcW w:w="580" w:type="dxa"/>
            <w:tcBorders>
              <w:top w:val="single" w:color="auto" w:sz="4" w:space="0"/>
              <w:left w:val="single" w:color="auto" w:sz="4" w:space="0"/>
              <w:bottom w:val="single" w:color="auto" w:sz="4" w:space="0"/>
              <w:right w:val="single" w:color="auto" w:sz="4" w:space="0"/>
            </w:tcBorders>
            <w:vAlign w:val="center"/>
          </w:tcPr>
          <w:p w14:paraId="639EAEF4">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5</w:t>
            </w:r>
          </w:p>
        </w:tc>
        <w:tc>
          <w:tcPr>
            <w:tcW w:w="731" w:type="dxa"/>
            <w:tcBorders>
              <w:top w:val="single" w:color="auto" w:sz="4" w:space="0"/>
              <w:left w:val="single" w:color="auto" w:sz="4" w:space="0"/>
              <w:bottom w:val="single" w:color="auto" w:sz="4" w:space="0"/>
              <w:right w:val="single" w:color="auto" w:sz="4" w:space="0"/>
            </w:tcBorders>
            <w:vAlign w:val="center"/>
          </w:tcPr>
          <w:p w14:paraId="1010E2D3">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装载机</w:t>
            </w:r>
          </w:p>
        </w:tc>
        <w:tc>
          <w:tcPr>
            <w:tcW w:w="700" w:type="dxa"/>
            <w:tcBorders>
              <w:top w:val="single" w:color="auto" w:sz="4" w:space="0"/>
              <w:left w:val="single" w:color="auto" w:sz="4" w:space="0"/>
              <w:bottom w:val="single" w:color="auto" w:sz="4" w:space="0"/>
              <w:right w:val="single" w:color="auto" w:sz="4" w:space="0"/>
            </w:tcBorders>
            <w:vAlign w:val="center"/>
          </w:tcPr>
          <w:p w14:paraId="6F8CA1EC">
            <w:pPr>
              <w:widowControl/>
              <w:jc w:val="center"/>
              <w:textAlignment w:val="center"/>
              <w:rPr>
                <w:rFonts w:ascii="宋体" w:hAnsi="宋体" w:cs="宋体"/>
                <w:color w:val="auto"/>
                <w:sz w:val="22"/>
                <w:szCs w:val="22"/>
                <w:highlight w:val="none"/>
                <w:lang w:bidi="ar"/>
              </w:rPr>
            </w:pPr>
            <w:r>
              <w:rPr>
                <w:rFonts w:hint="eastAsia" w:ascii="宋体" w:hAnsi="宋体" w:cs="宋体"/>
                <w:color w:val="auto"/>
                <w:sz w:val="22"/>
                <w:szCs w:val="22"/>
                <w:highlight w:val="none"/>
                <w:lang w:bidi="ar"/>
              </w:rPr>
              <w:t>1</w:t>
            </w:r>
          </w:p>
        </w:tc>
        <w:tc>
          <w:tcPr>
            <w:tcW w:w="6884" w:type="dxa"/>
            <w:tcBorders>
              <w:top w:val="single" w:color="auto" w:sz="4" w:space="0"/>
              <w:left w:val="single" w:color="auto" w:sz="4" w:space="0"/>
              <w:bottom w:val="single" w:color="auto" w:sz="4" w:space="0"/>
              <w:right w:val="single" w:color="auto" w:sz="4" w:space="0"/>
            </w:tcBorders>
            <w:vAlign w:val="center"/>
          </w:tcPr>
          <w:p w14:paraId="37A443DB">
            <w:pPr>
              <w:widowControl/>
              <w:jc w:val="left"/>
              <w:textAlignment w:val="center"/>
              <w:rPr>
                <w:rFonts w:ascii="宋体" w:hAnsi="宋体" w:cs="宋体"/>
                <w:color w:val="auto"/>
                <w:sz w:val="22"/>
                <w:szCs w:val="22"/>
                <w:highlight w:val="none"/>
                <w:lang w:bidi="ar"/>
              </w:rPr>
            </w:pPr>
            <w:r>
              <w:rPr>
                <w:rFonts w:hint="eastAsia" w:ascii="宋体" w:hAnsi="宋体" w:cs="宋体"/>
                <w:color w:val="auto"/>
                <w:sz w:val="22"/>
                <w:szCs w:val="22"/>
                <w:highlight w:val="none"/>
                <w:lang w:bidi="ar"/>
              </w:rPr>
              <w:t>▲卸载高度≥4m，配半实心胎；</w:t>
            </w:r>
          </w:p>
          <w:p w14:paraId="55093D67">
            <w:pPr>
              <w:widowControl/>
              <w:jc w:val="left"/>
              <w:textAlignment w:val="center"/>
              <w:rPr>
                <w:rFonts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  发动机功率≥70KW</w:t>
            </w:r>
          </w:p>
          <w:p w14:paraId="0B1C9276">
            <w:pPr>
              <w:widowControl/>
              <w:jc w:val="left"/>
              <w:textAlignment w:val="center"/>
              <w:rPr>
                <w:rFonts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  制动方式：盘式气刹</w:t>
            </w:r>
          </w:p>
          <w:p w14:paraId="57BFB4E5">
            <w:pPr>
              <w:widowControl/>
              <w:ind w:firstLine="220" w:firstLineChars="100"/>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配粮斗、上四下五抓草抓头。</w:t>
            </w:r>
          </w:p>
        </w:tc>
      </w:tr>
      <w:tr w14:paraId="53F37EDD">
        <w:tblPrEx>
          <w:tblCellMar>
            <w:top w:w="0" w:type="dxa"/>
            <w:left w:w="108" w:type="dxa"/>
            <w:bottom w:w="0" w:type="dxa"/>
            <w:right w:w="108" w:type="dxa"/>
          </w:tblCellMar>
        </w:tblPrEx>
        <w:trPr>
          <w:trHeight w:val="540" w:hRule="atLeast"/>
        </w:trPr>
        <w:tc>
          <w:tcPr>
            <w:tcW w:w="580" w:type="dxa"/>
            <w:tcBorders>
              <w:top w:val="single" w:color="000000" w:sz="4" w:space="0"/>
              <w:left w:val="single" w:color="000000" w:sz="4" w:space="0"/>
              <w:bottom w:val="single" w:color="000000" w:sz="4" w:space="0"/>
              <w:right w:val="single" w:color="000000" w:sz="4" w:space="0"/>
            </w:tcBorders>
            <w:vAlign w:val="center"/>
          </w:tcPr>
          <w:p w14:paraId="27321E1C">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6</w:t>
            </w:r>
          </w:p>
        </w:tc>
        <w:tc>
          <w:tcPr>
            <w:tcW w:w="731" w:type="dxa"/>
            <w:tcBorders>
              <w:top w:val="single" w:color="000000" w:sz="4" w:space="0"/>
              <w:left w:val="single" w:color="000000" w:sz="4" w:space="0"/>
              <w:bottom w:val="single" w:color="000000" w:sz="4" w:space="0"/>
              <w:right w:val="single" w:color="000000" w:sz="4" w:space="0"/>
            </w:tcBorders>
            <w:vAlign w:val="center"/>
          </w:tcPr>
          <w:p w14:paraId="0753123E">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夹包装置</w:t>
            </w:r>
          </w:p>
        </w:tc>
        <w:tc>
          <w:tcPr>
            <w:tcW w:w="700" w:type="dxa"/>
            <w:tcBorders>
              <w:top w:val="single" w:color="000000" w:sz="4" w:space="0"/>
              <w:left w:val="single" w:color="000000" w:sz="4" w:space="0"/>
              <w:bottom w:val="single" w:color="000000" w:sz="4" w:space="0"/>
              <w:right w:val="single" w:color="000000" w:sz="4" w:space="0"/>
            </w:tcBorders>
            <w:vAlign w:val="center"/>
          </w:tcPr>
          <w:p w14:paraId="0551D27E">
            <w:pPr>
              <w:widowControl/>
              <w:jc w:val="center"/>
              <w:textAlignment w:val="center"/>
              <w:rPr>
                <w:rFonts w:ascii="宋体" w:hAnsi="宋体" w:cs="宋体"/>
                <w:color w:val="auto"/>
                <w:sz w:val="22"/>
                <w:szCs w:val="22"/>
                <w:highlight w:val="none"/>
                <w:lang w:bidi="ar"/>
              </w:rPr>
            </w:pPr>
            <w:r>
              <w:rPr>
                <w:rFonts w:hint="eastAsia" w:ascii="宋体" w:hAnsi="宋体" w:cs="宋体"/>
                <w:color w:val="auto"/>
                <w:sz w:val="22"/>
                <w:szCs w:val="22"/>
                <w:highlight w:val="none"/>
                <w:lang w:bidi="ar"/>
              </w:rPr>
              <w:t>1</w:t>
            </w:r>
          </w:p>
        </w:tc>
        <w:tc>
          <w:tcPr>
            <w:tcW w:w="6884" w:type="dxa"/>
            <w:tcBorders>
              <w:top w:val="single" w:color="000000" w:sz="4" w:space="0"/>
              <w:left w:val="single" w:color="000000" w:sz="4" w:space="0"/>
              <w:bottom w:val="single" w:color="000000" w:sz="4" w:space="0"/>
              <w:right w:val="single" w:color="000000" w:sz="4" w:space="0"/>
            </w:tcBorders>
            <w:vAlign w:val="center"/>
          </w:tcPr>
          <w:p w14:paraId="5BD5181B">
            <w:pPr>
              <w:widowControl/>
              <w:ind w:firstLine="220" w:firstLineChars="100"/>
              <w:jc w:val="left"/>
              <w:textAlignment w:val="center"/>
              <w:rPr>
                <w:rFonts w:ascii="宋体" w:hAnsi="宋体" w:cs="宋体"/>
                <w:color w:val="auto"/>
                <w:sz w:val="22"/>
                <w:szCs w:val="22"/>
                <w:highlight w:val="none"/>
              </w:rPr>
            </w:pPr>
            <w:r>
              <w:rPr>
                <w:rStyle w:val="598"/>
                <w:rFonts w:hint="default"/>
                <w:color w:val="auto"/>
                <w:sz w:val="22"/>
                <w:szCs w:val="22"/>
                <w:highlight w:val="none"/>
                <w:lang w:bidi="ar"/>
              </w:rPr>
              <w:t>与上述拖拉机配套；</w:t>
            </w:r>
          </w:p>
        </w:tc>
      </w:tr>
    </w:tbl>
    <w:p w14:paraId="55953837">
      <w:pPr>
        <w:tabs>
          <w:tab w:val="left" w:pos="1010"/>
        </w:tabs>
        <w:spacing w:line="360" w:lineRule="auto"/>
        <w:rPr>
          <w:rFonts w:ascii="宋体" w:hAnsi="宋体" w:cs="宋体"/>
          <w:b/>
          <w:bCs/>
          <w:sz w:val="24"/>
        </w:rPr>
      </w:pPr>
    </w:p>
    <w:p w14:paraId="2F2065CA">
      <w:pPr>
        <w:tabs>
          <w:tab w:val="left" w:pos="1010"/>
        </w:tabs>
        <w:spacing w:line="360" w:lineRule="auto"/>
        <w:ind w:firstLine="482"/>
        <w:rPr>
          <w:rFonts w:ascii="宋体" w:hAnsi="宋体" w:cs="宋体"/>
          <w:b/>
          <w:bCs/>
          <w:sz w:val="24"/>
        </w:rPr>
      </w:pPr>
    </w:p>
    <w:p w14:paraId="5221B2C9">
      <w:pPr>
        <w:ind w:left="600"/>
        <w:rPr>
          <w:rFonts w:ascii="宋体" w:hAnsi="宋体" w:cs="宋体"/>
          <w:szCs w:val="21"/>
        </w:rPr>
      </w:pPr>
    </w:p>
    <w:p w14:paraId="7FD1AA51">
      <w:pPr>
        <w:rPr>
          <w:rFonts w:ascii="宋体" w:hAnsi="宋体" w:cs="宋体"/>
          <w:sz w:val="32"/>
        </w:rPr>
      </w:pPr>
      <w:r>
        <w:rPr>
          <w:rFonts w:hint="eastAsia" w:ascii="宋体" w:hAnsi="宋体" w:cs="宋体"/>
          <w:sz w:val="32"/>
        </w:rPr>
        <w:br w:type="page" w:clear="all"/>
      </w:r>
    </w:p>
    <w:p w14:paraId="38B4F833">
      <w:pPr>
        <w:pStyle w:val="2"/>
        <w:spacing w:line="240" w:lineRule="auto"/>
        <w:jc w:val="center"/>
        <w:rPr>
          <w:rFonts w:ascii="宋体" w:hAnsi="宋体" w:cs="宋体"/>
          <w:sz w:val="32"/>
        </w:rPr>
      </w:pPr>
      <w:r>
        <w:rPr>
          <w:rFonts w:hint="eastAsia" w:ascii="宋体" w:hAnsi="宋体" w:cs="宋体"/>
          <w:sz w:val="32"/>
        </w:rPr>
        <w:t>第五章  合同主要条款及格式</w:t>
      </w:r>
      <w:bookmarkEnd w:id="55"/>
    </w:p>
    <w:p w14:paraId="641AF7E4">
      <w:pPr>
        <w:spacing w:before="140" w:line="222" w:lineRule="auto"/>
        <w:jc w:val="center"/>
        <w:rPr>
          <w:rFonts w:ascii="宋体" w:hAnsi="宋体" w:cs="宋体"/>
          <w:b/>
          <w:bCs/>
          <w:color w:val="000000"/>
          <w:spacing w:val="4"/>
          <w:sz w:val="44"/>
          <w:szCs w:val="44"/>
          <w:lang w:eastAsia="en-US"/>
        </w:rPr>
      </w:pPr>
      <w:r>
        <w:rPr>
          <w:rFonts w:hint="eastAsia" w:ascii="宋体" w:hAnsi="宋体" w:cs="宋体"/>
          <w:b/>
          <w:bCs/>
          <w:color w:val="000000"/>
          <w:spacing w:val="4"/>
          <w:sz w:val="44"/>
          <w:szCs w:val="44"/>
          <w:lang w:eastAsia="en-US"/>
        </w:rPr>
        <w:t>采购合同</w:t>
      </w:r>
    </w:p>
    <w:p w14:paraId="4EFE3AB1">
      <w:pPr>
        <w:spacing w:before="140" w:line="222" w:lineRule="auto"/>
        <w:jc w:val="center"/>
        <w:rPr>
          <w:rFonts w:ascii="宋体" w:hAnsi="宋体" w:cs="宋体"/>
          <w:b/>
          <w:bCs/>
          <w:color w:val="000000"/>
          <w:spacing w:val="4"/>
          <w:sz w:val="44"/>
          <w:szCs w:val="44"/>
          <w:lang w:eastAsia="en-US"/>
        </w:rPr>
      </w:pPr>
    </w:p>
    <w:tbl>
      <w:tblPr>
        <w:tblStyle w:val="6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260"/>
        <w:gridCol w:w="4261"/>
      </w:tblGrid>
      <w:tr w14:paraId="332161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8" w:hRule="atLeast"/>
        </w:trPr>
        <w:tc>
          <w:tcPr>
            <w:tcW w:w="4927" w:type="dxa"/>
          </w:tcPr>
          <w:p w14:paraId="18F089D8">
            <w:pPr>
              <w:spacing w:line="315" w:lineRule="auto"/>
              <w:jc w:val="left"/>
              <w:rPr>
                <w:rFonts w:ascii="宋体" w:hAnsi="宋体" w:cs="宋体"/>
                <w:color w:val="000000"/>
                <w:sz w:val="24"/>
                <w:lang w:eastAsia="en-US"/>
              </w:rPr>
            </w:pPr>
            <w:r>
              <w:rPr>
                <w:rFonts w:hint="eastAsia" w:ascii="宋体" w:hAnsi="宋体" w:cs="宋体"/>
                <w:b/>
                <w:bCs/>
                <w:color w:val="000000"/>
                <w:spacing w:val="8"/>
                <w:sz w:val="24"/>
              </w:rPr>
              <w:t>甲  方：</w:t>
            </w:r>
            <w:r>
              <w:rPr>
                <w:rFonts w:hint="eastAsia" w:ascii="宋体" w:hAnsi="宋体" w:cs="宋体"/>
                <w:color w:val="000000"/>
                <w:spacing w:val="8"/>
                <w:sz w:val="24"/>
              </w:rPr>
              <w:t xml:space="preserve"> </w:t>
            </w:r>
          </w:p>
        </w:tc>
        <w:tc>
          <w:tcPr>
            <w:tcW w:w="4927" w:type="dxa"/>
          </w:tcPr>
          <w:p w14:paraId="0C8A6F61">
            <w:pPr>
              <w:spacing w:line="315" w:lineRule="auto"/>
              <w:jc w:val="left"/>
              <w:rPr>
                <w:rFonts w:ascii="宋体" w:hAnsi="宋体" w:cs="宋体"/>
                <w:color w:val="000000"/>
                <w:sz w:val="24"/>
              </w:rPr>
            </w:pPr>
            <w:r>
              <w:rPr>
                <w:rFonts w:hint="eastAsia" w:ascii="宋体" w:hAnsi="宋体" w:cs="宋体"/>
                <w:b/>
                <w:bCs/>
                <w:color w:val="000000"/>
                <w:spacing w:val="8"/>
                <w:sz w:val="24"/>
              </w:rPr>
              <w:t>乙  方：</w:t>
            </w:r>
            <w:r>
              <w:rPr>
                <w:rFonts w:hint="eastAsia" w:ascii="宋体" w:hAnsi="宋体" w:cs="宋体"/>
                <w:color w:val="000000"/>
                <w:spacing w:val="8"/>
                <w:sz w:val="24"/>
              </w:rPr>
              <w:t xml:space="preserve"> </w:t>
            </w:r>
          </w:p>
        </w:tc>
      </w:tr>
      <w:tr w14:paraId="5AE498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tcPr>
          <w:p w14:paraId="77CF5E81">
            <w:pPr>
              <w:spacing w:line="315" w:lineRule="auto"/>
              <w:jc w:val="left"/>
              <w:rPr>
                <w:rFonts w:ascii="宋体" w:hAnsi="宋体" w:cs="宋体"/>
                <w:color w:val="000000"/>
                <w:sz w:val="24"/>
              </w:rPr>
            </w:pPr>
            <w:r>
              <w:rPr>
                <w:rFonts w:hint="eastAsia" w:ascii="宋体" w:hAnsi="宋体" w:cs="宋体"/>
                <w:b/>
                <w:bCs/>
                <w:color w:val="000000"/>
                <w:spacing w:val="3"/>
                <w:sz w:val="24"/>
                <w:lang w:eastAsia="en-US"/>
              </w:rPr>
              <w:t>住所地：</w:t>
            </w:r>
            <w:r>
              <w:rPr>
                <w:rFonts w:hint="eastAsia" w:ascii="宋体" w:hAnsi="宋体" w:cs="宋体"/>
                <w:color w:val="000000"/>
                <w:spacing w:val="3"/>
                <w:sz w:val="24"/>
              </w:rPr>
              <w:t xml:space="preserve">  </w:t>
            </w:r>
          </w:p>
        </w:tc>
        <w:tc>
          <w:tcPr>
            <w:tcW w:w="4927" w:type="dxa"/>
          </w:tcPr>
          <w:p w14:paraId="55FFB7BD">
            <w:pPr>
              <w:spacing w:line="315" w:lineRule="auto"/>
              <w:jc w:val="left"/>
              <w:rPr>
                <w:rFonts w:ascii="宋体" w:hAnsi="宋体" w:cs="宋体"/>
                <w:color w:val="000000"/>
                <w:sz w:val="24"/>
              </w:rPr>
            </w:pPr>
            <w:r>
              <w:rPr>
                <w:rFonts w:hint="eastAsia" w:ascii="宋体" w:hAnsi="宋体" w:cs="宋体"/>
                <w:b/>
                <w:bCs/>
                <w:color w:val="000000"/>
                <w:spacing w:val="3"/>
                <w:sz w:val="24"/>
                <w:lang w:eastAsia="en-US"/>
              </w:rPr>
              <w:t>住所地：</w:t>
            </w:r>
            <w:r>
              <w:rPr>
                <w:rFonts w:hint="eastAsia" w:ascii="宋体" w:hAnsi="宋体" w:cs="宋体"/>
                <w:color w:val="000000"/>
                <w:spacing w:val="3"/>
                <w:sz w:val="24"/>
              </w:rPr>
              <w:t xml:space="preserve"> </w:t>
            </w:r>
          </w:p>
        </w:tc>
      </w:tr>
    </w:tbl>
    <w:p w14:paraId="7C34B982">
      <w:pPr>
        <w:spacing w:before="65" w:line="282" w:lineRule="auto"/>
        <w:ind w:left="1" w:right="19" w:firstLine="560"/>
        <w:rPr>
          <w:rFonts w:ascii="宋体" w:hAnsi="宋体" w:cs="宋体"/>
          <w:color w:val="auto"/>
          <w:sz w:val="24"/>
        </w:rPr>
      </w:pPr>
      <w:r>
        <w:rPr>
          <w:rFonts w:hint="eastAsia" w:ascii="宋体" w:hAnsi="宋体" w:cs="宋体"/>
          <w:color w:val="000000"/>
          <w:spacing w:val="9"/>
          <w:sz w:val="24"/>
        </w:rPr>
        <w:t>根据《中华人民共和国政府采购法》、《中华人民共和国民法典</w:t>
      </w:r>
      <w:r>
        <w:rPr>
          <w:rFonts w:hint="eastAsia" w:ascii="宋体" w:hAnsi="宋体" w:cs="宋体"/>
          <w:color w:val="000000"/>
          <w:spacing w:val="8"/>
          <w:sz w:val="24"/>
        </w:rPr>
        <w:t>》</w:t>
      </w:r>
      <w:r>
        <w:rPr>
          <w:rFonts w:hint="eastAsia" w:ascii="宋体" w:hAnsi="宋体" w:cs="宋体"/>
          <w:color w:val="auto"/>
          <w:spacing w:val="8"/>
          <w:sz w:val="24"/>
        </w:rPr>
        <w:t>等法律法规的规定，</w:t>
      </w:r>
      <w:r>
        <w:rPr>
          <w:rFonts w:hint="eastAsia" w:ascii="宋体" w:hAnsi="宋体" w:cs="宋体"/>
          <w:color w:val="auto"/>
          <w:spacing w:val="-56"/>
          <w:sz w:val="24"/>
        </w:rPr>
        <w:t xml:space="preserve"> </w:t>
      </w:r>
      <w:r>
        <w:rPr>
          <w:rFonts w:hint="eastAsia" w:ascii="宋体" w:hAnsi="宋体" w:cs="宋体"/>
          <w:color w:val="auto"/>
          <w:spacing w:val="8"/>
          <w:sz w:val="24"/>
        </w:rPr>
        <w:t>甲乙双方</w:t>
      </w:r>
      <w:r>
        <w:rPr>
          <w:rFonts w:hint="eastAsia" w:ascii="宋体" w:hAnsi="宋体" w:cs="宋体"/>
          <w:color w:val="auto"/>
          <w:spacing w:val="10"/>
          <w:sz w:val="24"/>
        </w:rPr>
        <w:t>按照江苏骏通建设项目管理咨询有限公司的</w:t>
      </w:r>
      <w:r>
        <w:rPr>
          <w:rFonts w:hint="eastAsia" w:ascii="宋体" w:hAnsi="宋体" w:cs="宋体"/>
          <w:color w:val="auto"/>
          <w:spacing w:val="10"/>
          <w:sz w:val="24"/>
          <w:u w:val="single"/>
        </w:rPr>
        <w:t xml:space="preserve">           </w:t>
      </w:r>
      <w:r>
        <w:rPr>
          <w:rFonts w:hint="eastAsia" w:ascii="宋体" w:hAnsi="宋体" w:cs="宋体"/>
          <w:color w:val="auto"/>
          <w:spacing w:val="9"/>
          <w:sz w:val="24"/>
        </w:rPr>
        <w:t>招标结果签订本</w:t>
      </w:r>
      <w:r>
        <w:rPr>
          <w:rFonts w:hint="eastAsia" w:ascii="宋体" w:hAnsi="宋体" w:cs="宋体"/>
          <w:color w:val="auto"/>
          <w:spacing w:val="2"/>
          <w:sz w:val="24"/>
        </w:rPr>
        <w:t>合同。</w:t>
      </w:r>
    </w:p>
    <w:p w14:paraId="761E730D">
      <w:pPr>
        <w:ind w:firstLine="506"/>
        <w:jc w:val="left"/>
        <w:rPr>
          <w:rFonts w:hint="eastAsia" w:ascii="宋体" w:hAnsi="宋体" w:cs="宋体"/>
          <w:b/>
          <w:bCs/>
          <w:color w:val="000000"/>
          <w:spacing w:val="6"/>
          <w:sz w:val="24"/>
        </w:rPr>
      </w:pPr>
      <w:r>
        <w:rPr>
          <w:rFonts w:hint="eastAsia" w:ascii="宋体" w:hAnsi="宋体" w:cs="宋体"/>
          <w:b/>
          <w:bCs/>
          <w:color w:val="000000"/>
          <w:spacing w:val="6"/>
          <w:sz w:val="24"/>
        </w:rPr>
        <w:t>第一条：合同标的</w:t>
      </w:r>
    </w:p>
    <w:p w14:paraId="68DB5677">
      <w:pPr>
        <w:ind w:firstLine="506"/>
        <w:jc w:val="left"/>
        <w:rPr>
          <w:rFonts w:ascii="宋体" w:hAnsi="宋体" w:cs="宋体"/>
          <w:color w:val="000000"/>
          <w:sz w:val="24"/>
        </w:rPr>
      </w:pPr>
      <w:r>
        <w:rPr>
          <w:rFonts w:hint="eastAsia" w:ascii="宋体" w:hAnsi="宋体" w:cs="宋体"/>
          <w:color w:val="000000"/>
          <w:spacing w:val="6"/>
          <w:sz w:val="24"/>
        </w:rPr>
        <w:t>乙方根据甲方需求提供下列货物：</w:t>
      </w:r>
      <w:r>
        <w:rPr>
          <w:rFonts w:hint="eastAsia" w:ascii="宋体" w:hAnsi="宋体" w:cs="宋体"/>
          <w:color w:val="000000"/>
          <w:spacing w:val="15"/>
          <w:sz w:val="24"/>
        </w:rPr>
        <w:t xml:space="preserve"> </w:t>
      </w:r>
      <w:r>
        <w:rPr>
          <w:rFonts w:hint="eastAsia" w:ascii="宋体" w:hAnsi="宋体" w:cs="宋体"/>
          <w:color w:val="000000"/>
          <w:spacing w:val="8"/>
          <w:sz w:val="24"/>
        </w:rPr>
        <w:t>货物名称、规格及数量详见“供货一览表</w:t>
      </w:r>
      <w:r>
        <w:rPr>
          <w:rFonts w:hint="eastAsia" w:ascii="宋体" w:hAnsi="宋体" w:cs="宋体"/>
          <w:color w:val="000000"/>
          <w:spacing w:val="-57"/>
          <w:sz w:val="24"/>
        </w:rPr>
        <w:t xml:space="preserve"> </w:t>
      </w:r>
      <w:r>
        <w:rPr>
          <w:rFonts w:hint="eastAsia" w:ascii="宋体" w:hAnsi="宋体" w:cs="宋体"/>
          <w:color w:val="000000"/>
          <w:spacing w:val="8"/>
          <w:sz w:val="24"/>
        </w:rPr>
        <w:t>”。</w:t>
      </w:r>
    </w:p>
    <w:p w14:paraId="7C2D7BE1">
      <w:pPr>
        <w:keepNext w:val="0"/>
        <w:keepLines w:val="0"/>
        <w:pageBreakBefore w:val="0"/>
        <w:widowControl w:val="0"/>
        <w:kinsoku/>
        <w:wordWrap/>
        <w:overflowPunct/>
        <w:topLinePunct w:val="0"/>
        <w:autoSpaceDE/>
        <w:autoSpaceDN/>
        <w:bidi w:val="0"/>
        <w:adjustRightInd/>
        <w:snapToGrid/>
        <w:ind w:left="0" w:firstLine="514" w:firstLineChars="200"/>
        <w:jc w:val="left"/>
        <w:textAlignment w:val="auto"/>
        <w:rPr>
          <w:rFonts w:hint="eastAsia" w:ascii="宋体" w:hAnsi="宋体" w:cs="宋体"/>
          <w:b/>
          <w:bCs/>
          <w:color w:val="000000"/>
          <w:spacing w:val="8"/>
          <w:sz w:val="24"/>
        </w:rPr>
      </w:pPr>
      <w:r>
        <w:rPr>
          <w:rFonts w:hint="eastAsia" w:ascii="宋体" w:hAnsi="宋体" w:cs="宋体"/>
          <w:b/>
          <w:bCs/>
          <w:color w:val="000000"/>
          <w:spacing w:val="8"/>
          <w:sz w:val="24"/>
        </w:rPr>
        <w:t>第二条：合同总价款</w:t>
      </w:r>
    </w:p>
    <w:p w14:paraId="1F092003">
      <w:pPr>
        <w:keepNext w:val="0"/>
        <w:keepLines w:val="0"/>
        <w:pageBreakBefore w:val="0"/>
        <w:widowControl w:val="0"/>
        <w:kinsoku/>
        <w:wordWrap/>
        <w:overflowPunct/>
        <w:topLinePunct w:val="0"/>
        <w:autoSpaceDE/>
        <w:autoSpaceDN/>
        <w:bidi w:val="0"/>
        <w:adjustRightInd/>
        <w:snapToGrid/>
        <w:ind w:left="0" w:firstLine="512" w:firstLineChars="200"/>
        <w:jc w:val="left"/>
        <w:textAlignment w:val="auto"/>
        <w:rPr>
          <w:rFonts w:ascii="宋体" w:hAnsi="宋体" w:cs="宋体"/>
          <w:color w:val="000000"/>
          <w:sz w:val="24"/>
        </w:rPr>
      </w:pPr>
      <w:r>
        <w:rPr>
          <w:rFonts w:hint="eastAsia" w:ascii="宋体" w:hAnsi="宋体" w:cs="宋体"/>
          <w:color w:val="000000"/>
          <w:spacing w:val="8"/>
          <w:sz w:val="24"/>
        </w:rPr>
        <w:t>本合同项下货物总价款为</w:t>
      </w:r>
      <w:r>
        <w:rPr>
          <w:rFonts w:hint="eastAsia" w:ascii="宋体" w:hAnsi="宋体" w:cs="宋体"/>
          <w:b/>
          <w:bCs/>
          <w:color w:val="000000"/>
          <w:spacing w:val="8"/>
          <w:sz w:val="24"/>
          <w:u w:val="single"/>
        </w:rPr>
        <w:t xml:space="preserve">       元整</w:t>
      </w:r>
      <w:r>
        <w:rPr>
          <w:rFonts w:hint="eastAsia" w:ascii="宋体" w:hAnsi="宋体" w:cs="宋体"/>
          <w:b/>
          <w:bCs/>
          <w:color w:val="000000"/>
          <w:spacing w:val="7"/>
          <w:sz w:val="24"/>
        </w:rPr>
        <w:t>（大写）人民币</w:t>
      </w:r>
      <w:r>
        <w:rPr>
          <w:rFonts w:hint="eastAsia" w:ascii="宋体" w:hAnsi="宋体" w:cs="宋体"/>
          <w:b/>
          <w:bCs/>
          <w:color w:val="000000"/>
          <w:spacing w:val="8"/>
          <w:sz w:val="24"/>
          <w:u w:val="single"/>
        </w:rPr>
        <w:t xml:space="preserve">      元</w:t>
      </w:r>
      <w:r>
        <w:rPr>
          <w:rFonts w:hint="eastAsia" w:ascii="宋体" w:hAnsi="宋体" w:cs="宋体"/>
          <w:color w:val="000000"/>
          <w:spacing w:val="7"/>
          <w:sz w:val="24"/>
        </w:rPr>
        <w:t>，分项价款在“</w:t>
      </w:r>
      <w:r>
        <w:rPr>
          <w:rFonts w:hint="eastAsia" w:ascii="宋体" w:hAnsi="宋体" w:cs="宋体"/>
          <w:color w:val="000000"/>
          <w:spacing w:val="8"/>
          <w:sz w:val="24"/>
        </w:rPr>
        <w:t>供货</w:t>
      </w:r>
      <w:r>
        <w:rPr>
          <w:rFonts w:hint="eastAsia" w:ascii="宋体" w:hAnsi="宋体" w:cs="宋体"/>
          <w:color w:val="000000"/>
          <w:spacing w:val="7"/>
          <w:sz w:val="24"/>
        </w:rPr>
        <w:t>一览表</w:t>
      </w:r>
      <w:r>
        <w:rPr>
          <w:rFonts w:hint="eastAsia" w:ascii="宋体" w:hAnsi="宋体" w:cs="宋体"/>
          <w:color w:val="000000"/>
          <w:spacing w:val="-73"/>
          <w:sz w:val="24"/>
        </w:rPr>
        <w:t xml:space="preserve"> </w:t>
      </w:r>
      <w:r>
        <w:rPr>
          <w:rFonts w:hint="eastAsia" w:ascii="宋体" w:hAnsi="宋体" w:cs="宋体"/>
          <w:color w:val="000000"/>
          <w:spacing w:val="7"/>
          <w:sz w:val="24"/>
        </w:rPr>
        <w:t>”中有明确规定。</w:t>
      </w:r>
    </w:p>
    <w:p w14:paraId="642EF516">
      <w:pPr>
        <w:spacing w:before="67" w:line="276" w:lineRule="auto"/>
        <w:ind w:left="4" w:right="89" w:firstLine="559"/>
        <w:jc w:val="left"/>
        <w:rPr>
          <w:rFonts w:ascii="宋体" w:hAnsi="宋体" w:cs="宋体"/>
          <w:color w:val="000000"/>
          <w:sz w:val="24"/>
        </w:rPr>
      </w:pPr>
      <w:r>
        <w:rPr>
          <w:rFonts w:hint="eastAsia" w:ascii="宋体" w:hAnsi="宋体" w:cs="宋体"/>
          <w:color w:val="000000"/>
          <w:spacing w:val="10"/>
          <w:sz w:val="24"/>
        </w:rPr>
        <w:t>本合同总价款是货物设计、制造、包装、仓储、运输、安装及验收</w:t>
      </w:r>
      <w:r>
        <w:rPr>
          <w:rFonts w:hint="eastAsia" w:ascii="宋体" w:hAnsi="宋体" w:cs="宋体"/>
          <w:color w:val="000000"/>
          <w:spacing w:val="9"/>
          <w:sz w:val="24"/>
        </w:rPr>
        <w:t>合格之前及保修期内备品备件</w:t>
      </w:r>
      <w:r>
        <w:rPr>
          <w:rFonts w:hint="eastAsia" w:ascii="宋体" w:hAnsi="宋体" w:cs="宋体"/>
          <w:color w:val="000000"/>
          <w:spacing w:val="7"/>
          <w:sz w:val="24"/>
        </w:rPr>
        <w:t>发生的所有含税费用。</w:t>
      </w:r>
    </w:p>
    <w:p w14:paraId="157C96CC">
      <w:pPr>
        <w:spacing w:before="67" w:line="276" w:lineRule="auto"/>
        <w:ind w:left="4" w:right="89" w:firstLine="559"/>
        <w:jc w:val="left"/>
        <w:rPr>
          <w:rFonts w:hint="eastAsia" w:ascii="宋体" w:hAnsi="宋体" w:cs="宋体"/>
          <w:color w:val="000000"/>
          <w:spacing w:val="9"/>
          <w:sz w:val="24"/>
        </w:rPr>
      </w:pPr>
      <w:r>
        <w:rPr>
          <w:rFonts w:hint="eastAsia" w:ascii="宋体" w:hAnsi="宋体" w:cs="宋体"/>
          <w:color w:val="000000"/>
          <w:spacing w:val="9"/>
          <w:sz w:val="24"/>
        </w:rPr>
        <w:t>本合同总价款还包含乙方应当提供的伴随服务/售后服务费用。 本合同执行期间合同总价款不变。</w:t>
      </w:r>
    </w:p>
    <w:p w14:paraId="780F1063">
      <w:pPr>
        <w:spacing w:before="32" w:line="282" w:lineRule="auto"/>
        <w:ind w:right="2" w:firstLine="561"/>
        <w:rPr>
          <w:rFonts w:hint="eastAsia" w:ascii="宋体" w:hAnsi="宋体" w:cs="宋体"/>
          <w:b/>
          <w:bCs/>
          <w:color w:val="000000"/>
          <w:spacing w:val="8"/>
          <w:sz w:val="24"/>
        </w:rPr>
      </w:pPr>
      <w:r>
        <w:rPr>
          <w:rFonts w:hint="eastAsia" w:ascii="宋体" w:hAnsi="宋体" w:cs="宋体"/>
          <w:b/>
          <w:bCs/>
          <w:color w:val="000000"/>
          <w:spacing w:val="8"/>
          <w:sz w:val="24"/>
        </w:rPr>
        <w:t>第三条：组成本合同的有关文件</w:t>
      </w:r>
    </w:p>
    <w:p w14:paraId="71588AA8">
      <w:pPr>
        <w:spacing w:before="32" w:line="282" w:lineRule="auto"/>
        <w:ind w:right="2" w:firstLine="561"/>
        <w:rPr>
          <w:rFonts w:ascii="宋体" w:hAnsi="宋体" w:cs="宋体"/>
          <w:color w:val="000000"/>
          <w:sz w:val="24"/>
        </w:rPr>
      </w:pPr>
      <w:r>
        <w:rPr>
          <w:rFonts w:hint="eastAsia" w:ascii="宋体" w:hAnsi="宋体" w:cs="宋体"/>
          <w:color w:val="000000"/>
          <w:spacing w:val="8"/>
          <w:sz w:val="24"/>
        </w:rPr>
        <w:t>下列关于</w:t>
      </w:r>
      <w:r>
        <w:rPr>
          <w:rFonts w:hint="eastAsia" w:ascii="宋体" w:hAnsi="宋体" w:cs="宋体"/>
          <w:color w:val="000000"/>
          <w:spacing w:val="-97"/>
          <w:sz w:val="24"/>
        </w:rPr>
        <w:t xml:space="preserve"> </w:t>
      </w:r>
      <w:r>
        <w:rPr>
          <w:rFonts w:hint="eastAsia" w:ascii="宋体" w:hAnsi="宋体" w:cs="宋体"/>
          <w:color w:val="000000"/>
          <w:spacing w:val="5"/>
          <w:sz w:val="24"/>
          <w:u w:val="single"/>
        </w:rPr>
        <w:t xml:space="preserve">              </w:t>
      </w:r>
      <w:r>
        <w:rPr>
          <w:rFonts w:hint="eastAsia" w:ascii="宋体" w:hAnsi="宋体" w:cs="宋体"/>
          <w:color w:val="000000"/>
          <w:spacing w:val="-83"/>
          <w:sz w:val="24"/>
        </w:rPr>
        <w:t xml:space="preserve"> </w:t>
      </w:r>
      <w:r>
        <w:rPr>
          <w:rFonts w:hint="eastAsia" w:ascii="宋体" w:hAnsi="宋体" w:cs="宋体"/>
          <w:color w:val="000000"/>
          <w:spacing w:val="8"/>
          <w:sz w:val="24"/>
        </w:rPr>
        <w:t>号的招投</w:t>
      </w:r>
      <w:r>
        <w:rPr>
          <w:rFonts w:hint="eastAsia" w:ascii="宋体" w:hAnsi="宋体" w:cs="宋体"/>
          <w:color w:val="000000"/>
          <w:spacing w:val="7"/>
          <w:sz w:val="24"/>
        </w:rPr>
        <w:t>标文件或与本次采购活动方式相</w:t>
      </w:r>
      <w:r>
        <w:rPr>
          <w:rFonts w:hint="eastAsia" w:ascii="宋体" w:hAnsi="宋体" w:cs="宋体"/>
          <w:color w:val="000000"/>
          <w:spacing w:val="10"/>
          <w:sz w:val="24"/>
        </w:rPr>
        <w:t>适应的文件及有关附件是本合同不可分割的组成部分，与本合同具有同等法律</w:t>
      </w:r>
      <w:r>
        <w:rPr>
          <w:rFonts w:hint="eastAsia" w:ascii="宋体" w:hAnsi="宋体" w:cs="宋体"/>
          <w:color w:val="000000"/>
          <w:spacing w:val="9"/>
          <w:sz w:val="24"/>
        </w:rPr>
        <w:t>效力，这些文件包括但不</w:t>
      </w:r>
      <w:r>
        <w:rPr>
          <w:rFonts w:hint="eastAsia" w:ascii="宋体" w:hAnsi="宋体" w:cs="宋体"/>
          <w:color w:val="000000"/>
          <w:spacing w:val="3"/>
          <w:sz w:val="24"/>
        </w:rPr>
        <w:t>限于：</w:t>
      </w:r>
    </w:p>
    <w:p w14:paraId="65501F67">
      <w:pPr>
        <w:spacing w:before="30" w:line="227" w:lineRule="auto"/>
        <w:ind w:left="572"/>
        <w:jc w:val="left"/>
        <w:rPr>
          <w:rFonts w:ascii="宋体" w:hAnsi="宋体" w:cs="宋体"/>
          <w:color w:val="000000"/>
          <w:sz w:val="24"/>
        </w:rPr>
      </w:pPr>
      <w:r>
        <w:rPr>
          <w:rFonts w:hint="eastAsia" w:ascii="宋体" w:hAnsi="宋体" w:cs="宋体"/>
          <w:color w:val="000000"/>
          <w:spacing w:val="8"/>
          <w:sz w:val="24"/>
        </w:rPr>
        <w:t>（1）乙方提供的投标文件和开标一览表；</w:t>
      </w:r>
    </w:p>
    <w:p w14:paraId="202A5DA5">
      <w:pPr>
        <w:spacing w:before="69" w:line="227" w:lineRule="auto"/>
        <w:ind w:left="572"/>
        <w:jc w:val="left"/>
        <w:rPr>
          <w:rFonts w:ascii="宋体" w:hAnsi="宋体" w:cs="宋体"/>
          <w:color w:val="000000"/>
          <w:sz w:val="24"/>
        </w:rPr>
      </w:pPr>
      <w:r>
        <w:rPr>
          <w:rFonts w:hint="eastAsia" w:ascii="宋体" w:hAnsi="宋体" w:cs="宋体"/>
          <w:color w:val="000000"/>
          <w:spacing w:val="5"/>
          <w:sz w:val="24"/>
        </w:rPr>
        <w:t>（2）供货一览表；</w:t>
      </w:r>
    </w:p>
    <w:p w14:paraId="4D6C215B">
      <w:pPr>
        <w:spacing w:before="68" w:line="227" w:lineRule="auto"/>
        <w:ind w:left="572"/>
        <w:jc w:val="left"/>
        <w:rPr>
          <w:rFonts w:ascii="宋体" w:hAnsi="宋体" w:cs="宋体"/>
          <w:color w:val="000000"/>
          <w:sz w:val="24"/>
        </w:rPr>
      </w:pPr>
      <w:r>
        <w:rPr>
          <w:rFonts w:hint="eastAsia" w:ascii="宋体" w:hAnsi="宋体" w:cs="宋体"/>
          <w:color w:val="000000"/>
          <w:spacing w:val="6"/>
          <w:sz w:val="24"/>
        </w:rPr>
        <w:t>（3）交货地点一览表；</w:t>
      </w:r>
    </w:p>
    <w:p w14:paraId="0D6F35CA">
      <w:pPr>
        <w:spacing w:before="71" w:line="228" w:lineRule="auto"/>
        <w:ind w:left="572"/>
        <w:jc w:val="left"/>
        <w:rPr>
          <w:rFonts w:ascii="宋体" w:hAnsi="宋体" w:cs="宋体"/>
          <w:color w:val="000000"/>
          <w:sz w:val="24"/>
        </w:rPr>
      </w:pPr>
      <w:r>
        <w:rPr>
          <w:rFonts w:hint="eastAsia" w:ascii="宋体" w:hAnsi="宋体" w:cs="宋体"/>
          <w:color w:val="000000"/>
          <w:spacing w:val="6"/>
          <w:sz w:val="24"/>
        </w:rPr>
        <w:t>（4）技术规格响应表；</w:t>
      </w:r>
    </w:p>
    <w:p w14:paraId="0B5406A9">
      <w:pPr>
        <w:spacing w:before="67" w:line="228" w:lineRule="auto"/>
        <w:ind w:left="572"/>
        <w:jc w:val="left"/>
        <w:rPr>
          <w:rFonts w:ascii="宋体" w:hAnsi="宋体" w:cs="宋体"/>
          <w:color w:val="000000"/>
          <w:sz w:val="24"/>
        </w:rPr>
      </w:pPr>
      <w:r>
        <w:rPr>
          <w:rFonts w:hint="eastAsia" w:ascii="宋体" w:hAnsi="宋体" w:cs="宋体"/>
          <w:color w:val="000000"/>
          <w:spacing w:val="5"/>
          <w:sz w:val="24"/>
        </w:rPr>
        <w:t>（5）投标承诺；</w:t>
      </w:r>
    </w:p>
    <w:p w14:paraId="18876D0F">
      <w:pPr>
        <w:spacing w:before="67" w:line="228" w:lineRule="auto"/>
        <w:ind w:left="572"/>
        <w:jc w:val="left"/>
        <w:rPr>
          <w:rFonts w:ascii="宋体" w:hAnsi="宋体" w:cs="宋体"/>
          <w:color w:val="000000"/>
          <w:sz w:val="24"/>
        </w:rPr>
      </w:pPr>
      <w:r>
        <w:rPr>
          <w:rFonts w:hint="eastAsia" w:ascii="宋体" w:hAnsi="宋体" w:cs="宋体"/>
          <w:color w:val="000000"/>
          <w:spacing w:val="5"/>
          <w:sz w:val="24"/>
        </w:rPr>
        <w:t>（6）服务承诺；</w:t>
      </w:r>
    </w:p>
    <w:p w14:paraId="07449B7F">
      <w:pPr>
        <w:spacing w:before="68" w:line="227" w:lineRule="auto"/>
        <w:ind w:left="572"/>
        <w:jc w:val="left"/>
        <w:rPr>
          <w:rFonts w:ascii="宋体" w:hAnsi="宋体" w:cs="宋体"/>
          <w:color w:val="000000"/>
          <w:sz w:val="24"/>
        </w:rPr>
      </w:pPr>
      <w:r>
        <w:rPr>
          <w:rFonts w:hint="eastAsia" w:ascii="宋体" w:hAnsi="宋体" w:cs="宋体"/>
          <w:color w:val="000000"/>
          <w:spacing w:val="7"/>
          <w:sz w:val="24"/>
        </w:rPr>
        <w:t>（7）中标或成交通知书；</w:t>
      </w:r>
    </w:p>
    <w:p w14:paraId="630C8B49">
      <w:pPr>
        <w:spacing w:before="71" w:line="228" w:lineRule="auto"/>
        <w:ind w:left="572"/>
        <w:jc w:val="left"/>
        <w:rPr>
          <w:rFonts w:ascii="宋体" w:hAnsi="宋体" w:cs="宋体"/>
          <w:color w:val="000000"/>
          <w:sz w:val="24"/>
        </w:rPr>
      </w:pPr>
      <w:r>
        <w:rPr>
          <w:rFonts w:hint="eastAsia" w:ascii="宋体" w:hAnsi="宋体" w:cs="宋体"/>
          <w:color w:val="000000"/>
          <w:spacing w:val="4"/>
          <w:sz w:val="24"/>
        </w:rPr>
        <w:t>（8）</w:t>
      </w:r>
      <w:r>
        <w:rPr>
          <w:rFonts w:hint="eastAsia" w:ascii="宋体" w:hAnsi="宋体" w:cs="宋体"/>
          <w:color w:val="000000"/>
          <w:spacing w:val="-48"/>
          <w:sz w:val="24"/>
        </w:rPr>
        <w:t xml:space="preserve"> </w:t>
      </w:r>
      <w:r>
        <w:rPr>
          <w:rFonts w:hint="eastAsia" w:ascii="宋体" w:hAnsi="宋体" w:cs="宋体"/>
          <w:color w:val="000000"/>
          <w:spacing w:val="4"/>
          <w:sz w:val="24"/>
        </w:rPr>
        <w:t>甲乙双方商定的其他文件。</w:t>
      </w:r>
    </w:p>
    <w:p w14:paraId="2EAB11DE">
      <w:pPr>
        <w:spacing w:before="67" w:line="228" w:lineRule="auto"/>
        <w:ind w:left="562"/>
        <w:jc w:val="left"/>
        <w:rPr>
          <w:rFonts w:ascii="宋体" w:hAnsi="宋体" w:cs="宋体"/>
          <w:color w:val="000000"/>
          <w:sz w:val="24"/>
        </w:rPr>
      </w:pPr>
      <w:r>
        <w:rPr>
          <w:rFonts w:hint="eastAsia" w:ascii="宋体" w:hAnsi="宋体" w:cs="宋体"/>
          <w:b/>
          <w:bCs/>
          <w:color w:val="000000"/>
          <w:spacing w:val="6"/>
          <w:sz w:val="24"/>
        </w:rPr>
        <w:t>第四条</w:t>
      </w:r>
      <w:r>
        <w:rPr>
          <w:rFonts w:hint="eastAsia" w:ascii="宋体" w:hAnsi="宋体" w:cs="宋体"/>
          <w:color w:val="000000"/>
          <w:spacing w:val="6"/>
          <w:sz w:val="24"/>
        </w:rPr>
        <w:t xml:space="preserve">  </w:t>
      </w:r>
      <w:r>
        <w:rPr>
          <w:rFonts w:hint="eastAsia" w:ascii="宋体" w:hAnsi="宋体" w:cs="宋体"/>
          <w:b/>
          <w:bCs/>
          <w:color w:val="000000"/>
          <w:spacing w:val="6"/>
          <w:sz w:val="24"/>
        </w:rPr>
        <w:t>权利保证</w:t>
      </w:r>
    </w:p>
    <w:p w14:paraId="414094B1">
      <w:pPr>
        <w:spacing w:before="66" w:line="282" w:lineRule="auto"/>
        <w:ind w:right="19" w:firstLine="582"/>
        <w:rPr>
          <w:rFonts w:ascii="宋体" w:hAnsi="宋体" w:cs="宋体"/>
          <w:color w:val="000000"/>
          <w:sz w:val="24"/>
        </w:rPr>
      </w:pPr>
      <w:r>
        <w:rPr>
          <w:rFonts w:hint="eastAsia" w:ascii="宋体" w:hAnsi="宋体" w:cs="宋体"/>
          <w:color w:val="000000"/>
          <w:spacing w:val="9"/>
          <w:sz w:val="24"/>
        </w:rPr>
        <w:t>乙方应保证买方在使用该货物或其任何一部分时不受第三方提出侵犯其专利权、版权、商标权或 其他权利的起诉。一旦出现侵权，乙方应承担全部责任。</w:t>
      </w:r>
      <w:r>
        <w:rPr>
          <w:rFonts w:hint="eastAsia" w:ascii="宋体" w:hAnsi="宋体" w:cs="宋体"/>
          <w:color w:val="000000"/>
          <w:spacing w:val="-58"/>
          <w:sz w:val="24"/>
        </w:rPr>
        <w:t xml:space="preserve"> </w:t>
      </w:r>
      <w:r>
        <w:rPr>
          <w:rFonts w:hint="eastAsia" w:ascii="宋体" w:hAnsi="宋体" w:cs="宋体"/>
          <w:color w:val="000000"/>
          <w:spacing w:val="9"/>
          <w:sz w:val="24"/>
        </w:rPr>
        <w:t>由此给甲方造成损失的，乙</w:t>
      </w:r>
      <w:r>
        <w:rPr>
          <w:rFonts w:hint="eastAsia" w:ascii="宋体" w:hAnsi="宋体" w:cs="宋体"/>
          <w:color w:val="000000"/>
          <w:spacing w:val="8"/>
          <w:sz w:val="24"/>
        </w:rPr>
        <w:t>方应赔偿甲方全部损失，同时甲方有权解除合同。</w:t>
      </w:r>
    </w:p>
    <w:p w14:paraId="6CE6BD65">
      <w:pPr>
        <w:spacing w:before="31" w:line="228" w:lineRule="auto"/>
        <w:ind w:left="562"/>
        <w:jc w:val="left"/>
        <w:rPr>
          <w:rFonts w:ascii="宋体" w:hAnsi="宋体" w:cs="宋体"/>
          <w:color w:val="000000"/>
          <w:sz w:val="24"/>
        </w:rPr>
      </w:pPr>
      <w:r>
        <w:rPr>
          <w:rFonts w:hint="eastAsia" w:ascii="宋体" w:hAnsi="宋体" w:cs="宋体"/>
          <w:b/>
          <w:bCs/>
          <w:color w:val="000000"/>
          <w:spacing w:val="6"/>
          <w:sz w:val="24"/>
        </w:rPr>
        <w:t>第五条</w:t>
      </w:r>
      <w:r>
        <w:rPr>
          <w:rFonts w:hint="eastAsia" w:ascii="宋体" w:hAnsi="宋体" w:cs="宋体"/>
          <w:color w:val="000000"/>
          <w:spacing w:val="6"/>
          <w:sz w:val="24"/>
        </w:rPr>
        <w:t xml:space="preserve">  </w:t>
      </w:r>
      <w:r>
        <w:rPr>
          <w:rFonts w:hint="eastAsia" w:ascii="宋体" w:hAnsi="宋体" w:cs="宋体"/>
          <w:b/>
          <w:bCs/>
          <w:color w:val="000000"/>
          <w:spacing w:val="6"/>
          <w:sz w:val="24"/>
        </w:rPr>
        <w:t>质量保证</w:t>
      </w:r>
    </w:p>
    <w:p w14:paraId="3D404645">
      <w:pPr>
        <w:spacing w:before="66" w:line="259" w:lineRule="auto"/>
        <w:ind w:right="2" w:firstLine="577"/>
        <w:jc w:val="left"/>
        <w:rPr>
          <w:rFonts w:ascii="宋体" w:hAnsi="宋体" w:cs="宋体"/>
          <w:color w:val="000000"/>
          <w:sz w:val="24"/>
        </w:rPr>
      </w:pPr>
      <w:r>
        <w:rPr>
          <w:rFonts w:hint="eastAsia" w:ascii="宋体" w:hAnsi="宋体" w:cs="宋体"/>
          <w:color w:val="000000"/>
          <w:spacing w:val="8"/>
          <w:sz w:val="24"/>
        </w:rPr>
        <w:t>1、乙方所提供的货物的技术规格应与招标文件规定的技术规格及所附的“技术规格响应表</w:t>
      </w:r>
      <w:r>
        <w:rPr>
          <w:rFonts w:hint="eastAsia" w:ascii="宋体" w:hAnsi="宋体" w:cs="宋体"/>
          <w:color w:val="000000"/>
          <w:spacing w:val="-65"/>
          <w:sz w:val="24"/>
        </w:rPr>
        <w:t xml:space="preserve"> </w:t>
      </w:r>
      <w:r>
        <w:rPr>
          <w:rFonts w:hint="eastAsia" w:ascii="宋体" w:hAnsi="宋体" w:cs="宋体"/>
          <w:color w:val="000000"/>
          <w:spacing w:val="8"/>
          <w:sz w:val="24"/>
        </w:rPr>
        <w:t>”相一</w:t>
      </w:r>
      <w:r>
        <w:rPr>
          <w:rFonts w:hint="eastAsia" w:ascii="宋体" w:hAnsi="宋体" w:cs="宋体"/>
          <w:color w:val="000000"/>
          <w:sz w:val="24"/>
        </w:rPr>
        <w:t xml:space="preserve"> </w:t>
      </w:r>
      <w:r>
        <w:rPr>
          <w:rFonts w:hint="eastAsia" w:ascii="宋体" w:hAnsi="宋体" w:cs="宋体"/>
          <w:color w:val="000000"/>
          <w:spacing w:val="9"/>
          <w:sz w:val="24"/>
        </w:rPr>
        <w:t>致；若技术性能无特殊说明，则按国家有关部门最新颁布的标准及规范为准。</w:t>
      </w:r>
    </w:p>
    <w:p w14:paraId="2FB1D5A7">
      <w:pPr>
        <w:spacing w:before="70" w:line="275" w:lineRule="auto"/>
        <w:ind w:left="8" w:firstLine="556"/>
        <w:jc w:val="left"/>
        <w:rPr>
          <w:rFonts w:ascii="宋体" w:hAnsi="宋体" w:cs="宋体"/>
          <w:color w:val="000000"/>
          <w:sz w:val="24"/>
        </w:rPr>
      </w:pPr>
      <w:r>
        <w:rPr>
          <w:rFonts w:hint="eastAsia" w:ascii="宋体" w:hAnsi="宋体" w:cs="宋体"/>
          <w:color w:val="000000"/>
          <w:spacing w:val="9"/>
          <w:sz w:val="24"/>
        </w:rPr>
        <w:t>2、乙方应保证货物是全新、未使用过的原装合格正品，并完全符合合同规定的质量、规格和性能</w:t>
      </w:r>
      <w:r>
        <w:rPr>
          <w:rFonts w:hint="eastAsia" w:ascii="宋体" w:hAnsi="宋体" w:cs="宋体"/>
          <w:color w:val="000000"/>
          <w:spacing w:val="7"/>
          <w:sz w:val="24"/>
        </w:rPr>
        <w:t xml:space="preserve"> </w:t>
      </w:r>
      <w:r>
        <w:rPr>
          <w:rFonts w:hint="eastAsia" w:ascii="宋体" w:hAnsi="宋体" w:cs="宋体"/>
          <w:color w:val="000000"/>
          <w:spacing w:val="10"/>
          <w:sz w:val="24"/>
        </w:rPr>
        <w:t>的要求。乙方应保证其提供的货物在正确安装、正常使用和保</w:t>
      </w:r>
      <w:r>
        <w:rPr>
          <w:rFonts w:hint="eastAsia" w:ascii="宋体" w:hAnsi="宋体" w:cs="宋体"/>
          <w:color w:val="000000"/>
          <w:spacing w:val="9"/>
          <w:sz w:val="24"/>
        </w:rPr>
        <w:t>养条件下，在其使用寿命内具有良好的性</w:t>
      </w:r>
      <w:r>
        <w:rPr>
          <w:rFonts w:hint="eastAsia" w:ascii="宋体" w:hAnsi="宋体" w:cs="宋体"/>
          <w:color w:val="000000"/>
          <w:sz w:val="24"/>
        </w:rPr>
        <w:t xml:space="preserve"> </w:t>
      </w:r>
      <w:r>
        <w:rPr>
          <w:rFonts w:hint="eastAsia" w:ascii="宋体" w:hAnsi="宋体" w:cs="宋体"/>
          <w:color w:val="000000"/>
          <w:spacing w:val="10"/>
          <w:sz w:val="24"/>
        </w:rPr>
        <w:t>能。货物验收后，在质量保证期内，乙方应对由于设计、工艺</w:t>
      </w:r>
      <w:r>
        <w:rPr>
          <w:rFonts w:hint="eastAsia" w:ascii="宋体" w:hAnsi="宋体" w:cs="宋体"/>
          <w:color w:val="000000"/>
          <w:spacing w:val="9"/>
          <w:sz w:val="24"/>
        </w:rPr>
        <w:t>或材料的缺陷所发生的任何不足或故障负</w:t>
      </w:r>
      <w:r>
        <w:rPr>
          <w:rFonts w:hint="eastAsia" w:ascii="宋体" w:hAnsi="宋体" w:cs="宋体"/>
          <w:color w:val="000000"/>
          <w:spacing w:val="7"/>
          <w:sz w:val="24"/>
        </w:rPr>
        <w:t>责，所需费用由乙方承担。</w:t>
      </w:r>
    </w:p>
    <w:p w14:paraId="76F17E70">
      <w:pPr>
        <w:spacing w:before="69" w:line="228" w:lineRule="auto"/>
        <w:ind w:left="562"/>
        <w:jc w:val="left"/>
        <w:rPr>
          <w:rFonts w:ascii="宋体" w:hAnsi="宋体" w:cs="宋体"/>
          <w:color w:val="000000"/>
          <w:sz w:val="24"/>
        </w:rPr>
      </w:pPr>
      <w:r>
        <w:rPr>
          <w:rFonts w:hint="eastAsia" w:ascii="宋体" w:hAnsi="宋体" w:cs="宋体"/>
          <w:b/>
          <w:bCs/>
          <w:color w:val="000000"/>
          <w:spacing w:val="6"/>
          <w:sz w:val="24"/>
        </w:rPr>
        <w:t>第六条</w:t>
      </w:r>
      <w:r>
        <w:rPr>
          <w:rFonts w:hint="eastAsia" w:ascii="宋体" w:hAnsi="宋体" w:cs="宋体"/>
          <w:color w:val="000000"/>
          <w:spacing w:val="6"/>
          <w:sz w:val="24"/>
        </w:rPr>
        <w:t xml:space="preserve">  </w:t>
      </w:r>
      <w:r>
        <w:rPr>
          <w:rFonts w:hint="eastAsia" w:ascii="宋体" w:hAnsi="宋体" w:cs="宋体"/>
          <w:b/>
          <w:bCs/>
          <w:color w:val="000000"/>
          <w:spacing w:val="6"/>
          <w:sz w:val="24"/>
        </w:rPr>
        <w:t>包装要求</w:t>
      </w:r>
    </w:p>
    <w:p w14:paraId="1BE920A7">
      <w:pPr>
        <w:spacing w:before="65" w:line="269" w:lineRule="auto"/>
        <w:ind w:left="4" w:right="2" w:firstLine="573"/>
        <w:jc w:val="left"/>
        <w:rPr>
          <w:rFonts w:ascii="宋体" w:hAnsi="宋体" w:cs="宋体"/>
          <w:color w:val="000000"/>
          <w:sz w:val="24"/>
        </w:rPr>
      </w:pPr>
      <w:r>
        <w:rPr>
          <w:rFonts w:hint="eastAsia" w:ascii="宋体" w:hAnsi="宋体" w:cs="宋体"/>
          <w:color w:val="000000"/>
          <w:spacing w:val="9"/>
          <w:sz w:val="24"/>
        </w:rPr>
        <w:t>1、除合同另有规定外，乙方提供的全部货物均应按标准保护措施进行包装。该</w:t>
      </w:r>
      <w:r>
        <w:rPr>
          <w:rFonts w:hint="eastAsia" w:ascii="宋体" w:hAnsi="宋体" w:cs="宋体"/>
          <w:color w:val="000000"/>
          <w:spacing w:val="8"/>
          <w:sz w:val="24"/>
        </w:rPr>
        <w:t>包装应适应于远距</w:t>
      </w:r>
      <w:r>
        <w:rPr>
          <w:rFonts w:hint="eastAsia" w:ascii="宋体" w:hAnsi="宋体" w:cs="宋体"/>
          <w:color w:val="000000"/>
          <w:sz w:val="24"/>
        </w:rPr>
        <w:t xml:space="preserve"> </w:t>
      </w:r>
      <w:r>
        <w:rPr>
          <w:rFonts w:hint="eastAsia" w:ascii="宋体" w:hAnsi="宋体" w:cs="宋体"/>
          <w:color w:val="000000"/>
          <w:spacing w:val="10"/>
          <w:sz w:val="24"/>
        </w:rPr>
        <w:t>离运输、防潮、防震、防锈和防野蛮装卸，以确保货物安全无损运抵指</w:t>
      </w:r>
      <w:r>
        <w:rPr>
          <w:rFonts w:hint="eastAsia" w:ascii="宋体" w:hAnsi="宋体" w:cs="宋体"/>
          <w:color w:val="000000"/>
          <w:spacing w:val="9"/>
          <w:sz w:val="24"/>
        </w:rPr>
        <w:t>定地点。由于包装不善所引起的</w:t>
      </w:r>
      <w:r>
        <w:rPr>
          <w:rFonts w:hint="eastAsia" w:ascii="宋体" w:hAnsi="宋体" w:cs="宋体"/>
          <w:color w:val="000000"/>
          <w:sz w:val="24"/>
        </w:rPr>
        <w:t xml:space="preserve"> </w:t>
      </w:r>
      <w:r>
        <w:rPr>
          <w:rFonts w:hint="eastAsia" w:ascii="宋体" w:hAnsi="宋体" w:cs="宋体"/>
          <w:color w:val="000000"/>
          <w:spacing w:val="7"/>
          <w:sz w:val="24"/>
        </w:rPr>
        <w:t>货物损失均由乙方承担。</w:t>
      </w:r>
    </w:p>
    <w:p w14:paraId="6124CDF4">
      <w:pPr>
        <w:spacing w:before="68" w:line="227" w:lineRule="auto"/>
        <w:ind w:left="564"/>
        <w:jc w:val="left"/>
        <w:rPr>
          <w:rFonts w:ascii="宋体" w:hAnsi="宋体" w:cs="宋体"/>
          <w:color w:val="000000"/>
          <w:sz w:val="24"/>
        </w:rPr>
      </w:pPr>
      <w:r>
        <w:rPr>
          <w:rFonts w:hint="eastAsia" w:ascii="宋体" w:hAnsi="宋体" w:cs="宋体"/>
          <w:color w:val="000000"/>
          <w:spacing w:val="9"/>
          <w:sz w:val="24"/>
        </w:rPr>
        <w:t>2、每一包装单元内应附详细的装箱单和质量</w:t>
      </w:r>
      <w:r>
        <w:rPr>
          <w:rFonts w:hint="eastAsia" w:ascii="宋体" w:hAnsi="宋体" w:cs="宋体"/>
          <w:color w:val="000000"/>
          <w:spacing w:val="8"/>
          <w:sz w:val="24"/>
        </w:rPr>
        <w:t>合格凭证。</w:t>
      </w:r>
    </w:p>
    <w:p w14:paraId="1EC55FCF">
      <w:pPr>
        <w:spacing w:before="70" w:line="227" w:lineRule="auto"/>
        <w:ind w:left="562"/>
        <w:jc w:val="left"/>
        <w:rPr>
          <w:rFonts w:ascii="宋体" w:hAnsi="宋体" w:cs="宋体"/>
          <w:color w:val="000000"/>
          <w:sz w:val="24"/>
        </w:rPr>
      </w:pPr>
      <w:r>
        <w:rPr>
          <w:rFonts w:hint="eastAsia" w:ascii="宋体" w:hAnsi="宋体" w:cs="宋体"/>
          <w:b/>
          <w:bCs/>
          <w:color w:val="000000"/>
          <w:spacing w:val="6"/>
          <w:sz w:val="24"/>
        </w:rPr>
        <w:t>第七条</w:t>
      </w:r>
      <w:r>
        <w:rPr>
          <w:rFonts w:hint="eastAsia" w:ascii="宋体" w:hAnsi="宋体" w:cs="宋体"/>
          <w:color w:val="000000"/>
          <w:spacing w:val="6"/>
          <w:sz w:val="24"/>
        </w:rPr>
        <w:t xml:space="preserve">  </w:t>
      </w:r>
      <w:r>
        <w:rPr>
          <w:rFonts w:hint="eastAsia" w:ascii="宋体" w:hAnsi="宋体" w:cs="宋体"/>
          <w:b/>
          <w:bCs/>
          <w:color w:val="000000"/>
          <w:spacing w:val="6"/>
          <w:sz w:val="24"/>
        </w:rPr>
        <w:t>交货和验收</w:t>
      </w:r>
    </w:p>
    <w:p w14:paraId="6E40E537">
      <w:pPr>
        <w:ind w:firstLine="516"/>
        <w:jc w:val="left"/>
        <w:rPr>
          <w:rFonts w:hint="eastAsia" w:ascii="宋体" w:hAnsi="宋体" w:eastAsia="宋体" w:cs="宋体"/>
          <w:color w:val="000000"/>
          <w:sz w:val="24"/>
          <w:lang w:eastAsia="zh-CN"/>
        </w:rPr>
      </w:pPr>
      <w:r>
        <w:rPr>
          <w:rFonts w:hint="eastAsia" w:ascii="宋体" w:hAnsi="宋体" w:cs="宋体"/>
          <w:color w:val="000000"/>
          <w:spacing w:val="9"/>
          <w:sz w:val="24"/>
        </w:rPr>
        <w:t>1、乙方应按照本合同或招投标文件规定的时间和方式向甲方交付货物，交货地点由甲方指</w:t>
      </w:r>
      <w:r>
        <w:rPr>
          <w:rFonts w:hint="eastAsia" w:ascii="宋体" w:hAnsi="宋体" w:cs="宋体"/>
          <w:color w:val="000000"/>
          <w:spacing w:val="8"/>
          <w:sz w:val="24"/>
        </w:rPr>
        <w:t>定。</w:t>
      </w:r>
      <w:r>
        <w:rPr>
          <w:rFonts w:hint="eastAsia" w:ascii="宋体" w:hAnsi="宋体" w:cs="宋体"/>
          <w:color w:val="auto"/>
          <w:sz w:val="24"/>
        </w:rPr>
        <w:t>合同签订后7日内完成供货并且安装调试完毕</w:t>
      </w:r>
      <w:r>
        <w:rPr>
          <w:rFonts w:hint="eastAsia" w:ascii="宋体" w:hAnsi="宋体" w:cs="宋体"/>
          <w:color w:val="auto"/>
          <w:sz w:val="24"/>
          <w:lang w:eastAsia="zh-CN"/>
        </w:rPr>
        <w:t>。</w:t>
      </w:r>
    </w:p>
    <w:p w14:paraId="56954704">
      <w:pPr>
        <w:spacing w:before="36" w:line="269" w:lineRule="auto"/>
        <w:ind w:left="1" w:right="2" w:firstLine="563"/>
        <w:jc w:val="left"/>
        <w:rPr>
          <w:rFonts w:ascii="宋体" w:hAnsi="宋体" w:cs="宋体"/>
          <w:color w:val="000000"/>
          <w:sz w:val="24"/>
        </w:rPr>
      </w:pPr>
      <w:r>
        <w:rPr>
          <w:rFonts w:hint="eastAsia" w:ascii="宋体" w:hAnsi="宋体" w:cs="宋体"/>
          <w:color w:val="000000"/>
          <w:spacing w:val="9"/>
          <w:sz w:val="24"/>
        </w:rPr>
        <w:t>2、乙方交付的货物应当完全符合本合同或者招投标文件所规定的货物、数量和规格要求。乙方不</w:t>
      </w:r>
      <w:r>
        <w:rPr>
          <w:rFonts w:hint="eastAsia" w:ascii="宋体" w:hAnsi="宋体" w:cs="宋体"/>
          <w:color w:val="000000"/>
          <w:spacing w:val="8"/>
          <w:sz w:val="24"/>
        </w:rPr>
        <w:t>得少交或多交货物。乙方提供的货物不符合招投标文件和合同规定的，</w:t>
      </w:r>
      <w:r>
        <w:rPr>
          <w:rFonts w:hint="eastAsia" w:ascii="宋体" w:hAnsi="宋体" w:cs="宋体"/>
          <w:color w:val="000000"/>
          <w:spacing w:val="-58"/>
          <w:sz w:val="24"/>
        </w:rPr>
        <w:t xml:space="preserve"> </w:t>
      </w:r>
      <w:r>
        <w:rPr>
          <w:rFonts w:hint="eastAsia" w:ascii="宋体" w:hAnsi="宋体" w:cs="宋体"/>
          <w:color w:val="000000"/>
          <w:spacing w:val="8"/>
          <w:sz w:val="24"/>
        </w:rPr>
        <w:t>甲方有权拒收货物</w:t>
      </w:r>
      <w:r>
        <w:rPr>
          <w:rFonts w:hint="eastAsia" w:ascii="宋体" w:hAnsi="宋体" w:cs="宋体"/>
          <w:color w:val="000000"/>
          <w:spacing w:val="7"/>
          <w:sz w:val="24"/>
        </w:rPr>
        <w:t>，</w:t>
      </w:r>
      <w:r>
        <w:rPr>
          <w:rFonts w:hint="eastAsia" w:ascii="宋体" w:hAnsi="宋体" w:cs="宋体"/>
          <w:color w:val="000000"/>
          <w:spacing w:val="-58"/>
          <w:sz w:val="24"/>
        </w:rPr>
        <w:t xml:space="preserve"> </w:t>
      </w:r>
      <w:r>
        <w:rPr>
          <w:rFonts w:hint="eastAsia" w:ascii="宋体" w:hAnsi="宋体" w:cs="宋体"/>
          <w:color w:val="000000"/>
          <w:spacing w:val="7"/>
          <w:sz w:val="24"/>
        </w:rPr>
        <w:t>由此引起的</w:t>
      </w:r>
      <w:r>
        <w:rPr>
          <w:rFonts w:hint="eastAsia" w:ascii="宋体" w:hAnsi="宋体" w:cs="宋体"/>
          <w:color w:val="000000"/>
          <w:sz w:val="24"/>
        </w:rPr>
        <w:t xml:space="preserve"> </w:t>
      </w:r>
      <w:r>
        <w:rPr>
          <w:rFonts w:hint="eastAsia" w:ascii="宋体" w:hAnsi="宋体" w:cs="宋体"/>
          <w:color w:val="000000"/>
          <w:spacing w:val="7"/>
          <w:sz w:val="24"/>
        </w:rPr>
        <w:t>风险，由乙方承担。</w:t>
      </w:r>
    </w:p>
    <w:p w14:paraId="37575FBE">
      <w:pPr>
        <w:spacing w:before="36" w:line="269" w:lineRule="auto"/>
        <w:ind w:left="1" w:right="2" w:firstLine="563"/>
        <w:jc w:val="left"/>
        <w:rPr>
          <w:rFonts w:hint="eastAsia" w:ascii="宋体" w:hAnsi="宋体" w:cs="宋体"/>
          <w:color w:val="000000"/>
          <w:spacing w:val="9"/>
          <w:sz w:val="24"/>
        </w:rPr>
      </w:pPr>
      <w:r>
        <w:rPr>
          <w:rFonts w:hint="eastAsia" w:ascii="宋体" w:hAnsi="宋体" w:cs="宋体"/>
          <w:color w:val="000000"/>
          <w:spacing w:val="9"/>
          <w:sz w:val="24"/>
        </w:rPr>
        <w:t>3、货物的到货验收包括：型号、规格、数量、外观质量、及货物包装是否完好。</w:t>
      </w:r>
    </w:p>
    <w:p w14:paraId="42E15F38">
      <w:pPr>
        <w:spacing w:before="72" w:line="269" w:lineRule="auto"/>
        <w:ind w:left="1" w:firstLine="559"/>
        <w:jc w:val="left"/>
        <w:rPr>
          <w:rFonts w:ascii="宋体" w:hAnsi="宋体" w:cs="宋体"/>
          <w:color w:val="000000"/>
          <w:sz w:val="24"/>
        </w:rPr>
      </w:pPr>
      <w:r>
        <w:rPr>
          <w:rFonts w:hint="eastAsia" w:ascii="宋体" w:hAnsi="宋体" w:cs="宋体"/>
          <w:color w:val="000000"/>
          <w:spacing w:val="9"/>
          <w:sz w:val="24"/>
        </w:rPr>
        <w:t>4、乙方应将所提供货物的装箱清单、用户手册、原厂保修卡、随机资料及配件、随机工具等交付</w:t>
      </w:r>
      <w:r>
        <w:rPr>
          <w:rFonts w:hint="eastAsia" w:ascii="宋体" w:hAnsi="宋体" w:cs="宋体"/>
          <w:color w:val="000000"/>
          <w:spacing w:val="10"/>
          <w:sz w:val="24"/>
        </w:rPr>
        <w:t>给甲方；乙方不能完整交付货物及本款规定的单证和工具的，视为未按合同约定交货，乙方负责补齐，</w:t>
      </w:r>
      <w:r>
        <w:rPr>
          <w:rFonts w:hint="eastAsia" w:ascii="宋体" w:hAnsi="宋体" w:cs="宋体"/>
          <w:color w:val="000000"/>
          <w:spacing w:val="7"/>
          <w:sz w:val="24"/>
        </w:rPr>
        <w:t>因此导致逾期交付的，</w:t>
      </w:r>
      <w:r>
        <w:rPr>
          <w:rFonts w:hint="eastAsia" w:ascii="宋体" w:hAnsi="宋体" w:cs="宋体"/>
          <w:color w:val="000000"/>
          <w:spacing w:val="-54"/>
          <w:sz w:val="24"/>
        </w:rPr>
        <w:t xml:space="preserve"> </w:t>
      </w:r>
      <w:r>
        <w:rPr>
          <w:rFonts w:hint="eastAsia" w:ascii="宋体" w:hAnsi="宋体" w:cs="宋体"/>
          <w:color w:val="000000"/>
          <w:spacing w:val="7"/>
          <w:sz w:val="24"/>
        </w:rPr>
        <w:t>由乙方承担相关的违约责任。</w:t>
      </w:r>
    </w:p>
    <w:p w14:paraId="2664A914">
      <w:pPr>
        <w:spacing w:before="67" w:line="270" w:lineRule="auto"/>
        <w:ind w:left="5" w:right="2" w:firstLine="560"/>
        <w:jc w:val="left"/>
        <w:rPr>
          <w:rFonts w:ascii="宋体" w:hAnsi="宋体" w:cs="宋体"/>
          <w:color w:val="000000"/>
          <w:sz w:val="24"/>
        </w:rPr>
      </w:pPr>
      <w:r>
        <w:rPr>
          <w:rFonts w:hint="eastAsia" w:ascii="宋体" w:hAnsi="宋体" w:cs="宋体"/>
          <w:color w:val="000000"/>
          <w:spacing w:val="8"/>
          <w:sz w:val="24"/>
        </w:rPr>
        <w:t>5、甲方应当在到货后的（3）个工作日内对货物进行验收；需要乙方对货物或系统进行安装调试的，</w:t>
      </w:r>
      <w:r>
        <w:rPr>
          <w:rFonts w:hint="eastAsia" w:ascii="宋体" w:hAnsi="宋体" w:cs="宋体"/>
          <w:color w:val="000000"/>
          <w:spacing w:val="-56"/>
          <w:sz w:val="24"/>
        </w:rPr>
        <w:t xml:space="preserve"> </w:t>
      </w:r>
      <w:r>
        <w:rPr>
          <w:rFonts w:hint="eastAsia" w:ascii="宋体" w:hAnsi="宋体" w:cs="宋体"/>
          <w:color w:val="000000"/>
          <w:spacing w:val="8"/>
          <w:sz w:val="24"/>
        </w:rPr>
        <w:t>甲方应在货物安装调试完毕后的（3）个工作日内进行质量验收。验收合格的，由甲方签</w:t>
      </w:r>
      <w:r>
        <w:rPr>
          <w:rFonts w:hint="eastAsia" w:ascii="宋体" w:hAnsi="宋体" w:cs="宋体"/>
          <w:color w:val="000000"/>
          <w:spacing w:val="7"/>
          <w:sz w:val="24"/>
        </w:rPr>
        <w:t>署验收单</w:t>
      </w:r>
      <w:r>
        <w:rPr>
          <w:rFonts w:hint="eastAsia" w:ascii="宋体" w:hAnsi="宋体" w:cs="宋体"/>
          <w:color w:val="000000"/>
          <w:spacing w:val="9"/>
          <w:sz w:val="24"/>
        </w:rPr>
        <w:t>并加盖单位公章。招标文件对检验期限另有规定的，从其规定。</w:t>
      </w:r>
    </w:p>
    <w:p w14:paraId="38F6EE30">
      <w:pPr>
        <w:spacing w:before="68" w:line="259" w:lineRule="auto"/>
        <w:ind w:left="4" w:firstLine="559"/>
        <w:jc w:val="left"/>
        <w:rPr>
          <w:rFonts w:ascii="宋体" w:hAnsi="宋体" w:cs="宋体"/>
          <w:color w:val="000000"/>
          <w:sz w:val="24"/>
        </w:rPr>
      </w:pPr>
      <w:r>
        <w:rPr>
          <w:rFonts w:hint="eastAsia" w:ascii="宋体" w:hAnsi="宋体" w:cs="宋体"/>
          <w:color w:val="000000"/>
          <w:spacing w:val="5"/>
          <w:sz w:val="24"/>
        </w:rPr>
        <w:t>6、货物和系统调试验收的标准：符合国家</w:t>
      </w:r>
      <w:r>
        <w:rPr>
          <w:rFonts w:hint="eastAsia" w:ascii="宋体" w:hAnsi="宋体" w:cs="宋体"/>
          <w:color w:val="000000"/>
          <w:spacing w:val="4"/>
          <w:sz w:val="24"/>
        </w:rPr>
        <w:t>相关验收规范、厂方出厂标准和乙方投标文件的承诺（详</w:t>
      </w:r>
      <w:r>
        <w:rPr>
          <w:rFonts w:hint="eastAsia" w:ascii="宋体" w:hAnsi="宋体" w:cs="宋体"/>
          <w:color w:val="000000"/>
          <w:spacing w:val="8"/>
          <w:sz w:val="24"/>
        </w:rPr>
        <w:t>见合同附件载明的标准，并不低于国家相关标准）。</w:t>
      </w:r>
    </w:p>
    <w:p w14:paraId="727B5E2A">
      <w:pPr>
        <w:spacing w:before="70" w:line="228" w:lineRule="auto"/>
        <w:ind w:left="562"/>
        <w:jc w:val="left"/>
        <w:rPr>
          <w:rFonts w:ascii="宋体" w:hAnsi="宋体" w:cs="宋体"/>
          <w:color w:val="000000"/>
          <w:sz w:val="24"/>
        </w:rPr>
      </w:pPr>
      <w:r>
        <w:rPr>
          <w:rFonts w:hint="eastAsia" w:ascii="宋体" w:hAnsi="宋体" w:cs="宋体"/>
          <w:b/>
          <w:bCs/>
          <w:color w:val="000000"/>
          <w:spacing w:val="7"/>
          <w:sz w:val="24"/>
        </w:rPr>
        <w:t>第八条</w:t>
      </w:r>
      <w:r>
        <w:rPr>
          <w:rFonts w:hint="eastAsia" w:ascii="宋体" w:hAnsi="宋体" w:cs="宋体"/>
          <w:color w:val="000000"/>
          <w:spacing w:val="7"/>
          <w:sz w:val="24"/>
        </w:rPr>
        <w:t xml:space="preserve">  </w:t>
      </w:r>
      <w:r>
        <w:rPr>
          <w:rFonts w:hint="eastAsia" w:ascii="宋体" w:hAnsi="宋体" w:cs="宋体"/>
          <w:b/>
          <w:bCs/>
          <w:color w:val="000000"/>
          <w:spacing w:val="7"/>
          <w:sz w:val="24"/>
        </w:rPr>
        <w:t>伴随服务／售后服务</w:t>
      </w:r>
    </w:p>
    <w:p w14:paraId="2FEBCDCD">
      <w:pPr>
        <w:spacing w:before="35" w:line="280" w:lineRule="auto"/>
        <w:ind w:right="2" w:firstLine="566"/>
        <w:rPr>
          <w:rFonts w:hint="eastAsia" w:ascii="宋体" w:hAnsi="宋体" w:cs="宋体"/>
          <w:color w:val="000000"/>
          <w:spacing w:val="8"/>
          <w:sz w:val="24"/>
        </w:rPr>
      </w:pPr>
      <w:r>
        <w:rPr>
          <w:rFonts w:hint="eastAsia" w:ascii="宋体" w:hAnsi="宋体" w:cs="宋体"/>
          <w:color w:val="000000"/>
          <w:spacing w:val="8"/>
          <w:sz w:val="24"/>
        </w:rPr>
        <w:t>1、乙方应按照国家有关法律法规规章和“三包 ”规定以及合同所附的“服务承诺 ”提供服务。</w:t>
      </w:r>
    </w:p>
    <w:p w14:paraId="54FA6C9F">
      <w:pPr>
        <w:spacing w:before="35" w:line="280" w:lineRule="auto"/>
        <w:ind w:right="2" w:firstLine="566"/>
        <w:rPr>
          <w:rFonts w:hint="eastAsia" w:ascii="宋体" w:hAnsi="宋体" w:cs="宋体"/>
          <w:color w:val="000000"/>
          <w:spacing w:val="8"/>
          <w:sz w:val="24"/>
        </w:rPr>
      </w:pPr>
      <w:r>
        <w:rPr>
          <w:rFonts w:hint="eastAsia" w:ascii="宋体" w:hAnsi="宋体" w:cs="宋体"/>
          <w:color w:val="000000"/>
          <w:spacing w:val="8"/>
          <w:sz w:val="24"/>
        </w:rPr>
        <w:t>2、除前款规定外，乙方还应提供下列服务：</w:t>
      </w:r>
    </w:p>
    <w:p w14:paraId="009DA5F1">
      <w:pPr>
        <w:spacing w:before="35" w:line="280" w:lineRule="auto"/>
        <w:ind w:right="2" w:firstLine="566"/>
        <w:rPr>
          <w:rFonts w:hint="eastAsia" w:ascii="宋体" w:hAnsi="宋体" w:cs="宋体"/>
          <w:color w:val="000000"/>
          <w:spacing w:val="8"/>
          <w:sz w:val="24"/>
        </w:rPr>
      </w:pPr>
      <w:r>
        <w:rPr>
          <w:rFonts w:hint="eastAsia" w:ascii="宋体" w:hAnsi="宋体" w:cs="宋体"/>
          <w:color w:val="000000"/>
          <w:spacing w:val="8"/>
          <w:sz w:val="24"/>
        </w:rPr>
        <w:t>（1）货物的现场安装、调试和/或启动监督；</w:t>
      </w:r>
    </w:p>
    <w:p w14:paraId="7F27D746">
      <w:pPr>
        <w:spacing w:before="35" w:line="280" w:lineRule="auto"/>
        <w:ind w:right="2" w:firstLine="566"/>
        <w:rPr>
          <w:rFonts w:hint="eastAsia" w:ascii="宋体" w:hAnsi="宋体" w:cs="宋体"/>
          <w:color w:val="000000"/>
          <w:spacing w:val="8"/>
          <w:sz w:val="24"/>
        </w:rPr>
      </w:pPr>
      <w:r>
        <w:rPr>
          <w:rFonts w:hint="eastAsia" w:ascii="宋体" w:hAnsi="宋体" w:cs="宋体"/>
          <w:color w:val="000000"/>
          <w:spacing w:val="8"/>
          <w:sz w:val="24"/>
        </w:rPr>
        <w:t>（2）就货物的安装、启动、运行、及维护等对甲方人员进行免费培训。</w:t>
      </w:r>
    </w:p>
    <w:p w14:paraId="41E740ED">
      <w:pPr>
        <w:spacing w:before="35" w:line="280" w:lineRule="auto"/>
        <w:ind w:right="2" w:firstLine="566"/>
        <w:rPr>
          <w:rFonts w:hint="eastAsia" w:ascii="宋体" w:hAnsi="宋体" w:cs="宋体"/>
          <w:color w:val="000000"/>
          <w:spacing w:val="8"/>
          <w:sz w:val="24"/>
        </w:rPr>
      </w:pPr>
      <w:r>
        <w:rPr>
          <w:rFonts w:hint="eastAsia" w:ascii="宋体" w:hAnsi="宋体" w:cs="宋体"/>
          <w:color w:val="000000"/>
          <w:spacing w:val="8"/>
          <w:sz w:val="24"/>
        </w:rPr>
        <w:t>3、若招标文件中不包含有关伴随服务或售后服务的承诺，双方作如下约定：</w:t>
      </w:r>
    </w:p>
    <w:p w14:paraId="4ED49F08">
      <w:pPr>
        <w:spacing w:before="35" w:line="280" w:lineRule="auto"/>
        <w:ind w:right="2" w:firstLine="566"/>
        <w:rPr>
          <w:rFonts w:hint="eastAsia" w:ascii="宋体" w:hAnsi="宋体" w:cs="宋体"/>
          <w:color w:val="000000"/>
          <w:spacing w:val="8"/>
          <w:sz w:val="24"/>
        </w:rPr>
      </w:pPr>
      <w:r>
        <w:rPr>
          <w:rFonts w:hint="eastAsia" w:ascii="宋体" w:hAnsi="宋体" w:cs="宋体"/>
          <w:color w:val="000000"/>
          <w:spacing w:val="8"/>
          <w:sz w:val="24"/>
        </w:rPr>
        <w:t>3.1、乙方应为甲方提供免费培训服务，并指派专人负责与甲方联系售后服务事宜。主要负责培训甲方 2－3 名操作人员，使其能处理简单的故障以及紧急维修，并能按照操作手册的要求进行日常维护与保养；。</w:t>
      </w:r>
    </w:p>
    <w:p w14:paraId="70FEF43A">
      <w:pPr>
        <w:spacing w:before="35" w:line="280" w:lineRule="auto"/>
        <w:ind w:right="2" w:firstLine="566"/>
        <w:rPr>
          <w:rFonts w:hint="eastAsia" w:ascii="宋体" w:hAnsi="宋体" w:cs="宋体"/>
          <w:color w:val="000000"/>
          <w:spacing w:val="8"/>
          <w:sz w:val="24"/>
        </w:rPr>
      </w:pPr>
      <w:r>
        <w:rPr>
          <w:rFonts w:hint="eastAsia" w:ascii="宋体" w:hAnsi="宋体" w:cs="宋体"/>
          <w:color w:val="000000"/>
          <w:spacing w:val="8"/>
          <w:sz w:val="24"/>
        </w:rPr>
        <w:t>3.2、所购货物按乙方响应承诺提供免费维护和质量保证，保修费用计入总价；</w:t>
      </w:r>
    </w:p>
    <w:p w14:paraId="61EB20B6">
      <w:pPr>
        <w:spacing w:before="69" w:line="276" w:lineRule="auto"/>
        <w:ind w:firstLine="565"/>
        <w:jc w:val="left"/>
        <w:rPr>
          <w:rFonts w:ascii="宋体" w:hAnsi="宋体" w:cs="宋体"/>
          <w:color w:val="000000"/>
          <w:sz w:val="24"/>
        </w:rPr>
      </w:pPr>
      <w:r>
        <w:rPr>
          <w:rFonts w:hint="eastAsia" w:ascii="宋体" w:hAnsi="宋体" w:cs="宋体"/>
          <w:color w:val="000000"/>
          <w:spacing w:val="9"/>
          <w:sz w:val="24"/>
        </w:rPr>
        <w:t>3.3、保修期内，乙方负责对其提供的货物整机进行维修和系统维护，不再收取任何费用，</w:t>
      </w:r>
      <w:r>
        <w:rPr>
          <w:rFonts w:hint="eastAsia" w:ascii="宋体" w:hAnsi="宋体" w:cs="宋体"/>
          <w:color w:val="000000"/>
          <w:spacing w:val="8"/>
          <w:sz w:val="24"/>
        </w:rPr>
        <w:t>但不可</w:t>
      </w:r>
      <w:r>
        <w:rPr>
          <w:rFonts w:hint="eastAsia" w:ascii="宋体" w:hAnsi="宋体" w:cs="宋体"/>
          <w:color w:val="000000"/>
          <w:sz w:val="24"/>
        </w:rPr>
        <w:t xml:space="preserve"> </w:t>
      </w:r>
      <w:r>
        <w:rPr>
          <w:rFonts w:hint="eastAsia" w:ascii="宋体" w:hAnsi="宋体" w:cs="宋体"/>
          <w:color w:val="000000"/>
          <w:spacing w:val="8"/>
          <w:sz w:val="24"/>
        </w:rPr>
        <w:t>抗力（如火灾、雷击等）造成的故障除外；</w:t>
      </w:r>
    </w:p>
    <w:p w14:paraId="3CE6EC0E">
      <w:pPr>
        <w:spacing w:before="35" w:line="280" w:lineRule="auto"/>
        <w:ind w:right="2" w:firstLine="566"/>
        <w:rPr>
          <w:rFonts w:ascii="宋体" w:hAnsi="宋体" w:cs="宋体"/>
          <w:color w:val="000000"/>
          <w:sz w:val="24"/>
        </w:rPr>
      </w:pPr>
      <w:r>
        <w:rPr>
          <w:rFonts w:hint="eastAsia" w:ascii="宋体" w:hAnsi="宋体" w:cs="宋体"/>
          <w:color w:val="000000"/>
          <w:spacing w:val="8"/>
          <w:sz w:val="24"/>
        </w:rPr>
        <w:t>3.4、所有产品乙方需提供</w:t>
      </w:r>
      <w:r>
        <w:rPr>
          <w:rFonts w:hint="eastAsia" w:ascii="宋体" w:hAnsi="宋体" w:cs="宋体"/>
          <w:color w:val="000000"/>
          <w:spacing w:val="8"/>
          <w:sz w:val="24"/>
          <w:u w:val="single"/>
          <w:lang w:val="en-US" w:eastAsia="zh-CN"/>
        </w:rPr>
        <w:t xml:space="preserve">     </w:t>
      </w:r>
      <w:r>
        <w:rPr>
          <w:rFonts w:hint="eastAsia" w:ascii="宋体" w:hAnsi="宋体" w:cs="宋体"/>
          <w:color w:val="000000"/>
          <w:spacing w:val="8"/>
          <w:sz w:val="24"/>
          <w:u w:val="none"/>
          <w:lang w:val="en-US" w:eastAsia="zh-CN"/>
        </w:rPr>
        <w:t>年</w:t>
      </w:r>
      <w:r>
        <w:rPr>
          <w:rFonts w:hint="eastAsia" w:ascii="宋体" w:hAnsi="宋体" w:cs="宋体"/>
          <w:color w:val="000000"/>
          <w:spacing w:val="8"/>
          <w:sz w:val="24"/>
        </w:rPr>
        <w:t>保修和免费维护，乙方应对合同供货范围内的所有设备因设计、制</w:t>
      </w:r>
      <w:r>
        <w:rPr>
          <w:rFonts w:hint="eastAsia" w:ascii="宋体" w:hAnsi="宋体" w:cs="宋体"/>
          <w:color w:val="000000"/>
          <w:spacing w:val="10"/>
          <w:sz w:val="24"/>
        </w:rPr>
        <w:t>造、安装、调试不当而引起的零部件或结构的缺陷或损坏、运转不灵、达不到预</w:t>
      </w:r>
      <w:r>
        <w:rPr>
          <w:rFonts w:hint="eastAsia" w:ascii="宋体" w:hAnsi="宋体" w:cs="宋体"/>
          <w:color w:val="000000"/>
          <w:spacing w:val="9"/>
          <w:sz w:val="24"/>
        </w:rPr>
        <w:t>期的性能指标以及出现</w:t>
      </w:r>
      <w:r>
        <w:rPr>
          <w:rFonts w:hint="eastAsia" w:ascii="宋体" w:hAnsi="宋体" w:cs="宋体"/>
          <w:color w:val="000000"/>
          <w:spacing w:val="8"/>
          <w:sz w:val="24"/>
        </w:rPr>
        <w:t>事故等情况负全部责任；</w:t>
      </w:r>
    </w:p>
    <w:p w14:paraId="278B1B98">
      <w:pPr>
        <w:spacing w:before="33" w:line="277" w:lineRule="auto"/>
        <w:ind w:right="2" w:firstLine="565"/>
        <w:jc w:val="left"/>
        <w:rPr>
          <w:rFonts w:ascii="宋体" w:hAnsi="宋体" w:cs="宋体"/>
          <w:color w:val="000000"/>
          <w:sz w:val="24"/>
        </w:rPr>
      </w:pPr>
      <w:r>
        <w:rPr>
          <w:rFonts w:hint="eastAsia" w:ascii="宋体" w:hAnsi="宋体" w:cs="宋体"/>
          <w:color w:val="000000"/>
          <w:spacing w:val="7"/>
          <w:sz w:val="24"/>
        </w:rPr>
        <w:t>3.5、承诺建立</w:t>
      </w:r>
      <w:r>
        <w:rPr>
          <w:rFonts w:hint="eastAsia" w:ascii="宋体" w:hAnsi="宋体" w:cs="宋体"/>
          <w:color w:val="000000"/>
          <w:spacing w:val="-25"/>
          <w:sz w:val="24"/>
        </w:rPr>
        <w:t xml:space="preserve"> </w:t>
      </w:r>
      <w:r>
        <w:rPr>
          <w:rFonts w:hint="eastAsia" w:ascii="宋体" w:hAnsi="宋体" w:cs="宋体"/>
          <w:color w:val="000000"/>
          <w:spacing w:val="7"/>
          <w:sz w:val="24"/>
        </w:rPr>
        <w:t>24</w:t>
      </w:r>
      <w:r>
        <w:rPr>
          <w:rFonts w:hint="eastAsia" w:ascii="宋体" w:hAnsi="宋体" w:cs="宋体"/>
          <w:color w:val="000000"/>
          <w:spacing w:val="-33"/>
          <w:sz w:val="24"/>
        </w:rPr>
        <w:t xml:space="preserve"> </w:t>
      </w:r>
      <w:r>
        <w:rPr>
          <w:rFonts w:hint="eastAsia" w:ascii="宋体" w:hAnsi="宋体" w:cs="宋体"/>
          <w:color w:val="000000"/>
          <w:spacing w:val="7"/>
          <w:sz w:val="24"/>
        </w:rPr>
        <w:t>小时的报修电话，接到报修电话后4</w:t>
      </w:r>
      <w:r>
        <w:rPr>
          <w:rFonts w:hint="eastAsia" w:ascii="宋体" w:hAnsi="宋体" w:cs="宋体"/>
          <w:color w:val="000000"/>
          <w:spacing w:val="-34"/>
          <w:sz w:val="24"/>
        </w:rPr>
        <w:t xml:space="preserve"> </w:t>
      </w:r>
      <w:r>
        <w:rPr>
          <w:rFonts w:hint="eastAsia" w:ascii="宋体" w:hAnsi="宋体" w:cs="宋体"/>
          <w:color w:val="000000"/>
          <w:spacing w:val="7"/>
          <w:sz w:val="24"/>
        </w:rPr>
        <w:t>小时内作出响应，8</w:t>
      </w:r>
      <w:r>
        <w:rPr>
          <w:rFonts w:hint="eastAsia" w:ascii="宋体" w:hAnsi="宋体" w:cs="宋体"/>
          <w:color w:val="000000"/>
          <w:spacing w:val="-33"/>
          <w:sz w:val="24"/>
        </w:rPr>
        <w:t xml:space="preserve"> </w:t>
      </w:r>
      <w:r>
        <w:rPr>
          <w:rFonts w:hint="eastAsia" w:ascii="宋体" w:hAnsi="宋体" w:cs="宋体"/>
          <w:color w:val="000000"/>
          <w:spacing w:val="7"/>
          <w:sz w:val="24"/>
        </w:rPr>
        <w:t>小时不能解决的必须提</w:t>
      </w:r>
      <w:r>
        <w:rPr>
          <w:rFonts w:hint="eastAsia" w:ascii="宋体" w:hAnsi="宋体" w:cs="宋体"/>
          <w:color w:val="000000"/>
          <w:sz w:val="24"/>
        </w:rPr>
        <w:t xml:space="preserve"> </w:t>
      </w:r>
      <w:r>
        <w:rPr>
          <w:rFonts w:hint="eastAsia" w:ascii="宋体" w:hAnsi="宋体" w:cs="宋体"/>
          <w:color w:val="000000"/>
          <w:spacing w:val="6"/>
          <w:sz w:val="24"/>
        </w:rPr>
        <w:t>供备用设施；</w:t>
      </w:r>
    </w:p>
    <w:p w14:paraId="367A9DC9">
      <w:pPr>
        <w:spacing w:before="29" w:line="276" w:lineRule="auto"/>
        <w:ind w:left="4" w:right="2" w:firstLine="562"/>
        <w:jc w:val="left"/>
        <w:rPr>
          <w:rFonts w:ascii="宋体" w:hAnsi="宋体" w:cs="宋体"/>
          <w:color w:val="000000"/>
          <w:sz w:val="24"/>
        </w:rPr>
      </w:pPr>
      <w:r>
        <w:rPr>
          <w:rFonts w:hint="eastAsia" w:ascii="宋体" w:hAnsi="宋体" w:cs="宋体"/>
          <w:color w:val="000000"/>
          <w:spacing w:val="9"/>
          <w:sz w:val="24"/>
        </w:rPr>
        <w:t>3.6、所有货物保修服务方式均为乙方上门保修，即由乙方派员到货物使用现场维修</w:t>
      </w:r>
      <w:r>
        <w:rPr>
          <w:rFonts w:hint="eastAsia" w:ascii="宋体" w:hAnsi="宋体" w:cs="宋体"/>
          <w:color w:val="000000"/>
          <w:spacing w:val="8"/>
          <w:sz w:val="24"/>
        </w:rPr>
        <w:t>，由此产生的</w:t>
      </w:r>
      <w:r>
        <w:rPr>
          <w:rFonts w:hint="eastAsia" w:ascii="宋体" w:hAnsi="宋体" w:cs="宋体"/>
          <w:color w:val="000000"/>
          <w:spacing w:val="7"/>
          <w:sz w:val="24"/>
        </w:rPr>
        <w:t>一切费用均由乙方承担。</w:t>
      </w:r>
    </w:p>
    <w:p w14:paraId="2D4291D8">
      <w:pPr>
        <w:spacing w:before="33" w:line="277" w:lineRule="auto"/>
        <w:ind w:left="25" w:right="2" w:firstLine="541"/>
        <w:jc w:val="left"/>
        <w:rPr>
          <w:rFonts w:ascii="宋体" w:hAnsi="宋体" w:cs="宋体"/>
          <w:color w:val="000000"/>
          <w:sz w:val="24"/>
        </w:rPr>
      </w:pPr>
      <w:r>
        <w:rPr>
          <w:rFonts w:hint="eastAsia" w:ascii="宋体" w:hAnsi="宋体" w:cs="宋体"/>
          <w:color w:val="000000"/>
          <w:spacing w:val="9"/>
          <w:sz w:val="24"/>
        </w:rPr>
        <w:t>3.7、在质量保修期结束后，供应商还应提供终身维修服务。终身维修的内容包括但</w:t>
      </w:r>
      <w:r>
        <w:rPr>
          <w:rFonts w:hint="eastAsia" w:ascii="宋体" w:hAnsi="宋体" w:cs="宋体"/>
          <w:color w:val="000000"/>
          <w:spacing w:val="8"/>
          <w:sz w:val="24"/>
        </w:rPr>
        <w:t>不限于所有的电气、控制、传输系统的检查及需要调整的其它部件等。</w:t>
      </w:r>
    </w:p>
    <w:p w14:paraId="4715DCAC">
      <w:pPr>
        <w:spacing w:before="30" w:line="227" w:lineRule="auto"/>
        <w:ind w:left="566"/>
        <w:jc w:val="left"/>
        <w:rPr>
          <w:rFonts w:ascii="宋体" w:hAnsi="宋体" w:cs="宋体"/>
          <w:color w:val="000000"/>
          <w:sz w:val="24"/>
        </w:rPr>
      </w:pPr>
      <w:r>
        <w:rPr>
          <w:rFonts w:hint="eastAsia" w:ascii="宋体" w:hAnsi="宋体" w:cs="宋体"/>
          <w:color w:val="000000"/>
          <w:spacing w:val="8"/>
          <w:sz w:val="24"/>
        </w:rPr>
        <w:t>3.8、保修期后的货物维护由双方协商再定。</w:t>
      </w:r>
    </w:p>
    <w:p w14:paraId="62301D01">
      <w:pPr>
        <w:spacing w:before="65" w:line="228" w:lineRule="auto"/>
        <w:ind w:left="562"/>
        <w:jc w:val="left"/>
        <w:rPr>
          <w:rFonts w:ascii="宋体" w:hAnsi="宋体" w:cs="宋体"/>
          <w:color w:val="000000"/>
          <w:sz w:val="24"/>
        </w:rPr>
      </w:pPr>
      <w:r>
        <w:rPr>
          <w:rFonts w:hint="eastAsia" w:ascii="宋体" w:hAnsi="宋体" w:cs="宋体"/>
          <w:b/>
          <w:bCs/>
          <w:color w:val="000000"/>
          <w:spacing w:val="6"/>
          <w:sz w:val="24"/>
        </w:rPr>
        <w:t>第九条</w:t>
      </w:r>
      <w:r>
        <w:rPr>
          <w:rFonts w:hint="eastAsia" w:ascii="宋体" w:hAnsi="宋体" w:cs="宋体"/>
          <w:color w:val="000000"/>
          <w:spacing w:val="6"/>
          <w:sz w:val="24"/>
        </w:rPr>
        <w:t xml:space="preserve">   </w:t>
      </w:r>
      <w:r>
        <w:rPr>
          <w:rFonts w:hint="eastAsia" w:ascii="宋体" w:hAnsi="宋体" w:cs="宋体"/>
          <w:b/>
          <w:bCs/>
          <w:color w:val="000000"/>
          <w:spacing w:val="6"/>
          <w:sz w:val="24"/>
        </w:rPr>
        <w:t>履约保证金</w:t>
      </w:r>
    </w:p>
    <w:p w14:paraId="1BD107C4">
      <w:pPr>
        <w:spacing w:before="70" w:line="227" w:lineRule="auto"/>
        <w:ind w:left="561"/>
        <w:jc w:val="left"/>
        <w:rPr>
          <w:rFonts w:ascii="宋体" w:hAnsi="宋体" w:cs="宋体"/>
          <w:color w:val="000000"/>
          <w:spacing w:val="8"/>
          <w:sz w:val="24"/>
        </w:rPr>
      </w:pPr>
      <w:r>
        <w:rPr>
          <w:rFonts w:hint="eastAsia" w:ascii="宋体" w:hAnsi="宋体" w:cs="宋体"/>
          <w:color w:val="000000"/>
          <w:spacing w:val="8"/>
          <w:sz w:val="24"/>
        </w:rPr>
        <w:t>无</w:t>
      </w:r>
    </w:p>
    <w:p w14:paraId="11D2FF96">
      <w:pPr>
        <w:spacing w:before="70" w:line="227" w:lineRule="auto"/>
        <w:ind w:left="561"/>
        <w:jc w:val="left"/>
        <w:rPr>
          <w:rFonts w:ascii="宋体" w:hAnsi="宋体" w:cs="宋体"/>
          <w:color w:val="000000"/>
          <w:sz w:val="24"/>
        </w:rPr>
      </w:pPr>
      <w:r>
        <w:rPr>
          <w:rFonts w:hint="eastAsia" w:ascii="宋体" w:hAnsi="宋体" w:cs="宋体"/>
          <w:b/>
          <w:bCs/>
          <w:color w:val="000000"/>
          <w:spacing w:val="5"/>
          <w:sz w:val="24"/>
        </w:rPr>
        <w:t>第十条</w:t>
      </w:r>
      <w:r>
        <w:rPr>
          <w:rFonts w:hint="eastAsia" w:ascii="宋体" w:hAnsi="宋体" w:cs="宋体"/>
          <w:color w:val="000000"/>
          <w:spacing w:val="10"/>
          <w:sz w:val="24"/>
        </w:rPr>
        <w:t xml:space="preserve">   </w:t>
      </w:r>
      <w:r>
        <w:rPr>
          <w:rFonts w:hint="eastAsia" w:ascii="宋体" w:hAnsi="宋体" w:cs="宋体"/>
          <w:b/>
          <w:bCs/>
          <w:color w:val="000000"/>
          <w:spacing w:val="5"/>
          <w:sz w:val="24"/>
        </w:rPr>
        <w:t>货款支付</w:t>
      </w:r>
    </w:p>
    <w:p w14:paraId="521B32F9">
      <w:pPr>
        <w:spacing w:before="68" w:line="227" w:lineRule="auto"/>
        <w:ind w:left="577"/>
        <w:jc w:val="left"/>
        <w:rPr>
          <w:rFonts w:ascii="宋体" w:hAnsi="宋体" w:cs="宋体"/>
          <w:color w:val="000000"/>
          <w:sz w:val="24"/>
        </w:rPr>
      </w:pPr>
      <w:r>
        <w:rPr>
          <w:rFonts w:hint="eastAsia" w:ascii="宋体" w:hAnsi="宋体" w:cs="宋体"/>
          <w:color w:val="000000"/>
          <w:spacing w:val="7"/>
          <w:sz w:val="24"/>
        </w:rPr>
        <w:t>1、本合同项下所有款项均以人民币支付。</w:t>
      </w:r>
    </w:p>
    <w:p w14:paraId="5D41C349">
      <w:pPr>
        <w:ind w:firstLine="512"/>
        <w:jc w:val="left"/>
        <w:rPr>
          <w:rFonts w:ascii="宋体" w:hAnsi="宋体" w:cs="宋体"/>
          <w:color w:val="000000"/>
          <w:sz w:val="24"/>
          <w:highlight w:val="none"/>
        </w:rPr>
      </w:pPr>
      <w:r>
        <w:rPr>
          <w:rFonts w:hint="eastAsia" w:ascii="宋体" w:hAnsi="宋体" w:cs="宋体"/>
          <w:color w:val="000000"/>
          <w:spacing w:val="8"/>
          <w:sz w:val="24"/>
        </w:rPr>
        <w:t>2、如本合同项下的采购资金系甲方自行支付，乙方向甲方开具发票。</w:t>
      </w:r>
      <w:r>
        <w:rPr>
          <w:rFonts w:hint="eastAsia" w:ascii="宋体" w:hAnsi="宋体" w:cs="宋体"/>
          <w:color w:val="000000"/>
          <w:spacing w:val="6"/>
          <w:sz w:val="24"/>
        </w:rPr>
        <w:t xml:space="preserve"> </w:t>
      </w:r>
      <w:r>
        <w:rPr>
          <w:rFonts w:hint="eastAsia" w:ascii="宋体" w:hAnsi="宋体" w:cs="宋体"/>
          <w:color w:val="000000"/>
          <w:spacing w:val="8"/>
          <w:sz w:val="24"/>
        </w:rPr>
        <w:t>付款进</w:t>
      </w:r>
      <w:r>
        <w:rPr>
          <w:rFonts w:hint="eastAsia" w:ascii="宋体" w:hAnsi="宋体" w:cs="宋体"/>
          <w:color w:val="000000"/>
          <w:spacing w:val="8"/>
          <w:sz w:val="24"/>
          <w:highlight w:val="none"/>
        </w:rPr>
        <w:t>度应符合如下约定：</w:t>
      </w:r>
    </w:p>
    <w:p w14:paraId="1FB651F0">
      <w:pPr>
        <w:ind w:firstLine="514" w:firstLineChars="200"/>
        <w:jc w:val="left"/>
        <w:rPr>
          <w:rFonts w:ascii="宋体" w:hAnsi="宋体" w:cs="宋体"/>
          <w:b/>
          <w:bCs/>
          <w:spacing w:val="8"/>
          <w:sz w:val="24"/>
          <w:highlight w:val="none"/>
          <w:u w:val="single"/>
        </w:rPr>
      </w:pPr>
      <w:r>
        <w:rPr>
          <w:rFonts w:hint="eastAsia" w:ascii="宋体" w:hAnsi="宋体" w:cs="宋体"/>
          <w:b/>
          <w:bCs/>
          <w:spacing w:val="8"/>
          <w:sz w:val="24"/>
          <w:highlight w:val="none"/>
          <w:u w:val="single"/>
        </w:rPr>
        <w:t>（1）合同签订生效后支付合同总价的30%作为预付款；</w:t>
      </w:r>
    </w:p>
    <w:p w14:paraId="64024FB1">
      <w:pPr>
        <w:ind w:firstLine="514" w:firstLineChars="200"/>
        <w:jc w:val="left"/>
        <w:rPr>
          <w:rFonts w:ascii="宋体" w:hAnsi="宋体" w:cs="宋体"/>
          <w:b/>
          <w:bCs/>
          <w:spacing w:val="8"/>
          <w:sz w:val="24"/>
          <w:highlight w:val="none"/>
          <w:u w:val="single"/>
        </w:rPr>
      </w:pPr>
      <w:r>
        <w:rPr>
          <w:rFonts w:hint="eastAsia" w:ascii="宋体" w:hAnsi="宋体" w:cs="宋体"/>
          <w:b/>
          <w:bCs/>
          <w:spacing w:val="8"/>
          <w:sz w:val="24"/>
          <w:highlight w:val="none"/>
          <w:u w:val="single"/>
        </w:rPr>
        <w:t>（2）安装、调试且验收合格后支付至合同总价的70%；</w:t>
      </w:r>
    </w:p>
    <w:p w14:paraId="28F4D20A">
      <w:pPr>
        <w:ind w:firstLine="514" w:firstLineChars="200"/>
        <w:jc w:val="left"/>
        <w:rPr>
          <w:rFonts w:ascii="宋体" w:hAnsi="宋体" w:cs="宋体"/>
          <w:b/>
          <w:bCs/>
          <w:spacing w:val="8"/>
          <w:sz w:val="24"/>
          <w:highlight w:val="none"/>
          <w:u w:val="single"/>
        </w:rPr>
      </w:pPr>
      <w:r>
        <w:rPr>
          <w:rFonts w:hint="eastAsia" w:ascii="宋体" w:hAnsi="宋体" w:cs="宋体"/>
          <w:b/>
          <w:bCs/>
          <w:spacing w:val="8"/>
          <w:sz w:val="24"/>
          <w:highlight w:val="none"/>
          <w:u w:val="single"/>
        </w:rPr>
        <w:t>（3）正常使用一个收割周期（夏收、秋收）以后支付至合同总价的95%；</w:t>
      </w:r>
    </w:p>
    <w:p w14:paraId="528A42E8">
      <w:pPr>
        <w:ind w:firstLine="514" w:firstLineChars="200"/>
        <w:jc w:val="left"/>
        <w:rPr>
          <w:rFonts w:ascii="宋体" w:hAnsi="宋体" w:cs="宋体"/>
          <w:b/>
          <w:bCs/>
          <w:spacing w:val="8"/>
          <w:sz w:val="24"/>
          <w:highlight w:val="none"/>
          <w:u w:val="single"/>
        </w:rPr>
      </w:pPr>
      <w:r>
        <w:rPr>
          <w:rFonts w:hint="eastAsia" w:ascii="宋体" w:hAnsi="宋体" w:cs="宋体"/>
          <w:b/>
          <w:bCs/>
          <w:spacing w:val="8"/>
          <w:sz w:val="24"/>
          <w:highlight w:val="none"/>
          <w:u w:val="single"/>
        </w:rPr>
        <w:t>（4）余款5%为质量保证金，质保期满后无息退还。</w:t>
      </w:r>
    </w:p>
    <w:p w14:paraId="31A1DF94">
      <w:pPr>
        <w:ind w:firstLine="512" w:firstLineChars="200"/>
        <w:jc w:val="left"/>
        <w:rPr>
          <w:rFonts w:ascii="宋体" w:hAnsi="宋体" w:cs="宋体"/>
          <w:spacing w:val="8"/>
          <w:sz w:val="24"/>
          <w:highlight w:val="none"/>
        </w:rPr>
      </w:pPr>
      <w:r>
        <w:rPr>
          <w:rFonts w:hint="eastAsia" w:ascii="宋体" w:hAnsi="宋体" w:cs="宋体"/>
          <w:spacing w:val="8"/>
          <w:sz w:val="24"/>
          <w:highlight w:val="none"/>
        </w:rPr>
        <w:t>注：满足合同约定支付条件的，甲方收到乙方发票后 10 个工作日内，将资金支付到合同约定的乙方账户。</w:t>
      </w:r>
    </w:p>
    <w:p w14:paraId="5995C337">
      <w:pPr>
        <w:spacing w:before="33" w:line="228" w:lineRule="auto"/>
        <w:ind w:left="561"/>
        <w:jc w:val="left"/>
        <w:rPr>
          <w:rFonts w:ascii="宋体" w:hAnsi="宋体" w:cs="宋体"/>
          <w:color w:val="000000"/>
          <w:sz w:val="24"/>
        </w:rPr>
      </w:pPr>
      <w:r>
        <w:rPr>
          <w:rFonts w:hint="eastAsia" w:ascii="宋体" w:hAnsi="宋体" w:cs="宋体"/>
          <w:b/>
          <w:bCs/>
          <w:color w:val="000000"/>
          <w:spacing w:val="7"/>
          <w:sz w:val="24"/>
        </w:rPr>
        <w:t>第十一条</w:t>
      </w:r>
      <w:r>
        <w:rPr>
          <w:rFonts w:hint="eastAsia" w:ascii="宋体" w:hAnsi="宋体" w:cs="宋体"/>
          <w:color w:val="000000"/>
          <w:spacing w:val="7"/>
          <w:sz w:val="24"/>
        </w:rPr>
        <w:t xml:space="preserve">  </w:t>
      </w:r>
      <w:r>
        <w:rPr>
          <w:rFonts w:hint="eastAsia" w:ascii="宋体" w:hAnsi="宋体" w:cs="宋体"/>
          <w:b/>
          <w:bCs/>
          <w:color w:val="000000"/>
          <w:spacing w:val="7"/>
          <w:sz w:val="24"/>
        </w:rPr>
        <w:t>违约责任</w:t>
      </w:r>
    </w:p>
    <w:p w14:paraId="6907466A">
      <w:pPr>
        <w:ind w:firstLine="504"/>
        <w:jc w:val="left"/>
        <w:rPr>
          <w:rFonts w:ascii="宋体" w:hAnsi="宋体" w:cs="宋体"/>
          <w:color w:val="000000"/>
          <w:sz w:val="24"/>
        </w:rPr>
      </w:pPr>
      <w:r>
        <w:rPr>
          <w:rFonts w:hint="eastAsia" w:ascii="宋体" w:hAnsi="宋体" w:cs="宋体"/>
          <w:color w:val="000000"/>
          <w:spacing w:val="6"/>
          <w:sz w:val="24"/>
        </w:rPr>
        <w:t>1 、</w:t>
      </w:r>
      <w:r>
        <w:rPr>
          <w:rFonts w:hint="eastAsia" w:ascii="宋体" w:hAnsi="宋体" w:cs="宋体"/>
          <w:color w:val="000000"/>
          <w:spacing w:val="-51"/>
          <w:sz w:val="24"/>
        </w:rPr>
        <w:t xml:space="preserve"> </w:t>
      </w:r>
      <w:r>
        <w:rPr>
          <w:rFonts w:hint="eastAsia" w:ascii="宋体" w:hAnsi="宋体" w:cs="宋体"/>
          <w:color w:val="000000"/>
          <w:spacing w:val="6"/>
          <w:sz w:val="24"/>
        </w:rPr>
        <w:t>甲方无正当理由拒收货物、拒付货物款的，由甲方向乙方偿付合同总价的</w:t>
      </w:r>
      <w:r>
        <w:rPr>
          <w:rFonts w:hint="eastAsia" w:ascii="宋体" w:hAnsi="宋体" w:cs="宋体"/>
          <w:color w:val="000000"/>
          <w:spacing w:val="-35"/>
          <w:sz w:val="24"/>
        </w:rPr>
        <w:t xml:space="preserve"> </w:t>
      </w:r>
      <w:r>
        <w:rPr>
          <w:rFonts w:hint="eastAsia" w:ascii="宋体" w:hAnsi="宋体" w:cs="宋体"/>
          <w:color w:val="000000"/>
          <w:spacing w:val="6"/>
          <w:sz w:val="24"/>
        </w:rPr>
        <w:t>5%违约金。</w:t>
      </w:r>
    </w:p>
    <w:p w14:paraId="1742E7A4">
      <w:pPr>
        <w:spacing w:before="68" w:line="276" w:lineRule="auto"/>
        <w:ind w:left="1" w:right="73" w:firstLine="614"/>
        <w:jc w:val="left"/>
        <w:rPr>
          <w:rFonts w:ascii="宋体" w:hAnsi="宋体" w:cs="宋体"/>
          <w:color w:val="000000"/>
          <w:sz w:val="24"/>
        </w:rPr>
      </w:pPr>
      <w:r>
        <w:rPr>
          <w:rFonts w:hint="eastAsia" w:ascii="宋体" w:hAnsi="宋体" w:cs="宋体"/>
          <w:color w:val="000000"/>
          <w:spacing w:val="5"/>
          <w:sz w:val="24"/>
        </w:rPr>
        <w:t>2 、甲方未按合同规定的期限向乙方支付货款的，每逾期</w:t>
      </w:r>
      <w:r>
        <w:rPr>
          <w:rFonts w:hint="eastAsia" w:ascii="宋体" w:hAnsi="宋体" w:cs="宋体"/>
          <w:color w:val="000000"/>
          <w:spacing w:val="-11"/>
          <w:sz w:val="24"/>
        </w:rPr>
        <w:t xml:space="preserve"> </w:t>
      </w:r>
      <w:r>
        <w:rPr>
          <w:rFonts w:hint="eastAsia" w:ascii="宋体" w:hAnsi="宋体" w:cs="宋体"/>
          <w:color w:val="000000"/>
          <w:spacing w:val="5"/>
          <w:sz w:val="24"/>
        </w:rPr>
        <w:t>1</w:t>
      </w:r>
      <w:r>
        <w:rPr>
          <w:rFonts w:hint="eastAsia" w:ascii="宋体" w:hAnsi="宋体" w:cs="宋体"/>
          <w:color w:val="000000"/>
          <w:spacing w:val="-37"/>
          <w:sz w:val="24"/>
        </w:rPr>
        <w:t xml:space="preserve"> </w:t>
      </w:r>
      <w:r>
        <w:rPr>
          <w:rFonts w:hint="eastAsia" w:ascii="宋体" w:hAnsi="宋体" w:cs="宋体"/>
          <w:color w:val="000000"/>
          <w:spacing w:val="5"/>
          <w:sz w:val="24"/>
        </w:rPr>
        <w:t>天甲方向乙方偿付欠款总额的</w:t>
      </w:r>
      <w:r>
        <w:rPr>
          <w:rFonts w:hint="eastAsia" w:ascii="宋体" w:hAnsi="宋体" w:cs="宋体"/>
          <w:color w:val="000000"/>
          <w:spacing w:val="-32"/>
          <w:sz w:val="24"/>
        </w:rPr>
        <w:t xml:space="preserve"> </w:t>
      </w:r>
      <w:r>
        <w:rPr>
          <w:rFonts w:hint="eastAsia" w:ascii="宋体" w:hAnsi="宋体" w:cs="宋体"/>
          <w:color w:val="000000"/>
          <w:spacing w:val="5"/>
          <w:sz w:val="24"/>
        </w:rPr>
        <w:t>5‰滞纳</w:t>
      </w:r>
      <w:r>
        <w:rPr>
          <w:rFonts w:hint="eastAsia" w:ascii="宋体" w:hAnsi="宋体" w:cs="宋体"/>
          <w:color w:val="000000"/>
          <w:spacing w:val="7"/>
          <w:sz w:val="24"/>
        </w:rPr>
        <w:t>金，但累计滞纳金总额不超过欠款总额的</w:t>
      </w:r>
      <w:r>
        <w:rPr>
          <w:rFonts w:hint="eastAsia" w:ascii="宋体" w:hAnsi="宋体" w:cs="宋体"/>
          <w:color w:val="000000"/>
          <w:spacing w:val="-17"/>
          <w:sz w:val="24"/>
        </w:rPr>
        <w:t xml:space="preserve"> </w:t>
      </w:r>
      <w:r>
        <w:rPr>
          <w:rFonts w:hint="eastAsia" w:ascii="宋体" w:hAnsi="宋体" w:cs="宋体"/>
          <w:color w:val="000000"/>
          <w:spacing w:val="7"/>
          <w:sz w:val="24"/>
        </w:rPr>
        <w:t>5% 。</w:t>
      </w:r>
    </w:p>
    <w:p w14:paraId="6613236E">
      <w:pPr>
        <w:spacing w:before="34" w:line="277" w:lineRule="auto"/>
        <w:ind w:left="17" w:right="187" w:firstLine="596"/>
        <w:jc w:val="left"/>
        <w:rPr>
          <w:rFonts w:ascii="宋体" w:hAnsi="宋体" w:cs="宋体"/>
          <w:color w:val="000000"/>
          <w:sz w:val="24"/>
        </w:rPr>
      </w:pPr>
      <w:r>
        <w:rPr>
          <w:rFonts w:hint="eastAsia" w:ascii="宋体" w:hAnsi="宋体" w:cs="宋体"/>
          <w:color w:val="000000"/>
          <w:spacing w:val="8"/>
          <w:sz w:val="24"/>
        </w:rPr>
        <w:t>3</w:t>
      </w:r>
      <w:r>
        <w:rPr>
          <w:rFonts w:hint="eastAsia" w:ascii="宋体" w:hAnsi="宋体" w:cs="宋体"/>
          <w:color w:val="000000"/>
          <w:spacing w:val="-16"/>
          <w:sz w:val="24"/>
        </w:rPr>
        <w:t xml:space="preserve"> </w:t>
      </w:r>
      <w:r>
        <w:rPr>
          <w:rFonts w:hint="eastAsia" w:ascii="宋体" w:hAnsi="宋体" w:cs="宋体"/>
          <w:color w:val="000000"/>
          <w:spacing w:val="8"/>
          <w:sz w:val="24"/>
        </w:rPr>
        <w:t>、如乙方不能交付货物，</w:t>
      </w:r>
      <w:r>
        <w:rPr>
          <w:rFonts w:hint="eastAsia" w:ascii="宋体" w:hAnsi="宋体" w:cs="宋体"/>
          <w:color w:val="000000"/>
          <w:spacing w:val="-56"/>
          <w:sz w:val="24"/>
        </w:rPr>
        <w:t xml:space="preserve"> </w:t>
      </w:r>
      <w:r>
        <w:rPr>
          <w:rFonts w:hint="eastAsia" w:ascii="宋体" w:hAnsi="宋体" w:cs="宋体"/>
          <w:color w:val="000000"/>
          <w:spacing w:val="8"/>
          <w:sz w:val="24"/>
        </w:rPr>
        <w:t>甲方有权扣留全部履约保证金；同时乙方应向甲方</w:t>
      </w:r>
      <w:r>
        <w:rPr>
          <w:rFonts w:hint="eastAsia" w:ascii="宋体" w:hAnsi="宋体" w:cs="宋体"/>
          <w:color w:val="000000"/>
          <w:spacing w:val="7"/>
          <w:sz w:val="24"/>
        </w:rPr>
        <w:t>支付合同总价</w:t>
      </w:r>
      <w:r>
        <w:rPr>
          <w:rFonts w:hint="eastAsia" w:ascii="宋体" w:hAnsi="宋体" w:cs="宋体"/>
          <w:color w:val="000000"/>
          <w:spacing w:val="-35"/>
          <w:sz w:val="24"/>
        </w:rPr>
        <w:t xml:space="preserve"> </w:t>
      </w:r>
      <w:r>
        <w:rPr>
          <w:rFonts w:hint="eastAsia" w:ascii="宋体" w:hAnsi="宋体" w:cs="宋体"/>
          <w:color w:val="000000"/>
          <w:spacing w:val="7"/>
          <w:sz w:val="24"/>
        </w:rPr>
        <w:t>5 %</w:t>
      </w:r>
      <w:r>
        <w:rPr>
          <w:rFonts w:hint="eastAsia" w:ascii="宋体" w:hAnsi="宋体" w:cs="宋体"/>
          <w:color w:val="000000"/>
          <w:spacing w:val="2"/>
          <w:sz w:val="24"/>
        </w:rPr>
        <w:t>的违约金。</w:t>
      </w:r>
    </w:p>
    <w:p w14:paraId="56B1BDF3">
      <w:pPr>
        <w:spacing w:before="29" w:line="275" w:lineRule="auto"/>
        <w:ind w:left="3" w:right="36" w:firstLine="603"/>
        <w:jc w:val="left"/>
        <w:rPr>
          <w:rFonts w:ascii="宋体" w:hAnsi="宋体" w:cs="宋体"/>
          <w:color w:val="000000"/>
          <w:sz w:val="24"/>
        </w:rPr>
      </w:pPr>
      <w:r>
        <w:rPr>
          <w:rFonts w:hint="eastAsia" w:ascii="宋体" w:hAnsi="宋体" w:cs="宋体"/>
          <w:color w:val="000000"/>
          <w:spacing w:val="7"/>
          <w:sz w:val="24"/>
        </w:rPr>
        <w:t>4</w:t>
      </w:r>
      <w:r>
        <w:rPr>
          <w:rFonts w:hint="eastAsia" w:ascii="宋体" w:hAnsi="宋体" w:cs="宋体"/>
          <w:color w:val="000000"/>
          <w:spacing w:val="-16"/>
          <w:sz w:val="24"/>
        </w:rPr>
        <w:t xml:space="preserve"> </w:t>
      </w:r>
      <w:r>
        <w:rPr>
          <w:rFonts w:hint="eastAsia" w:ascii="宋体" w:hAnsi="宋体" w:cs="宋体"/>
          <w:color w:val="000000"/>
          <w:spacing w:val="7"/>
          <w:sz w:val="24"/>
        </w:rPr>
        <w:t>、乙方逾期交付货物的，每逾期1天，乙方向甲方偿付逾期交货部分货款总额的5</w:t>
      </w:r>
      <w:r>
        <w:rPr>
          <w:rFonts w:hint="eastAsia" w:ascii="宋体" w:hAnsi="宋体" w:cs="宋体"/>
          <w:color w:val="000000"/>
          <w:spacing w:val="6"/>
          <w:sz w:val="24"/>
        </w:rPr>
        <w:t>‰的滞纳金。</w:t>
      </w:r>
      <w:r>
        <w:rPr>
          <w:rFonts w:hint="eastAsia" w:ascii="宋体" w:hAnsi="宋体" w:cs="宋体"/>
          <w:color w:val="000000"/>
          <w:spacing w:val="8"/>
          <w:sz w:val="24"/>
        </w:rPr>
        <w:t>如乙方逾期交货达（30）天，甲方有权解除合同，解除合同的通知自到达乙方时生效。</w:t>
      </w:r>
    </w:p>
    <w:p w14:paraId="21590C9F">
      <w:pPr>
        <w:spacing w:before="35" w:line="275" w:lineRule="auto"/>
        <w:ind w:right="159" w:firstLine="616"/>
        <w:jc w:val="left"/>
        <w:rPr>
          <w:rFonts w:ascii="宋体" w:hAnsi="宋体" w:cs="宋体"/>
          <w:color w:val="000000"/>
          <w:sz w:val="24"/>
        </w:rPr>
      </w:pPr>
      <w:r>
        <w:rPr>
          <w:rFonts w:hint="eastAsia" w:ascii="宋体" w:hAnsi="宋体" w:cs="宋体"/>
          <w:color w:val="000000"/>
          <w:spacing w:val="7"/>
          <w:sz w:val="24"/>
        </w:rPr>
        <w:t>5</w:t>
      </w:r>
      <w:r>
        <w:rPr>
          <w:rFonts w:hint="eastAsia" w:ascii="宋体" w:hAnsi="宋体" w:cs="宋体"/>
          <w:color w:val="000000"/>
          <w:spacing w:val="-17"/>
          <w:sz w:val="24"/>
        </w:rPr>
        <w:t xml:space="preserve"> </w:t>
      </w:r>
      <w:r>
        <w:rPr>
          <w:rFonts w:hint="eastAsia" w:ascii="宋体" w:hAnsi="宋体" w:cs="宋体"/>
          <w:color w:val="000000"/>
          <w:spacing w:val="7"/>
          <w:sz w:val="24"/>
        </w:rPr>
        <w:t>、乙方所交付的货物品种、型号、规格不符合合同规定的，甲方有权拒收</w:t>
      </w:r>
      <w:r>
        <w:rPr>
          <w:rFonts w:hint="eastAsia" w:ascii="宋体" w:hAnsi="宋体" w:cs="宋体"/>
          <w:color w:val="000000"/>
          <w:spacing w:val="6"/>
          <w:sz w:val="24"/>
        </w:rPr>
        <w:t>。甲方拒收的，乙方</w:t>
      </w:r>
      <w:r>
        <w:rPr>
          <w:rFonts w:hint="eastAsia" w:ascii="宋体" w:hAnsi="宋体" w:cs="宋体"/>
          <w:color w:val="000000"/>
          <w:spacing w:val="7"/>
          <w:sz w:val="24"/>
        </w:rPr>
        <w:t>应向甲方支付货款总额5%的违约金。</w:t>
      </w:r>
    </w:p>
    <w:p w14:paraId="39DAE40D">
      <w:pPr>
        <w:spacing w:before="32" w:line="282" w:lineRule="auto"/>
        <w:ind w:left="1" w:right="90" w:firstLine="614"/>
        <w:rPr>
          <w:rFonts w:ascii="宋体" w:hAnsi="宋体" w:cs="宋体"/>
          <w:color w:val="000000"/>
          <w:sz w:val="24"/>
        </w:rPr>
      </w:pPr>
      <w:r>
        <w:rPr>
          <w:rFonts w:hint="eastAsia" w:ascii="宋体" w:hAnsi="宋体" w:cs="宋体"/>
          <w:color w:val="000000"/>
          <w:spacing w:val="8"/>
          <w:sz w:val="24"/>
        </w:rPr>
        <w:t>6</w:t>
      </w:r>
      <w:r>
        <w:rPr>
          <w:rFonts w:hint="eastAsia" w:ascii="宋体" w:hAnsi="宋体" w:cs="宋体"/>
          <w:color w:val="000000"/>
          <w:spacing w:val="-13"/>
          <w:sz w:val="24"/>
        </w:rPr>
        <w:t xml:space="preserve"> </w:t>
      </w:r>
      <w:r>
        <w:rPr>
          <w:rFonts w:hint="eastAsia" w:ascii="宋体" w:hAnsi="宋体" w:cs="宋体"/>
          <w:color w:val="000000"/>
          <w:spacing w:val="8"/>
          <w:sz w:val="24"/>
        </w:rPr>
        <w:t>、在乙方承诺的或国家规定的质量保证期内（取两者中最长的期限</w:t>
      </w:r>
      <w:r>
        <w:rPr>
          <w:rFonts w:hint="eastAsia" w:ascii="宋体" w:hAnsi="宋体" w:cs="宋体"/>
          <w:color w:val="000000"/>
          <w:spacing w:val="23"/>
          <w:sz w:val="24"/>
        </w:rPr>
        <w:t>），</w:t>
      </w:r>
      <w:r>
        <w:rPr>
          <w:rFonts w:hint="eastAsia" w:ascii="宋体" w:hAnsi="宋体" w:cs="宋体"/>
          <w:color w:val="000000"/>
          <w:spacing w:val="8"/>
          <w:sz w:val="24"/>
        </w:rPr>
        <w:t>如经乙方两次维修或更换，货物仍不能达到合同约定的质量标准，甲方有权退货，乙方应退回全部货款，并按第3款处理，同时，乙方还须赔偿甲方因此遭受的损失。</w:t>
      </w:r>
    </w:p>
    <w:p w14:paraId="36A0DA4C">
      <w:pPr>
        <w:spacing w:before="30" w:line="259" w:lineRule="auto"/>
        <w:ind w:left="26" w:right="159" w:firstLine="539"/>
        <w:jc w:val="left"/>
        <w:rPr>
          <w:rFonts w:ascii="宋体" w:hAnsi="宋体" w:cs="宋体"/>
          <w:color w:val="000000"/>
          <w:sz w:val="24"/>
        </w:rPr>
      </w:pPr>
      <w:r>
        <w:rPr>
          <w:rFonts w:hint="eastAsia" w:ascii="宋体" w:hAnsi="宋体" w:cs="宋体"/>
          <w:color w:val="000000"/>
          <w:spacing w:val="8"/>
          <w:sz w:val="24"/>
        </w:rPr>
        <w:t>7、乙方未按本合同的规定和“服务承诺”提供伴随服务/售后服务的，应按合同总价款的</w:t>
      </w:r>
      <w:r>
        <w:rPr>
          <w:rFonts w:hint="eastAsia" w:ascii="宋体" w:hAnsi="宋体" w:cs="宋体"/>
          <w:color w:val="000000"/>
          <w:spacing w:val="8"/>
          <w:sz w:val="24"/>
          <w:u w:val="single"/>
        </w:rPr>
        <w:t>30%</w:t>
      </w:r>
      <w:r>
        <w:rPr>
          <w:rFonts w:hint="eastAsia" w:ascii="宋体" w:hAnsi="宋体" w:cs="宋体"/>
          <w:color w:val="000000"/>
          <w:spacing w:val="8"/>
          <w:sz w:val="24"/>
        </w:rPr>
        <w:t>向</w:t>
      </w:r>
      <w:r>
        <w:rPr>
          <w:rFonts w:hint="eastAsia" w:ascii="宋体" w:hAnsi="宋体" w:cs="宋体"/>
          <w:color w:val="000000"/>
          <w:spacing w:val="4"/>
          <w:sz w:val="24"/>
        </w:rPr>
        <w:t>甲方承担违约责任。</w:t>
      </w:r>
    </w:p>
    <w:p w14:paraId="46EB4AC8">
      <w:pPr>
        <w:spacing w:before="68" w:line="270" w:lineRule="auto"/>
        <w:ind w:left="10" w:firstLine="552"/>
        <w:jc w:val="left"/>
        <w:rPr>
          <w:rFonts w:ascii="宋体" w:hAnsi="宋体" w:cs="宋体"/>
          <w:color w:val="000000"/>
          <w:sz w:val="24"/>
        </w:rPr>
      </w:pPr>
      <w:r>
        <w:rPr>
          <w:rFonts w:hint="eastAsia" w:ascii="宋体" w:hAnsi="宋体" w:cs="宋体"/>
          <w:color w:val="000000"/>
          <w:spacing w:val="9"/>
          <w:sz w:val="24"/>
        </w:rPr>
        <w:t>8、乙方在承担上述4-7款一项或多项违</w:t>
      </w:r>
      <w:r>
        <w:rPr>
          <w:rFonts w:hint="eastAsia" w:ascii="宋体" w:hAnsi="宋体" w:cs="宋体"/>
          <w:color w:val="000000"/>
          <w:spacing w:val="8"/>
          <w:sz w:val="24"/>
        </w:rPr>
        <w:t>约责任后，仍应继续履行合同规定的义务（甲方解除合同</w:t>
      </w:r>
      <w:r>
        <w:rPr>
          <w:rFonts w:hint="eastAsia" w:ascii="宋体" w:hAnsi="宋体" w:cs="宋体"/>
          <w:color w:val="000000"/>
          <w:spacing w:val="7"/>
          <w:sz w:val="24"/>
        </w:rPr>
        <w:t>的除外）。甲方未能及时追究乙方的任何一项违约责任并不表明甲方放弃追究乙方该项或其他违约</w:t>
      </w:r>
      <w:r>
        <w:rPr>
          <w:rFonts w:hint="eastAsia" w:ascii="宋体" w:hAnsi="宋体" w:cs="宋体"/>
          <w:color w:val="000000"/>
          <w:spacing w:val="6"/>
          <w:sz w:val="24"/>
        </w:rPr>
        <w:t>责任。</w:t>
      </w:r>
      <w:r>
        <w:rPr>
          <w:rFonts w:hint="eastAsia" w:ascii="宋体" w:hAnsi="宋体" w:cs="宋体"/>
          <w:color w:val="000000"/>
          <w:spacing w:val="9"/>
          <w:sz w:val="24"/>
        </w:rPr>
        <w:t>（包括但不限于律师费、诉讼费、公证费、差旅费、保全费、保全</w:t>
      </w:r>
      <w:r>
        <w:rPr>
          <w:rFonts w:hint="eastAsia" w:ascii="宋体" w:hAnsi="宋体" w:cs="宋体"/>
          <w:color w:val="000000"/>
          <w:spacing w:val="8"/>
          <w:sz w:val="24"/>
        </w:rPr>
        <w:t>保险费等）。</w:t>
      </w:r>
    </w:p>
    <w:p w14:paraId="493D6B27">
      <w:pPr>
        <w:spacing w:before="68" w:line="228" w:lineRule="auto"/>
        <w:ind w:left="561"/>
        <w:jc w:val="left"/>
        <w:rPr>
          <w:rFonts w:ascii="宋体" w:hAnsi="宋体" w:cs="宋体"/>
          <w:color w:val="000000"/>
          <w:sz w:val="24"/>
        </w:rPr>
      </w:pPr>
      <w:r>
        <w:rPr>
          <w:rFonts w:hint="eastAsia" w:ascii="宋体" w:hAnsi="宋体" w:cs="宋体"/>
          <w:b/>
          <w:bCs/>
          <w:color w:val="000000"/>
          <w:spacing w:val="7"/>
          <w:sz w:val="24"/>
        </w:rPr>
        <w:t>第十二条</w:t>
      </w:r>
      <w:r>
        <w:rPr>
          <w:rFonts w:hint="eastAsia" w:ascii="宋体" w:hAnsi="宋体" w:cs="宋体"/>
          <w:color w:val="000000"/>
          <w:spacing w:val="7"/>
          <w:sz w:val="24"/>
        </w:rPr>
        <w:t xml:space="preserve"> </w:t>
      </w:r>
      <w:r>
        <w:rPr>
          <w:rFonts w:hint="eastAsia" w:ascii="宋体" w:hAnsi="宋体" w:cs="宋体"/>
          <w:b/>
          <w:bCs/>
          <w:color w:val="000000"/>
          <w:spacing w:val="7"/>
          <w:sz w:val="24"/>
        </w:rPr>
        <w:t>合同的变更和终止</w:t>
      </w:r>
    </w:p>
    <w:p w14:paraId="03420632">
      <w:pPr>
        <w:spacing w:before="68" w:line="278" w:lineRule="auto"/>
        <w:ind w:right="159" w:firstLine="573"/>
        <w:jc w:val="left"/>
        <w:rPr>
          <w:rFonts w:ascii="宋体" w:hAnsi="宋体" w:cs="宋体"/>
          <w:color w:val="000000"/>
          <w:sz w:val="24"/>
        </w:rPr>
      </w:pPr>
      <w:r>
        <w:rPr>
          <w:rFonts w:hint="eastAsia" w:ascii="宋体" w:hAnsi="宋体" w:cs="宋体"/>
          <w:color w:val="000000"/>
          <w:spacing w:val="7"/>
          <w:sz w:val="24"/>
        </w:rPr>
        <w:t>除《政府采购法》第</w:t>
      </w:r>
      <w:r>
        <w:rPr>
          <w:rFonts w:hint="eastAsia" w:ascii="宋体" w:hAnsi="宋体" w:cs="宋体"/>
          <w:color w:val="000000"/>
          <w:spacing w:val="-37"/>
          <w:sz w:val="24"/>
        </w:rPr>
        <w:t xml:space="preserve"> </w:t>
      </w:r>
      <w:r>
        <w:rPr>
          <w:rFonts w:hint="eastAsia" w:ascii="宋体" w:hAnsi="宋体" w:cs="宋体"/>
          <w:color w:val="000000"/>
          <w:spacing w:val="7"/>
          <w:sz w:val="24"/>
        </w:rPr>
        <w:t>49</w:t>
      </w:r>
      <w:r>
        <w:rPr>
          <w:rFonts w:hint="eastAsia" w:ascii="宋体" w:hAnsi="宋体" w:cs="宋体"/>
          <w:color w:val="000000"/>
          <w:spacing w:val="-39"/>
          <w:sz w:val="24"/>
        </w:rPr>
        <w:t xml:space="preserve"> </w:t>
      </w:r>
      <w:r>
        <w:rPr>
          <w:rFonts w:hint="eastAsia" w:ascii="宋体" w:hAnsi="宋体" w:cs="宋体"/>
          <w:color w:val="000000"/>
          <w:spacing w:val="7"/>
          <w:sz w:val="24"/>
        </w:rPr>
        <w:t>条、第</w:t>
      </w:r>
      <w:r>
        <w:rPr>
          <w:rFonts w:hint="eastAsia" w:ascii="宋体" w:hAnsi="宋体" w:cs="宋体"/>
          <w:color w:val="000000"/>
          <w:spacing w:val="-32"/>
          <w:sz w:val="24"/>
        </w:rPr>
        <w:t xml:space="preserve"> </w:t>
      </w:r>
      <w:r>
        <w:rPr>
          <w:rFonts w:hint="eastAsia" w:ascii="宋体" w:hAnsi="宋体" w:cs="宋体"/>
          <w:color w:val="000000"/>
          <w:spacing w:val="7"/>
          <w:sz w:val="24"/>
        </w:rPr>
        <w:t>50</w:t>
      </w:r>
      <w:r>
        <w:rPr>
          <w:rFonts w:hint="eastAsia" w:ascii="宋体" w:hAnsi="宋体" w:cs="宋体"/>
          <w:color w:val="000000"/>
          <w:spacing w:val="-39"/>
          <w:sz w:val="24"/>
        </w:rPr>
        <w:t xml:space="preserve"> </w:t>
      </w:r>
      <w:r>
        <w:rPr>
          <w:rFonts w:hint="eastAsia" w:ascii="宋体" w:hAnsi="宋体" w:cs="宋体"/>
          <w:color w:val="000000"/>
          <w:spacing w:val="7"/>
          <w:sz w:val="24"/>
        </w:rPr>
        <w:t>条第二款规定的情形外，本合同一经签订，</w:t>
      </w:r>
      <w:r>
        <w:rPr>
          <w:rFonts w:hint="eastAsia" w:ascii="宋体" w:hAnsi="宋体" w:cs="宋体"/>
          <w:color w:val="000000"/>
          <w:spacing w:val="-58"/>
          <w:sz w:val="24"/>
        </w:rPr>
        <w:t xml:space="preserve"> </w:t>
      </w:r>
      <w:r>
        <w:rPr>
          <w:rFonts w:hint="eastAsia" w:ascii="宋体" w:hAnsi="宋体" w:cs="宋体"/>
          <w:color w:val="000000"/>
          <w:spacing w:val="7"/>
          <w:sz w:val="24"/>
        </w:rPr>
        <w:t>甲乙双方不得擅自</w:t>
      </w:r>
      <w:r>
        <w:rPr>
          <w:rFonts w:hint="eastAsia" w:ascii="宋体" w:hAnsi="宋体" w:cs="宋体"/>
          <w:color w:val="000000"/>
          <w:spacing w:val="8"/>
          <w:sz w:val="24"/>
        </w:rPr>
        <w:t>变更、中止或终止合同。</w:t>
      </w:r>
    </w:p>
    <w:p w14:paraId="212EBF8A">
      <w:pPr>
        <w:spacing w:before="28" w:line="228" w:lineRule="auto"/>
        <w:ind w:left="561"/>
        <w:jc w:val="left"/>
        <w:rPr>
          <w:rFonts w:ascii="宋体" w:hAnsi="宋体" w:cs="宋体"/>
          <w:color w:val="000000"/>
          <w:sz w:val="24"/>
        </w:rPr>
      </w:pPr>
      <w:r>
        <w:rPr>
          <w:rFonts w:hint="eastAsia" w:ascii="宋体" w:hAnsi="宋体" w:cs="宋体"/>
          <w:b/>
          <w:bCs/>
          <w:color w:val="000000"/>
          <w:spacing w:val="7"/>
          <w:sz w:val="24"/>
        </w:rPr>
        <w:t>第十三条</w:t>
      </w:r>
      <w:r>
        <w:rPr>
          <w:rFonts w:hint="eastAsia" w:ascii="宋体" w:hAnsi="宋体" w:cs="宋体"/>
          <w:color w:val="000000"/>
          <w:spacing w:val="7"/>
          <w:sz w:val="24"/>
        </w:rPr>
        <w:t xml:space="preserve">  </w:t>
      </w:r>
      <w:r>
        <w:rPr>
          <w:rFonts w:hint="eastAsia" w:ascii="宋体" w:hAnsi="宋体" w:cs="宋体"/>
          <w:b/>
          <w:bCs/>
          <w:color w:val="000000"/>
          <w:spacing w:val="7"/>
          <w:sz w:val="24"/>
        </w:rPr>
        <w:t>合同的转让</w:t>
      </w:r>
    </w:p>
    <w:p w14:paraId="5C419E77">
      <w:pPr>
        <w:spacing w:before="67" w:line="228" w:lineRule="auto"/>
        <w:ind w:left="582"/>
        <w:jc w:val="left"/>
        <w:rPr>
          <w:rFonts w:ascii="宋体" w:hAnsi="宋体" w:cs="宋体"/>
          <w:color w:val="000000"/>
          <w:sz w:val="24"/>
        </w:rPr>
      </w:pPr>
      <w:r>
        <w:rPr>
          <w:rFonts w:hint="eastAsia" w:ascii="宋体" w:hAnsi="宋体" w:cs="宋体"/>
          <w:color w:val="000000"/>
          <w:spacing w:val="8"/>
          <w:sz w:val="24"/>
        </w:rPr>
        <w:t>乙方不得擅自部分或全部转让其应履行的合同义务。</w:t>
      </w:r>
    </w:p>
    <w:p w14:paraId="2CFEC1B4">
      <w:pPr>
        <w:spacing w:before="68" w:line="228" w:lineRule="auto"/>
        <w:ind w:left="561"/>
        <w:jc w:val="left"/>
        <w:rPr>
          <w:rFonts w:ascii="宋体" w:hAnsi="宋体" w:cs="宋体"/>
          <w:color w:val="000000"/>
          <w:sz w:val="24"/>
        </w:rPr>
      </w:pPr>
      <w:r>
        <w:rPr>
          <w:rFonts w:hint="eastAsia" w:ascii="宋体" w:hAnsi="宋体" w:cs="宋体"/>
          <w:b/>
          <w:bCs/>
          <w:color w:val="000000"/>
          <w:spacing w:val="7"/>
          <w:sz w:val="24"/>
        </w:rPr>
        <w:t>第十四条</w:t>
      </w:r>
      <w:r>
        <w:rPr>
          <w:rFonts w:hint="eastAsia" w:ascii="宋体" w:hAnsi="宋体" w:cs="宋体"/>
          <w:color w:val="000000"/>
          <w:spacing w:val="7"/>
          <w:sz w:val="24"/>
        </w:rPr>
        <w:t xml:space="preserve">  </w:t>
      </w:r>
      <w:r>
        <w:rPr>
          <w:rFonts w:hint="eastAsia" w:ascii="宋体" w:hAnsi="宋体" w:cs="宋体"/>
          <w:b/>
          <w:bCs/>
          <w:color w:val="000000"/>
          <w:spacing w:val="7"/>
          <w:sz w:val="24"/>
        </w:rPr>
        <w:t>争议的解决</w:t>
      </w:r>
    </w:p>
    <w:p w14:paraId="6AE9727A">
      <w:pPr>
        <w:spacing w:before="69" w:line="259" w:lineRule="auto"/>
        <w:ind w:left="1" w:right="73" w:firstLine="575"/>
        <w:jc w:val="left"/>
        <w:rPr>
          <w:rFonts w:ascii="宋体" w:hAnsi="宋体" w:cs="宋体"/>
          <w:color w:val="000000"/>
          <w:sz w:val="24"/>
        </w:rPr>
      </w:pPr>
      <w:r>
        <w:rPr>
          <w:rFonts w:hint="eastAsia" w:ascii="宋体" w:hAnsi="宋体" w:cs="宋体"/>
          <w:color w:val="000000"/>
          <w:spacing w:val="9"/>
          <w:sz w:val="24"/>
        </w:rPr>
        <w:t>1、因货物的质量问题发生争议的，应当邀请国家认可的质量检测机构对货物质</w:t>
      </w:r>
      <w:r>
        <w:rPr>
          <w:rFonts w:hint="eastAsia" w:ascii="宋体" w:hAnsi="宋体" w:cs="宋体"/>
          <w:color w:val="000000"/>
          <w:spacing w:val="8"/>
          <w:sz w:val="24"/>
        </w:rPr>
        <w:t>量进行鉴定。货物</w:t>
      </w:r>
      <w:r>
        <w:rPr>
          <w:rFonts w:hint="eastAsia" w:ascii="宋体" w:hAnsi="宋体" w:cs="宋体"/>
          <w:color w:val="000000"/>
          <w:spacing w:val="9"/>
          <w:sz w:val="24"/>
        </w:rPr>
        <w:t>符合标准的，鉴定费由甲方承担；货物不符合质量标准的，鉴定费由乙方承担。</w:t>
      </w:r>
    </w:p>
    <w:p w14:paraId="3B5661F7">
      <w:pPr>
        <w:spacing w:before="67" w:line="259" w:lineRule="auto"/>
        <w:ind w:left="3" w:right="73" w:firstLine="560"/>
        <w:jc w:val="left"/>
        <w:rPr>
          <w:rFonts w:ascii="宋体" w:hAnsi="宋体" w:cs="宋体"/>
          <w:color w:val="000000"/>
          <w:sz w:val="24"/>
        </w:rPr>
      </w:pPr>
      <w:r>
        <w:rPr>
          <w:rFonts w:hint="eastAsia" w:ascii="宋体" w:hAnsi="宋体" w:cs="宋体"/>
          <w:color w:val="000000"/>
          <w:spacing w:val="9"/>
          <w:sz w:val="24"/>
        </w:rPr>
        <w:t>2、因履行本合同引起的或与本合同有关的争议，甲、乙双方应首先通过友好协商解决，如果协商</w:t>
      </w:r>
      <w:r>
        <w:rPr>
          <w:rFonts w:hint="eastAsia" w:ascii="宋体" w:hAnsi="宋体" w:cs="宋体"/>
          <w:color w:val="000000"/>
          <w:spacing w:val="8"/>
          <w:sz w:val="24"/>
        </w:rPr>
        <w:t>不能解决争议，则采取以下第（1）种方式解决争议：</w:t>
      </w:r>
    </w:p>
    <w:p w14:paraId="1B6D1196">
      <w:pPr>
        <w:spacing w:before="71" w:line="227" w:lineRule="auto"/>
        <w:ind w:left="571"/>
        <w:jc w:val="left"/>
        <w:rPr>
          <w:rFonts w:ascii="宋体" w:hAnsi="宋体" w:cs="宋体"/>
          <w:color w:val="000000"/>
          <w:sz w:val="24"/>
        </w:rPr>
      </w:pPr>
      <w:r>
        <w:rPr>
          <w:rFonts w:hint="eastAsia" w:ascii="宋体" w:hAnsi="宋体" w:cs="宋体"/>
          <w:color w:val="000000"/>
          <w:spacing w:val="8"/>
          <w:sz w:val="24"/>
        </w:rPr>
        <w:t>（1）向甲方所在地有管辖权的人民法院提起诉讼；</w:t>
      </w:r>
    </w:p>
    <w:p w14:paraId="007E371E">
      <w:pPr>
        <w:spacing w:before="65" w:line="227" w:lineRule="auto"/>
        <w:ind w:left="552"/>
        <w:jc w:val="left"/>
        <w:rPr>
          <w:rFonts w:ascii="宋体" w:hAnsi="宋体" w:cs="宋体"/>
          <w:color w:val="000000"/>
          <w:sz w:val="24"/>
        </w:rPr>
      </w:pPr>
      <w:r>
        <w:rPr>
          <w:rFonts w:hint="eastAsia" w:ascii="宋体" w:hAnsi="宋体" w:cs="宋体"/>
          <w:color w:val="000000"/>
          <w:spacing w:val="7"/>
          <w:sz w:val="24"/>
        </w:rPr>
        <w:t>（2）向</w:t>
      </w:r>
      <w:r>
        <w:rPr>
          <w:rFonts w:hint="eastAsia" w:ascii="宋体" w:hAnsi="宋体" w:cs="宋体"/>
          <w:color w:val="000000"/>
          <w:spacing w:val="-10"/>
          <w:sz w:val="24"/>
        </w:rPr>
        <w:t>（</w:t>
      </w:r>
      <w:r>
        <w:rPr>
          <w:rFonts w:hint="eastAsia" w:ascii="宋体" w:hAnsi="宋体" w:cs="宋体"/>
          <w:color w:val="000000"/>
          <w:spacing w:val="14"/>
          <w:sz w:val="24"/>
          <w:u w:val="single"/>
        </w:rPr>
        <w:t xml:space="preserve">   </w:t>
      </w:r>
      <w:r>
        <w:rPr>
          <w:rFonts w:hint="eastAsia" w:ascii="宋体" w:hAnsi="宋体" w:cs="宋体"/>
          <w:color w:val="000000"/>
          <w:spacing w:val="14"/>
          <w:sz w:val="24"/>
          <w:u w:val="single"/>
          <w:lang w:val="en-US" w:eastAsia="zh-CN"/>
        </w:rPr>
        <w:t xml:space="preserve">   </w:t>
      </w:r>
      <w:r>
        <w:rPr>
          <w:rFonts w:hint="eastAsia" w:ascii="宋体" w:hAnsi="宋体" w:cs="宋体"/>
          <w:color w:val="000000"/>
          <w:spacing w:val="14"/>
          <w:sz w:val="24"/>
          <w:u w:val="single"/>
        </w:rPr>
        <w:t xml:space="preserve">    </w:t>
      </w:r>
      <w:r>
        <w:rPr>
          <w:rFonts w:hint="eastAsia" w:ascii="宋体" w:hAnsi="宋体" w:cs="宋体"/>
          <w:color w:val="000000"/>
          <w:spacing w:val="-10"/>
          <w:sz w:val="24"/>
        </w:rPr>
        <w:t>）</w:t>
      </w:r>
      <w:r>
        <w:rPr>
          <w:rFonts w:hint="eastAsia" w:ascii="宋体" w:hAnsi="宋体" w:cs="宋体"/>
          <w:color w:val="000000"/>
          <w:spacing w:val="7"/>
          <w:sz w:val="24"/>
        </w:rPr>
        <w:t>仲裁委员会按其仲裁规则申请仲裁。</w:t>
      </w:r>
    </w:p>
    <w:p w14:paraId="19BD819E">
      <w:pPr>
        <w:spacing w:before="68" w:line="227" w:lineRule="auto"/>
        <w:ind w:left="546"/>
        <w:jc w:val="left"/>
        <w:rPr>
          <w:rFonts w:ascii="宋体" w:hAnsi="宋体" w:cs="宋体"/>
          <w:color w:val="000000"/>
          <w:sz w:val="24"/>
        </w:rPr>
      </w:pPr>
      <w:r>
        <w:rPr>
          <w:rFonts w:hint="eastAsia" w:ascii="宋体" w:hAnsi="宋体" w:cs="宋体"/>
          <w:color w:val="000000"/>
          <w:spacing w:val="8"/>
          <w:sz w:val="24"/>
        </w:rPr>
        <w:t>3、在仲裁期间，本合同应继续履行。</w:t>
      </w:r>
    </w:p>
    <w:p w14:paraId="6E3E8F5A">
      <w:pPr>
        <w:spacing w:before="68" w:line="228" w:lineRule="auto"/>
        <w:ind w:left="541"/>
        <w:jc w:val="left"/>
        <w:rPr>
          <w:rFonts w:ascii="宋体" w:hAnsi="宋体" w:cs="宋体"/>
          <w:color w:val="000000"/>
          <w:sz w:val="24"/>
        </w:rPr>
      </w:pPr>
      <w:r>
        <w:rPr>
          <w:rFonts w:hint="eastAsia" w:ascii="宋体" w:hAnsi="宋体" w:cs="宋体"/>
          <w:b/>
          <w:bCs/>
          <w:color w:val="000000"/>
          <w:spacing w:val="7"/>
          <w:sz w:val="24"/>
        </w:rPr>
        <w:t>第十五条</w:t>
      </w:r>
      <w:r>
        <w:rPr>
          <w:rFonts w:hint="eastAsia" w:ascii="宋体" w:hAnsi="宋体" w:cs="宋体"/>
          <w:color w:val="000000"/>
          <w:spacing w:val="7"/>
          <w:sz w:val="24"/>
        </w:rPr>
        <w:t xml:space="preserve">   </w:t>
      </w:r>
      <w:r>
        <w:rPr>
          <w:rFonts w:hint="eastAsia" w:ascii="宋体" w:hAnsi="宋体" w:cs="宋体"/>
          <w:b/>
          <w:bCs/>
          <w:color w:val="000000"/>
          <w:spacing w:val="7"/>
          <w:sz w:val="24"/>
        </w:rPr>
        <w:t>合同生效及其他</w:t>
      </w:r>
    </w:p>
    <w:p w14:paraId="100751F4">
      <w:pPr>
        <w:spacing w:before="67" w:line="227" w:lineRule="auto"/>
        <w:ind w:left="557"/>
        <w:jc w:val="left"/>
        <w:rPr>
          <w:rFonts w:ascii="宋体" w:hAnsi="宋体" w:cs="宋体"/>
          <w:color w:val="000000"/>
          <w:sz w:val="24"/>
        </w:rPr>
      </w:pPr>
      <w:r>
        <w:rPr>
          <w:rFonts w:hint="eastAsia" w:ascii="宋体" w:hAnsi="宋体" w:cs="宋体"/>
          <w:color w:val="000000"/>
          <w:spacing w:val="6"/>
          <w:sz w:val="24"/>
        </w:rPr>
        <w:t>1、本合同自签订之日起生效。</w:t>
      </w:r>
    </w:p>
    <w:p w14:paraId="29A41E4A">
      <w:pPr>
        <w:spacing w:before="71" w:line="221" w:lineRule="auto"/>
        <w:ind w:left="544"/>
        <w:jc w:val="left"/>
        <w:rPr>
          <w:rFonts w:ascii="宋体" w:hAnsi="宋体" w:cs="宋体"/>
          <w:b/>
          <w:bCs/>
          <w:color w:val="000000"/>
          <w:sz w:val="24"/>
        </w:rPr>
      </w:pPr>
      <w:r>
        <w:rPr>
          <w:rFonts w:hint="eastAsia" w:ascii="宋体" w:hAnsi="宋体" w:cs="宋体"/>
          <w:b/>
          <w:bCs/>
          <w:color w:val="000000"/>
          <w:spacing w:val="5"/>
          <w:sz w:val="24"/>
        </w:rPr>
        <w:t>2、本合同一式</w:t>
      </w:r>
      <w:r>
        <w:rPr>
          <w:rFonts w:hint="eastAsia" w:ascii="宋体" w:hAnsi="宋体" w:cs="宋体"/>
          <w:b/>
          <w:bCs/>
          <w:color w:val="000000"/>
          <w:spacing w:val="5"/>
          <w:sz w:val="24"/>
          <w:u w:val="single"/>
        </w:rPr>
        <w:t xml:space="preserve"> 肆 </w:t>
      </w:r>
      <w:r>
        <w:rPr>
          <w:rFonts w:hint="eastAsia" w:ascii="宋体" w:hAnsi="宋体" w:cs="宋体"/>
          <w:b/>
          <w:bCs/>
          <w:color w:val="000000"/>
          <w:spacing w:val="5"/>
          <w:sz w:val="24"/>
        </w:rPr>
        <w:t>份，</w:t>
      </w:r>
      <w:r>
        <w:rPr>
          <w:rFonts w:hint="eastAsia" w:ascii="宋体" w:hAnsi="宋体" w:cs="宋体"/>
          <w:b/>
          <w:bCs/>
          <w:color w:val="000000"/>
          <w:spacing w:val="-44"/>
          <w:sz w:val="24"/>
        </w:rPr>
        <w:t xml:space="preserve"> </w:t>
      </w:r>
      <w:r>
        <w:rPr>
          <w:rFonts w:hint="eastAsia" w:ascii="宋体" w:hAnsi="宋体" w:cs="宋体"/>
          <w:b/>
          <w:bCs/>
          <w:color w:val="000000"/>
          <w:spacing w:val="5"/>
          <w:sz w:val="24"/>
        </w:rPr>
        <w:t>甲乙双方各执</w:t>
      </w:r>
      <w:r>
        <w:rPr>
          <w:rFonts w:hint="eastAsia" w:ascii="宋体" w:hAnsi="宋体" w:cs="宋体"/>
          <w:b/>
          <w:bCs/>
          <w:color w:val="000000"/>
          <w:spacing w:val="5"/>
          <w:sz w:val="24"/>
          <w:u w:val="single"/>
        </w:rPr>
        <w:t xml:space="preserve"> 贰 </w:t>
      </w:r>
      <w:r>
        <w:rPr>
          <w:rFonts w:hint="eastAsia" w:ascii="宋体" w:hAnsi="宋体" w:cs="宋体"/>
          <w:b/>
          <w:bCs/>
          <w:color w:val="000000"/>
          <w:spacing w:val="5"/>
          <w:sz w:val="24"/>
        </w:rPr>
        <w:t>份。</w:t>
      </w:r>
    </w:p>
    <w:p w14:paraId="726A4A86">
      <w:pPr>
        <w:spacing w:before="73" w:line="259" w:lineRule="auto"/>
        <w:ind w:firstLine="546"/>
        <w:jc w:val="left"/>
        <w:rPr>
          <w:rFonts w:ascii="宋体" w:hAnsi="宋体" w:cs="宋体"/>
          <w:color w:val="000000"/>
          <w:sz w:val="24"/>
        </w:rPr>
      </w:pPr>
      <w:r>
        <w:rPr>
          <w:rFonts w:hint="eastAsia" w:ascii="宋体" w:hAnsi="宋体" w:cs="宋体"/>
          <w:spacing w:val="9"/>
          <w:sz w:val="24"/>
        </w:rPr>
        <w:t>3、江苏骏通建设项目管理咨询有限公司为甲方的采购</w:t>
      </w:r>
      <w:r>
        <w:rPr>
          <w:rFonts w:hint="eastAsia" w:ascii="宋体" w:hAnsi="宋体" w:cs="宋体"/>
          <w:color w:val="000000"/>
          <w:spacing w:val="9"/>
          <w:sz w:val="24"/>
        </w:rPr>
        <w:t>代理机构，根据甲方的授权代其采购确定乙方为</w:t>
      </w:r>
      <w:r>
        <w:rPr>
          <w:rFonts w:hint="eastAsia" w:ascii="宋体" w:hAnsi="宋体" w:cs="宋体"/>
          <w:color w:val="000000"/>
          <w:spacing w:val="8"/>
          <w:sz w:val="24"/>
        </w:rPr>
        <w:t>中标单位，但不承担本合同规定的甲方的权利和义务。</w:t>
      </w:r>
    </w:p>
    <w:p w14:paraId="6AECAFF9">
      <w:pPr>
        <w:spacing w:before="68" w:line="227" w:lineRule="auto"/>
        <w:ind w:left="541"/>
        <w:jc w:val="left"/>
        <w:rPr>
          <w:rFonts w:ascii="宋体" w:hAnsi="宋体" w:cs="宋体"/>
          <w:color w:val="000000"/>
          <w:spacing w:val="8"/>
          <w:sz w:val="24"/>
        </w:rPr>
      </w:pPr>
      <w:r>
        <w:rPr>
          <w:rFonts w:hint="eastAsia" w:ascii="宋体" w:hAnsi="宋体" w:cs="宋体"/>
          <w:color w:val="000000"/>
          <w:spacing w:val="9"/>
          <w:sz w:val="24"/>
        </w:rPr>
        <w:t>4、本合同应按照中华人民共和国的现行法律进行解</w:t>
      </w:r>
      <w:r>
        <w:rPr>
          <w:rFonts w:hint="eastAsia" w:ascii="宋体" w:hAnsi="宋体" w:cs="宋体"/>
          <w:color w:val="000000"/>
          <w:spacing w:val="8"/>
          <w:sz w:val="24"/>
        </w:rPr>
        <w:t>释。</w:t>
      </w:r>
    </w:p>
    <w:p w14:paraId="1922431A">
      <w:pPr>
        <w:spacing w:before="68" w:line="227" w:lineRule="auto"/>
        <w:ind w:left="541"/>
        <w:jc w:val="left"/>
        <w:rPr>
          <w:rFonts w:ascii="宋体" w:hAnsi="宋体" w:cs="宋体"/>
          <w:color w:val="000000"/>
          <w:spacing w:val="8"/>
          <w:sz w:val="24"/>
        </w:rPr>
      </w:pPr>
    </w:p>
    <w:tbl>
      <w:tblPr>
        <w:tblStyle w:val="6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176"/>
        <w:gridCol w:w="4345"/>
      </w:tblGrid>
      <w:tr w14:paraId="319503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5" w:hRule="atLeast"/>
        </w:trPr>
        <w:tc>
          <w:tcPr>
            <w:tcW w:w="4826" w:type="dxa"/>
            <w:vAlign w:val="center"/>
          </w:tcPr>
          <w:p w14:paraId="7CF888EE">
            <w:pPr>
              <w:spacing w:before="71" w:line="227" w:lineRule="auto"/>
              <w:rPr>
                <w:rFonts w:ascii="宋体" w:hAnsi="宋体" w:cs="宋体"/>
                <w:color w:val="000000"/>
                <w:spacing w:val="8"/>
                <w:sz w:val="24"/>
                <w:lang w:eastAsia="en-US"/>
              </w:rPr>
            </w:pPr>
            <w:r>
              <w:rPr>
                <w:rFonts w:hint="eastAsia" w:ascii="宋体" w:hAnsi="宋体" w:cs="宋体"/>
                <w:color w:val="000000"/>
                <w:spacing w:val="8"/>
                <w:sz w:val="24"/>
                <w:lang w:eastAsia="en-US"/>
              </w:rPr>
              <w:t>甲方</w:t>
            </w:r>
            <w:r>
              <w:rPr>
                <w:rFonts w:hint="eastAsia" w:ascii="宋体" w:hAnsi="宋体" w:cs="宋体"/>
                <w:color w:val="000000"/>
                <w:spacing w:val="-4"/>
                <w:sz w:val="24"/>
                <w:lang w:eastAsia="en-US"/>
              </w:rPr>
              <w:t>：</w:t>
            </w:r>
            <w:r>
              <w:rPr>
                <w:rFonts w:hint="eastAsia" w:ascii="宋体" w:hAnsi="宋体" w:cs="宋体"/>
                <w:color w:val="000000"/>
                <w:spacing w:val="-4"/>
                <w:sz w:val="24"/>
              </w:rPr>
              <w:t xml:space="preserve"> </w:t>
            </w:r>
            <w:r>
              <w:rPr>
                <w:rFonts w:hint="eastAsia" w:ascii="宋体" w:hAnsi="宋体" w:cs="宋体"/>
                <w:color w:val="000000"/>
                <w:spacing w:val="-4"/>
                <w:sz w:val="24"/>
                <w:lang w:eastAsia="en-US"/>
              </w:rPr>
              <w:t>（</w:t>
            </w:r>
            <w:r>
              <w:rPr>
                <w:rFonts w:hint="eastAsia" w:ascii="宋体" w:hAnsi="宋体" w:cs="宋体"/>
                <w:color w:val="000000"/>
                <w:spacing w:val="8"/>
                <w:sz w:val="24"/>
                <w:lang w:eastAsia="en-US"/>
              </w:rPr>
              <w:t>盖章）</w:t>
            </w:r>
          </w:p>
        </w:tc>
        <w:tc>
          <w:tcPr>
            <w:tcW w:w="5028" w:type="dxa"/>
            <w:vAlign w:val="center"/>
          </w:tcPr>
          <w:p w14:paraId="4E88E420">
            <w:pPr>
              <w:spacing w:before="71" w:line="227" w:lineRule="auto"/>
              <w:rPr>
                <w:rFonts w:ascii="宋体" w:hAnsi="宋体" w:cs="宋体"/>
                <w:color w:val="000000"/>
                <w:spacing w:val="8"/>
                <w:sz w:val="24"/>
                <w:lang w:eastAsia="en-US"/>
              </w:rPr>
            </w:pPr>
            <w:r>
              <w:rPr>
                <w:rFonts w:hint="eastAsia" w:ascii="宋体" w:hAnsi="宋体" w:cs="宋体"/>
                <w:color w:val="000000"/>
                <w:spacing w:val="8"/>
                <w:sz w:val="24"/>
                <w:lang w:eastAsia="en-US"/>
              </w:rPr>
              <w:t>乙方</w:t>
            </w:r>
            <w:r>
              <w:rPr>
                <w:rFonts w:hint="eastAsia" w:ascii="宋体" w:hAnsi="宋体" w:cs="宋体"/>
                <w:color w:val="000000"/>
                <w:spacing w:val="-4"/>
                <w:sz w:val="24"/>
                <w:lang w:eastAsia="en-US"/>
              </w:rPr>
              <w:t>：</w:t>
            </w:r>
            <w:r>
              <w:rPr>
                <w:rFonts w:hint="eastAsia" w:ascii="宋体" w:hAnsi="宋体" w:cs="宋体"/>
                <w:color w:val="000000"/>
                <w:spacing w:val="9"/>
                <w:sz w:val="24"/>
              </w:rPr>
              <w:t xml:space="preserve">  </w:t>
            </w:r>
            <w:r>
              <w:rPr>
                <w:rFonts w:hint="eastAsia" w:ascii="宋体" w:hAnsi="宋体" w:cs="宋体"/>
                <w:color w:val="000000"/>
                <w:spacing w:val="-4"/>
                <w:sz w:val="24"/>
                <w:lang w:eastAsia="en-US"/>
              </w:rPr>
              <w:t>（</w:t>
            </w:r>
            <w:r>
              <w:rPr>
                <w:rFonts w:hint="eastAsia" w:ascii="宋体" w:hAnsi="宋体" w:cs="宋体"/>
                <w:color w:val="000000"/>
                <w:spacing w:val="8"/>
                <w:sz w:val="24"/>
                <w:lang w:eastAsia="en-US"/>
              </w:rPr>
              <w:t>盖章）</w:t>
            </w:r>
          </w:p>
        </w:tc>
      </w:tr>
      <w:tr w14:paraId="19C4A3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5" w:hRule="atLeast"/>
        </w:trPr>
        <w:tc>
          <w:tcPr>
            <w:tcW w:w="4826" w:type="dxa"/>
            <w:vAlign w:val="center"/>
          </w:tcPr>
          <w:p w14:paraId="57B0D042">
            <w:pPr>
              <w:spacing w:before="71" w:line="227" w:lineRule="auto"/>
              <w:rPr>
                <w:rFonts w:ascii="宋体" w:hAnsi="宋体" w:cs="宋体"/>
                <w:color w:val="000000"/>
                <w:spacing w:val="8"/>
                <w:sz w:val="24"/>
                <w:lang w:eastAsia="en-US"/>
              </w:rPr>
            </w:pPr>
            <w:r>
              <w:rPr>
                <w:rFonts w:hint="eastAsia" w:ascii="宋体" w:hAnsi="宋体" w:cs="宋体"/>
                <w:color w:val="000000"/>
                <w:spacing w:val="6"/>
                <w:sz w:val="24"/>
                <w:lang w:eastAsia="en-US"/>
              </w:rPr>
              <w:t>法定代表人：</w:t>
            </w:r>
          </w:p>
        </w:tc>
        <w:tc>
          <w:tcPr>
            <w:tcW w:w="5028" w:type="dxa"/>
            <w:vAlign w:val="center"/>
          </w:tcPr>
          <w:p w14:paraId="39CA0397">
            <w:pPr>
              <w:spacing w:before="71" w:line="227" w:lineRule="auto"/>
              <w:rPr>
                <w:rFonts w:ascii="宋体" w:hAnsi="宋体" w:cs="宋体"/>
                <w:color w:val="000000"/>
                <w:spacing w:val="8"/>
                <w:sz w:val="24"/>
                <w:lang w:eastAsia="en-US"/>
              </w:rPr>
            </w:pPr>
            <w:r>
              <w:rPr>
                <w:rFonts w:hint="eastAsia" w:ascii="宋体" w:hAnsi="宋体" w:cs="宋体"/>
                <w:color w:val="000000"/>
                <w:spacing w:val="6"/>
                <w:sz w:val="24"/>
                <w:lang w:eastAsia="en-US"/>
              </w:rPr>
              <w:t>法定代表人：</w:t>
            </w:r>
          </w:p>
        </w:tc>
      </w:tr>
      <w:tr w14:paraId="00B6C5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826" w:type="dxa"/>
            <w:vAlign w:val="center"/>
          </w:tcPr>
          <w:p w14:paraId="35074AA6">
            <w:pPr>
              <w:spacing w:before="71" w:line="227" w:lineRule="auto"/>
              <w:rPr>
                <w:rFonts w:ascii="宋体" w:hAnsi="宋体" w:cs="宋体"/>
                <w:color w:val="000000"/>
                <w:spacing w:val="8"/>
                <w:sz w:val="24"/>
                <w:lang w:eastAsia="en-US"/>
              </w:rPr>
            </w:pPr>
            <w:r>
              <w:rPr>
                <w:rFonts w:hint="eastAsia" w:ascii="宋体" w:hAnsi="宋体" w:cs="宋体"/>
                <w:color w:val="000000"/>
                <w:spacing w:val="5"/>
                <w:sz w:val="24"/>
                <w:lang w:eastAsia="en-US"/>
              </w:rPr>
              <w:t>单位地址：</w:t>
            </w:r>
            <w:r>
              <w:rPr>
                <w:rFonts w:hint="eastAsia" w:ascii="宋体" w:hAnsi="宋体" w:cs="宋体"/>
                <w:color w:val="000000"/>
                <w:spacing w:val="5"/>
                <w:sz w:val="24"/>
              </w:rPr>
              <w:t xml:space="preserve"> </w:t>
            </w:r>
          </w:p>
        </w:tc>
        <w:tc>
          <w:tcPr>
            <w:tcW w:w="5028" w:type="dxa"/>
            <w:vAlign w:val="center"/>
          </w:tcPr>
          <w:p w14:paraId="0D5F72C1">
            <w:pPr>
              <w:spacing w:before="71" w:line="227" w:lineRule="auto"/>
              <w:rPr>
                <w:rFonts w:ascii="宋体" w:hAnsi="宋体" w:cs="宋体"/>
                <w:color w:val="000000"/>
                <w:spacing w:val="8"/>
                <w:sz w:val="24"/>
              </w:rPr>
            </w:pPr>
            <w:r>
              <w:rPr>
                <w:rFonts w:hint="eastAsia" w:ascii="宋体" w:hAnsi="宋体" w:cs="宋体"/>
                <w:color w:val="000000"/>
                <w:spacing w:val="5"/>
                <w:sz w:val="24"/>
                <w:lang w:eastAsia="en-US"/>
              </w:rPr>
              <w:t>单位地址：</w:t>
            </w:r>
            <w:r>
              <w:rPr>
                <w:rFonts w:hint="eastAsia" w:ascii="宋体" w:hAnsi="宋体" w:cs="宋体"/>
                <w:color w:val="000000"/>
                <w:spacing w:val="5"/>
                <w:sz w:val="24"/>
              </w:rPr>
              <w:t xml:space="preserve"> </w:t>
            </w:r>
          </w:p>
        </w:tc>
      </w:tr>
      <w:tr w14:paraId="5A51AD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826" w:type="dxa"/>
            <w:vAlign w:val="center"/>
          </w:tcPr>
          <w:p w14:paraId="380ECD9B">
            <w:pPr>
              <w:spacing w:before="71" w:line="227" w:lineRule="auto"/>
              <w:rPr>
                <w:rFonts w:ascii="宋体" w:hAnsi="宋体" w:cs="宋体"/>
                <w:color w:val="000000"/>
                <w:spacing w:val="8"/>
                <w:sz w:val="24"/>
                <w:lang w:eastAsia="en-US"/>
              </w:rPr>
            </w:pPr>
            <w:r>
              <w:rPr>
                <w:rFonts w:hint="eastAsia" w:ascii="宋体" w:hAnsi="宋体" w:cs="宋体"/>
                <w:color w:val="000000"/>
                <w:spacing w:val="-5"/>
                <w:sz w:val="24"/>
                <w:lang w:eastAsia="en-US"/>
              </w:rPr>
              <w:t>日期：</w:t>
            </w:r>
            <w:r>
              <w:rPr>
                <w:rFonts w:hint="eastAsia" w:ascii="宋体" w:hAnsi="宋体" w:cs="宋体"/>
                <w:color w:val="000000"/>
                <w:spacing w:val="12"/>
                <w:sz w:val="24"/>
                <w:lang w:eastAsia="en-US"/>
              </w:rPr>
              <w:t xml:space="preserve">   </w:t>
            </w:r>
            <w:r>
              <w:rPr>
                <w:rFonts w:hint="eastAsia" w:ascii="宋体" w:hAnsi="宋体" w:cs="宋体"/>
                <w:color w:val="000000"/>
                <w:spacing w:val="-5"/>
                <w:sz w:val="24"/>
                <w:lang w:eastAsia="en-US"/>
              </w:rPr>
              <w:t>年</w:t>
            </w:r>
            <w:r>
              <w:rPr>
                <w:rFonts w:hint="eastAsia" w:ascii="宋体" w:hAnsi="宋体" w:cs="宋体"/>
                <w:color w:val="000000"/>
                <w:spacing w:val="8"/>
                <w:sz w:val="24"/>
                <w:lang w:eastAsia="en-US"/>
              </w:rPr>
              <w:t xml:space="preserve">     </w:t>
            </w:r>
            <w:r>
              <w:rPr>
                <w:rFonts w:hint="eastAsia" w:ascii="宋体" w:hAnsi="宋体" w:cs="宋体"/>
                <w:color w:val="000000"/>
                <w:spacing w:val="-5"/>
                <w:sz w:val="24"/>
                <w:lang w:eastAsia="en-US"/>
              </w:rPr>
              <w:t>月</w:t>
            </w:r>
            <w:r>
              <w:rPr>
                <w:rFonts w:hint="eastAsia" w:ascii="宋体" w:hAnsi="宋体" w:cs="宋体"/>
                <w:color w:val="000000"/>
                <w:spacing w:val="16"/>
                <w:sz w:val="24"/>
                <w:lang w:eastAsia="en-US"/>
              </w:rPr>
              <w:t xml:space="preserve">    </w:t>
            </w:r>
            <w:r>
              <w:rPr>
                <w:rFonts w:hint="eastAsia" w:ascii="宋体" w:hAnsi="宋体" w:cs="宋体"/>
                <w:color w:val="000000"/>
                <w:spacing w:val="-5"/>
                <w:sz w:val="24"/>
                <w:lang w:eastAsia="en-US"/>
              </w:rPr>
              <w:t>日</w:t>
            </w:r>
          </w:p>
        </w:tc>
        <w:tc>
          <w:tcPr>
            <w:tcW w:w="5028" w:type="dxa"/>
            <w:vAlign w:val="center"/>
          </w:tcPr>
          <w:p w14:paraId="68312E1C">
            <w:pPr>
              <w:spacing w:before="71" w:line="227" w:lineRule="auto"/>
              <w:rPr>
                <w:rFonts w:ascii="宋体" w:hAnsi="宋体" w:cs="宋体"/>
                <w:color w:val="000000"/>
                <w:spacing w:val="8"/>
                <w:sz w:val="24"/>
                <w:lang w:eastAsia="en-US"/>
              </w:rPr>
            </w:pPr>
            <w:r>
              <w:rPr>
                <w:rFonts w:hint="eastAsia" w:ascii="宋体" w:hAnsi="宋体" w:cs="宋体"/>
                <w:color w:val="000000"/>
                <w:spacing w:val="-5"/>
                <w:sz w:val="24"/>
                <w:lang w:eastAsia="en-US"/>
              </w:rPr>
              <w:t>日期：</w:t>
            </w:r>
            <w:r>
              <w:rPr>
                <w:rFonts w:hint="eastAsia" w:ascii="宋体" w:hAnsi="宋体" w:cs="宋体"/>
                <w:color w:val="000000"/>
                <w:spacing w:val="13"/>
                <w:sz w:val="24"/>
                <w:lang w:eastAsia="en-US"/>
              </w:rPr>
              <w:t xml:space="preserve">   </w:t>
            </w:r>
            <w:r>
              <w:rPr>
                <w:rFonts w:hint="eastAsia" w:ascii="宋体" w:hAnsi="宋体" w:cs="宋体"/>
                <w:color w:val="000000"/>
                <w:spacing w:val="-5"/>
                <w:sz w:val="24"/>
                <w:lang w:eastAsia="en-US"/>
              </w:rPr>
              <w:t>年</w:t>
            </w:r>
            <w:r>
              <w:rPr>
                <w:rFonts w:hint="eastAsia" w:ascii="宋体" w:hAnsi="宋体" w:cs="宋体"/>
                <w:color w:val="000000"/>
                <w:spacing w:val="7"/>
                <w:sz w:val="24"/>
                <w:lang w:eastAsia="en-US"/>
              </w:rPr>
              <w:t xml:space="preserve">     </w:t>
            </w:r>
            <w:r>
              <w:rPr>
                <w:rFonts w:hint="eastAsia" w:ascii="宋体" w:hAnsi="宋体" w:cs="宋体"/>
                <w:color w:val="000000"/>
                <w:spacing w:val="-6"/>
                <w:sz w:val="24"/>
                <w:lang w:eastAsia="en-US"/>
              </w:rPr>
              <w:t>月     日</w:t>
            </w:r>
          </w:p>
        </w:tc>
      </w:tr>
    </w:tbl>
    <w:p w14:paraId="4D60B5EE">
      <w:pPr>
        <w:spacing w:before="71" w:line="227" w:lineRule="auto"/>
        <w:ind w:left="568"/>
        <w:jc w:val="left"/>
        <w:rPr>
          <w:rFonts w:ascii="宋体" w:hAnsi="宋体" w:cs="宋体"/>
          <w:color w:val="000000"/>
          <w:sz w:val="24"/>
          <w:lang w:eastAsia="en-US"/>
        </w:rPr>
      </w:pPr>
      <w:r>
        <w:rPr>
          <w:rFonts w:hint="eastAsia" w:ascii="宋体" w:hAnsi="宋体" w:cs="宋体"/>
          <w:color w:val="000000"/>
          <w:spacing w:val="10"/>
          <w:sz w:val="24"/>
          <w:lang w:eastAsia="en-US"/>
        </w:rPr>
        <w:t xml:space="preserve">      </w:t>
      </w:r>
      <w:r>
        <w:rPr>
          <w:rFonts w:hint="eastAsia" w:ascii="宋体" w:hAnsi="宋体" w:cs="宋体"/>
          <w:color w:val="000000"/>
          <w:spacing w:val="10"/>
          <w:sz w:val="24"/>
        </w:rPr>
        <w:t xml:space="preserve">       </w:t>
      </w:r>
      <w:r>
        <w:rPr>
          <w:rFonts w:hint="eastAsia" w:ascii="宋体" w:hAnsi="宋体" w:cs="宋体"/>
          <w:color w:val="000000"/>
          <w:spacing w:val="10"/>
          <w:sz w:val="24"/>
          <w:lang w:eastAsia="en-US"/>
        </w:rPr>
        <w:t xml:space="preserve"> </w:t>
      </w:r>
    </w:p>
    <w:p w14:paraId="178F7005">
      <w:pPr>
        <w:widowControl/>
        <w:jc w:val="left"/>
        <w:rPr>
          <w:rFonts w:ascii="宋体" w:hAnsi="宋体" w:cs="宋体"/>
          <w:color w:val="000000"/>
          <w:sz w:val="24"/>
          <w:lang w:eastAsia="en-US"/>
        </w:rPr>
      </w:pPr>
    </w:p>
    <w:p w14:paraId="5C8FA6CA">
      <w:pPr>
        <w:spacing w:line="360" w:lineRule="exact"/>
        <w:ind w:firstLine="703"/>
        <w:jc w:val="center"/>
        <w:rPr>
          <w:rFonts w:ascii="宋体" w:hAnsi="宋体" w:cs="宋体"/>
          <w:b/>
          <w:bCs/>
          <w:sz w:val="28"/>
          <w:szCs w:val="28"/>
        </w:rPr>
      </w:pPr>
    </w:p>
    <w:p w14:paraId="6911631A">
      <w:pPr>
        <w:pStyle w:val="250"/>
        <w:jc w:val="center"/>
        <w:rPr>
          <w:rFonts w:ascii="宋体" w:hAnsi="宋体" w:cs="宋体"/>
        </w:rPr>
      </w:pPr>
    </w:p>
    <w:p w14:paraId="29B67874">
      <w:pPr>
        <w:pStyle w:val="250"/>
        <w:jc w:val="center"/>
        <w:rPr>
          <w:rFonts w:ascii="宋体" w:hAnsi="宋体" w:cs="宋体"/>
        </w:rPr>
      </w:pPr>
    </w:p>
    <w:p w14:paraId="27D8D1D9">
      <w:pPr>
        <w:rPr>
          <w:rFonts w:ascii="宋体" w:hAnsi="宋体" w:cs="宋体"/>
          <w:sz w:val="32"/>
        </w:rPr>
      </w:pPr>
      <w:bookmarkStart w:id="56" w:name="_Toc24081"/>
      <w:r>
        <w:rPr>
          <w:rFonts w:hint="eastAsia" w:ascii="宋体" w:hAnsi="宋体" w:cs="宋体"/>
          <w:sz w:val="32"/>
        </w:rPr>
        <w:br w:type="page" w:clear="all"/>
      </w:r>
    </w:p>
    <w:p w14:paraId="61F13C99">
      <w:pPr>
        <w:pStyle w:val="2"/>
        <w:spacing w:line="240" w:lineRule="auto"/>
        <w:jc w:val="center"/>
        <w:rPr>
          <w:rFonts w:ascii="宋体" w:hAnsi="宋体" w:cs="宋体"/>
          <w:sz w:val="32"/>
        </w:rPr>
      </w:pPr>
      <w:r>
        <w:rPr>
          <w:rFonts w:hint="eastAsia" w:ascii="宋体" w:hAnsi="宋体" w:cs="宋体"/>
          <w:sz w:val="32"/>
        </w:rPr>
        <w:t>第六章  投标文件格式及附件</w:t>
      </w:r>
      <w:bookmarkEnd w:id="56"/>
    </w:p>
    <w:p w14:paraId="46CE44BE">
      <w:pPr>
        <w:ind w:firstLine="904"/>
        <w:jc w:val="center"/>
        <w:rPr>
          <w:rStyle w:val="322"/>
          <w:rFonts w:ascii="宋体" w:hAnsi="宋体" w:cs="宋体"/>
          <w:b/>
          <w:bCs/>
          <w:sz w:val="36"/>
          <w:szCs w:val="36"/>
        </w:rPr>
      </w:pPr>
    </w:p>
    <w:p w14:paraId="5C630605">
      <w:pPr>
        <w:ind w:firstLine="904"/>
        <w:jc w:val="center"/>
        <w:rPr>
          <w:rStyle w:val="322"/>
          <w:rFonts w:ascii="宋体" w:hAnsi="宋体" w:cs="宋体"/>
          <w:b/>
          <w:bCs/>
          <w:sz w:val="36"/>
          <w:szCs w:val="36"/>
        </w:rPr>
      </w:pPr>
    </w:p>
    <w:p w14:paraId="5991516F">
      <w:pPr>
        <w:rPr>
          <w:rStyle w:val="322"/>
          <w:rFonts w:ascii="宋体" w:hAnsi="宋体" w:cs="宋体"/>
          <w:b/>
          <w:bCs/>
          <w:sz w:val="36"/>
          <w:szCs w:val="36"/>
        </w:rPr>
      </w:pPr>
    </w:p>
    <w:p w14:paraId="0FE565A1">
      <w:pPr>
        <w:rPr>
          <w:rStyle w:val="322"/>
          <w:rFonts w:ascii="宋体" w:hAnsi="宋体" w:cs="宋体"/>
          <w:b/>
          <w:bCs/>
          <w:sz w:val="36"/>
          <w:szCs w:val="36"/>
        </w:rPr>
      </w:pPr>
    </w:p>
    <w:p w14:paraId="7AEBEC6E">
      <w:pPr>
        <w:jc w:val="center"/>
        <w:rPr>
          <w:rStyle w:val="322"/>
          <w:rFonts w:ascii="宋体" w:hAnsi="宋体" w:cs="宋体"/>
          <w:b/>
          <w:bCs/>
          <w:sz w:val="72"/>
          <w:szCs w:val="72"/>
        </w:rPr>
      </w:pPr>
      <w:r>
        <w:rPr>
          <w:rStyle w:val="322"/>
          <w:rFonts w:hint="eastAsia" w:ascii="宋体" w:hAnsi="宋体" w:cs="宋体"/>
          <w:b/>
          <w:bCs/>
          <w:sz w:val="72"/>
          <w:szCs w:val="72"/>
        </w:rPr>
        <w:t>投 标 文 件</w:t>
      </w:r>
    </w:p>
    <w:p w14:paraId="5692B56D">
      <w:pPr>
        <w:pStyle w:val="250"/>
        <w:jc w:val="center"/>
        <w:rPr>
          <w:rFonts w:ascii="宋体" w:hAnsi="宋体" w:cs="宋体"/>
        </w:rPr>
      </w:pPr>
    </w:p>
    <w:p w14:paraId="3E59245C">
      <w:pPr>
        <w:pStyle w:val="250"/>
        <w:jc w:val="center"/>
        <w:rPr>
          <w:rFonts w:ascii="宋体" w:hAnsi="宋体" w:cs="宋体"/>
        </w:rPr>
      </w:pPr>
    </w:p>
    <w:p w14:paraId="46A6A052">
      <w:pPr>
        <w:pStyle w:val="250"/>
        <w:jc w:val="center"/>
        <w:rPr>
          <w:rFonts w:ascii="宋体" w:hAnsi="宋体" w:cs="宋体"/>
        </w:rPr>
      </w:pPr>
    </w:p>
    <w:p w14:paraId="08107559">
      <w:pPr>
        <w:pStyle w:val="250"/>
        <w:jc w:val="center"/>
        <w:rPr>
          <w:rFonts w:ascii="宋体" w:hAnsi="宋体" w:cs="宋体"/>
        </w:rPr>
      </w:pPr>
    </w:p>
    <w:p w14:paraId="53B3047C">
      <w:pPr>
        <w:pStyle w:val="250"/>
        <w:jc w:val="center"/>
        <w:rPr>
          <w:rFonts w:ascii="宋体" w:hAnsi="宋体" w:cs="宋体"/>
        </w:rPr>
      </w:pPr>
    </w:p>
    <w:p w14:paraId="09FBB4D1">
      <w:pPr>
        <w:pStyle w:val="250"/>
        <w:jc w:val="center"/>
        <w:rPr>
          <w:rFonts w:ascii="宋体" w:hAnsi="宋体" w:cs="宋体"/>
        </w:rPr>
      </w:pPr>
    </w:p>
    <w:p w14:paraId="00BFFDF5">
      <w:pPr>
        <w:pStyle w:val="250"/>
        <w:jc w:val="center"/>
        <w:rPr>
          <w:rFonts w:ascii="宋体" w:hAnsi="宋体" w:cs="宋体"/>
        </w:rPr>
      </w:pPr>
    </w:p>
    <w:p w14:paraId="6785179A">
      <w:pPr>
        <w:pStyle w:val="250"/>
        <w:jc w:val="center"/>
        <w:rPr>
          <w:rFonts w:ascii="宋体" w:hAnsi="宋体" w:cs="宋体"/>
        </w:rPr>
      </w:pPr>
    </w:p>
    <w:p w14:paraId="2BCF24C8">
      <w:pPr>
        <w:pStyle w:val="250"/>
        <w:jc w:val="center"/>
        <w:rPr>
          <w:rFonts w:ascii="宋体" w:hAnsi="宋体" w:cs="宋体"/>
        </w:rPr>
      </w:pPr>
    </w:p>
    <w:p w14:paraId="4B8C741B">
      <w:pPr>
        <w:pStyle w:val="250"/>
        <w:jc w:val="center"/>
        <w:rPr>
          <w:rFonts w:ascii="宋体" w:hAnsi="宋体" w:cs="宋体"/>
        </w:rPr>
      </w:pPr>
    </w:p>
    <w:p w14:paraId="756A09CB">
      <w:pPr>
        <w:pStyle w:val="250"/>
        <w:jc w:val="center"/>
        <w:rPr>
          <w:rFonts w:ascii="宋体" w:hAnsi="宋体" w:cs="宋体"/>
        </w:rPr>
      </w:pPr>
    </w:p>
    <w:p w14:paraId="0BBA63CE">
      <w:pPr>
        <w:pStyle w:val="250"/>
        <w:jc w:val="center"/>
        <w:rPr>
          <w:rFonts w:ascii="宋体" w:hAnsi="宋体" w:cs="宋体"/>
          <w:color w:val="auto"/>
        </w:rPr>
      </w:pPr>
    </w:p>
    <w:p w14:paraId="06F6CC90">
      <w:pPr>
        <w:spacing w:line="360" w:lineRule="auto"/>
        <w:jc w:val="left"/>
        <w:rPr>
          <w:rStyle w:val="322"/>
          <w:rFonts w:hint="eastAsia" w:ascii="宋体" w:hAnsi="宋体" w:eastAsia="宋体" w:cs="宋体"/>
          <w:b/>
          <w:bCs/>
          <w:color w:val="auto"/>
          <w:sz w:val="36"/>
          <w:szCs w:val="36"/>
          <w:lang w:eastAsia="zh-CN"/>
        </w:rPr>
      </w:pPr>
      <w:r>
        <w:rPr>
          <w:rStyle w:val="322"/>
          <w:rFonts w:hint="eastAsia" w:ascii="宋体" w:hAnsi="宋体" w:cs="宋体"/>
          <w:b/>
          <w:bCs/>
          <w:color w:val="auto"/>
          <w:sz w:val="36"/>
          <w:szCs w:val="36"/>
        </w:rPr>
        <w:t>项目编号：</w:t>
      </w:r>
      <w:r>
        <w:rPr>
          <w:rStyle w:val="322"/>
          <w:rFonts w:hint="eastAsia" w:ascii="宋体" w:hAnsi="宋体" w:cs="宋体"/>
          <w:b/>
          <w:bCs/>
          <w:color w:val="auto"/>
          <w:sz w:val="36"/>
          <w:szCs w:val="36"/>
          <w:lang w:eastAsia="zh-CN"/>
        </w:rPr>
        <w:t>JSZC-320118-JTGS-G2024-0088</w:t>
      </w:r>
    </w:p>
    <w:p w14:paraId="357102A3">
      <w:pPr>
        <w:spacing w:line="360" w:lineRule="auto"/>
        <w:ind w:left="1807" w:hanging="1807"/>
        <w:jc w:val="left"/>
        <w:rPr>
          <w:rStyle w:val="322"/>
          <w:rFonts w:ascii="宋体" w:hAnsi="宋体" w:cs="宋体"/>
          <w:b/>
          <w:bCs/>
          <w:color w:val="auto"/>
          <w:sz w:val="36"/>
          <w:szCs w:val="36"/>
        </w:rPr>
      </w:pPr>
      <w:r>
        <w:rPr>
          <w:rStyle w:val="322"/>
          <w:rFonts w:hint="eastAsia" w:ascii="宋体" w:hAnsi="宋体" w:cs="宋体"/>
          <w:b/>
          <w:bCs/>
          <w:color w:val="auto"/>
          <w:sz w:val="36"/>
          <w:szCs w:val="36"/>
        </w:rPr>
        <w:t>项目名称：高淳区桠溪街道2024年中央农作物秸秆综合利用重点县建设项目设备采购</w:t>
      </w:r>
    </w:p>
    <w:p w14:paraId="6A44ECFC">
      <w:pPr>
        <w:ind w:firstLine="904"/>
        <w:jc w:val="center"/>
        <w:rPr>
          <w:rStyle w:val="322"/>
          <w:rFonts w:ascii="宋体" w:hAnsi="宋体" w:cs="宋体"/>
          <w:b/>
          <w:bCs/>
          <w:sz w:val="36"/>
          <w:szCs w:val="36"/>
        </w:rPr>
      </w:pPr>
    </w:p>
    <w:p w14:paraId="3A22DE8B">
      <w:pPr>
        <w:ind w:firstLine="904"/>
        <w:jc w:val="center"/>
        <w:rPr>
          <w:rStyle w:val="322"/>
          <w:rFonts w:ascii="宋体" w:hAnsi="宋体" w:cs="宋体"/>
          <w:b/>
          <w:bCs/>
          <w:sz w:val="36"/>
          <w:szCs w:val="36"/>
        </w:rPr>
      </w:pPr>
    </w:p>
    <w:p w14:paraId="1A212537">
      <w:pPr>
        <w:ind w:firstLine="904"/>
        <w:jc w:val="center"/>
        <w:rPr>
          <w:rStyle w:val="322"/>
          <w:rFonts w:ascii="宋体" w:hAnsi="宋体" w:cs="宋体"/>
          <w:b/>
          <w:bCs/>
          <w:sz w:val="36"/>
          <w:szCs w:val="36"/>
        </w:rPr>
      </w:pPr>
    </w:p>
    <w:p w14:paraId="4EDAE63B">
      <w:pPr>
        <w:ind w:firstLine="904"/>
        <w:jc w:val="center"/>
        <w:rPr>
          <w:rStyle w:val="322"/>
          <w:rFonts w:ascii="宋体" w:hAnsi="宋体" w:cs="宋体"/>
          <w:b/>
          <w:bCs/>
          <w:sz w:val="36"/>
          <w:szCs w:val="36"/>
        </w:rPr>
      </w:pPr>
    </w:p>
    <w:p w14:paraId="7EB5BB8B">
      <w:pPr>
        <w:jc w:val="center"/>
        <w:rPr>
          <w:rStyle w:val="322"/>
          <w:rFonts w:ascii="宋体" w:hAnsi="宋体" w:cs="宋体"/>
          <w:b/>
          <w:bCs/>
          <w:sz w:val="36"/>
          <w:szCs w:val="36"/>
          <w:u w:val="single"/>
        </w:rPr>
      </w:pPr>
      <w:r>
        <w:rPr>
          <w:rStyle w:val="322"/>
          <w:rFonts w:hint="eastAsia" w:ascii="宋体" w:hAnsi="宋体" w:cs="宋体"/>
          <w:b/>
          <w:bCs/>
          <w:sz w:val="36"/>
          <w:szCs w:val="36"/>
        </w:rPr>
        <w:t>供应商名称 ：（加盖电子公章）</w:t>
      </w:r>
    </w:p>
    <w:p w14:paraId="5466E876">
      <w:pPr>
        <w:jc w:val="center"/>
        <w:rPr>
          <w:rStyle w:val="322"/>
          <w:rFonts w:ascii="宋体" w:hAnsi="宋体" w:cs="宋体"/>
          <w:b/>
          <w:bCs/>
          <w:sz w:val="44"/>
          <w:szCs w:val="44"/>
        </w:rPr>
      </w:pPr>
      <w:r>
        <w:rPr>
          <w:rStyle w:val="322"/>
          <w:rFonts w:hint="eastAsia" w:ascii="宋体" w:hAnsi="宋体" w:cs="宋体"/>
          <w:b/>
          <w:bCs/>
          <w:sz w:val="36"/>
          <w:szCs w:val="36"/>
        </w:rPr>
        <w:t>日      期 ：</w:t>
      </w:r>
    </w:p>
    <w:p w14:paraId="59720AFE">
      <w:pPr>
        <w:ind w:firstLine="600"/>
        <w:rPr>
          <w:rFonts w:ascii="宋体" w:hAnsi="宋体" w:cs="宋体"/>
        </w:rPr>
      </w:pPr>
      <w:r>
        <w:rPr>
          <w:rStyle w:val="322"/>
          <w:rFonts w:hint="eastAsia" w:ascii="宋体" w:hAnsi="宋体" w:cs="宋体"/>
          <w:b/>
          <w:bCs/>
          <w:sz w:val="36"/>
          <w:szCs w:val="36"/>
        </w:rPr>
        <w:br w:type="page" w:clear="all"/>
      </w:r>
    </w:p>
    <w:p w14:paraId="3E6DDF27">
      <w:pPr>
        <w:spacing w:line="360" w:lineRule="auto"/>
        <w:jc w:val="center"/>
        <w:rPr>
          <w:rFonts w:ascii="宋体" w:hAnsi="宋体" w:cs="宋体"/>
          <w:b/>
          <w:bCs/>
          <w:sz w:val="32"/>
          <w:szCs w:val="32"/>
        </w:rPr>
      </w:pPr>
      <w:r>
        <w:rPr>
          <w:rFonts w:hint="eastAsia" w:ascii="宋体" w:hAnsi="宋体" w:cs="宋体"/>
          <w:b/>
          <w:bCs/>
          <w:sz w:val="32"/>
          <w:szCs w:val="32"/>
        </w:rPr>
        <w:t>目录</w:t>
      </w:r>
    </w:p>
    <w:p w14:paraId="55B23865">
      <w:pPr>
        <w:spacing w:line="360" w:lineRule="auto"/>
        <w:jc w:val="center"/>
        <w:rPr>
          <w:rFonts w:ascii="宋体" w:hAnsi="宋体" w:cs="宋体"/>
        </w:rPr>
      </w:pPr>
      <w:r>
        <w:rPr>
          <w:rFonts w:hint="eastAsia" w:ascii="宋体" w:hAnsi="宋体" w:cs="宋体"/>
          <w:sz w:val="24"/>
        </w:rPr>
        <w:t>注：供应商根据附件顺序编制投标文件并制作目录（须生成页码）</w:t>
      </w:r>
    </w:p>
    <w:p w14:paraId="0467D14C">
      <w:pPr>
        <w:pStyle w:val="250"/>
        <w:rPr>
          <w:rFonts w:ascii="宋体" w:hAnsi="宋体" w:cs="宋体"/>
        </w:rPr>
      </w:pPr>
    </w:p>
    <w:p w14:paraId="6EBC8338">
      <w:pPr>
        <w:pStyle w:val="250"/>
        <w:rPr>
          <w:rFonts w:ascii="宋体" w:hAnsi="宋体" w:cs="宋体"/>
        </w:rPr>
      </w:pPr>
    </w:p>
    <w:p w14:paraId="5904ED06">
      <w:pPr>
        <w:pStyle w:val="3"/>
        <w:spacing w:line="360" w:lineRule="auto"/>
        <w:rPr>
          <w:rFonts w:ascii="宋体" w:hAnsi="宋体" w:eastAsia="宋体" w:cs="宋体"/>
          <w:sz w:val="24"/>
          <w:szCs w:val="24"/>
        </w:rPr>
      </w:pPr>
      <w:bookmarkStart w:id="57" w:name="_Toc33266152"/>
      <w:r>
        <w:rPr>
          <w:rFonts w:hint="eastAsia" w:ascii="宋体" w:hAnsi="宋体" w:eastAsia="宋体" w:cs="宋体"/>
          <w:sz w:val="28"/>
          <w:szCs w:val="28"/>
        </w:rPr>
        <w:br w:type="page" w:clear="all"/>
      </w:r>
      <w:bookmarkEnd w:id="57"/>
      <w:bookmarkStart w:id="58" w:name="_Toc50974349"/>
      <w:bookmarkStart w:id="59" w:name="_Toc38721218"/>
      <w:bookmarkStart w:id="60" w:name="_Toc126827488"/>
      <w:bookmarkStart w:id="61" w:name="_Toc119344344"/>
      <w:bookmarkStart w:id="62" w:name="_Toc38723691"/>
      <w:bookmarkStart w:id="63" w:name="_Toc5654"/>
      <w:bookmarkStart w:id="64" w:name="_Toc50644490"/>
      <w:r>
        <w:rPr>
          <w:rFonts w:hint="eastAsia" w:ascii="宋体" w:hAnsi="宋体" w:eastAsia="宋体" w:cs="宋体"/>
          <w:sz w:val="24"/>
          <w:szCs w:val="24"/>
        </w:rPr>
        <w:t>附件一、投标申请及声明格式</w:t>
      </w:r>
      <w:bookmarkEnd w:id="58"/>
      <w:bookmarkEnd w:id="59"/>
      <w:bookmarkEnd w:id="60"/>
      <w:bookmarkEnd w:id="61"/>
      <w:bookmarkEnd w:id="62"/>
      <w:bookmarkEnd w:id="63"/>
      <w:bookmarkEnd w:id="64"/>
    </w:p>
    <w:p w14:paraId="29873DEE">
      <w:pPr>
        <w:spacing w:line="360" w:lineRule="auto"/>
        <w:jc w:val="center"/>
        <w:rPr>
          <w:rFonts w:ascii="宋体" w:hAnsi="宋体" w:cs="宋体"/>
          <w:b/>
          <w:bCs/>
          <w:sz w:val="24"/>
        </w:rPr>
      </w:pPr>
      <w:r>
        <w:rPr>
          <w:rFonts w:hint="eastAsia" w:ascii="宋体" w:hAnsi="宋体" w:cs="宋体"/>
          <w:b/>
          <w:bCs/>
          <w:sz w:val="24"/>
        </w:rPr>
        <w:t>投标申请及声明</w:t>
      </w:r>
    </w:p>
    <w:p w14:paraId="4FC8C7B2">
      <w:pPr>
        <w:spacing w:line="360" w:lineRule="auto"/>
        <w:rPr>
          <w:rFonts w:ascii="宋体" w:hAnsi="宋体" w:cs="宋体"/>
          <w:sz w:val="24"/>
        </w:rPr>
      </w:pPr>
      <w:r>
        <w:rPr>
          <w:rFonts w:hint="eastAsia" w:ascii="宋体" w:hAnsi="宋体" w:cs="宋体"/>
          <w:sz w:val="24"/>
          <w:lang w:val="zh-CN"/>
        </w:rPr>
        <w:t>致</w:t>
      </w:r>
      <w:r>
        <w:rPr>
          <w:rFonts w:hint="eastAsia" w:ascii="宋体" w:hAnsi="宋体" w:cs="宋体"/>
          <w:sz w:val="24"/>
        </w:rPr>
        <w:t>：</w:t>
      </w:r>
      <w:r>
        <w:rPr>
          <w:rFonts w:hint="eastAsia" w:ascii="宋体" w:hAnsi="宋体" w:cs="宋体"/>
          <w:b/>
          <w:sz w:val="24"/>
          <w:lang w:val="zh-CN"/>
        </w:rPr>
        <w:t>南京市高淳区人民政府桠溪街道办事处</w:t>
      </w:r>
    </w:p>
    <w:p w14:paraId="7CC1B99A">
      <w:pPr>
        <w:spacing w:line="360" w:lineRule="auto"/>
        <w:ind w:firstLine="484"/>
        <w:rPr>
          <w:rFonts w:ascii="宋体" w:hAnsi="宋体" w:cs="宋体"/>
          <w:sz w:val="24"/>
          <w:lang w:val="zh-CN"/>
        </w:rPr>
      </w:pPr>
      <w:r>
        <w:rPr>
          <w:rFonts w:hint="eastAsia" w:ascii="宋体" w:hAnsi="宋体" w:cs="宋体"/>
          <w:sz w:val="24"/>
          <w:lang w:val="zh-CN"/>
        </w:rPr>
        <w:t>根据贵方</w:t>
      </w:r>
      <w:r>
        <w:rPr>
          <w:rFonts w:hint="eastAsia" w:ascii="宋体" w:hAnsi="宋体" w:cs="宋体"/>
          <w:sz w:val="24"/>
          <w:u w:val="single"/>
          <w:lang w:val="en-US" w:eastAsia="zh-CN"/>
        </w:rPr>
        <w:t xml:space="preserve">      </w:t>
      </w:r>
      <w:r>
        <w:rPr>
          <w:rFonts w:hint="eastAsia" w:ascii="宋体" w:hAnsi="宋体" w:cs="宋体"/>
          <w:sz w:val="24"/>
          <w:lang w:val="zh-CN"/>
        </w:rPr>
        <w:t>（项目名称）</w:t>
      </w:r>
      <w:r>
        <w:rPr>
          <w:rFonts w:hint="eastAsia" w:ascii="宋体" w:hAnsi="宋体" w:cs="宋体"/>
          <w:sz w:val="24"/>
          <w:u w:val="single"/>
          <w:lang w:val="zh-CN"/>
        </w:rPr>
        <w:t xml:space="preserve">      </w:t>
      </w:r>
      <w:r>
        <w:rPr>
          <w:rFonts w:hint="eastAsia" w:ascii="宋体" w:hAnsi="宋体" w:cs="宋体"/>
          <w:sz w:val="24"/>
          <w:lang w:val="zh-CN"/>
        </w:rPr>
        <w:t>（项目编号）招标公告，正式授权下述签字人</w:t>
      </w:r>
      <w:r>
        <w:rPr>
          <w:rFonts w:hint="eastAsia" w:ascii="宋体" w:hAnsi="宋体" w:cs="宋体"/>
          <w:sz w:val="24"/>
          <w:u w:val="single"/>
          <w:lang w:val="zh-CN"/>
        </w:rPr>
        <w:t xml:space="preserve">      </w:t>
      </w:r>
      <w:r>
        <w:rPr>
          <w:rFonts w:hint="eastAsia" w:ascii="宋体" w:hAnsi="宋体" w:cs="宋体"/>
          <w:sz w:val="24"/>
          <w:lang w:val="zh-CN"/>
        </w:rPr>
        <w:t>（姓名和职务）代表供应商</w:t>
      </w:r>
      <w:r>
        <w:rPr>
          <w:rFonts w:hint="eastAsia" w:ascii="宋体" w:hAnsi="宋体" w:cs="宋体"/>
          <w:sz w:val="24"/>
          <w:u w:val="single"/>
          <w:lang w:val="zh-CN"/>
        </w:rPr>
        <w:t xml:space="preserve">      </w:t>
      </w:r>
      <w:r>
        <w:rPr>
          <w:rFonts w:hint="eastAsia" w:ascii="宋体" w:hAnsi="宋体" w:cs="宋体"/>
          <w:sz w:val="24"/>
          <w:lang w:val="zh-CN"/>
        </w:rPr>
        <w:t>（供应商名称），提交投标文件。</w:t>
      </w:r>
    </w:p>
    <w:p w14:paraId="61D84222">
      <w:pPr>
        <w:spacing w:line="360" w:lineRule="auto"/>
        <w:ind w:firstLine="484"/>
        <w:rPr>
          <w:rFonts w:ascii="宋体" w:hAnsi="宋体" w:cs="宋体"/>
          <w:sz w:val="24"/>
          <w:lang w:val="zh-CN"/>
        </w:rPr>
      </w:pPr>
      <w:r>
        <w:rPr>
          <w:rFonts w:hint="eastAsia" w:ascii="宋体" w:hAnsi="宋体" w:cs="宋体"/>
          <w:sz w:val="24"/>
          <w:lang w:val="zh-CN"/>
        </w:rPr>
        <w:t>据此函，签字人兹宣布声明和承诺如下：</w:t>
      </w:r>
    </w:p>
    <w:p w14:paraId="509B12F4">
      <w:pPr>
        <w:spacing w:line="360" w:lineRule="auto"/>
        <w:ind w:firstLine="484"/>
        <w:rPr>
          <w:rFonts w:ascii="宋体" w:hAnsi="宋体" w:cs="宋体"/>
          <w:sz w:val="24"/>
        </w:rPr>
      </w:pPr>
      <w:r>
        <w:rPr>
          <w:rFonts w:hint="eastAsia" w:ascii="宋体" w:hAnsi="宋体" w:cs="宋体"/>
          <w:sz w:val="24"/>
          <w:lang w:val="zh-CN"/>
        </w:rPr>
        <w:t>1、</w:t>
      </w:r>
      <w:r>
        <w:rPr>
          <w:rFonts w:hint="eastAsia" w:ascii="宋体" w:hAnsi="宋体" w:cs="宋体"/>
          <w:b/>
          <w:bCs/>
          <w:sz w:val="24"/>
          <w:lang w:val="zh-CN"/>
        </w:rPr>
        <w:t>我们的资格条件完全符合政府采购法和本次招标要求</w:t>
      </w:r>
      <w:r>
        <w:rPr>
          <w:rFonts w:hint="eastAsia" w:ascii="宋体" w:hAnsi="宋体" w:cs="宋体"/>
          <w:sz w:val="24"/>
          <w:lang w:val="zh-CN"/>
        </w:rPr>
        <w:t>，</w:t>
      </w:r>
      <w:r>
        <w:rPr>
          <w:rFonts w:hint="eastAsia" w:ascii="宋体" w:hAnsi="宋体" w:cs="宋体"/>
          <w:sz w:val="24"/>
        </w:rPr>
        <w:t>我们</w:t>
      </w:r>
      <w:r>
        <w:rPr>
          <w:rFonts w:hint="eastAsia" w:ascii="宋体" w:hAnsi="宋体" w:cs="宋体"/>
          <w:sz w:val="24"/>
          <w:lang w:val="zh-CN"/>
        </w:rPr>
        <w:t>同意并向贵方提供了与投标有关的所有证据和资料。</w:t>
      </w:r>
    </w:p>
    <w:p w14:paraId="5CB011A6">
      <w:pPr>
        <w:spacing w:line="360" w:lineRule="auto"/>
        <w:ind w:firstLine="480"/>
        <w:rPr>
          <w:rFonts w:ascii="宋体" w:hAnsi="宋体" w:cs="宋体"/>
          <w:sz w:val="24"/>
        </w:rPr>
      </w:pPr>
      <w:r>
        <w:rPr>
          <w:rFonts w:hint="eastAsia" w:ascii="宋体" w:hAnsi="宋体" w:cs="宋体"/>
          <w:sz w:val="24"/>
          <w:lang w:val="zh-CN"/>
        </w:rPr>
        <w:t>2、按招标文件要求，我们的投标总报价为（大写）</w:t>
      </w:r>
      <w:r>
        <w:rPr>
          <w:rFonts w:hint="eastAsia" w:ascii="宋体" w:hAnsi="宋体" w:cs="宋体"/>
          <w:sz w:val="24"/>
          <w:u w:val="single"/>
          <w:lang w:val="zh-CN"/>
        </w:rPr>
        <w:t>＿＿</w:t>
      </w:r>
      <w:r>
        <w:rPr>
          <w:rFonts w:hint="eastAsia" w:ascii="宋体" w:hAnsi="宋体" w:cs="宋体"/>
          <w:sz w:val="24"/>
          <w:lang w:val="zh-CN"/>
        </w:rPr>
        <w:t>元人民币，（小写）＿＿元人民币。</w:t>
      </w:r>
    </w:p>
    <w:p w14:paraId="63DBA7F4">
      <w:pPr>
        <w:spacing w:line="360" w:lineRule="auto"/>
        <w:ind w:firstLine="484"/>
        <w:rPr>
          <w:rFonts w:ascii="宋体" w:hAnsi="宋体" w:cs="宋体"/>
          <w:sz w:val="24"/>
          <w:u w:val="single"/>
          <w:lang w:val="zh-CN"/>
        </w:rPr>
      </w:pPr>
      <w:r>
        <w:rPr>
          <w:rFonts w:hint="eastAsia" w:ascii="宋体" w:hAnsi="宋体" w:cs="宋体"/>
          <w:sz w:val="24"/>
          <w:lang w:val="zh-CN"/>
        </w:rPr>
        <w:t>3、</w:t>
      </w:r>
      <w:r>
        <w:rPr>
          <w:rFonts w:hint="eastAsia" w:ascii="宋体" w:hAnsi="宋体" w:cs="宋体"/>
          <w:sz w:val="24"/>
        </w:rPr>
        <w:t>合同履行</w:t>
      </w:r>
      <w:r>
        <w:rPr>
          <w:rFonts w:hint="eastAsia" w:ascii="宋体" w:hAnsi="宋体" w:cs="宋体"/>
          <w:sz w:val="24"/>
          <w:lang w:val="zh-CN"/>
        </w:rPr>
        <w:t>期限为</w:t>
      </w:r>
      <w:r>
        <w:rPr>
          <w:rFonts w:hint="eastAsia" w:ascii="宋体" w:hAnsi="宋体" w:cs="宋体"/>
          <w:sz w:val="24"/>
          <w:u w:val="single"/>
        </w:rPr>
        <w:t xml:space="preserve">       </w:t>
      </w:r>
      <w:r>
        <w:rPr>
          <w:rFonts w:hint="eastAsia" w:ascii="宋体" w:hAnsi="宋体" w:cs="宋体"/>
          <w:sz w:val="24"/>
          <w:u w:val="none"/>
        </w:rPr>
        <w:t>天</w:t>
      </w:r>
      <w:r>
        <w:rPr>
          <w:rFonts w:hint="eastAsia" w:ascii="宋体" w:hAnsi="宋体" w:cs="宋体"/>
          <w:b/>
          <w:bCs/>
          <w:sz w:val="24"/>
          <w:lang w:val="zh-CN"/>
        </w:rPr>
        <w:t>。</w:t>
      </w:r>
    </w:p>
    <w:p w14:paraId="5A288A53">
      <w:pPr>
        <w:spacing w:line="360" w:lineRule="auto"/>
        <w:ind w:firstLine="484"/>
        <w:rPr>
          <w:rFonts w:ascii="宋体" w:hAnsi="宋体" w:cs="宋体"/>
          <w:sz w:val="24"/>
          <w:lang w:val="zh-CN"/>
        </w:rPr>
      </w:pPr>
      <w:r>
        <w:rPr>
          <w:rFonts w:hint="eastAsia" w:ascii="宋体" w:hAnsi="宋体" w:cs="宋体"/>
          <w:sz w:val="24"/>
          <w:lang w:val="zh-CN"/>
        </w:rPr>
        <w:t>4、我方参加本次采购活动前三年内，在经营活动中没有重大违法记录。</w:t>
      </w:r>
    </w:p>
    <w:p w14:paraId="55EF2507">
      <w:pPr>
        <w:spacing w:line="360" w:lineRule="auto"/>
        <w:ind w:firstLine="484"/>
        <w:rPr>
          <w:rFonts w:ascii="宋体" w:hAnsi="宋体" w:cs="宋体"/>
          <w:sz w:val="24"/>
          <w:lang w:val="zh-CN"/>
        </w:rPr>
      </w:pPr>
      <w:r>
        <w:rPr>
          <w:rFonts w:hint="eastAsia" w:ascii="宋体" w:hAnsi="宋体" w:cs="宋体"/>
          <w:sz w:val="24"/>
          <w:lang w:val="zh-CN"/>
        </w:rPr>
        <w:t>5、我方参加本次采购活动前，没有被信用中国网站、中国政府采购网站列入失信被执行人名单、重大税收违法案件当事人名单、政府采购严重违法失信行为记录名单。</w:t>
      </w:r>
    </w:p>
    <w:p w14:paraId="3BB679A5">
      <w:pPr>
        <w:spacing w:line="360" w:lineRule="auto"/>
        <w:ind w:firstLine="484"/>
        <w:rPr>
          <w:rFonts w:ascii="宋体" w:hAnsi="宋体" w:cs="宋体"/>
          <w:sz w:val="24"/>
          <w:lang w:val="zh-CN"/>
        </w:rPr>
      </w:pPr>
      <w:r>
        <w:rPr>
          <w:rFonts w:hint="eastAsia" w:ascii="宋体" w:hAnsi="宋体" w:cs="宋体"/>
          <w:sz w:val="24"/>
          <w:lang w:val="zh-CN"/>
        </w:rPr>
        <w:t>6、我方在全国范围内未受过财政部门禁止参加政府采购活动的处罚，或禁止参加政府采购活动的处罚期限已满。</w:t>
      </w:r>
    </w:p>
    <w:p w14:paraId="4FED1947">
      <w:pPr>
        <w:spacing w:line="360" w:lineRule="auto"/>
        <w:ind w:firstLine="484"/>
        <w:rPr>
          <w:rFonts w:ascii="宋体" w:hAnsi="宋体" w:cs="宋体"/>
          <w:sz w:val="24"/>
          <w:lang w:val="zh-CN"/>
        </w:rPr>
      </w:pPr>
      <w:r>
        <w:rPr>
          <w:rFonts w:hint="eastAsia" w:ascii="宋体" w:hAnsi="宋体" w:cs="宋体"/>
          <w:sz w:val="24"/>
          <w:lang w:val="zh-CN"/>
        </w:rPr>
        <w:t>7、我方没有为本采购项目提供整体设计、规范编制，以及项目管理、监理、检测等服务。</w:t>
      </w:r>
    </w:p>
    <w:p w14:paraId="5B2F5DFF">
      <w:pPr>
        <w:spacing w:line="360" w:lineRule="auto"/>
        <w:ind w:firstLine="484"/>
        <w:rPr>
          <w:rFonts w:ascii="宋体" w:hAnsi="宋体" w:cs="宋体"/>
          <w:sz w:val="24"/>
          <w:lang w:val="zh-CN"/>
        </w:rPr>
      </w:pPr>
      <w:r>
        <w:rPr>
          <w:rFonts w:hint="eastAsia" w:ascii="宋体" w:hAnsi="宋体" w:cs="宋体"/>
          <w:sz w:val="24"/>
          <w:lang w:val="zh-CN"/>
        </w:rPr>
        <w:t>8、我方与参与本次采购活动的其他供应商的授权代理人（或法定代表人、项目经理、项目总监、项目负责人等），在招标文件发布日上月至投标截止日当月未在同一单位缴纳社会保险。</w:t>
      </w:r>
    </w:p>
    <w:p w14:paraId="732BE80D">
      <w:pPr>
        <w:spacing w:line="360" w:lineRule="auto"/>
        <w:ind w:firstLine="484"/>
        <w:rPr>
          <w:rFonts w:ascii="宋体" w:hAnsi="宋体" w:cs="宋体"/>
          <w:sz w:val="24"/>
          <w:lang w:val="zh-CN"/>
        </w:rPr>
      </w:pPr>
      <w:r>
        <w:rPr>
          <w:rFonts w:hint="eastAsia" w:ascii="宋体" w:hAnsi="宋体" w:cs="宋体"/>
          <w:sz w:val="24"/>
          <w:lang w:val="zh-CN"/>
        </w:rPr>
        <w:t>9、我方与参与本次采购活动的其他供应商的法定代表人或委托代理人无夫妻、直系血亲关系。</w:t>
      </w:r>
    </w:p>
    <w:p w14:paraId="466ABBEC">
      <w:pPr>
        <w:spacing w:line="360" w:lineRule="auto"/>
        <w:ind w:firstLine="484"/>
        <w:rPr>
          <w:rFonts w:ascii="宋体" w:hAnsi="宋体" w:cs="宋体"/>
          <w:sz w:val="24"/>
          <w:lang w:val="zh-CN"/>
        </w:rPr>
      </w:pPr>
      <w:r>
        <w:rPr>
          <w:rFonts w:hint="eastAsia" w:ascii="宋体" w:hAnsi="宋体" w:cs="宋体"/>
          <w:sz w:val="24"/>
          <w:lang w:val="zh-CN"/>
        </w:rPr>
        <w:t>10、我方与参与本次采购活动的其他供应商的负责人不是同一人，也不存在直接控股、管理关系。</w:t>
      </w:r>
    </w:p>
    <w:p w14:paraId="076A2B3F">
      <w:pPr>
        <w:spacing w:line="360" w:lineRule="auto"/>
        <w:ind w:firstLine="484"/>
        <w:rPr>
          <w:rFonts w:ascii="宋体" w:hAnsi="宋体" w:cs="宋体"/>
          <w:sz w:val="24"/>
          <w:lang w:val="zh-CN"/>
        </w:rPr>
      </w:pPr>
      <w:r>
        <w:rPr>
          <w:rFonts w:hint="eastAsia" w:ascii="宋体" w:hAnsi="宋体" w:cs="宋体"/>
          <w:sz w:val="24"/>
          <w:lang w:val="zh-CN"/>
        </w:rPr>
        <w:t>11、我方已详细审阅全部招标文件及其有效补充文件，放弃对招标文件任何误解的权利，提交投标文件后，不对招标文件本身提出质疑。否则，属于不诚信和故意扰乱政府采购活动行为，我们将无条件接受处罚。</w:t>
      </w:r>
    </w:p>
    <w:p w14:paraId="466AF7C7">
      <w:pPr>
        <w:spacing w:line="360" w:lineRule="auto"/>
        <w:ind w:firstLine="484"/>
        <w:rPr>
          <w:rFonts w:ascii="宋体" w:hAnsi="宋体" w:cs="宋体"/>
          <w:sz w:val="24"/>
          <w:lang w:val="zh-CN"/>
        </w:rPr>
      </w:pPr>
      <w:r>
        <w:rPr>
          <w:rFonts w:hint="eastAsia" w:ascii="宋体" w:hAnsi="宋体" w:cs="宋体"/>
          <w:sz w:val="24"/>
          <w:lang w:val="zh-CN"/>
        </w:rPr>
        <w:t>12、我方同意从规定的开标日期起遵循本投标文件，并在规定的投标有效期期满之前均具有约束力。</w:t>
      </w:r>
    </w:p>
    <w:p w14:paraId="665F9E6D">
      <w:pPr>
        <w:spacing w:line="360" w:lineRule="auto"/>
        <w:ind w:firstLine="484"/>
        <w:rPr>
          <w:rFonts w:ascii="宋体" w:hAnsi="宋体" w:cs="宋体"/>
          <w:sz w:val="24"/>
          <w:lang w:val="zh-CN"/>
        </w:rPr>
      </w:pPr>
      <w:r>
        <w:rPr>
          <w:rFonts w:hint="eastAsia" w:ascii="宋体" w:hAnsi="宋体" w:cs="宋体"/>
          <w:sz w:val="24"/>
          <w:lang w:val="zh-CN"/>
        </w:rPr>
        <w:t>13、一旦我方中标，将根据招标文件的规定严格履行合同，并保证按承诺的时间完成服务的启动/集成、调试等服务，交付采购人验收、使用。</w:t>
      </w:r>
    </w:p>
    <w:p w14:paraId="12863CE6">
      <w:pPr>
        <w:spacing w:line="360" w:lineRule="auto"/>
        <w:ind w:firstLine="484"/>
        <w:rPr>
          <w:rFonts w:ascii="宋体" w:hAnsi="宋体" w:cs="宋体"/>
          <w:sz w:val="24"/>
          <w:lang w:val="zh-CN"/>
        </w:rPr>
      </w:pPr>
      <w:r>
        <w:rPr>
          <w:rFonts w:hint="eastAsia" w:ascii="宋体" w:hAnsi="宋体" w:cs="宋体"/>
          <w:sz w:val="24"/>
          <w:lang w:val="zh-CN"/>
        </w:rPr>
        <w:t>14、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0D24724A">
      <w:pPr>
        <w:spacing w:line="360" w:lineRule="auto"/>
        <w:ind w:firstLine="484"/>
        <w:rPr>
          <w:rFonts w:ascii="宋体" w:hAnsi="宋体" w:cs="宋体"/>
          <w:sz w:val="24"/>
          <w:lang w:val="zh-CN"/>
        </w:rPr>
      </w:pPr>
      <w:r>
        <w:rPr>
          <w:rFonts w:hint="eastAsia" w:ascii="宋体" w:hAnsi="宋体" w:cs="宋体"/>
          <w:sz w:val="24"/>
        </w:rPr>
        <w:t>15</w:t>
      </w:r>
      <w:r>
        <w:rPr>
          <w:rFonts w:hint="eastAsia" w:ascii="宋体" w:hAnsi="宋体" w:cs="宋体"/>
          <w:sz w:val="24"/>
          <w:lang w:val="zh-CN"/>
        </w:rPr>
        <w:t>、与本投标有关的正式联系方式为：</w:t>
      </w:r>
    </w:p>
    <w:p w14:paraId="2A0FCEE5">
      <w:pPr>
        <w:spacing w:line="360" w:lineRule="auto"/>
        <w:ind w:firstLine="484"/>
        <w:rPr>
          <w:rFonts w:ascii="宋体" w:hAnsi="宋体" w:cs="宋体"/>
          <w:sz w:val="24"/>
          <w:u w:val="single"/>
          <w:lang w:val="zh-CN"/>
        </w:rPr>
      </w:pPr>
      <w:r>
        <w:rPr>
          <w:rFonts w:hint="eastAsia" w:ascii="宋体" w:hAnsi="宋体" w:cs="宋体"/>
          <w:sz w:val="24"/>
          <w:lang w:val="zh-CN"/>
        </w:rPr>
        <w:t>地址：</w:t>
      </w:r>
    </w:p>
    <w:p w14:paraId="6FF96789">
      <w:pPr>
        <w:spacing w:line="360" w:lineRule="auto"/>
        <w:ind w:firstLine="484"/>
        <w:rPr>
          <w:rFonts w:ascii="宋体" w:hAnsi="宋体" w:cs="宋体"/>
          <w:sz w:val="24"/>
          <w:u w:val="single"/>
          <w:lang w:val="zh-CN"/>
        </w:rPr>
      </w:pPr>
      <w:r>
        <w:rPr>
          <w:rFonts w:hint="eastAsia" w:ascii="宋体" w:hAnsi="宋体" w:cs="宋体"/>
          <w:sz w:val="24"/>
          <w:lang w:val="zh-CN"/>
        </w:rPr>
        <w:t>电话：</w:t>
      </w:r>
    </w:p>
    <w:p w14:paraId="75F12AC6">
      <w:pPr>
        <w:spacing w:line="360" w:lineRule="auto"/>
        <w:ind w:firstLine="484"/>
        <w:rPr>
          <w:rFonts w:ascii="宋体" w:hAnsi="宋体" w:cs="宋体"/>
          <w:sz w:val="24"/>
          <w:u w:val="single"/>
          <w:lang w:val="zh-CN"/>
        </w:rPr>
      </w:pPr>
      <w:r>
        <w:rPr>
          <w:rFonts w:hint="eastAsia" w:ascii="宋体" w:hAnsi="宋体" w:cs="宋体"/>
          <w:sz w:val="24"/>
          <w:lang w:val="zh-CN"/>
        </w:rPr>
        <w:t>传真：</w:t>
      </w:r>
    </w:p>
    <w:p w14:paraId="46E7C4EE">
      <w:pPr>
        <w:spacing w:line="360" w:lineRule="auto"/>
        <w:ind w:firstLine="484"/>
        <w:rPr>
          <w:rFonts w:ascii="宋体" w:hAnsi="宋体" w:cs="宋体"/>
          <w:sz w:val="24"/>
          <w:lang w:val="zh-CN"/>
        </w:rPr>
      </w:pPr>
      <w:r>
        <w:rPr>
          <w:rFonts w:hint="eastAsia" w:ascii="宋体" w:hAnsi="宋体" w:cs="宋体"/>
          <w:sz w:val="24"/>
          <w:lang w:val="zh-CN"/>
        </w:rPr>
        <w:t>开户银行：</w:t>
      </w:r>
    </w:p>
    <w:p w14:paraId="508C135F">
      <w:pPr>
        <w:spacing w:line="360" w:lineRule="auto"/>
        <w:ind w:firstLine="484"/>
        <w:rPr>
          <w:rFonts w:ascii="宋体" w:hAnsi="宋体" w:cs="宋体"/>
          <w:sz w:val="24"/>
          <w:lang w:val="zh-CN"/>
        </w:rPr>
      </w:pPr>
      <w:r>
        <w:rPr>
          <w:rFonts w:hint="eastAsia" w:ascii="宋体" w:hAnsi="宋体" w:cs="宋体"/>
          <w:sz w:val="24"/>
          <w:lang w:val="zh-CN"/>
        </w:rPr>
        <w:t>银行账号：</w:t>
      </w:r>
    </w:p>
    <w:p w14:paraId="2F277332">
      <w:pPr>
        <w:spacing w:line="360" w:lineRule="auto"/>
        <w:ind w:firstLine="484"/>
        <w:rPr>
          <w:rFonts w:ascii="宋体" w:hAnsi="宋体" w:cs="宋体"/>
          <w:sz w:val="24"/>
          <w:lang w:val="zh-CN"/>
        </w:rPr>
      </w:pPr>
      <w:r>
        <w:rPr>
          <w:rFonts w:hint="eastAsia" w:ascii="宋体" w:hAnsi="宋体" w:cs="宋体"/>
          <w:sz w:val="24"/>
          <w:lang w:val="zh-CN"/>
        </w:rPr>
        <w:t>供应商名称（</w:t>
      </w:r>
      <w:r>
        <w:rPr>
          <w:rFonts w:hint="eastAsia" w:ascii="宋体" w:hAnsi="宋体" w:cs="宋体"/>
          <w:sz w:val="24"/>
        </w:rPr>
        <w:t>加盖电子公章</w:t>
      </w:r>
      <w:r>
        <w:rPr>
          <w:rFonts w:hint="eastAsia" w:ascii="宋体" w:hAnsi="宋体" w:cs="宋体"/>
          <w:sz w:val="24"/>
          <w:lang w:val="zh-CN"/>
        </w:rPr>
        <w:t>）：</w:t>
      </w:r>
    </w:p>
    <w:p w14:paraId="54AC954E">
      <w:pPr>
        <w:spacing w:line="360" w:lineRule="auto"/>
        <w:ind w:firstLine="484"/>
        <w:rPr>
          <w:rFonts w:ascii="宋体" w:hAnsi="宋体" w:cs="宋体"/>
          <w:sz w:val="24"/>
          <w:lang w:val="zh-CN"/>
        </w:rPr>
      </w:pPr>
      <w:r>
        <w:rPr>
          <w:rFonts w:hint="eastAsia" w:ascii="宋体" w:hAnsi="宋体" w:cs="宋体"/>
          <w:sz w:val="24"/>
          <w:lang w:val="zh-CN"/>
        </w:rPr>
        <w:t>日期：年月日</w:t>
      </w:r>
    </w:p>
    <w:p w14:paraId="55512960">
      <w:pPr>
        <w:pStyle w:val="3"/>
        <w:spacing w:line="360" w:lineRule="auto"/>
        <w:rPr>
          <w:rFonts w:ascii="宋体" w:hAnsi="宋体" w:eastAsia="宋体" w:cs="宋体"/>
          <w:sz w:val="24"/>
          <w:szCs w:val="24"/>
        </w:rPr>
      </w:pPr>
      <w:r>
        <w:rPr>
          <w:rFonts w:hint="eastAsia" w:ascii="宋体" w:hAnsi="宋体" w:eastAsia="宋体" w:cs="宋体"/>
          <w:sz w:val="24"/>
          <w:szCs w:val="24"/>
          <w:lang w:val="zh-CN"/>
        </w:rPr>
        <w:br w:type="page" w:clear="all"/>
      </w:r>
      <w:bookmarkStart w:id="65" w:name="_Toc119344345"/>
      <w:bookmarkStart w:id="66" w:name="_Toc33266153"/>
      <w:bookmarkStart w:id="67" w:name="_Toc50644491"/>
      <w:bookmarkStart w:id="68" w:name="_Toc19502"/>
      <w:bookmarkStart w:id="69" w:name="_Toc126827489"/>
      <w:bookmarkStart w:id="70" w:name="_Toc38721219"/>
      <w:bookmarkStart w:id="71" w:name="_Toc50974350"/>
      <w:bookmarkStart w:id="72" w:name="_Toc38723692"/>
      <w:r>
        <w:rPr>
          <w:rFonts w:hint="eastAsia" w:ascii="宋体" w:hAnsi="宋体" w:eastAsia="宋体" w:cs="宋体"/>
          <w:sz w:val="24"/>
          <w:szCs w:val="24"/>
        </w:rPr>
        <w:t>附件二、法定代表人授权书格式</w:t>
      </w:r>
      <w:bookmarkEnd w:id="65"/>
      <w:bookmarkEnd w:id="66"/>
      <w:bookmarkEnd w:id="67"/>
      <w:bookmarkEnd w:id="68"/>
      <w:bookmarkEnd w:id="69"/>
      <w:bookmarkEnd w:id="70"/>
      <w:bookmarkEnd w:id="71"/>
      <w:bookmarkEnd w:id="72"/>
    </w:p>
    <w:p w14:paraId="57F53311">
      <w:pPr>
        <w:spacing w:line="360" w:lineRule="auto"/>
        <w:ind w:firstLine="602"/>
        <w:jc w:val="center"/>
        <w:rPr>
          <w:rFonts w:ascii="宋体" w:hAnsi="宋体" w:cs="宋体"/>
          <w:b/>
          <w:bCs/>
          <w:color w:val="auto"/>
          <w:sz w:val="24"/>
        </w:rPr>
      </w:pPr>
      <w:r>
        <w:rPr>
          <w:rFonts w:hint="eastAsia" w:ascii="宋体" w:hAnsi="宋体" w:cs="宋体"/>
          <w:b/>
          <w:bCs/>
          <w:color w:val="auto"/>
          <w:sz w:val="24"/>
        </w:rPr>
        <w:t>法定代表人授权委托书</w:t>
      </w:r>
    </w:p>
    <w:p w14:paraId="22A8C182">
      <w:pPr>
        <w:spacing w:line="360" w:lineRule="auto"/>
        <w:rPr>
          <w:rFonts w:ascii="宋体" w:hAnsi="宋体" w:cs="宋体"/>
          <w:color w:val="auto"/>
          <w:sz w:val="24"/>
        </w:rPr>
      </w:pPr>
      <w:r>
        <w:rPr>
          <w:rFonts w:hint="eastAsia" w:ascii="宋体" w:hAnsi="宋体" w:cs="宋体"/>
          <w:b/>
          <w:color w:val="auto"/>
          <w:sz w:val="24"/>
          <w:lang w:val="zh-CN"/>
        </w:rPr>
        <w:t>南京市高淳区人民政府桠溪街道办事处</w:t>
      </w:r>
      <w:r>
        <w:rPr>
          <w:rFonts w:hint="eastAsia" w:ascii="宋体" w:hAnsi="宋体" w:cs="宋体"/>
          <w:color w:val="auto"/>
          <w:sz w:val="24"/>
        </w:rPr>
        <w:t>：</w:t>
      </w:r>
    </w:p>
    <w:p w14:paraId="1E965159">
      <w:pPr>
        <w:spacing w:line="360" w:lineRule="auto"/>
        <w:ind w:firstLine="484"/>
        <w:rPr>
          <w:rFonts w:ascii="宋体" w:hAnsi="宋体" w:cs="宋体"/>
          <w:color w:val="auto"/>
          <w:sz w:val="24"/>
          <w:lang w:val="zh-CN"/>
        </w:rPr>
      </w:pPr>
      <w:r>
        <w:rPr>
          <w:rFonts w:hint="eastAsia" w:ascii="宋体" w:hAnsi="宋体" w:cs="宋体"/>
          <w:color w:val="auto"/>
          <w:sz w:val="24"/>
          <w:lang w:val="zh-CN"/>
        </w:rPr>
        <w:t>本授权书声明：注册于＿＿（供应商住址）的＿＿（供应商名称）法定代表人＿＿（法定代表人姓名、职务）代表本公司授权在下面签字的＿＿（供应商代表姓名、职务）为本公司的合法代理人，就贵方组织的＿＿（项目名称），＿＿（项目编号）投标，以本公司名义处理一切与之有关的事务。</w:t>
      </w:r>
    </w:p>
    <w:p w14:paraId="2E51C707">
      <w:pPr>
        <w:spacing w:line="360" w:lineRule="auto"/>
        <w:ind w:firstLine="480"/>
        <w:rPr>
          <w:rFonts w:ascii="宋体" w:hAnsi="宋体" w:cs="宋体"/>
          <w:color w:val="auto"/>
          <w:sz w:val="24"/>
        </w:rPr>
      </w:pPr>
      <w:r>
        <w:rPr>
          <w:rFonts w:hint="eastAsia" w:ascii="宋体" w:hAnsi="宋体" w:cs="宋体"/>
          <w:color w:val="auto"/>
          <w:sz w:val="24"/>
        </w:rPr>
        <w:t>本授权书于   年   月   日签字生效，特此声明。</w:t>
      </w:r>
    </w:p>
    <w:p w14:paraId="40980A34">
      <w:pPr>
        <w:spacing w:line="360" w:lineRule="auto"/>
        <w:ind w:firstLine="480"/>
        <w:rPr>
          <w:rFonts w:ascii="宋体" w:hAnsi="宋体" w:cs="宋体"/>
          <w:color w:val="auto"/>
          <w:sz w:val="24"/>
        </w:rPr>
      </w:pPr>
    </w:p>
    <w:p w14:paraId="69D9FA74">
      <w:pPr>
        <w:spacing w:line="360" w:lineRule="auto"/>
        <w:ind w:firstLine="480"/>
        <w:rPr>
          <w:rFonts w:ascii="宋体" w:hAnsi="宋体" w:cs="宋体"/>
          <w:color w:val="auto"/>
          <w:sz w:val="24"/>
        </w:rPr>
      </w:pPr>
      <w:r>
        <w:rPr>
          <w:rFonts w:hint="eastAsia" w:ascii="宋体" w:hAnsi="宋体" w:cs="宋体"/>
          <w:color w:val="auto"/>
          <w:sz w:val="24"/>
        </w:rPr>
        <w:t>授权委托人姓名：</w:t>
      </w:r>
    </w:p>
    <w:p w14:paraId="7A598B8E">
      <w:pPr>
        <w:spacing w:line="360" w:lineRule="auto"/>
        <w:ind w:firstLine="480"/>
        <w:rPr>
          <w:rFonts w:ascii="宋体" w:hAnsi="宋体" w:cs="宋体"/>
          <w:color w:val="auto"/>
          <w:sz w:val="24"/>
        </w:rPr>
      </w:pPr>
      <w:r>
        <w:rPr>
          <w:rFonts w:hint="eastAsia" w:ascii="宋体" w:hAnsi="宋体" w:cs="宋体"/>
          <w:color w:val="auto"/>
          <w:sz w:val="24"/>
        </w:rPr>
        <w:t xml:space="preserve">年龄： </w:t>
      </w:r>
    </w:p>
    <w:p w14:paraId="0759FAB2">
      <w:pPr>
        <w:spacing w:line="360" w:lineRule="auto"/>
        <w:ind w:firstLine="480"/>
        <w:rPr>
          <w:rFonts w:ascii="宋体" w:hAnsi="宋体" w:cs="宋体"/>
          <w:color w:val="auto"/>
          <w:sz w:val="24"/>
        </w:rPr>
      </w:pPr>
      <w:r>
        <w:rPr>
          <w:rFonts w:hint="eastAsia" w:ascii="宋体" w:hAnsi="宋体" w:cs="宋体"/>
          <w:color w:val="auto"/>
          <w:sz w:val="24"/>
        </w:rPr>
        <w:t>职务：</w:t>
      </w:r>
    </w:p>
    <w:p w14:paraId="10107658">
      <w:pPr>
        <w:spacing w:line="360" w:lineRule="auto"/>
        <w:ind w:firstLine="480"/>
        <w:rPr>
          <w:rFonts w:ascii="宋体" w:hAnsi="宋体" w:cs="宋体"/>
          <w:color w:val="auto"/>
          <w:sz w:val="24"/>
        </w:rPr>
      </w:pPr>
      <w:r>
        <w:rPr>
          <w:rFonts w:hint="eastAsia" w:ascii="宋体" w:hAnsi="宋体" w:cs="宋体"/>
          <w:color w:val="auto"/>
          <w:sz w:val="24"/>
        </w:rPr>
        <w:t>身份证：</w:t>
      </w:r>
    </w:p>
    <w:p w14:paraId="16CE58B7">
      <w:pPr>
        <w:spacing w:line="360" w:lineRule="auto"/>
        <w:ind w:firstLine="480"/>
        <w:rPr>
          <w:rFonts w:ascii="宋体" w:hAnsi="宋体" w:cs="宋体"/>
          <w:color w:val="auto"/>
          <w:sz w:val="24"/>
        </w:rPr>
      </w:pPr>
      <w:r>
        <w:rPr>
          <w:rFonts w:hint="eastAsia" w:ascii="宋体" w:hAnsi="宋体" w:cs="宋体"/>
          <w:color w:val="auto"/>
          <w:sz w:val="24"/>
        </w:rPr>
        <w:t>联系电话：</w:t>
      </w:r>
    </w:p>
    <w:p w14:paraId="00BB83CE">
      <w:pPr>
        <w:spacing w:line="360" w:lineRule="auto"/>
        <w:ind w:firstLine="480"/>
        <w:rPr>
          <w:rFonts w:ascii="宋体" w:hAnsi="宋体" w:cs="宋体"/>
          <w:color w:val="auto"/>
          <w:sz w:val="24"/>
        </w:rPr>
      </w:pPr>
    </w:p>
    <w:p w14:paraId="7DFF23DB">
      <w:pPr>
        <w:spacing w:line="360" w:lineRule="auto"/>
        <w:ind w:firstLine="480"/>
        <w:rPr>
          <w:rFonts w:ascii="宋体" w:hAnsi="宋体" w:cs="宋体"/>
          <w:color w:val="auto"/>
          <w:sz w:val="24"/>
        </w:rPr>
      </w:pPr>
      <w:r>
        <w:rPr>
          <w:rFonts w:hint="eastAsia" w:ascii="宋体" w:hAnsi="宋体" w:cs="宋体"/>
          <w:color w:val="auto"/>
          <w:sz w:val="24"/>
        </w:rPr>
        <w:t>供应商（加盖电子公章）：</w:t>
      </w:r>
    </w:p>
    <w:p w14:paraId="2D29FF97">
      <w:pPr>
        <w:spacing w:line="360" w:lineRule="auto"/>
        <w:ind w:firstLine="480"/>
        <w:rPr>
          <w:rFonts w:ascii="宋体" w:hAnsi="宋体" w:cs="宋体"/>
          <w:color w:val="auto"/>
          <w:sz w:val="24"/>
        </w:rPr>
      </w:pPr>
      <w:r>
        <w:rPr>
          <w:rFonts w:hint="eastAsia" w:ascii="宋体" w:hAnsi="宋体" w:cs="宋体"/>
          <w:color w:val="auto"/>
          <w:sz w:val="24"/>
        </w:rPr>
        <w:t>日期：  年  月  日</w:t>
      </w:r>
    </w:p>
    <w:p w14:paraId="4EEE65BC">
      <w:pPr>
        <w:spacing w:line="360" w:lineRule="auto"/>
        <w:ind w:firstLine="480"/>
        <w:rPr>
          <w:rFonts w:ascii="宋体" w:hAnsi="宋体" w:cs="宋体"/>
          <w:color w:val="auto"/>
          <w:sz w:val="24"/>
        </w:rPr>
      </w:pPr>
      <w:r>
        <w:rPr>
          <w:rFonts w:hint="eastAsia" w:ascii="宋体" w:hAnsi="宋体" w:cs="宋体"/>
          <w:color w:val="auto"/>
          <w:sz w:val="24"/>
        </w:rPr>
        <w:t>（注：后附被授权委托人身份证正反面复印件）</w:t>
      </w:r>
    </w:p>
    <w:p w14:paraId="342EF6FF">
      <w:pPr>
        <w:pStyle w:val="3"/>
        <w:spacing w:line="360" w:lineRule="auto"/>
        <w:rPr>
          <w:rFonts w:ascii="宋体" w:hAnsi="宋体" w:eastAsia="宋体" w:cs="宋体"/>
          <w:color w:val="auto"/>
          <w:sz w:val="24"/>
          <w:szCs w:val="24"/>
        </w:rPr>
      </w:pPr>
      <w:r>
        <w:rPr>
          <w:rFonts w:hint="eastAsia" w:ascii="宋体" w:hAnsi="宋体" w:eastAsia="宋体" w:cs="宋体"/>
          <w:color w:val="auto"/>
          <w:sz w:val="24"/>
          <w:szCs w:val="24"/>
        </w:rPr>
        <w:br w:type="page" w:clear="all"/>
      </w:r>
      <w:bookmarkStart w:id="73" w:name="_Toc50974351"/>
      <w:bookmarkStart w:id="74" w:name="_Toc33266154"/>
      <w:bookmarkStart w:id="75" w:name="_Toc50644492"/>
      <w:bookmarkStart w:id="76" w:name="_Toc126827490"/>
      <w:bookmarkStart w:id="77" w:name="_Toc38721220"/>
      <w:bookmarkStart w:id="78" w:name="_Toc30876"/>
      <w:bookmarkStart w:id="79" w:name="_Toc119344346"/>
      <w:bookmarkStart w:id="80" w:name="_Toc38723693"/>
      <w:r>
        <w:rPr>
          <w:rFonts w:hint="eastAsia" w:ascii="宋体" w:hAnsi="宋体" w:eastAsia="宋体" w:cs="宋体"/>
          <w:color w:val="auto"/>
          <w:sz w:val="24"/>
          <w:szCs w:val="24"/>
        </w:rPr>
        <w:t>附件三、开标一览表格式</w:t>
      </w:r>
      <w:bookmarkEnd w:id="73"/>
      <w:bookmarkEnd w:id="74"/>
      <w:bookmarkEnd w:id="75"/>
      <w:bookmarkEnd w:id="76"/>
      <w:bookmarkEnd w:id="77"/>
      <w:bookmarkEnd w:id="78"/>
      <w:bookmarkEnd w:id="79"/>
      <w:bookmarkEnd w:id="80"/>
    </w:p>
    <w:p w14:paraId="015BF8F8">
      <w:pPr>
        <w:spacing w:line="360" w:lineRule="auto"/>
        <w:jc w:val="center"/>
        <w:rPr>
          <w:rFonts w:ascii="宋体" w:hAnsi="宋体" w:cs="宋体"/>
          <w:b/>
          <w:bCs/>
          <w:color w:val="auto"/>
          <w:sz w:val="24"/>
        </w:rPr>
      </w:pPr>
      <w:r>
        <w:rPr>
          <w:rFonts w:hint="eastAsia" w:ascii="宋体" w:hAnsi="宋体" w:cs="宋体"/>
          <w:b/>
          <w:bCs/>
          <w:color w:val="auto"/>
          <w:sz w:val="24"/>
        </w:rPr>
        <w:t>开标一览表</w:t>
      </w:r>
    </w:p>
    <w:p w14:paraId="7D368158">
      <w:pPr>
        <w:pStyle w:val="250"/>
        <w:spacing w:line="360" w:lineRule="auto"/>
        <w:ind w:firstLine="480"/>
        <w:rPr>
          <w:rFonts w:ascii="宋体" w:hAnsi="宋体" w:cs="宋体"/>
          <w:color w:val="auto"/>
          <w:sz w:val="24"/>
        </w:rPr>
      </w:pPr>
      <w:r>
        <w:rPr>
          <w:rFonts w:hint="eastAsia" w:ascii="宋体" w:hAnsi="宋体" w:cs="宋体"/>
          <w:color w:val="auto"/>
          <w:sz w:val="24"/>
        </w:rPr>
        <w:t>项目名称；</w:t>
      </w:r>
    </w:p>
    <w:p w14:paraId="68AF65C1">
      <w:pPr>
        <w:pStyle w:val="250"/>
        <w:spacing w:line="360" w:lineRule="auto"/>
        <w:ind w:firstLine="480"/>
        <w:rPr>
          <w:rFonts w:ascii="宋体" w:hAnsi="宋体" w:cs="宋体"/>
          <w:color w:val="auto"/>
          <w:sz w:val="24"/>
        </w:rPr>
      </w:pPr>
      <w:r>
        <w:rPr>
          <w:rFonts w:hint="eastAsia" w:ascii="宋体" w:hAnsi="宋体" w:cs="宋体"/>
          <w:color w:val="auto"/>
          <w:sz w:val="24"/>
        </w:rPr>
        <w:t>项目编号：</w:t>
      </w:r>
    </w:p>
    <w:tbl>
      <w:tblPr>
        <w:tblStyle w:val="6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8"/>
        <w:gridCol w:w="3116"/>
        <w:gridCol w:w="2551"/>
        <w:gridCol w:w="1896"/>
      </w:tblGrid>
      <w:tr w14:paraId="0B265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14:paraId="1FB86765">
            <w:pPr>
              <w:pStyle w:val="250"/>
              <w:ind w:firstLine="0"/>
              <w:jc w:val="center"/>
              <w:rPr>
                <w:rFonts w:ascii="宋体" w:hAnsi="宋体" w:cs="宋体"/>
                <w:color w:val="auto"/>
                <w:sz w:val="24"/>
              </w:rPr>
            </w:pPr>
            <w:r>
              <w:rPr>
                <w:rFonts w:hint="eastAsia" w:ascii="宋体" w:hAnsi="宋体" w:cs="宋体"/>
                <w:color w:val="auto"/>
                <w:sz w:val="24"/>
              </w:rPr>
              <w:t>序号</w:t>
            </w:r>
          </w:p>
        </w:tc>
        <w:tc>
          <w:tcPr>
            <w:tcW w:w="3118" w:type="dxa"/>
            <w:vAlign w:val="center"/>
          </w:tcPr>
          <w:p w14:paraId="4730A358">
            <w:pPr>
              <w:pStyle w:val="250"/>
              <w:ind w:firstLine="0"/>
              <w:jc w:val="center"/>
              <w:rPr>
                <w:rFonts w:ascii="宋体" w:hAnsi="宋体" w:cs="宋体"/>
                <w:color w:val="auto"/>
                <w:sz w:val="24"/>
              </w:rPr>
            </w:pPr>
            <w:r>
              <w:rPr>
                <w:rFonts w:hint="eastAsia" w:ascii="宋体" w:hAnsi="宋体" w:cs="宋体"/>
                <w:color w:val="auto"/>
                <w:sz w:val="24"/>
              </w:rPr>
              <w:t>名称</w:t>
            </w:r>
          </w:p>
        </w:tc>
        <w:tc>
          <w:tcPr>
            <w:tcW w:w="2552" w:type="dxa"/>
            <w:vAlign w:val="center"/>
          </w:tcPr>
          <w:p w14:paraId="3590D37D">
            <w:pPr>
              <w:pStyle w:val="250"/>
              <w:ind w:firstLine="0"/>
              <w:jc w:val="center"/>
              <w:rPr>
                <w:rFonts w:ascii="宋体" w:hAnsi="宋体" w:cs="宋体"/>
                <w:color w:val="auto"/>
                <w:sz w:val="24"/>
              </w:rPr>
            </w:pPr>
            <w:r>
              <w:rPr>
                <w:rFonts w:hint="eastAsia" w:ascii="宋体" w:hAnsi="宋体" w:cs="宋体"/>
                <w:color w:val="auto"/>
                <w:sz w:val="24"/>
              </w:rPr>
              <w:t>报价（元）</w:t>
            </w:r>
          </w:p>
        </w:tc>
        <w:tc>
          <w:tcPr>
            <w:tcW w:w="1897" w:type="dxa"/>
            <w:vAlign w:val="center"/>
          </w:tcPr>
          <w:p w14:paraId="7976A735">
            <w:pPr>
              <w:pStyle w:val="250"/>
              <w:ind w:firstLine="0"/>
              <w:jc w:val="center"/>
              <w:rPr>
                <w:rFonts w:ascii="宋体" w:hAnsi="宋体" w:cs="宋体"/>
                <w:color w:val="auto"/>
                <w:sz w:val="24"/>
              </w:rPr>
            </w:pPr>
            <w:r>
              <w:rPr>
                <w:rFonts w:hint="eastAsia" w:ascii="宋体" w:hAnsi="宋体" w:cs="宋体"/>
                <w:color w:val="auto"/>
                <w:sz w:val="24"/>
              </w:rPr>
              <w:t>服务期</w:t>
            </w:r>
          </w:p>
        </w:tc>
      </w:tr>
      <w:tr w14:paraId="1C9C8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959" w:type="dxa"/>
            <w:vAlign w:val="center"/>
          </w:tcPr>
          <w:p w14:paraId="1AD3A692">
            <w:pPr>
              <w:pStyle w:val="250"/>
              <w:ind w:firstLine="0"/>
              <w:jc w:val="center"/>
              <w:rPr>
                <w:rFonts w:ascii="宋体" w:hAnsi="宋体" w:cs="宋体"/>
                <w:color w:val="auto"/>
                <w:sz w:val="24"/>
              </w:rPr>
            </w:pPr>
            <w:r>
              <w:rPr>
                <w:rFonts w:hint="eastAsia" w:ascii="宋体" w:hAnsi="宋体" w:cs="宋体"/>
                <w:color w:val="auto"/>
                <w:sz w:val="24"/>
              </w:rPr>
              <w:t>1</w:t>
            </w:r>
          </w:p>
        </w:tc>
        <w:tc>
          <w:tcPr>
            <w:tcW w:w="3118" w:type="dxa"/>
            <w:vAlign w:val="center"/>
          </w:tcPr>
          <w:p w14:paraId="1DDD2AB2">
            <w:pPr>
              <w:pStyle w:val="250"/>
              <w:ind w:firstLine="0"/>
              <w:jc w:val="left"/>
              <w:rPr>
                <w:rFonts w:ascii="宋体" w:hAnsi="宋体" w:cs="宋体"/>
                <w:color w:val="auto"/>
                <w:sz w:val="24"/>
              </w:rPr>
            </w:pPr>
            <w:r>
              <w:rPr>
                <w:rFonts w:hint="eastAsia" w:ascii="宋体" w:hAnsi="宋体" w:cs="宋体"/>
                <w:color w:val="auto"/>
                <w:sz w:val="24"/>
              </w:rPr>
              <w:t>高淳区桠溪街道2024年中央农作物秸秆综合利用重点县建设项目设备采购</w:t>
            </w:r>
          </w:p>
        </w:tc>
        <w:tc>
          <w:tcPr>
            <w:tcW w:w="2552" w:type="dxa"/>
            <w:vAlign w:val="center"/>
          </w:tcPr>
          <w:p w14:paraId="7B5F8F0E">
            <w:pPr>
              <w:pStyle w:val="250"/>
              <w:ind w:firstLine="0"/>
              <w:jc w:val="center"/>
              <w:rPr>
                <w:rFonts w:ascii="宋体" w:hAnsi="宋体" w:cs="宋体"/>
                <w:color w:val="auto"/>
                <w:sz w:val="24"/>
              </w:rPr>
            </w:pPr>
          </w:p>
        </w:tc>
        <w:tc>
          <w:tcPr>
            <w:tcW w:w="1897" w:type="dxa"/>
            <w:vAlign w:val="center"/>
          </w:tcPr>
          <w:p w14:paraId="073378CE">
            <w:pPr>
              <w:pStyle w:val="250"/>
              <w:ind w:firstLine="0"/>
              <w:jc w:val="center"/>
              <w:rPr>
                <w:rFonts w:ascii="宋体" w:hAnsi="宋体" w:cs="宋体"/>
                <w:color w:val="auto"/>
                <w:sz w:val="24"/>
              </w:rPr>
            </w:pPr>
            <w:r>
              <w:rPr>
                <w:rFonts w:hint="eastAsia" w:ascii="宋体" w:hAnsi="宋体" w:cs="宋体"/>
                <w:color w:val="auto"/>
                <w:sz w:val="24"/>
                <w:lang w:val="zh-CN"/>
              </w:rPr>
              <w:t>自合同签订之日起</w:t>
            </w:r>
            <w:r>
              <w:rPr>
                <w:rFonts w:hint="eastAsia" w:ascii="宋体" w:hAnsi="宋体" w:cs="宋体"/>
                <w:color w:val="auto"/>
                <w:sz w:val="24"/>
                <w:u w:val="single"/>
              </w:rPr>
              <w:t xml:space="preserve">   </w:t>
            </w:r>
            <w:r>
              <w:rPr>
                <w:rFonts w:hint="eastAsia" w:ascii="宋体" w:hAnsi="宋体" w:cs="宋体"/>
                <w:color w:val="auto"/>
                <w:sz w:val="24"/>
              </w:rPr>
              <w:t>天</w:t>
            </w:r>
          </w:p>
        </w:tc>
      </w:tr>
      <w:tr w14:paraId="3D310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77" w:type="dxa"/>
            <w:gridSpan w:val="2"/>
            <w:vAlign w:val="center"/>
          </w:tcPr>
          <w:p w14:paraId="00F88E57">
            <w:pPr>
              <w:jc w:val="center"/>
              <w:rPr>
                <w:rStyle w:val="322"/>
                <w:rFonts w:ascii="宋体" w:hAnsi="宋体" w:cs="宋体"/>
                <w:sz w:val="24"/>
                <w:lang w:val="zh-CN"/>
              </w:rPr>
            </w:pPr>
            <w:r>
              <w:rPr>
                <w:rStyle w:val="322"/>
                <w:rFonts w:hint="eastAsia" w:ascii="宋体" w:hAnsi="宋体" w:cs="宋体"/>
                <w:sz w:val="24"/>
                <w:lang w:val="zh-CN"/>
              </w:rPr>
              <w:t>供应商是否属于小微型企业</w:t>
            </w:r>
          </w:p>
        </w:tc>
        <w:tc>
          <w:tcPr>
            <w:tcW w:w="4449" w:type="dxa"/>
            <w:gridSpan w:val="2"/>
            <w:vAlign w:val="center"/>
          </w:tcPr>
          <w:p w14:paraId="6733094F">
            <w:pPr>
              <w:jc w:val="center"/>
              <w:rPr>
                <w:rStyle w:val="322"/>
                <w:rFonts w:ascii="宋体" w:hAnsi="宋体" w:cs="宋体"/>
                <w:sz w:val="24"/>
                <w:lang w:val="zh-CN"/>
              </w:rPr>
            </w:pPr>
            <w:r>
              <w:rPr>
                <w:rStyle w:val="322"/>
                <w:rFonts w:hint="eastAsia" w:ascii="宋体" w:hAnsi="宋体" w:cs="宋体"/>
                <w:sz w:val="24"/>
                <w:lang w:val="zh-CN"/>
              </w:rPr>
              <w:t>是       否</w:t>
            </w:r>
          </w:p>
        </w:tc>
      </w:tr>
      <w:tr w14:paraId="4D319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77" w:type="dxa"/>
            <w:gridSpan w:val="2"/>
            <w:vAlign w:val="center"/>
          </w:tcPr>
          <w:p w14:paraId="4B8A75B0">
            <w:pPr>
              <w:jc w:val="center"/>
              <w:rPr>
                <w:rFonts w:ascii="宋体" w:hAnsi="宋体" w:cs="宋体"/>
                <w:sz w:val="24"/>
              </w:rPr>
            </w:pPr>
            <w:r>
              <w:rPr>
                <w:rStyle w:val="322"/>
                <w:rFonts w:hint="eastAsia" w:ascii="宋体" w:hAnsi="宋体" w:cs="宋体"/>
                <w:sz w:val="24"/>
                <w:lang w:val="zh-CN"/>
              </w:rPr>
              <w:t>供应商是否属于</w:t>
            </w:r>
            <w:r>
              <w:rPr>
                <w:rFonts w:hint="eastAsia" w:ascii="宋体" w:hAnsi="宋体" w:cs="宋体"/>
                <w:sz w:val="24"/>
                <w:lang w:val="zh-CN"/>
              </w:rPr>
              <w:t>残疾人福利性单位</w:t>
            </w:r>
          </w:p>
        </w:tc>
        <w:tc>
          <w:tcPr>
            <w:tcW w:w="4449" w:type="dxa"/>
            <w:gridSpan w:val="2"/>
            <w:vAlign w:val="center"/>
          </w:tcPr>
          <w:p w14:paraId="26A0FB31">
            <w:pPr>
              <w:jc w:val="center"/>
              <w:rPr>
                <w:rStyle w:val="322"/>
                <w:rFonts w:ascii="宋体" w:hAnsi="宋体" w:cs="宋体"/>
                <w:sz w:val="24"/>
                <w:lang w:val="zh-CN"/>
              </w:rPr>
            </w:pPr>
            <w:r>
              <w:rPr>
                <w:rStyle w:val="322"/>
                <w:rFonts w:hint="eastAsia" w:ascii="宋体" w:hAnsi="宋体" w:cs="宋体"/>
                <w:sz w:val="24"/>
                <w:lang w:val="zh-CN"/>
              </w:rPr>
              <w:t>是       否</w:t>
            </w:r>
          </w:p>
        </w:tc>
      </w:tr>
      <w:tr w14:paraId="68A0E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77" w:type="dxa"/>
            <w:gridSpan w:val="2"/>
            <w:vAlign w:val="center"/>
          </w:tcPr>
          <w:p w14:paraId="01B0EAA2">
            <w:pPr>
              <w:jc w:val="center"/>
              <w:rPr>
                <w:rFonts w:ascii="宋体" w:hAnsi="宋体" w:cs="宋体"/>
                <w:sz w:val="24"/>
              </w:rPr>
            </w:pPr>
            <w:r>
              <w:rPr>
                <w:rStyle w:val="322"/>
                <w:rFonts w:hint="eastAsia" w:ascii="宋体" w:hAnsi="宋体" w:cs="宋体"/>
                <w:sz w:val="24"/>
                <w:lang w:val="zh-CN"/>
              </w:rPr>
              <w:t>供应商是否属于</w:t>
            </w:r>
            <w:r>
              <w:rPr>
                <w:rFonts w:hint="eastAsia" w:ascii="宋体" w:hAnsi="宋体" w:cs="宋体"/>
                <w:sz w:val="24"/>
                <w:lang w:val="zh-CN"/>
              </w:rPr>
              <w:t>监狱企业</w:t>
            </w:r>
          </w:p>
        </w:tc>
        <w:tc>
          <w:tcPr>
            <w:tcW w:w="4449" w:type="dxa"/>
            <w:gridSpan w:val="2"/>
            <w:vAlign w:val="center"/>
          </w:tcPr>
          <w:p w14:paraId="431F454B">
            <w:pPr>
              <w:jc w:val="center"/>
              <w:rPr>
                <w:rStyle w:val="322"/>
                <w:rFonts w:ascii="宋体" w:hAnsi="宋体" w:cs="宋体"/>
                <w:sz w:val="24"/>
                <w:lang w:val="zh-CN"/>
              </w:rPr>
            </w:pPr>
            <w:r>
              <w:rPr>
                <w:rStyle w:val="322"/>
                <w:rFonts w:hint="eastAsia" w:ascii="宋体" w:hAnsi="宋体" w:cs="宋体"/>
                <w:sz w:val="24"/>
                <w:lang w:val="zh-CN"/>
              </w:rPr>
              <w:t>是       否</w:t>
            </w:r>
          </w:p>
        </w:tc>
      </w:tr>
    </w:tbl>
    <w:p w14:paraId="3DCAF15A">
      <w:pPr>
        <w:spacing w:line="360" w:lineRule="auto"/>
        <w:rPr>
          <w:rFonts w:ascii="宋体" w:hAnsi="宋体" w:cs="宋体"/>
          <w:sz w:val="24"/>
        </w:rPr>
      </w:pPr>
    </w:p>
    <w:p w14:paraId="652E6EE9">
      <w:pPr>
        <w:spacing w:line="360" w:lineRule="auto"/>
        <w:rPr>
          <w:rFonts w:ascii="宋体" w:hAnsi="宋体" w:cs="宋体"/>
          <w:sz w:val="24"/>
        </w:rPr>
      </w:pPr>
    </w:p>
    <w:p w14:paraId="605B9E5F">
      <w:pPr>
        <w:spacing w:line="360" w:lineRule="auto"/>
        <w:rPr>
          <w:rFonts w:ascii="宋体" w:hAnsi="宋体" w:cs="宋体"/>
          <w:sz w:val="24"/>
          <w:lang w:val="zh-CN"/>
        </w:rPr>
      </w:pPr>
      <w:r>
        <w:rPr>
          <w:rFonts w:hint="eastAsia" w:ascii="宋体" w:hAnsi="宋体" w:cs="宋体"/>
          <w:sz w:val="24"/>
          <w:lang w:val="zh-CN"/>
        </w:rPr>
        <w:t>供应商（</w:t>
      </w:r>
      <w:r>
        <w:rPr>
          <w:rFonts w:hint="eastAsia" w:ascii="宋体" w:hAnsi="宋体" w:cs="宋体"/>
          <w:sz w:val="24"/>
        </w:rPr>
        <w:t>加盖电子公章</w:t>
      </w:r>
      <w:r>
        <w:rPr>
          <w:rFonts w:hint="eastAsia" w:ascii="宋体" w:hAnsi="宋体" w:cs="宋体"/>
          <w:sz w:val="24"/>
          <w:lang w:val="zh-CN"/>
        </w:rPr>
        <w:t xml:space="preserve">）：     </w:t>
      </w:r>
    </w:p>
    <w:p w14:paraId="666B8ADA">
      <w:pPr>
        <w:spacing w:line="360" w:lineRule="auto"/>
        <w:rPr>
          <w:rFonts w:ascii="宋体" w:hAnsi="宋体" w:cs="宋体"/>
          <w:sz w:val="24"/>
          <w:lang w:val="zh-CN"/>
        </w:rPr>
      </w:pPr>
      <w:r>
        <w:rPr>
          <w:rFonts w:hint="eastAsia" w:ascii="宋体" w:hAnsi="宋体" w:cs="宋体"/>
          <w:sz w:val="24"/>
          <w:lang w:val="zh-CN"/>
        </w:rPr>
        <w:t xml:space="preserve">日期：年  月 日 </w:t>
      </w:r>
    </w:p>
    <w:p w14:paraId="16556FAF">
      <w:pPr>
        <w:spacing w:line="360" w:lineRule="auto"/>
        <w:rPr>
          <w:rFonts w:ascii="宋体" w:hAnsi="宋体" w:cs="宋体"/>
          <w:sz w:val="24"/>
          <w:lang w:val="zh-CN"/>
        </w:rPr>
      </w:pPr>
    </w:p>
    <w:p w14:paraId="7679969B">
      <w:pPr>
        <w:spacing w:line="360" w:lineRule="auto"/>
        <w:rPr>
          <w:rFonts w:ascii="宋体" w:hAnsi="宋体" w:cs="宋体"/>
          <w:sz w:val="24"/>
          <w:lang w:val="zh-CN"/>
        </w:rPr>
      </w:pPr>
      <w:r>
        <w:rPr>
          <w:rFonts w:hint="eastAsia" w:ascii="宋体" w:hAnsi="宋体" w:cs="宋体"/>
          <w:sz w:val="24"/>
          <w:lang w:val="zh-CN"/>
        </w:rPr>
        <w:t>说明：</w:t>
      </w:r>
    </w:p>
    <w:p w14:paraId="511021F0">
      <w:pPr>
        <w:spacing w:line="360" w:lineRule="auto"/>
        <w:ind w:firstLine="482"/>
        <w:rPr>
          <w:rStyle w:val="322"/>
          <w:rFonts w:ascii="宋体" w:hAnsi="宋体" w:cs="宋体"/>
          <w:b/>
          <w:bCs/>
          <w:sz w:val="24"/>
          <w:lang w:val="zh-CN"/>
        </w:rPr>
      </w:pPr>
      <w:r>
        <w:rPr>
          <w:rFonts w:hint="eastAsia" w:ascii="宋体" w:hAnsi="宋体" w:cs="宋体"/>
          <w:b/>
          <w:bCs/>
          <w:sz w:val="24"/>
          <w:lang w:val="zh-CN"/>
        </w:rPr>
        <w:t>1、</w:t>
      </w:r>
      <w:r>
        <w:rPr>
          <w:rStyle w:val="322"/>
          <w:rFonts w:hint="eastAsia" w:ascii="宋体" w:hAnsi="宋体" w:cs="宋体"/>
          <w:b/>
          <w:bCs/>
          <w:sz w:val="24"/>
          <w:lang w:val="zh-CN"/>
        </w:rPr>
        <w:t xml:space="preserve">本项目仅接受一个价格，不得填报有选择性报价方案。若有优惠条款须注明，但不得影响报价，影响产品整体功能。 </w:t>
      </w:r>
    </w:p>
    <w:p w14:paraId="55E28E5E">
      <w:pPr>
        <w:spacing w:line="360" w:lineRule="auto"/>
        <w:ind w:firstLine="482"/>
        <w:rPr>
          <w:rFonts w:ascii="宋体" w:hAnsi="宋体" w:cs="宋体"/>
          <w:sz w:val="24"/>
          <w:lang w:val="zh-CN"/>
        </w:rPr>
      </w:pPr>
      <w:bookmarkStart w:id="81" w:name="_Toc38721221"/>
      <w:bookmarkStart w:id="82" w:name="_Toc119344347"/>
      <w:bookmarkStart w:id="83" w:name="_Toc33266155"/>
      <w:bookmarkStart w:id="84" w:name="_Toc50974352"/>
      <w:bookmarkStart w:id="85" w:name="_Toc126827491"/>
      <w:r>
        <w:rPr>
          <w:rFonts w:hint="eastAsia" w:ascii="宋体" w:hAnsi="宋体" w:cs="宋体"/>
          <w:b/>
          <w:bCs/>
          <w:sz w:val="24"/>
        </w:rPr>
        <w:t>2</w:t>
      </w:r>
      <w:r>
        <w:rPr>
          <w:rFonts w:hint="eastAsia" w:ascii="宋体" w:hAnsi="宋体" w:cs="宋体"/>
          <w:b/>
          <w:bCs/>
          <w:sz w:val="24"/>
          <w:lang w:val="zh-CN"/>
        </w:rPr>
        <w:t>、</w:t>
      </w:r>
      <w:r>
        <w:rPr>
          <w:rFonts w:hint="eastAsia" w:ascii="宋体" w:hAnsi="宋体" w:cs="宋体"/>
          <w:sz w:val="24"/>
          <w:lang w:val="zh-CN"/>
        </w:rPr>
        <w:t>“供应商是否属于小微型企业”栏内填写“是”或“否”。如填写“是”，供应商需提供《中小企业声明函》、《残疾人福利性单位声明函》、《属于监狱企业的证明文件》；非小微企业产品不享受价格扣除。如未按要求提供、填写，或相关内容表述不清前后矛盾的，不享受价格扣除。</w:t>
      </w:r>
    </w:p>
    <w:p w14:paraId="6D781D30">
      <w:pPr>
        <w:rPr>
          <w:rFonts w:ascii="宋体" w:hAnsi="宋体" w:cs="宋体"/>
          <w:sz w:val="24"/>
          <w:lang w:val="zh-CN"/>
        </w:rPr>
      </w:pPr>
      <w:r>
        <w:rPr>
          <w:rFonts w:hint="eastAsia" w:ascii="宋体" w:hAnsi="宋体" w:cs="宋体"/>
          <w:sz w:val="24"/>
          <w:lang w:val="zh-CN"/>
        </w:rPr>
        <w:br w:type="page" w:clear="all"/>
      </w:r>
      <w:bookmarkEnd w:id="81"/>
      <w:bookmarkEnd w:id="82"/>
      <w:bookmarkEnd w:id="83"/>
      <w:bookmarkEnd w:id="84"/>
      <w:bookmarkEnd w:id="85"/>
    </w:p>
    <w:p w14:paraId="23761245">
      <w:pPr>
        <w:pStyle w:val="3"/>
        <w:spacing w:line="360" w:lineRule="auto"/>
        <w:rPr>
          <w:rFonts w:ascii="宋体" w:hAnsi="宋体" w:eastAsia="宋体" w:cs="宋体"/>
          <w:sz w:val="24"/>
          <w:szCs w:val="24"/>
        </w:rPr>
      </w:pPr>
      <w:bookmarkStart w:id="86" w:name="_Toc2975"/>
      <w:bookmarkStart w:id="87" w:name="_Toc119344348"/>
      <w:bookmarkStart w:id="88" w:name="_Toc33266156"/>
      <w:bookmarkStart w:id="89" w:name="_Toc50974353"/>
      <w:bookmarkStart w:id="90" w:name="_Toc126827492"/>
      <w:r>
        <w:rPr>
          <w:rFonts w:hint="eastAsia" w:ascii="宋体" w:hAnsi="宋体" w:eastAsia="宋体" w:cs="宋体"/>
          <w:sz w:val="24"/>
          <w:szCs w:val="24"/>
        </w:rPr>
        <w:t>附件四、分项报价表</w:t>
      </w:r>
    </w:p>
    <w:p w14:paraId="1DAD93A4">
      <w:pPr>
        <w:spacing w:line="360" w:lineRule="auto"/>
        <w:jc w:val="center"/>
        <w:rPr>
          <w:rStyle w:val="322"/>
          <w:rFonts w:ascii="宋体" w:hAnsi="宋体" w:cs="宋体"/>
          <w:b/>
          <w:bCs/>
          <w:sz w:val="24"/>
          <w:lang w:val="zh-CN"/>
        </w:rPr>
      </w:pPr>
      <w:r>
        <w:rPr>
          <w:rStyle w:val="322"/>
          <w:rFonts w:hint="eastAsia" w:ascii="宋体" w:hAnsi="宋体" w:cs="宋体"/>
          <w:b/>
          <w:bCs/>
          <w:sz w:val="24"/>
          <w:lang w:val="zh-CN"/>
        </w:rPr>
        <w:t>分项报价表</w:t>
      </w:r>
    </w:p>
    <w:p w14:paraId="68617062">
      <w:pPr>
        <w:spacing w:line="360" w:lineRule="auto"/>
        <w:rPr>
          <w:rFonts w:ascii="宋体" w:hAnsi="宋体" w:cs="宋体"/>
          <w:sz w:val="24"/>
        </w:rPr>
      </w:pPr>
      <w:r>
        <w:rPr>
          <w:rFonts w:hint="eastAsia" w:ascii="宋体" w:hAnsi="宋体" w:cs="宋体"/>
          <w:sz w:val="24"/>
        </w:rPr>
        <w:t xml:space="preserve">项目名称： </w:t>
      </w:r>
    </w:p>
    <w:p w14:paraId="3D5B585C">
      <w:pPr>
        <w:spacing w:line="360" w:lineRule="auto"/>
        <w:rPr>
          <w:rFonts w:ascii="宋体" w:hAnsi="宋体" w:cs="宋体"/>
          <w:sz w:val="24"/>
        </w:rPr>
      </w:pPr>
      <w:r>
        <w:rPr>
          <w:rFonts w:hint="eastAsia" w:ascii="宋体" w:hAnsi="宋体" w:cs="宋体"/>
          <w:sz w:val="24"/>
        </w:rPr>
        <w:t xml:space="preserve">项目编号： </w:t>
      </w:r>
    </w:p>
    <w:p w14:paraId="1ACA5422">
      <w:pPr>
        <w:spacing w:line="360" w:lineRule="auto"/>
        <w:jc w:val="right"/>
        <w:rPr>
          <w:rFonts w:ascii="宋体" w:hAnsi="宋体" w:cs="宋体"/>
          <w:sz w:val="24"/>
        </w:rPr>
      </w:pPr>
      <w:r>
        <w:rPr>
          <w:rFonts w:hint="eastAsia" w:ascii="宋体" w:hAnsi="宋体" w:cs="宋体"/>
          <w:sz w:val="24"/>
        </w:rPr>
        <w:t>单位：元</w:t>
      </w:r>
    </w:p>
    <w:tbl>
      <w:tblPr>
        <w:tblStyle w:val="59"/>
        <w:tblW w:w="8887" w:type="dxa"/>
        <w:tblInd w:w="-269" w:type="dxa"/>
        <w:tblLayout w:type="fixed"/>
        <w:tblCellMar>
          <w:top w:w="0" w:type="dxa"/>
          <w:left w:w="108" w:type="dxa"/>
          <w:bottom w:w="0" w:type="dxa"/>
          <w:right w:w="108" w:type="dxa"/>
        </w:tblCellMar>
      </w:tblPr>
      <w:tblGrid>
        <w:gridCol w:w="825"/>
        <w:gridCol w:w="2362"/>
        <w:gridCol w:w="1150"/>
        <w:gridCol w:w="1091"/>
        <w:gridCol w:w="1533"/>
        <w:gridCol w:w="1926"/>
      </w:tblGrid>
      <w:tr w14:paraId="3B16BB99">
        <w:tblPrEx>
          <w:tblCellMar>
            <w:top w:w="0" w:type="dxa"/>
            <w:left w:w="108" w:type="dxa"/>
            <w:bottom w:w="0" w:type="dxa"/>
            <w:right w:w="108" w:type="dxa"/>
          </w:tblCellMar>
        </w:tblPrEx>
        <w:trPr>
          <w:trHeight w:val="400"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5325D">
            <w:pPr>
              <w:widowControl/>
              <w:jc w:val="center"/>
              <w:rPr>
                <w:rFonts w:ascii="宋体" w:hAnsi="宋体" w:cs="宋体"/>
                <w:b/>
                <w:bCs/>
                <w:sz w:val="24"/>
              </w:rPr>
            </w:pPr>
            <w:r>
              <w:rPr>
                <w:rFonts w:hint="eastAsia" w:ascii="宋体" w:hAnsi="宋体" w:cs="宋体"/>
                <w:b/>
                <w:bCs/>
                <w:sz w:val="24"/>
                <w:lang w:bidi="ar"/>
              </w:rPr>
              <w:t>序号</w:t>
            </w:r>
          </w:p>
        </w:tc>
        <w:tc>
          <w:tcPr>
            <w:tcW w:w="23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E0A88E">
            <w:pPr>
              <w:widowControl/>
              <w:jc w:val="center"/>
              <w:rPr>
                <w:rFonts w:ascii="宋体" w:hAnsi="宋体" w:cs="宋体"/>
                <w:b/>
                <w:bCs/>
                <w:sz w:val="24"/>
              </w:rPr>
            </w:pPr>
            <w:r>
              <w:rPr>
                <w:rFonts w:hint="eastAsia" w:ascii="宋体" w:hAnsi="宋体" w:cs="宋体"/>
                <w:b/>
                <w:bCs/>
                <w:sz w:val="24"/>
                <w:lang w:bidi="ar"/>
              </w:rPr>
              <w:t>名称</w:t>
            </w:r>
          </w:p>
        </w:tc>
        <w:tc>
          <w:tcPr>
            <w:tcW w:w="11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5577E">
            <w:pPr>
              <w:widowControl/>
              <w:jc w:val="center"/>
              <w:rPr>
                <w:rFonts w:ascii="宋体" w:hAnsi="宋体" w:cs="宋体"/>
                <w:b/>
                <w:bCs/>
                <w:sz w:val="24"/>
              </w:rPr>
            </w:pPr>
            <w:r>
              <w:rPr>
                <w:rFonts w:hint="eastAsia" w:ascii="宋体" w:hAnsi="宋体" w:cs="宋体"/>
                <w:b/>
                <w:bCs/>
                <w:sz w:val="24"/>
                <w:lang w:bidi="ar"/>
              </w:rPr>
              <w:t>数量</w:t>
            </w:r>
          </w:p>
        </w:tc>
        <w:tc>
          <w:tcPr>
            <w:tcW w:w="10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3B3FC">
            <w:pPr>
              <w:widowControl/>
              <w:jc w:val="center"/>
              <w:rPr>
                <w:rFonts w:ascii="宋体" w:hAnsi="宋体" w:cs="宋体"/>
                <w:b/>
                <w:bCs/>
                <w:sz w:val="24"/>
              </w:rPr>
            </w:pPr>
            <w:r>
              <w:rPr>
                <w:rFonts w:hint="eastAsia" w:ascii="宋体" w:hAnsi="宋体" w:cs="宋体"/>
                <w:b/>
                <w:bCs/>
                <w:sz w:val="24"/>
                <w:lang w:bidi="ar"/>
              </w:rPr>
              <w:t>单位</w:t>
            </w:r>
          </w:p>
        </w:tc>
        <w:tc>
          <w:tcPr>
            <w:tcW w:w="1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9E493">
            <w:pPr>
              <w:widowControl/>
              <w:jc w:val="center"/>
              <w:rPr>
                <w:rFonts w:ascii="宋体" w:hAnsi="宋体" w:cs="宋体"/>
                <w:b/>
                <w:bCs/>
                <w:sz w:val="24"/>
                <w:lang w:bidi="ar"/>
              </w:rPr>
            </w:pPr>
            <w:r>
              <w:rPr>
                <w:rFonts w:hint="eastAsia" w:ascii="宋体" w:hAnsi="宋体" w:cs="宋体"/>
                <w:b/>
                <w:bCs/>
                <w:sz w:val="24"/>
                <w:lang w:bidi="ar"/>
              </w:rPr>
              <w:t>单价</w:t>
            </w:r>
          </w:p>
        </w:tc>
        <w:tc>
          <w:tcPr>
            <w:tcW w:w="19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FF506">
            <w:pPr>
              <w:widowControl/>
              <w:jc w:val="center"/>
              <w:rPr>
                <w:rFonts w:ascii="宋体" w:hAnsi="宋体" w:cs="宋体"/>
                <w:b/>
                <w:bCs/>
                <w:sz w:val="24"/>
                <w:lang w:bidi="ar"/>
              </w:rPr>
            </w:pPr>
            <w:r>
              <w:rPr>
                <w:rFonts w:hint="eastAsia" w:ascii="宋体" w:hAnsi="宋体" w:cs="宋体"/>
                <w:b/>
                <w:bCs/>
                <w:sz w:val="24"/>
                <w:lang w:bidi="ar"/>
              </w:rPr>
              <w:t>总价</w:t>
            </w:r>
          </w:p>
        </w:tc>
      </w:tr>
      <w:tr w14:paraId="20EB7B6E">
        <w:tblPrEx>
          <w:tblCellMar>
            <w:top w:w="0" w:type="dxa"/>
            <w:left w:w="108" w:type="dxa"/>
            <w:bottom w:w="0" w:type="dxa"/>
            <w:right w:w="108" w:type="dxa"/>
          </w:tblCellMar>
        </w:tblPrEx>
        <w:trPr>
          <w:trHeight w:val="400"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E6A0BA">
            <w:pPr>
              <w:widowControl/>
              <w:jc w:val="center"/>
              <w:textAlignment w:val="center"/>
              <w:rPr>
                <w:rFonts w:ascii="宋体" w:hAnsi="宋体" w:cs="宋体"/>
                <w:sz w:val="24"/>
              </w:rPr>
            </w:pPr>
            <w:r>
              <w:rPr>
                <w:rFonts w:hint="eastAsia" w:ascii="宋体" w:hAnsi="宋体" w:cs="宋体"/>
                <w:sz w:val="24"/>
              </w:rPr>
              <w:t>1</w:t>
            </w:r>
          </w:p>
        </w:tc>
        <w:tc>
          <w:tcPr>
            <w:tcW w:w="2362" w:type="dxa"/>
            <w:tcBorders>
              <w:top w:val="single" w:color="000000" w:sz="4" w:space="0"/>
              <w:left w:val="single" w:color="000000" w:sz="4" w:space="0"/>
              <w:right w:val="single" w:color="000000" w:sz="4" w:space="0"/>
            </w:tcBorders>
            <w:shd w:val="clear" w:color="auto" w:fill="auto"/>
            <w:vAlign w:val="center"/>
          </w:tcPr>
          <w:p w14:paraId="5BF51DEB">
            <w:pPr>
              <w:widowControl/>
              <w:jc w:val="center"/>
              <w:textAlignment w:val="center"/>
              <w:rPr>
                <w:rFonts w:hint="default" w:ascii="宋体" w:hAnsi="宋体" w:eastAsia="宋体" w:cs="宋体"/>
                <w:sz w:val="24"/>
                <w:lang w:val="en-US" w:eastAsia="zh-CN"/>
              </w:rPr>
            </w:pPr>
            <w:r>
              <w:rPr>
                <w:rFonts w:hint="eastAsia" w:ascii="宋体" w:hAnsi="宋体" w:cs="宋体"/>
                <w:sz w:val="24"/>
                <w:lang w:bidi="ar"/>
              </w:rPr>
              <w:t>拖拉机</w:t>
            </w:r>
            <w:r>
              <w:rPr>
                <w:rFonts w:hint="eastAsia" w:ascii="宋体" w:hAnsi="宋体" w:cs="宋体"/>
                <w:sz w:val="24"/>
                <w:lang w:eastAsia="zh-CN" w:bidi="ar"/>
              </w:rPr>
              <w:t>（</w:t>
            </w:r>
            <w:r>
              <w:rPr>
                <w:rStyle w:val="598"/>
                <w:rFonts w:hint="default"/>
                <w:color w:val="auto"/>
                <w:sz w:val="22"/>
                <w:szCs w:val="22"/>
                <w:highlight w:val="none"/>
                <w:lang w:bidi="ar"/>
              </w:rPr>
              <w:t>发动机功率 ≥ 130马力</w:t>
            </w:r>
            <w:r>
              <w:rPr>
                <w:rFonts w:hint="eastAsia" w:ascii="宋体" w:hAnsi="宋体" w:cs="宋体"/>
                <w:sz w:val="24"/>
                <w:lang w:eastAsia="zh-CN" w:bidi="ar"/>
              </w:rPr>
              <w:t>）</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397E3">
            <w:pPr>
              <w:widowControl/>
              <w:jc w:val="center"/>
              <w:textAlignment w:val="center"/>
              <w:rPr>
                <w:rFonts w:hint="eastAsia" w:ascii="宋体" w:hAnsi="宋体" w:eastAsia="宋体" w:cs="宋体"/>
                <w:sz w:val="24"/>
                <w:lang w:eastAsia="zh-CN" w:bidi="ar"/>
              </w:rPr>
            </w:pPr>
            <w:r>
              <w:rPr>
                <w:rFonts w:hint="eastAsia" w:ascii="宋体" w:hAnsi="宋体" w:cs="宋体"/>
                <w:sz w:val="22"/>
                <w:szCs w:val="22"/>
                <w:lang w:val="en-US" w:eastAsia="zh-CN" w:bidi="ar"/>
              </w:rPr>
              <w:t>3</w:t>
            </w:r>
          </w:p>
        </w:tc>
        <w:tc>
          <w:tcPr>
            <w:tcW w:w="10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3F8D64">
            <w:pPr>
              <w:widowControl/>
              <w:jc w:val="center"/>
              <w:rPr>
                <w:rFonts w:ascii="宋体" w:hAnsi="宋体" w:cs="宋体"/>
                <w:sz w:val="24"/>
              </w:rPr>
            </w:pPr>
            <w:r>
              <w:rPr>
                <w:rFonts w:hint="eastAsia" w:ascii="宋体" w:hAnsi="宋体" w:cs="宋体"/>
                <w:sz w:val="24"/>
                <w:lang w:bidi="ar"/>
              </w:rPr>
              <w:t>台</w:t>
            </w:r>
          </w:p>
        </w:tc>
        <w:tc>
          <w:tcPr>
            <w:tcW w:w="1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C419F">
            <w:pPr>
              <w:widowControl/>
              <w:jc w:val="center"/>
              <w:rPr>
                <w:rFonts w:ascii="宋体" w:hAnsi="宋体" w:cs="宋体"/>
                <w:sz w:val="24"/>
                <w:lang w:bidi="ar"/>
              </w:rPr>
            </w:pPr>
          </w:p>
        </w:tc>
        <w:tc>
          <w:tcPr>
            <w:tcW w:w="19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01371">
            <w:pPr>
              <w:widowControl/>
              <w:jc w:val="center"/>
              <w:rPr>
                <w:rFonts w:ascii="宋体" w:hAnsi="宋体" w:cs="宋体"/>
                <w:sz w:val="24"/>
                <w:lang w:bidi="ar"/>
              </w:rPr>
            </w:pPr>
          </w:p>
        </w:tc>
      </w:tr>
      <w:tr w14:paraId="2FCBADE7">
        <w:tblPrEx>
          <w:tblCellMar>
            <w:top w:w="0" w:type="dxa"/>
            <w:left w:w="108" w:type="dxa"/>
            <w:bottom w:w="0" w:type="dxa"/>
            <w:right w:w="108" w:type="dxa"/>
          </w:tblCellMar>
        </w:tblPrEx>
        <w:trPr>
          <w:trHeight w:val="400"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1DD677">
            <w:pPr>
              <w:widowControl/>
              <w:jc w:val="center"/>
              <w:textAlignment w:val="center"/>
              <w:rPr>
                <w:rFonts w:hint="eastAsia" w:ascii="宋体" w:hAnsi="宋体" w:eastAsia="宋体" w:cs="宋体"/>
                <w:sz w:val="24"/>
                <w:lang w:val="en-US" w:eastAsia="zh-CN"/>
              </w:rPr>
            </w:pPr>
            <w:r>
              <w:rPr>
                <w:rFonts w:hint="eastAsia" w:ascii="宋体" w:hAnsi="宋体" w:cs="宋体"/>
                <w:sz w:val="24"/>
                <w:lang w:val="en-US" w:eastAsia="zh-CN"/>
              </w:rPr>
              <w:t>2</w:t>
            </w:r>
          </w:p>
        </w:tc>
        <w:tc>
          <w:tcPr>
            <w:tcW w:w="2362" w:type="dxa"/>
            <w:tcBorders>
              <w:top w:val="single" w:color="000000" w:sz="4" w:space="0"/>
              <w:left w:val="single" w:color="000000" w:sz="4" w:space="0"/>
              <w:right w:val="single" w:color="000000" w:sz="4" w:space="0"/>
            </w:tcBorders>
            <w:shd w:val="clear" w:color="auto" w:fill="auto"/>
            <w:vAlign w:val="center"/>
          </w:tcPr>
          <w:p w14:paraId="02308F0E">
            <w:pPr>
              <w:widowControl/>
              <w:jc w:val="center"/>
              <w:textAlignment w:val="center"/>
              <w:rPr>
                <w:rFonts w:hint="eastAsia" w:ascii="宋体" w:hAnsi="宋体" w:cs="宋体"/>
                <w:sz w:val="24"/>
                <w:lang w:bidi="ar"/>
              </w:rPr>
            </w:pPr>
            <w:r>
              <w:rPr>
                <w:rFonts w:hint="eastAsia" w:ascii="宋体" w:hAnsi="宋体" w:cs="宋体"/>
                <w:sz w:val="24"/>
                <w:lang w:bidi="ar"/>
              </w:rPr>
              <w:t>拖拉机</w:t>
            </w:r>
            <w:r>
              <w:rPr>
                <w:rFonts w:hint="eastAsia" w:ascii="宋体" w:hAnsi="宋体" w:cs="宋体"/>
                <w:sz w:val="24"/>
                <w:lang w:eastAsia="zh-CN" w:bidi="ar"/>
              </w:rPr>
              <w:t>（</w:t>
            </w:r>
            <w:r>
              <w:rPr>
                <w:rStyle w:val="598"/>
                <w:rFonts w:hint="default"/>
                <w:color w:val="auto"/>
                <w:sz w:val="22"/>
                <w:szCs w:val="22"/>
                <w:highlight w:val="none"/>
                <w:lang w:bidi="ar"/>
              </w:rPr>
              <w:t>发动机功率 ≥ 1</w:t>
            </w:r>
            <w:r>
              <w:rPr>
                <w:rStyle w:val="598"/>
                <w:rFonts w:hint="eastAsia"/>
                <w:color w:val="auto"/>
                <w:sz w:val="22"/>
                <w:szCs w:val="22"/>
                <w:highlight w:val="none"/>
                <w:lang w:val="en-US" w:eastAsia="zh-CN" w:bidi="ar"/>
              </w:rPr>
              <w:t>4</w:t>
            </w:r>
            <w:r>
              <w:rPr>
                <w:rStyle w:val="598"/>
                <w:rFonts w:hint="default"/>
                <w:color w:val="auto"/>
                <w:sz w:val="22"/>
                <w:szCs w:val="22"/>
                <w:highlight w:val="none"/>
                <w:lang w:bidi="ar"/>
              </w:rPr>
              <w:t>0马力</w:t>
            </w:r>
            <w:r>
              <w:rPr>
                <w:rFonts w:hint="eastAsia" w:ascii="宋体" w:hAnsi="宋体" w:cs="宋体"/>
                <w:sz w:val="24"/>
                <w:lang w:eastAsia="zh-CN" w:bidi="ar"/>
              </w:rPr>
              <w:t>）</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BF74A">
            <w:pPr>
              <w:widowControl/>
              <w:jc w:val="center"/>
              <w:textAlignment w:val="center"/>
              <w:rPr>
                <w:rFonts w:hint="eastAsia" w:ascii="宋体" w:hAnsi="宋体" w:eastAsia="宋体" w:cs="宋体"/>
                <w:sz w:val="22"/>
                <w:szCs w:val="22"/>
                <w:lang w:val="en-US" w:eastAsia="zh-CN" w:bidi="ar"/>
              </w:rPr>
            </w:pPr>
            <w:r>
              <w:rPr>
                <w:rFonts w:hint="eastAsia" w:ascii="宋体" w:hAnsi="宋体" w:cs="宋体"/>
                <w:sz w:val="22"/>
                <w:szCs w:val="22"/>
                <w:lang w:val="en-US" w:eastAsia="zh-CN" w:bidi="ar"/>
              </w:rPr>
              <w:t>2</w:t>
            </w:r>
          </w:p>
        </w:tc>
        <w:tc>
          <w:tcPr>
            <w:tcW w:w="10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0EE18">
            <w:pPr>
              <w:widowControl/>
              <w:jc w:val="center"/>
              <w:rPr>
                <w:rFonts w:hint="eastAsia" w:ascii="宋体" w:hAnsi="宋体" w:cs="宋体"/>
                <w:sz w:val="24"/>
                <w:lang w:bidi="ar"/>
              </w:rPr>
            </w:pPr>
            <w:r>
              <w:rPr>
                <w:rFonts w:hint="eastAsia" w:ascii="宋体" w:hAnsi="宋体" w:cs="宋体"/>
                <w:sz w:val="24"/>
                <w:lang w:bidi="ar"/>
              </w:rPr>
              <w:t>台</w:t>
            </w:r>
          </w:p>
        </w:tc>
        <w:tc>
          <w:tcPr>
            <w:tcW w:w="1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1AD7A">
            <w:pPr>
              <w:widowControl/>
              <w:jc w:val="center"/>
              <w:rPr>
                <w:rFonts w:ascii="宋体" w:hAnsi="宋体" w:cs="宋体"/>
                <w:sz w:val="24"/>
                <w:lang w:bidi="ar"/>
              </w:rPr>
            </w:pPr>
          </w:p>
        </w:tc>
        <w:tc>
          <w:tcPr>
            <w:tcW w:w="19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50C6D">
            <w:pPr>
              <w:widowControl/>
              <w:jc w:val="center"/>
              <w:rPr>
                <w:rFonts w:ascii="宋体" w:hAnsi="宋体" w:cs="宋体"/>
                <w:sz w:val="24"/>
                <w:lang w:bidi="ar"/>
              </w:rPr>
            </w:pPr>
          </w:p>
        </w:tc>
      </w:tr>
      <w:tr w14:paraId="059E90DF">
        <w:tblPrEx>
          <w:tblCellMar>
            <w:top w:w="0" w:type="dxa"/>
            <w:left w:w="108" w:type="dxa"/>
            <w:bottom w:w="0" w:type="dxa"/>
            <w:right w:w="108" w:type="dxa"/>
          </w:tblCellMar>
        </w:tblPrEx>
        <w:trPr>
          <w:trHeight w:val="400"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657DD">
            <w:pPr>
              <w:widowControl/>
              <w:jc w:val="center"/>
              <w:textAlignment w:val="center"/>
              <w:rPr>
                <w:rFonts w:ascii="宋体" w:hAnsi="宋体" w:cs="宋体"/>
                <w:sz w:val="24"/>
              </w:rPr>
            </w:pPr>
            <w:r>
              <w:rPr>
                <w:rFonts w:hint="eastAsia" w:ascii="宋体" w:hAnsi="宋体" w:cs="宋体"/>
                <w:sz w:val="24"/>
              </w:rPr>
              <w:t>2</w:t>
            </w:r>
          </w:p>
        </w:tc>
        <w:tc>
          <w:tcPr>
            <w:tcW w:w="2362" w:type="dxa"/>
            <w:tcBorders>
              <w:top w:val="single" w:color="000000" w:sz="4" w:space="0"/>
              <w:left w:val="single" w:color="000000" w:sz="4" w:space="0"/>
              <w:right w:val="single" w:color="000000" w:sz="4" w:space="0"/>
            </w:tcBorders>
            <w:shd w:val="clear" w:color="auto" w:fill="auto"/>
            <w:vAlign w:val="center"/>
          </w:tcPr>
          <w:p w14:paraId="7B62D3D5">
            <w:pPr>
              <w:widowControl/>
              <w:jc w:val="center"/>
              <w:textAlignment w:val="center"/>
              <w:rPr>
                <w:rFonts w:ascii="宋体" w:hAnsi="宋体" w:cs="宋体"/>
                <w:sz w:val="24"/>
              </w:rPr>
            </w:pPr>
            <w:r>
              <w:rPr>
                <w:rFonts w:hint="eastAsia" w:ascii="宋体" w:hAnsi="宋体" w:cs="宋体"/>
                <w:sz w:val="24"/>
                <w:lang w:bidi="ar"/>
              </w:rPr>
              <w:t>圆草捆打捆机</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93F08">
            <w:pPr>
              <w:widowControl/>
              <w:jc w:val="center"/>
              <w:textAlignment w:val="center"/>
              <w:rPr>
                <w:rFonts w:ascii="宋体" w:hAnsi="宋体" w:cs="宋体"/>
                <w:sz w:val="24"/>
                <w:lang w:bidi="ar"/>
              </w:rPr>
            </w:pPr>
            <w:r>
              <w:rPr>
                <w:rFonts w:hint="eastAsia" w:ascii="宋体" w:hAnsi="宋体" w:cs="宋体"/>
                <w:sz w:val="22"/>
                <w:szCs w:val="22"/>
                <w:lang w:bidi="ar"/>
              </w:rPr>
              <w:t>2</w:t>
            </w:r>
          </w:p>
        </w:tc>
        <w:tc>
          <w:tcPr>
            <w:tcW w:w="10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78553">
            <w:pPr>
              <w:widowControl/>
              <w:jc w:val="center"/>
              <w:rPr>
                <w:rFonts w:ascii="宋体" w:hAnsi="宋体" w:cs="宋体"/>
                <w:sz w:val="24"/>
              </w:rPr>
            </w:pPr>
            <w:r>
              <w:rPr>
                <w:rFonts w:hint="eastAsia" w:ascii="宋体" w:hAnsi="宋体" w:cs="宋体"/>
                <w:sz w:val="24"/>
                <w:lang w:bidi="ar"/>
              </w:rPr>
              <w:t>台</w:t>
            </w:r>
          </w:p>
        </w:tc>
        <w:tc>
          <w:tcPr>
            <w:tcW w:w="1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ED4B3">
            <w:pPr>
              <w:widowControl/>
              <w:jc w:val="center"/>
              <w:rPr>
                <w:rFonts w:ascii="宋体" w:hAnsi="宋体" w:cs="宋体"/>
                <w:sz w:val="24"/>
                <w:lang w:bidi="ar"/>
              </w:rPr>
            </w:pPr>
          </w:p>
        </w:tc>
        <w:tc>
          <w:tcPr>
            <w:tcW w:w="19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25838">
            <w:pPr>
              <w:widowControl/>
              <w:jc w:val="center"/>
              <w:rPr>
                <w:rFonts w:ascii="宋体" w:hAnsi="宋体" w:cs="宋体"/>
                <w:sz w:val="24"/>
                <w:lang w:bidi="ar"/>
              </w:rPr>
            </w:pPr>
          </w:p>
        </w:tc>
      </w:tr>
      <w:tr w14:paraId="53A6DC29">
        <w:tblPrEx>
          <w:tblCellMar>
            <w:top w:w="0" w:type="dxa"/>
            <w:left w:w="108" w:type="dxa"/>
            <w:bottom w:w="0" w:type="dxa"/>
            <w:right w:w="108" w:type="dxa"/>
          </w:tblCellMar>
        </w:tblPrEx>
        <w:trPr>
          <w:trHeight w:val="400"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FBE50">
            <w:pPr>
              <w:widowControl/>
              <w:jc w:val="center"/>
              <w:textAlignment w:val="center"/>
              <w:rPr>
                <w:rFonts w:ascii="宋体" w:hAnsi="宋体" w:cs="宋体"/>
                <w:sz w:val="24"/>
              </w:rPr>
            </w:pPr>
            <w:r>
              <w:rPr>
                <w:rFonts w:hint="eastAsia" w:ascii="宋体" w:hAnsi="宋体" w:cs="宋体"/>
                <w:sz w:val="24"/>
              </w:rPr>
              <w:t>3</w:t>
            </w:r>
          </w:p>
        </w:tc>
        <w:tc>
          <w:tcPr>
            <w:tcW w:w="2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FF80A">
            <w:pPr>
              <w:jc w:val="center"/>
              <w:rPr>
                <w:rFonts w:ascii="宋体" w:hAnsi="宋体" w:cs="宋体"/>
                <w:sz w:val="24"/>
              </w:rPr>
            </w:pPr>
            <w:r>
              <w:rPr>
                <w:rFonts w:hint="eastAsia" w:ascii="宋体" w:hAnsi="宋体" w:cs="宋体"/>
                <w:sz w:val="24"/>
              </w:rPr>
              <w:t>方草捆打捆机</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C3544">
            <w:pPr>
              <w:jc w:val="center"/>
              <w:rPr>
                <w:rFonts w:ascii="宋体" w:hAnsi="宋体" w:cs="宋体"/>
                <w:sz w:val="24"/>
                <w:lang w:bidi="ar"/>
              </w:rPr>
            </w:pPr>
            <w:r>
              <w:rPr>
                <w:rFonts w:hint="eastAsia" w:ascii="宋体" w:hAnsi="宋体" w:cs="宋体"/>
                <w:sz w:val="22"/>
                <w:szCs w:val="22"/>
              </w:rPr>
              <w:t>3</w:t>
            </w:r>
          </w:p>
        </w:tc>
        <w:tc>
          <w:tcPr>
            <w:tcW w:w="10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D5ACF9">
            <w:pPr>
              <w:widowControl/>
              <w:jc w:val="center"/>
              <w:rPr>
                <w:rFonts w:ascii="宋体" w:hAnsi="宋体" w:cs="宋体"/>
                <w:sz w:val="24"/>
              </w:rPr>
            </w:pPr>
            <w:r>
              <w:rPr>
                <w:rFonts w:hint="eastAsia" w:ascii="宋体" w:hAnsi="宋体" w:cs="宋体"/>
                <w:sz w:val="24"/>
                <w:lang w:bidi="ar"/>
              </w:rPr>
              <w:t>台</w:t>
            </w:r>
          </w:p>
        </w:tc>
        <w:tc>
          <w:tcPr>
            <w:tcW w:w="1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890F9">
            <w:pPr>
              <w:widowControl/>
              <w:jc w:val="center"/>
              <w:rPr>
                <w:rFonts w:ascii="宋体" w:hAnsi="宋体" w:cs="宋体"/>
                <w:sz w:val="24"/>
                <w:lang w:bidi="ar"/>
              </w:rPr>
            </w:pPr>
          </w:p>
        </w:tc>
        <w:tc>
          <w:tcPr>
            <w:tcW w:w="19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CB34C">
            <w:pPr>
              <w:widowControl/>
              <w:jc w:val="center"/>
              <w:rPr>
                <w:rFonts w:ascii="宋体" w:hAnsi="宋体" w:cs="宋体"/>
                <w:sz w:val="24"/>
                <w:lang w:bidi="ar"/>
              </w:rPr>
            </w:pPr>
          </w:p>
        </w:tc>
      </w:tr>
      <w:tr w14:paraId="65FF827D">
        <w:tblPrEx>
          <w:tblCellMar>
            <w:top w:w="0" w:type="dxa"/>
            <w:left w:w="108" w:type="dxa"/>
            <w:bottom w:w="0" w:type="dxa"/>
            <w:right w:w="108" w:type="dxa"/>
          </w:tblCellMar>
        </w:tblPrEx>
        <w:trPr>
          <w:trHeight w:val="400"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A386C">
            <w:pPr>
              <w:widowControl/>
              <w:jc w:val="center"/>
              <w:textAlignment w:val="center"/>
              <w:rPr>
                <w:rFonts w:ascii="宋体" w:hAnsi="宋体" w:cs="宋体"/>
                <w:sz w:val="24"/>
              </w:rPr>
            </w:pPr>
            <w:r>
              <w:rPr>
                <w:rFonts w:hint="eastAsia" w:ascii="宋体" w:hAnsi="宋体" w:cs="宋体"/>
                <w:sz w:val="24"/>
              </w:rPr>
              <w:t>4</w:t>
            </w:r>
          </w:p>
        </w:tc>
        <w:tc>
          <w:tcPr>
            <w:tcW w:w="2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DC70E">
            <w:pPr>
              <w:widowControl/>
              <w:jc w:val="center"/>
              <w:textAlignment w:val="center"/>
              <w:rPr>
                <w:rFonts w:ascii="宋体" w:hAnsi="宋体" w:cs="宋体"/>
                <w:sz w:val="24"/>
              </w:rPr>
            </w:pPr>
            <w:r>
              <w:rPr>
                <w:rFonts w:hint="eastAsia" w:ascii="宋体" w:hAnsi="宋体" w:cs="宋体"/>
                <w:sz w:val="24"/>
                <w:lang w:bidi="ar"/>
              </w:rPr>
              <w:t>搂草机</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F1C1C">
            <w:pPr>
              <w:widowControl/>
              <w:jc w:val="center"/>
              <w:textAlignment w:val="center"/>
              <w:rPr>
                <w:rFonts w:ascii="宋体" w:hAnsi="宋体" w:cs="宋体"/>
                <w:sz w:val="24"/>
                <w:lang w:bidi="ar"/>
              </w:rPr>
            </w:pPr>
            <w:r>
              <w:rPr>
                <w:rFonts w:hint="eastAsia" w:ascii="宋体" w:hAnsi="宋体" w:cs="宋体"/>
                <w:sz w:val="22"/>
                <w:szCs w:val="22"/>
                <w:lang w:bidi="ar"/>
              </w:rPr>
              <w:t>2</w:t>
            </w:r>
          </w:p>
        </w:tc>
        <w:tc>
          <w:tcPr>
            <w:tcW w:w="10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4571A">
            <w:pPr>
              <w:widowControl/>
              <w:jc w:val="center"/>
              <w:rPr>
                <w:rFonts w:ascii="宋体" w:hAnsi="宋体" w:cs="宋体"/>
                <w:sz w:val="24"/>
              </w:rPr>
            </w:pPr>
            <w:r>
              <w:rPr>
                <w:rFonts w:hint="eastAsia" w:ascii="宋体" w:hAnsi="宋体" w:cs="宋体"/>
                <w:sz w:val="24"/>
                <w:lang w:bidi="ar"/>
              </w:rPr>
              <w:t>台</w:t>
            </w:r>
          </w:p>
        </w:tc>
        <w:tc>
          <w:tcPr>
            <w:tcW w:w="1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6EC4D">
            <w:pPr>
              <w:widowControl/>
              <w:jc w:val="center"/>
              <w:rPr>
                <w:rFonts w:ascii="宋体" w:hAnsi="宋体" w:cs="宋体"/>
                <w:sz w:val="24"/>
                <w:lang w:bidi="ar"/>
              </w:rPr>
            </w:pPr>
          </w:p>
        </w:tc>
        <w:tc>
          <w:tcPr>
            <w:tcW w:w="19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2CF3D">
            <w:pPr>
              <w:widowControl/>
              <w:jc w:val="center"/>
              <w:rPr>
                <w:rFonts w:ascii="宋体" w:hAnsi="宋体" w:cs="宋体"/>
                <w:sz w:val="24"/>
                <w:lang w:bidi="ar"/>
              </w:rPr>
            </w:pPr>
          </w:p>
        </w:tc>
      </w:tr>
      <w:tr w14:paraId="5FD1D3A5">
        <w:tblPrEx>
          <w:tblCellMar>
            <w:top w:w="0" w:type="dxa"/>
            <w:left w:w="108" w:type="dxa"/>
            <w:bottom w:w="0" w:type="dxa"/>
            <w:right w:w="108" w:type="dxa"/>
          </w:tblCellMar>
        </w:tblPrEx>
        <w:trPr>
          <w:trHeight w:val="400"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E7887B">
            <w:pPr>
              <w:widowControl/>
              <w:jc w:val="center"/>
              <w:textAlignment w:val="center"/>
              <w:rPr>
                <w:rFonts w:ascii="宋体" w:hAnsi="宋体" w:cs="宋体"/>
                <w:sz w:val="24"/>
              </w:rPr>
            </w:pPr>
            <w:r>
              <w:rPr>
                <w:rFonts w:hint="eastAsia" w:ascii="宋体" w:hAnsi="宋体" w:cs="宋体"/>
                <w:sz w:val="24"/>
              </w:rPr>
              <w:t>5</w:t>
            </w:r>
          </w:p>
        </w:tc>
        <w:tc>
          <w:tcPr>
            <w:tcW w:w="2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04C92">
            <w:pPr>
              <w:widowControl/>
              <w:jc w:val="center"/>
              <w:textAlignment w:val="center"/>
              <w:rPr>
                <w:rFonts w:ascii="宋体" w:hAnsi="宋体" w:cs="宋体"/>
                <w:sz w:val="24"/>
              </w:rPr>
            </w:pPr>
            <w:r>
              <w:rPr>
                <w:rFonts w:hint="eastAsia" w:ascii="宋体" w:hAnsi="宋体" w:cs="宋体"/>
                <w:sz w:val="24"/>
                <w:lang w:bidi="ar"/>
              </w:rPr>
              <w:t>装载机</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97F42">
            <w:pPr>
              <w:widowControl/>
              <w:jc w:val="center"/>
              <w:textAlignment w:val="center"/>
              <w:rPr>
                <w:rFonts w:ascii="宋体" w:hAnsi="宋体" w:cs="宋体"/>
                <w:sz w:val="24"/>
                <w:lang w:bidi="ar"/>
              </w:rPr>
            </w:pPr>
            <w:r>
              <w:rPr>
                <w:rFonts w:hint="eastAsia" w:ascii="宋体" w:hAnsi="宋体" w:cs="宋体"/>
                <w:sz w:val="22"/>
                <w:szCs w:val="22"/>
                <w:lang w:bidi="ar"/>
              </w:rPr>
              <w:t>1</w:t>
            </w:r>
          </w:p>
        </w:tc>
        <w:tc>
          <w:tcPr>
            <w:tcW w:w="10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2D811">
            <w:pPr>
              <w:widowControl/>
              <w:jc w:val="center"/>
              <w:rPr>
                <w:rFonts w:ascii="宋体" w:hAnsi="宋体" w:cs="宋体"/>
                <w:sz w:val="24"/>
              </w:rPr>
            </w:pPr>
            <w:r>
              <w:rPr>
                <w:rFonts w:hint="eastAsia" w:ascii="宋体" w:hAnsi="宋体" w:cs="宋体"/>
                <w:sz w:val="24"/>
                <w:lang w:bidi="ar"/>
              </w:rPr>
              <w:t>台</w:t>
            </w:r>
          </w:p>
        </w:tc>
        <w:tc>
          <w:tcPr>
            <w:tcW w:w="1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7992C">
            <w:pPr>
              <w:widowControl/>
              <w:jc w:val="center"/>
              <w:rPr>
                <w:rFonts w:ascii="宋体" w:hAnsi="宋体" w:cs="宋体"/>
                <w:sz w:val="24"/>
                <w:lang w:bidi="ar"/>
              </w:rPr>
            </w:pPr>
          </w:p>
        </w:tc>
        <w:tc>
          <w:tcPr>
            <w:tcW w:w="19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F270E">
            <w:pPr>
              <w:widowControl/>
              <w:jc w:val="center"/>
              <w:rPr>
                <w:rFonts w:ascii="宋体" w:hAnsi="宋体" w:cs="宋体"/>
                <w:sz w:val="24"/>
                <w:lang w:bidi="ar"/>
              </w:rPr>
            </w:pPr>
          </w:p>
        </w:tc>
      </w:tr>
      <w:tr w14:paraId="50228FF8">
        <w:tblPrEx>
          <w:tblCellMar>
            <w:top w:w="0" w:type="dxa"/>
            <w:left w:w="108" w:type="dxa"/>
            <w:bottom w:w="0" w:type="dxa"/>
            <w:right w:w="108" w:type="dxa"/>
          </w:tblCellMar>
        </w:tblPrEx>
        <w:trPr>
          <w:trHeight w:val="400"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9D6E7">
            <w:pPr>
              <w:widowControl/>
              <w:jc w:val="center"/>
              <w:textAlignment w:val="center"/>
              <w:rPr>
                <w:rFonts w:ascii="宋体" w:hAnsi="宋体" w:cs="宋体"/>
                <w:sz w:val="24"/>
              </w:rPr>
            </w:pPr>
            <w:r>
              <w:rPr>
                <w:rFonts w:hint="eastAsia" w:ascii="宋体" w:hAnsi="宋体" w:cs="宋体"/>
                <w:sz w:val="24"/>
              </w:rPr>
              <w:t>6</w:t>
            </w:r>
          </w:p>
        </w:tc>
        <w:tc>
          <w:tcPr>
            <w:tcW w:w="2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AF67B">
            <w:pPr>
              <w:widowControl/>
              <w:jc w:val="center"/>
              <w:textAlignment w:val="center"/>
              <w:rPr>
                <w:rFonts w:ascii="宋体" w:hAnsi="宋体" w:cs="宋体"/>
                <w:sz w:val="24"/>
                <w:lang w:bidi="ar"/>
              </w:rPr>
            </w:pPr>
            <w:r>
              <w:rPr>
                <w:rFonts w:hint="eastAsia" w:ascii="宋体" w:hAnsi="宋体" w:cs="宋体"/>
                <w:sz w:val="24"/>
                <w:lang w:bidi="ar"/>
              </w:rPr>
              <w:t>夹包装置</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20190">
            <w:pPr>
              <w:widowControl/>
              <w:jc w:val="center"/>
              <w:textAlignment w:val="center"/>
              <w:rPr>
                <w:rFonts w:ascii="宋体" w:hAnsi="宋体" w:cs="宋体"/>
                <w:sz w:val="24"/>
                <w:lang w:bidi="ar"/>
              </w:rPr>
            </w:pPr>
            <w:r>
              <w:rPr>
                <w:rFonts w:hint="eastAsia" w:ascii="宋体" w:hAnsi="宋体" w:cs="宋体"/>
                <w:sz w:val="22"/>
                <w:szCs w:val="22"/>
                <w:lang w:bidi="ar"/>
              </w:rPr>
              <w:t>1</w:t>
            </w:r>
          </w:p>
        </w:tc>
        <w:tc>
          <w:tcPr>
            <w:tcW w:w="10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3666F">
            <w:pPr>
              <w:widowControl/>
              <w:jc w:val="center"/>
              <w:rPr>
                <w:rFonts w:ascii="宋体" w:hAnsi="宋体" w:cs="宋体"/>
                <w:sz w:val="24"/>
                <w:lang w:bidi="ar"/>
              </w:rPr>
            </w:pPr>
            <w:r>
              <w:rPr>
                <w:rFonts w:hint="eastAsia" w:ascii="宋体" w:hAnsi="宋体" w:cs="宋体"/>
                <w:sz w:val="24"/>
                <w:lang w:bidi="ar"/>
              </w:rPr>
              <w:t>台</w:t>
            </w:r>
          </w:p>
        </w:tc>
        <w:tc>
          <w:tcPr>
            <w:tcW w:w="1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C98EF">
            <w:pPr>
              <w:widowControl/>
              <w:jc w:val="center"/>
              <w:rPr>
                <w:rFonts w:ascii="宋体" w:hAnsi="宋体" w:cs="宋体"/>
                <w:sz w:val="24"/>
                <w:lang w:bidi="ar"/>
              </w:rPr>
            </w:pPr>
          </w:p>
        </w:tc>
        <w:tc>
          <w:tcPr>
            <w:tcW w:w="19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C1741">
            <w:pPr>
              <w:widowControl/>
              <w:jc w:val="center"/>
              <w:rPr>
                <w:rFonts w:ascii="宋体" w:hAnsi="宋体" w:cs="宋体"/>
                <w:sz w:val="24"/>
                <w:lang w:bidi="ar"/>
              </w:rPr>
            </w:pPr>
          </w:p>
        </w:tc>
      </w:tr>
      <w:tr w14:paraId="27FC7DCA">
        <w:tblPrEx>
          <w:tblCellMar>
            <w:top w:w="0" w:type="dxa"/>
            <w:left w:w="108" w:type="dxa"/>
            <w:bottom w:w="0" w:type="dxa"/>
            <w:right w:w="108" w:type="dxa"/>
          </w:tblCellMar>
        </w:tblPrEx>
        <w:trPr>
          <w:trHeight w:val="400" w:hRule="atLeast"/>
        </w:trPr>
        <w:tc>
          <w:tcPr>
            <w:tcW w:w="6961"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928DE">
            <w:pPr>
              <w:widowControl/>
              <w:jc w:val="center"/>
              <w:rPr>
                <w:rFonts w:ascii="宋体" w:hAnsi="宋体" w:cs="宋体"/>
                <w:sz w:val="24"/>
                <w:lang w:bidi="ar"/>
              </w:rPr>
            </w:pPr>
            <w:r>
              <w:rPr>
                <w:rFonts w:hint="eastAsia" w:ascii="宋体" w:hAnsi="宋体" w:cs="宋体"/>
                <w:sz w:val="24"/>
                <w:lang w:bidi="ar"/>
              </w:rPr>
              <w:t>合计</w:t>
            </w:r>
          </w:p>
        </w:tc>
        <w:tc>
          <w:tcPr>
            <w:tcW w:w="19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B6F0B1">
            <w:pPr>
              <w:widowControl/>
              <w:jc w:val="center"/>
              <w:rPr>
                <w:rFonts w:ascii="宋体" w:hAnsi="宋体" w:cs="宋体"/>
                <w:sz w:val="24"/>
                <w:lang w:bidi="ar"/>
              </w:rPr>
            </w:pPr>
          </w:p>
        </w:tc>
      </w:tr>
    </w:tbl>
    <w:p w14:paraId="71996244">
      <w:pPr>
        <w:spacing w:line="360" w:lineRule="auto"/>
        <w:rPr>
          <w:rFonts w:ascii="宋体" w:hAnsi="宋体" w:cs="宋体"/>
          <w:sz w:val="24"/>
          <w:lang w:val="zh-CN"/>
        </w:rPr>
      </w:pPr>
    </w:p>
    <w:p w14:paraId="50B59DB4">
      <w:pPr>
        <w:spacing w:line="360" w:lineRule="auto"/>
        <w:rPr>
          <w:rFonts w:ascii="宋体" w:hAnsi="宋体" w:cs="宋体"/>
          <w:sz w:val="24"/>
          <w:lang w:val="zh-CN"/>
        </w:rPr>
      </w:pPr>
      <w:r>
        <w:rPr>
          <w:rFonts w:hint="eastAsia" w:ascii="宋体" w:hAnsi="宋体" w:cs="宋体"/>
          <w:sz w:val="24"/>
          <w:lang w:val="zh-CN"/>
        </w:rPr>
        <w:t>供应商（</w:t>
      </w:r>
      <w:r>
        <w:rPr>
          <w:rFonts w:hint="eastAsia" w:ascii="宋体" w:hAnsi="宋体" w:cs="宋体"/>
          <w:sz w:val="24"/>
        </w:rPr>
        <w:t>加盖电子公章</w:t>
      </w:r>
      <w:r>
        <w:rPr>
          <w:rFonts w:hint="eastAsia" w:ascii="宋体" w:hAnsi="宋体" w:cs="宋体"/>
          <w:sz w:val="24"/>
          <w:lang w:val="zh-CN"/>
        </w:rPr>
        <w:t xml:space="preserve">）：   </w:t>
      </w:r>
    </w:p>
    <w:p w14:paraId="5AD99BE5">
      <w:pPr>
        <w:spacing w:line="360" w:lineRule="auto"/>
        <w:jc w:val="left"/>
        <w:rPr>
          <w:rFonts w:ascii="宋体" w:hAnsi="宋体" w:cs="宋体"/>
          <w:sz w:val="24"/>
          <w:lang w:val="zh-CN"/>
        </w:rPr>
      </w:pPr>
      <w:r>
        <w:rPr>
          <w:rFonts w:hint="eastAsia" w:ascii="宋体" w:hAnsi="宋体" w:cs="宋体"/>
          <w:sz w:val="24"/>
          <w:lang w:val="zh-CN"/>
        </w:rPr>
        <w:t>日期：年  月 日</w:t>
      </w:r>
    </w:p>
    <w:p w14:paraId="6AEEC5C1">
      <w:pPr>
        <w:spacing w:line="360" w:lineRule="auto"/>
        <w:jc w:val="left"/>
        <w:rPr>
          <w:rStyle w:val="322"/>
          <w:rFonts w:ascii="宋体" w:hAnsi="宋体" w:cs="宋体"/>
          <w:b/>
          <w:bCs/>
          <w:sz w:val="24"/>
        </w:rPr>
      </w:pPr>
      <w:r>
        <w:rPr>
          <w:rStyle w:val="322"/>
          <w:rFonts w:hint="eastAsia" w:ascii="宋体" w:hAnsi="宋体" w:cs="宋体"/>
          <w:b/>
          <w:bCs/>
          <w:sz w:val="24"/>
        </w:rPr>
        <w:t>说明：</w:t>
      </w:r>
    </w:p>
    <w:p w14:paraId="68D60D2C">
      <w:pPr>
        <w:spacing w:line="360" w:lineRule="auto"/>
        <w:ind w:firstLine="480"/>
        <w:rPr>
          <w:rFonts w:ascii="宋体" w:hAnsi="宋体" w:cs="宋体"/>
          <w:b/>
          <w:bCs/>
          <w:sz w:val="24"/>
        </w:rPr>
      </w:pPr>
      <w:r>
        <w:rPr>
          <w:rFonts w:hint="eastAsia" w:ascii="宋体" w:hAnsi="宋体" w:cs="宋体"/>
          <w:bCs/>
          <w:sz w:val="24"/>
        </w:rPr>
        <w:t>★</w:t>
      </w:r>
      <w:r>
        <w:rPr>
          <w:rStyle w:val="322"/>
          <w:rFonts w:hint="eastAsia" w:ascii="宋体" w:hAnsi="宋体" w:cs="宋体"/>
          <w:sz w:val="24"/>
        </w:rPr>
        <w:t>1、</w:t>
      </w:r>
      <w:r>
        <w:rPr>
          <w:rFonts w:hint="eastAsia" w:ascii="宋体" w:hAnsi="宋体" w:cs="宋体"/>
          <w:sz w:val="24"/>
        </w:rPr>
        <w:t>本次招标采用一次性报价。投标人的投标报价不得超过项目预算金额（最高限价），</w:t>
      </w:r>
      <w:r>
        <w:rPr>
          <w:rFonts w:hint="eastAsia" w:ascii="宋体" w:hAnsi="宋体" w:cs="宋体"/>
          <w:sz w:val="24"/>
          <w:lang w:val="zh-CN"/>
        </w:rPr>
        <w:t>各项报价不得超过该项单价限价，</w:t>
      </w:r>
      <w:r>
        <w:rPr>
          <w:rFonts w:hint="eastAsia" w:ascii="宋体" w:hAnsi="宋体" w:cs="宋体"/>
          <w:sz w:val="24"/>
        </w:rPr>
        <w:t>未按要求报价作无效投标处理</w:t>
      </w:r>
      <w:r>
        <w:rPr>
          <w:rFonts w:hint="eastAsia" w:ascii="宋体" w:hAnsi="宋体" w:cs="宋体"/>
          <w:sz w:val="24"/>
          <w:lang w:val="zh-CN"/>
        </w:rPr>
        <w:t>。</w:t>
      </w:r>
    </w:p>
    <w:p w14:paraId="6BDD3EB3">
      <w:pPr>
        <w:spacing w:line="360" w:lineRule="auto"/>
        <w:ind w:firstLine="480"/>
        <w:rPr>
          <w:rFonts w:ascii="宋体" w:hAnsi="宋体" w:cs="宋体"/>
          <w:sz w:val="24"/>
        </w:rPr>
      </w:pPr>
      <w:r>
        <w:rPr>
          <w:rFonts w:hint="eastAsia" w:ascii="宋体" w:hAnsi="宋体" w:cs="宋体"/>
          <w:bCs/>
          <w:sz w:val="24"/>
        </w:rPr>
        <w:t>★</w:t>
      </w:r>
      <w:r>
        <w:rPr>
          <w:rFonts w:hint="eastAsia" w:ascii="宋体" w:hAnsi="宋体" w:cs="宋体"/>
          <w:sz w:val="24"/>
        </w:rPr>
        <w:t>2、投标报价应包含完成本服务项目所有含税费用、支付给员工的工资和国家强制缴纳的各种社会保障资金，本项目的代理机构费用和评委评审费用以及供应商认为需要的其他费用。</w:t>
      </w:r>
    </w:p>
    <w:p w14:paraId="37D8F478">
      <w:pPr>
        <w:spacing w:line="360" w:lineRule="auto"/>
        <w:ind w:firstLine="480"/>
        <w:rPr>
          <w:rStyle w:val="322"/>
          <w:rFonts w:ascii="宋体" w:hAnsi="宋体" w:cs="宋体"/>
          <w:sz w:val="24"/>
        </w:rPr>
      </w:pPr>
      <w:r>
        <w:rPr>
          <w:rFonts w:hint="eastAsia" w:ascii="宋体" w:hAnsi="宋体" w:cs="宋体"/>
          <w:sz w:val="24"/>
        </w:rPr>
        <w:t>3、供应商的任何错漏、优惠、竞争性报价不得作为减轻责任、减少服务、增加收费、降低质量的理由。</w:t>
      </w:r>
    </w:p>
    <w:p w14:paraId="5B14AA1F">
      <w:pPr>
        <w:pStyle w:val="3"/>
        <w:spacing w:line="360" w:lineRule="auto"/>
        <w:rPr>
          <w:rFonts w:ascii="宋体" w:hAnsi="宋体" w:eastAsia="宋体" w:cs="宋体"/>
          <w:sz w:val="24"/>
          <w:szCs w:val="24"/>
        </w:rPr>
      </w:pPr>
      <w:r>
        <w:rPr>
          <w:rFonts w:hint="eastAsia" w:ascii="宋体" w:hAnsi="宋体" w:eastAsia="宋体" w:cs="宋体"/>
          <w:sz w:val="24"/>
          <w:szCs w:val="24"/>
        </w:rPr>
        <w:br w:type="page" w:clear="all"/>
      </w:r>
      <w:bookmarkEnd w:id="86"/>
      <w:bookmarkEnd w:id="87"/>
      <w:bookmarkEnd w:id="88"/>
      <w:bookmarkEnd w:id="89"/>
      <w:bookmarkEnd w:id="90"/>
    </w:p>
    <w:p w14:paraId="3355093F">
      <w:pPr>
        <w:pStyle w:val="3"/>
        <w:spacing w:line="360" w:lineRule="auto"/>
        <w:rPr>
          <w:rFonts w:ascii="宋体" w:hAnsi="宋体" w:eastAsia="宋体" w:cs="宋体"/>
          <w:sz w:val="24"/>
          <w:szCs w:val="24"/>
        </w:rPr>
      </w:pPr>
      <w:bookmarkStart w:id="91" w:name="_Toc33266157"/>
      <w:bookmarkStart w:id="92" w:name="_Toc126827495"/>
      <w:bookmarkStart w:id="93" w:name="_Toc38721222"/>
      <w:bookmarkStart w:id="94" w:name="_Toc119344349"/>
      <w:bookmarkStart w:id="95" w:name="_Toc5163"/>
      <w:bookmarkStart w:id="96" w:name="_Toc50644493"/>
      <w:bookmarkStart w:id="97" w:name="_Toc50974354"/>
      <w:bookmarkStart w:id="98" w:name="_Toc38723694"/>
      <w:r>
        <w:rPr>
          <w:rFonts w:hint="eastAsia" w:ascii="宋体" w:hAnsi="宋体" w:eastAsia="宋体" w:cs="宋体"/>
          <w:sz w:val="24"/>
          <w:szCs w:val="24"/>
          <w:lang w:val="zh-CN"/>
        </w:rPr>
        <w:t>★</w:t>
      </w:r>
      <w:r>
        <w:rPr>
          <w:rFonts w:hint="eastAsia" w:ascii="宋体" w:hAnsi="宋体" w:eastAsia="宋体" w:cs="宋体"/>
          <w:sz w:val="24"/>
          <w:szCs w:val="24"/>
        </w:rPr>
        <w:t>附件五、资格证明文件</w:t>
      </w:r>
      <w:bookmarkEnd w:id="91"/>
      <w:bookmarkEnd w:id="92"/>
      <w:bookmarkEnd w:id="93"/>
      <w:bookmarkEnd w:id="94"/>
      <w:bookmarkEnd w:id="95"/>
      <w:bookmarkEnd w:id="96"/>
      <w:bookmarkEnd w:id="97"/>
      <w:bookmarkEnd w:id="98"/>
    </w:p>
    <w:p w14:paraId="4994A99A">
      <w:pPr>
        <w:spacing w:line="360" w:lineRule="auto"/>
        <w:ind w:firstLine="602"/>
        <w:jc w:val="center"/>
        <w:rPr>
          <w:rFonts w:ascii="宋体" w:hAnsi="宋体" w:cs="宋体"/>
          <w:b/>
          <w:bCs/>
          <w:sz w:val="24"/>
        </w:rPr>
      </w:pPr>
      <w:bookmarkStart w:id="99" w:name="_Toc489655335"/>
      <w:r>
        <w:rPr>
          <w:rFonts w:hint="eastAsia" w:ascii="宋体" w:hAnsi="宋体" w:cs="宋体"/>
          <w:b/>
          <w:bCs/>
          <w:sz w:val="24"/>
        </w:rPr>
        <w:t>资格证明文件</w:t>
      </w:r>
      <w:bookmarkEnd w:id="99"/>
    </w:p>
    <w:p w14:paraId="18CF38E2">
      <w:pPr>
        <w:spacing w:line="360" w:lineRule="auto"/>
        <w:ind w:firstLine="600"/>
        <w:rPr>
          <w:rFonts w:ascii="宋体" w:hAnsi="宋体" w:cs="宋体"/>
          <w:bCs/>
          <w:sz w:val="24"/>
        </w:rPr>
      </w:pPr>
    </w:p>
    <w:p w14:paraId="1999EBF2">
      <w:pPr>
        <w:spacing w:line="360" w:lineRule="auto"/>
        <w:ind w:firstLine="602"/>
        <w:rPr>
          <w:rFonts w:ascii="宋体" w:hAnsi="宋体" w:cs="宋体"/>
          <w:b/>
          <w:bCs/>
          <w:sz w:val="24"/>
        </w:rPr>
      </w:pPr>
    </w:p>
    <w:p w14:paraId="28D57DC6">
      <w:pPr>
        <w:spacing w:line="360" w:lineRule="auto"/>
        <w:ind w:firstLine="602"/>
        <w:rPr>
          <w:rFonts w:ascii="宋体" w:hAnsi="宋体" w:cs="宋体"/>
          <w:b/>
          <w:bCs/>
          <w:sz w:val="24"/>
        </w:rPr>
      </w:pPr>
    </w:p>
    <w:p w14:paraId="590738ED">
      <w:pPr>
        <w:spacing w:line="360" w:lineRule="auto"/>
        <w:ind w:firstLine="602"/>
        <w:rPr>
          <w:rFonts w:ascii="宋体" w:hAnsi="宋体" w:cs="宋体"/>
          <w:b/>
          <w:bCs/>
          <w:sz w:val="24"/>
        </w:rPr>
      </w:pPr>
    </w:p>
    <w:p w14:paraId="1959A415">
      <w:pPr>
        <w:spacing w:line="360" w:lineRule="auto"/>
        <w:ind w:firstLine="602"/>
        <w:rPr>
          <w:rFonts w:ascii="宋体" w:hAnsi="宋体" w:cs="宋体"/>
          <w:b/>
          <w:bCs/>
          <w:sz w:val="24"/>
        </w:rPr>
      </w:pPr>
    </w:p>
    <w:p w14:paraId="6AAA7F1F">
      <w:pPr>
        <w:pStyle w:val="3"/>
        <w:spacing w:line="360" w:lineRule="auto"/>
        <w:rPr>
          <w:rFonts w:ascii="宋体" w:hAnsi="宋体" w:eastAsia="宋体" w:cs="宋体"/>
          <w:sz w:val="24"/>
          <w:szCs w:val="24"/>
        </w:rPr>
      </w:pPr>
      <w:r>
        <w:rPr>
          <w:rFonts w:hint="eastAsia" w:ascii="宋体" w:hAnsi="宋体" w:eastAsia="宋体" w:cs="宋体"/>
          <w:sz w:val="24"/>
          <w:szCs w:val="24"/>
          <w:lang w:val="zh-CN"/>
        </w:rPr>
        <w:br w:type="page" w:clear="all"/>
      </w:r>
      <w:bookmarkStart w:id="100" w:name="_Toc38721223"/>
      <w:bookmarkStart w:id="101" w:name="_Toc25563"/>
      <w:bookmarkStart w:id="102" w:name="_Toc50974355"/>
      <w:bookmarkStart w:id="103" w:name="_Toc50644494"/>
      <w:bookmarkStart w:id="104" w:name="_Toc33266158"/>
      <w:bookmarkStart w:id="105" w:name="_Toc38723695"/>
      <w:bookmarkStart w:id="106" w:name="_Toc126827496"/>
      <w:bookmarkStart w:id="107" w:name="_Toc119344350"/>
      <w:r>
        <w:rPr>
          <w:rFonts w:hint="eastAsia" w:ascii="宋体" w:hAnsi="宋体" w:eastAsia="宋体" w:cs="宋体"/>
          <w:sz w:val="24"/>
          <w:szCs w:val="24"/>
        </w:rPr>
        <w:t>附件六、技术条款偏离表格式</w:t>
      </w:r>
      <w:bookmarkEnd w:id="100"/>
      <w:bookmarkEnd w:id="101"/>
      <w:bookmarkEnd w:id="102"/>
      <w:bookmarkEnd w:id="103"/>
      <w:bookmarkEnd w:id="104"/>
      <w:bookmarkEnd w:id="105"/>
      <w:bookmarkEnd w:id="106"/>
      <w:bookmarkEnd w:id="107"/>
    </w:p>
    <w:p w14:paraId="5EC93967">
      <w:pPr>
        <w:spacing w:line="360" w:lineRule="auto"/>
        <w:ind w:firstLine="602"/>
        <w:jc w:val="center"/>
        <w:rPr>
          <w:rFonts w:ascii="宋体" w:hAnsi="宋体" w:cs="宋体"/>
          <w:b/>
          <w:bCs/>
          <w:sz w:val="24"/>
        </w:rPr>
      </w:pPr>
      <w:r>
        <w:rPr>
          <w:rFonts w:hint="eastAsia" w:ascii="宋体" w:hAnsi="宋体" w:cs="宋体"/>
          <w:b/>
          <w:bCs/>
          <w:sz w:val="24"/>
        </w:rPr>
        <w:t>技术条款偏离表</w:t>
      </w:r>
    </w:p>
    <w:tbl>
      <w:tblPr>
        <w:tblStyle w:val="59"/>
        <w:tblW w:w="9051" w:type="dxa"/>
        <w:jc w:val="center"/>
        <w:tblLayout w:type="fixed"/>
        <w:tblCellMar>
          <w:top w:w="0" w:type="dxa"/>
          <w:left w:w="0" w:type="dxa"/>
          <w:bottom w:w="0" w:type="dxa"/>
          <w:right w:w="0" w:type="dxa"/>
        </w:tblCellMar>
      </w:tblPr>
      <w:tblGrid>
        <w:gridCol w:w="870"/>
        <w:gridCol w:w="1559"/>
        <w:gridCol w:w="2552"/>
        <w:gridCol w:w="1802"/>
        <w:gridCol w:w="1134"/>
        <w:gridCol w:w="1134"/>
      </w:tblGrid>
      <w:tr w14:paraId="5C00DD6B">
        <w:tblPrEx>
          <w:tblCellMar>
            <w:top w:w="0" w:type="dxa"/>
            <w:left w:w="0" w:type="dxa"/>
            <w:bottom w:w="0" w:type="dxa"/>
            <w:right w:w="0" w:type="dxa"/>
          </w:tblCellMar>
        </w:tblPrEx>
        <w:trPr>
          <w:trHeight w:val="680" w:hRule="atLeast"/>
          <w:jc w:val="center"/>
        </w:trPr>
        <w:tc>
          <w:tcPr>
            <w:tcW w:w="9051" w:type="dxa"/>
            <w:gridSpan w:val="6"/>
            <w:tcBorders>
              <w:top w:val="nil"/>
              <w:left w:val="nil"/>
              <w:bottom w:val="single" w:color="auto" w:sz="6" w:space="0"/>
              <w:right w:val="nil"/>
            </w:tcBorders>
            <w:vAlign w:val="center"/>
          </w:tcPr>
          <w:p w14:paraId="4BC8E9EB">
            <w:pPr>
              <w:widowControl/>
              <w:spacing w:line="360" w:lineRule="auto"/>
              <w:jc w:val="left"/>
              <w:rPr>
                <w:rFonts w:ascii="宋体" w:hAnsi="宋体" w:cs="宋体"/>
                <w:sz w:val="24"/>
                <w:lang w:val="zh-CN"/>
              </w:rPr>
            </w:pPr>
            <w:r>
              <w:rPr>
                <w:rFonts w:hint="eastAsia" w:ascii="宋体" w:hAnsi="宋体" w:cs="宋体"/>
                <w:sz w:val="24"/>
                <w:lang w:val="zh-CN"/>
              </w:rPr>
              <w:t xml:space="preserve">项目名称： </w:t>
            </w:r>
          </w:p>
          <w:p w14:paraId="58E569ED">
            <w:pPr>
              <w:rPr>
                <w:rFonts w:ascii="宋体" w:hAnsi="宋体" w:cs="宋体"/>
                <w:sz w:val="24"/>
                <w:lang w:val="zh-CN"/>
              </w:rPr>
            </w:pPr>
            <w:r>
              <w:rPr>
                <w:rFonts w:hint="eastAsia" w:ascii="宋体" w:hAnsi="宋体" w:cs="宋体"/>
                <w:sz w:val="24"/>
              </w:rPr>
              <w:t>项目</w:t>
            </w:r>
            <w:r>
              <w:rPr>
                <w:rFonts w:hint="eastAsia" w:ascii="宋体" w:hAnsi="宋体" w:cs="宋体"/>
                <w:sz w:val="24"/>
                <w:lang w:val="zh-CN"/>
              </w:rPr>
              <w:t>编号：</w:t>
            </w:r>
          </w:p>
        </w:tc>
      </w:tr>
      <w:tr w14:paraId="2C48501B">
        <w:tblPrEx>
          <w:tblCellMar>
            <w:top w:w="0" w:type="dxa"/>
            <w:left w:w="0" w:type="dxa"/>
            <w:bottom w:w="0" w:type="dxa"/>
            <w:right w:w="0" w:type="dxa"/>
          </w:tblCellMar>
        </w:tblPrEx>
        <w:trPr>
          <w:trHeight w:val="680" w:hRule="atLeast"/>
          <w:jc w:val="center"/>
        </w:trPr>
        <w:tc>
          <w:tcPr>
            <w:tcW w:w="870" w:type="dxa"/>
            <w:tcBorders>
              <w:top w:val="single" w:color="auto" w:sz="6" w:space="0"/>
              <w:left w:val="single" w:color="auto" w:sz="6" w:space="0"/>
              <w:bottom w:val="single" w:color="auto" w:sz="6" w:space="0"/>
              <w:right w:val="single" w:color="auto" w:sz="6" w:space="0"/>
            </w:tcBorders>
            <w:vAlign w:val="center"/>
          </w:tcPr>
          <w:p w14:paraId="36151C31">
            <w:pPr>
              <w:jc w:val="center"/>
              <w:rPr>
                <w:rFonts w:ascii="宋体" w:hAnsi="宋体" w:cs="宋体"/>
                <w:sz w:val="24"/>
                <w:lang w:val="zh-CN"/>
              </w:rPr>
            </w:pPr>
            <w:r>
              <w:rPr>
                <w:rFonts w:hint="eastAsia" w:ascii="宋体" w:hAnsi="宋体" w:cs="宋体"/>
                <w:sz w:val="24"/>
                <w:lang w:val="zh-CN"/>
              </w:rPr>
              <w:t>序号</w:t>
            </w:r>
          </w:p>
        </w:tc>
        <w:tc>
          <w:tcPr>
            <w:tcW w:w="1559" w:type="dxa"/>
            <w:tcBorders>
              <w:top w:val="single" w:color="auto" w:sz="6" w:space="0"/>
              <w:left w:val="single" w:color="auto" w:sz="6" w:space="0"/>
              <w:bottom w:val="single" w:color="auto" w:sz="6" w:space="0"/>
              <w:right w:val="single" w:color="auto" w:sz="6" w:space="0"/>
            </w:tcBorders>
            <w:vAlign w:val="center"/>
          </w:tcPr>
          <w:p w14:paraId="65964952">
            <w:pPr>
              <w:jc w:val="center"/>
              <w:rPr>
                <w:rFonts w:ascii="宋体" w:hAnsi="宋体" w:cs="宋体"/>
                <w:sz w:val="24"/>
                <w:lang w:val="zh-CN"/>
              </w:rPr>
            </w:pPr>
            <w:r>
              <w:rPr>
                <w:rFonts w:hint="eastAsia" w:ascii="宋体" w:hAnsi="宋体" w:cs="宋体"/>
                <w:sz w:val="24"/>
                <w:lang w:val="zh-CN"/>
              </w:rPr>
              <w:t>公开招标文件条目号</w:t>
            </w:r>
          </w:p>
        </w:tc>
        <w:tc>
          <w:tcPr>
            <w:tcW w:w="2552" w:type="dxa"/>
            <w:tcBorders>
              <w:top w:val="single" w:color="auto" w:sz="6" w:space="0"/>
              <w:left w:val="single" w:color="auto" w:sz="6" w:space="0"/>
              <w:bottom w:val="single" w:color="auto" w:sz="6" w:space="0"/>
              <w:right w:val="single" w:color="auto" w:sz="6" w:space="0"/>
            </w:tcBorders>
            <w:vAlign w:val="center"/>
          </w:tcPr>
          <w:p w14:paraId="1A3E68A1">
            <w:pPr>
              <w:jc w:val="center"/>
              <w:rPr>
                <w:rFonts w:ascii="宋体" w:hAnsi="宋体" w:cs="宋体"/>
                <w:sz w:val="24"/>
                <w:lang w:val="zh-CN"/>
              </w:rPr>
            </w:pPr>
            <w:r>
              <w:rPr>
                <w:rFonts w:hint="eastAsia" w:ascii="宋体" w:hAnsi="宋体" w:cs="宋体"/>
                <w:sz w:val="24"/>
                <w:lang w:val="zh-CN"/>
              </w:rPr>
              <w:t>公开招标文件要求的参数、规格</w:t>
            </w:r>
          </w:p>
        </w:tc>
        <w:tc>
          <w:tcPr>
            <w:tcW w:w="1802" w:type="dxa"/>
            <w:tcBorders>
              <w:top w:val="single" w:color="auto" w:sz="6" w:space="0"/>
              <w:left w:val="single" w:color="auto" w:sz="6" w:space="0"/>
              <w:bottom w:val="single" w:color="auto" w:sz="6" w:space="0"/>
              <w:right w:val="single" w:color="auto" w:sz="6" w:space="0"/>
            </w:tcBorders>
            <w:vAlign w:val="center"/>
          </w:tcPr>
          <w:p w14:paraId="2CC357B6">
            <w:pPr>
              <w:jc w:val="center"/>
              <w:rPr>
                <w:rFonts w:ascii="宋体" w:hAnsi="宋体" w:cs="宋体"/>
                <w:sz w:val="24"/>
                <w:lang w:val="zh-CN"/>
              </w:rPr>
            </w:pPr>
            <w:r>
              <w:rPr>
                <w:rFonts w:hint="eastAsia" w:ascii="宋体" w:hAnsi="宋体" w:cs="宋体"/>
                <w:sz w:val="24"/>
                <w:lang w:val="zh-CN"/>
              </w:rPr>
              <w:t>供应商提供的技术参数</w:t>
            </w:r>
          </w:p>
        </w:tc>
        <w:tc>
          <w:tcPr>
            <w:tcW w:w="1134" w:type="dxa"/>
            <w:tcBorders>
              <w:top w:val="single" w:color="auto" w:sz="6" w:space="0"/>
              <w:left w:val="single" w:color="auto" w:sz="6" w:space="0"/>
              <w:bottom w:val="single" w:color="auto" w:sz="6" w:space="0"/>
              <w:right w:val="single" w:color="auto" w:sz="6" w:space="0"/>
            </w:tcBorders>
            <w:vAlign w:val="center"/>
          </w:tcPr>
          <w:p w14:paraId="5EE89EC2">
            <w:pPr>
              <w:jc w:val="center"/>
              <w:rPr>
                <w:rFonts w:ascii="宋体" w:hAnsi="宋体" w:cs="宋体"/>
                <w:sz w:val="24"/>
                <w:lang w:val="zh-CN"/>
              </w:rPr>
            </w:pPr>
            <w:r>
              <w:rPr>
                <w:rFonts w:hint="eastAsia" w:ascii="宋体" w:hAnsi="宋体" w:cs="宋体"/>
                <w:sz w:val="24"/>
                <w:lang w:val="zh-CN"/>
              </w:rPr>
              <w:t>是否响应</w:t>
            </w:r>
          </w:p>
        </w:tc>
        <w:tc>
          <w:tcPr>
            <w:tcW w:w="1134" w:type="dxa"/>
            <w:tcBorders>
              <w:top w:val="single" w:color="auto" w:sz="6" w:space="0"/>
              <w:left w:val="single" w:color="auto" w:sz="6" w:space="0"/>
              <w:bottom w:val="single" w:color="auto" w:sz="6" w:space="0"/>
              <w:right w:val="single" w:color="auto" w:sz="6" w:space="0"/>
            </w:tcBorders>
            <w:vAlign w:val="center"/>
          </w:tcPr>
          <w:p w14:paraId="7EE126D2">
            <w:pPr>
              <w:jc w:val="center"/>
              <w:rPr>
                <w:rFonts w:ascii="宋体" w:hAnsi="宋体" w:cs="宋体"/>
                <w:sz w:val="24"/>
                <w:lang w:val="zh-CN"/>
              </w:rPr>
            </w:pPr>
            <w:r>
              <w:rPr>
                <w:rFonts w:hint="eastAsia" w:ascii="宋体" w:hAnsi="宋体" w:cs="宋体"/>
                <w:sz w:val="24"/>
                <w:lang w:val="zh-CN"/>
              </w:rPr>
              <w:t>偏离情况</w:t>
            </w:r>
          </w:p>
        </w:tc>
      </w:tr>
      <w:tr w14:paraId="08B2D05B">
        <w:tblPrEx>
          <w:tblCellMar>
            <w:top w:w="0" w:type="dxa"/>
            <w:left w:w="0" w:type="dxa"/>
            <w:bottom w:w="0" w:type="dxa"/>
            <w:right w:w="0" w:type="dxa"/>
          </w:tblCellMar>
        </w:tblPrEx>
        <w:trPr>
          <w:trHeight w:val="680" w:hRule="atLeast"/>
          <w:jc w:val="center"/>
        </w:trPr>
        <w:tc>
          <w:tcPr>
            <w:tcW w:w="870" w:type="dxa"/>
            <w:tcBorders>
              <w:top w:val="single" w:color="auto" w:sz="6" w:space="0"/>
              <w:left w:val="single" w:color="auto" w:sz="6" w:space="0"/>
              <w:bottom w:val="single" w:color="auto" w:sz="6" w:space="0"/>
              <w:right w:val="single" w:color="auto" w:sz="6" w:space="0"/>
            </w:tcBorders>
            <w:vAlign w:val="center"/>
          </w:tcPr>
          <w:p w14:paraId="7E562BA1">
            <w:pPr>
              <w:keepNext/>
              <w:tabs>
                <w:tab w:val="left" w:pos="1440"/>
                <w:tab w:val="left" w:pos="5670"/>
              </w:tabs>
              <w:spacing w:before="240" w:after="240"/>
              <w:ind w:firstLine="2887"/>
              <w:jc w:val="center"/>
              <w:outlineLvl w:val="0"/>
              <w:rPr>
                <w:rFonts w:ascii="宋体" w:hAnsi="宋体" w:cs="宋体"/>
                <w:sz w:val="24"/>
                <w:lang w:val="zh-CN"/>
              </w:rPr>
            </w:pPr>
          </w:p>
        </w:tc>
        <w:tc>
          <w:tcPr>
            <w:tcW w:w="1559" w:type="dxa"/>
            <w:tcBorders>
              <w:top w:val="single" w:color="auto" w:sz="6" w:space="0"/>
              <w:left w:val="single" w:color="auto" w:sz="6" w:space="0"/>
              <w:bottom w:val="single" w:color="auto" w:sz="6" w:space="0"/>
              <w:right w:val="single" w:color="auto" w:sz="6" w:space="0"/>
            </w:tcBorders>
            <w:vAlign w:val="center"/>
          </w:tcPr>
          <w:p w14:paraId="3A26720D">
            <w:pPr>
              <w:keepNext/>
              <w:tabs>
                <w:tab w:val="left" w:pos="1440"/>
                <w:tab w:val="left" w:pos="5670"/>
              </w:tabs>
              <w:spacing w:before="240" w:after="240"/>
              <w:ind w:firstLine="2887"/>
              <w:jc w:val="center"/>
              <w:outlineLvl w:val="0"/>
              <w:rPr>
                <w:rFonts w:ascii="宋体" w:hAnsi="宋体" w:cs="宋体"/>
                <w:sz w:val="24"/>
                <w:lang w:val="zh-CN"/>
              </w:rPr>
            </w:pPr>
          </w:p>
        </w:tc>
        <w:tc>
          <w:tcPr>
            <w:tcW w:w="2552" w:type="dxa"/>
            <w:tcBorders>
              <w:top w:val="single" w:color="auto" w:sz="6" w:space="0"/>
              <w:left w:val="single" w:color="auto" w:sz="6" w:space="0"/>
              <w:bottom w:val="single" w:color="auto" w:sz="6" w:space="0"/>
              <w:right w:val="single" w:color="auto" w:sz="6" w:space="0"/>
            </w:tcBorders>
            <w:vAlign w:val="center"/>
          </w:tcPr>
          <w:p w14:paraId="7B987217">
            <w:pPr>
              <w:keepNext/>
              <w:tabs>
                <w:tab w:val="left" w:pos="1440"/>
                <w:tab w:val="left" w:pos="5670"/>
              </w:tabs>
              <w:spacing w:before="240" w:after="240"/>
              <w:ind w:firstLine="2887"/>
              <w:jc w:val="center"/>
              <w:outlineLvl w:val="0"/>
              <w:rPr>
                <w:rFonts w:ascii="宋体" w:hAnsi="宋体" w:cs="宋体"/>
                <w:sz w:val="24"/>
                <w:lang w:val="zh-CN"/>
              </w:rPr>
            </w:pPr>
          </w:p>
        </w:tc>
        <w:tc>
          <w:tcPr>
            <w:tcW w:w="1802" w:type="dxa"/>
            <w:tcBorders>
              <w:top w:val="single" w:color="auto" w:sz="6" w:space="0"/>
              <w:left w:val="single" w:color="auto" w:sz="6" w:space="0"/>
              <w:bottom w:val="single" w:color="auto" w:sz="6" w:space="0"/>
              <w:right w:val="single" w:color="auto" w:sz="6" w:space="0"/>
            </w:tcBorders>
            <w:vAlign w:val="center"/>
          </w:tcPr>
          <w:p w14:paraId="0B8BCDE5">
            <w:pPr>
              <w:keepNext/>
              <w:tabs>
                <w:tab w:val="left" w:pos="1440"/>
                <w:tab w:val="left" w:pos="5670"/>
              </w:tabs>
              <w:spacing w:before="240" w:after="240"/>
              <w:ind w:firstLine="2887"/>
              <w:jc w:val="center"/>
              <w:outlineLvl w:val="0"/>
              <w:rPr>
                <w:rFonts w:ascii="宋体" w:hAnsi="宋体" w:cs="宋体"/>
                <w:sz w:val="24"/>
                <w:lang w:val="zh-CN"/>
              </w:rPr>
            </w:pPr>
          </w:p>
        </w:tc>
        <w:tc>
          <w:tcPr>
            <w:tcW w:w="1134" w:type="dxa"/>
            <w:tcBorders>
              <w:top w:val="single" w:color="auto" w:sz="6" w:space="0"/>
              <w:left w:val="single" w:color="auto" w:sz="6" w:space="0"/>
              <w:bottom w:val="single" w:color="auto" w:sz="6" w:space="0"/>
              <w:right w:val="single" w:color="auto" w:sz="6" w:space="0"/>
            </w:tcBorders>
          </w:tcPr>
          <w:p w14:paraId="4F0A7AE2">
            <w:pPr>
              <w:keepNext/>
              <w:tabs>
                <w:tab w:val="left" w:pos="1440"/>
                <w:tab w:val="left" w:pos="5670"/>
              </w:tabs>
              <w:spacing w:before="240" w:after="240"/>
              <w:ind w:firstLine="2887"/>
              <w:jc w:val="center"/>
              <w:outlineLvl w:val="0"/>
              <w:rPr>
                <w:rFonts w:ascii="宋体" w:hAnsi="宋体" w:cs="宋体"/>
                <w:sz w:val="24"/>
                <w:lang w:val="zh-CN"/>
              </w:rPr>
            </w:pPr>
          </w:p>
        </w:tc>
        <w:tc>
          <w:tcPr>
            <w:tcW w:w="1134" w:type="dxa"/>
            <w:tcBorders>
              <w:top w:val="single" w:color="auto" w:sz="6" w:space="0"/>
              <w:left w:val="single" w:color="auto" w:sz="6" w:space="0"/>
              <w:bottom w:val="single" w:color="auto" w:sz="6" w:space="0"/>
              <w:right w:val="single" w:color="auto" w:sz="6" w:space="0"/>
            </w:tcBorders>
            <w:vAlign w:val="center"/>
          </w:tcPr>
          <w:p w14:paraId="76A8A3FD">
            <w:pPr>
              <w:keepNext/>
              <w:tabs>
                <w:tab w:val="left" w:pos="1440"/>
                <w:tab w:val="left" w:pos="5670"/>
              </w:tabs>
              <w:spacing w:before="240" w:after="240"/>
              <w:ind w:firstLine="2887"/>
              <w:jc w:val="center"/>
              <w:outlineLvl w:val="0"/>
              <w:rPr>
                <w:rFonts w:ascii="宋体" w:hAnsi="宋体" w:cs="宋体"/>
                <w:sz w:val="24"/>
                <w:lang w:val="zh-CN"/>
              </w:rPr>
            </w:pPr>
          </w:p>
        </w:tc>
      </w:tr>
      <w:tr w14:paraId="6F611AF6">
        <w:tblPrEx>
          <w:tblCellMar>
            <w:top w:w="0" w:type="dxa"/>
            <w:left w:w="0" w:type="dxa"/>
            <w:bottom w:w="0" w:type="dxa"/>
            <w:right w:w="0" w:type="dxa"/>
          </w:tblCellMar>
        </w:tblPrEx>
        <w:trPr>
          <w:trHeight w:val="680" w:hRule="atLeast"/>
          <w:jc w:val="center"/>
        </w:trPr>
        <w:tc>
          <w:tcPr>
            <w:tcW w:w="870" w:type="dxa"/>
            <w:tcBorders>
              <w:top w:val="single" w:color="auto" w:sz="6" w:space="0"/>
              <w:left w:val="single" w:color="auto" w:sz="6" w:space="0"/>
              <w:bottom w:val="single" w:color="auto" w:sz="6" w:space="0"/>
              <w:right w:val="single" w:color="auto" w:sz="6" w:space="0"/>
            </w:tcBorders>
            <w:vAlign w:val="center"/>
          </w:tcPr>
          <w:p w14:paraId="5A093758">
            <w:pPr>
              <w:keepNext/>
              <w:tabs>
                <w:tab w:val="left" w:pos="1440"/>
                <w:tab w:val="left" w:pos="5670"/>
              </w:tabs>
              <w:spacing w:before="240" w:after="240"/>
              <w:ind w:firstLine="2887"/>
              <w:jc w:val="center"/>
              <w:outlineLvl w:val="0"/>
              <w:rPr>
                <w:rFonts w:ascii="宋体" w:hAnsi="宋体" w:cs="宋体"/>
                <w:sz w:val="24"/>
                <w:lang w:val="zh-CN"/>
              </w:rPr>
            </w:pPr>
          </w:p>
        </w:tc>
        <w:tc>
          <w:tcPr>
            <w:tcW w:w="1559" w:type="dxa"/>
            <w:tcBorders>
              <w:top w:val="single" w:color="auto" w:sz="6" w:space="0"/>
              <w:left w:val="single" w:color="auto" w:sz="6" w:space="0"/>
              <w:bottom w:val="single" w:color="auto" w:sz="6" w:space="0"/>
              <w:right w:val="single" w:color="auto" w:sz="6" w:space="0"/>
            </w:tcBorders>
            <w:vAlign w:val="center"/>
          </w:tcPr>
          <w:p w14:paraId="003072C7">
            <w:pPr>
              <w:keepNext/>
              <w:tabs>
                <w:tab w:val="left" w:pos="1440"/>
                <w:tab w:val="left" w:pos="5670"/>
              </w:tabs>
              <w:spacing w:before="240" w:after="240"/>
              <w:ind w:firstLine="2887"/>
              <w:jc w:val="center"/>
              <w:outlineLvl w:val="0"/>
              <w:rPr>
                <w:rFonts w:ascii="宋体" w:hAnsi="宋体" w:cs="宋体"/>
                <w:sz w:val="24"/>
                <w:lang w:val="zh-CN"/>
              </w:rPr>
            </w:pPr>
          </w:p>
        </w:tc>
        <w:tc>
          <w:tcPr>
            <w:tcW w:w="2552" w:type="dxa"/>
            <w:tcBorders>
              <w:top w:val="single" w:color="auto" w:sz="6" w:space="0"/>
              <w:left w:val="single" w:color="auto" w:sz="6" w:space="0"/>
              <w:bottom w:val="single" w:color="auto" w:sz="6" w:space="0"/>
              <w:right w:val="single" w:color="auto" w:sz="6" w:space="0"/>
            </w:tcBorders>
            <w:vAlign w:val="center"/>
          </w:tcPr>
          <w:p w14:paraId="0A61E8E4">
            <w:pPr>
              <w:keepNext/>
              <w:tabs>
                <w:tab w:val="left" w:pos="1440"/>
                <w:tab w:val="left" w:pos="5670"/>
              </w:tabs>
              <w:spacing w:before="240" w:after="240"/>
              <w:ind w:firstLine="2887"/>
              <w:jc w:val="center"/>
              <w:outlineLvl w:val="0"/>
              <w:rPr>
                <w:rFonts w:ascii="宋体" w:hAnsi="宋体" w:cs="宋体"/>
                <w:sz w:val="24"/>
                <w:lang w:val="zh-CN"/>
              </w:rPr>
            </w:pPr>
          </w:p>
        </w:tc>
        <w:tc>
          <w:tcPr>
            <w:tcW w:w="1802" w:type="dxa"/>
            <w:tcBorders>
              <w:top w:val="single" w:color="auto" w:sz="6" w:space="0"/>
              <w:left w:val="single" w:color="auto" w:sz="6" w:space="0"/>
              <w:bottom w:val="single" w:color="auto" w:sz="6" w:space="0"/>
              <w:right w:val="single" w:color="auto" w:sz="6" w:space="0"/>
            </w:tcBorders>
            <w:vAlign w:val="center"/>
          </w:tcPr>
          <w:p w14:paraId="1CE327AD">
            <w:pPr>
              <w:keepNext/>
              <w:tabs>
                <w:tab w:val="left" w:pos="1440"/>
                <w:tab w:val="left" w:pos="5670"/>
              </w:tabs>
              <w:spacing w:before="240" w:after="240"/>
              <w:ind w:firstLine="2887"/>
              <w:jc w:val="center"/>
              <w:outlineLvl w:val="0"/>
              <w:rPr>
                <w:rFonts w:ascii="宋体" w:hAnsi="宋体" w:cs="宋体"/>
                <w:sz w:val="24"/>
                <w:lang w:val="zh-CN"/>
              </w:rPr>
            </w:pPr>
          </w:p>
        </w:tc>
        <w:tc>
          <w:tcPr>
            <w:tcW w:w="1134" w:type="dxa"/>
            <w:tcBorders>
              <w:top w:val="single" w:color="auto" w:sz="6" w:space="0"/>
              <w:left w:val="single" w:color="auto" w:sz="6" w:space="0"/>
              <w:bottom w:val="single" w:color="auto" w:sz="6" w:space="0"/>
              <w:right w:val="single" w:color="auto" w:sz="6" w:space="0"/>
            </w:tcBorders>
          </w:tcPr>
          <w:p w14:paraId="38515EA0">
            <w:pPr>
              <w:keepNext/>
              <w:tabs>
                <w:tab w:val="left" w:pos="1440"/>
                <w:tab w:val="left" w:pos="5670"/>
              </w:tabs>
              <w:spacing w:before="240" w:after="240"/>
              <w:ind w:firstLine="2887"/>
              <w:jc w:val="center"/>
              <w:outlineLvl w:val="0"/>
              <w:rPr>
                <w:rFonts w:ascii="宋体" w:hAnsi="宋体" w:cs="宋体"/>
                <w:sz w:val="24"/>
                <w:lang w:val="zh-CN"/>
              </w:rPr>
            </w:pPr>
          </w:p>
        </w:tc>
        <w:tc>
          <w:tcPr>
            <w:tcW w:w="1134" w:type="dxa"/>
            <w:tcBorders>
              <w:top w:val="single" w:color="auto" w:sz="6" w:space="0"/>
              <w:left w:val="single" w:color="auto" w:sz="6" w:space="0"/>
              <w:bottom w:val="single" w:color="auto" w:sz="6" w:space="0"/>
              <w:right w:val="single" w:color="auto" w:sz="6" w:space="0"/>
            </w:tcBorders>
            <w:vAlign w:val="center"/>
          </w:tcPr>
          <w:p w14:paraId="13E874A9">
            <w:pPr>
              <w:keepNext/>
              <w:tabs>
                <w:tab w:val="left" w:pos="1440"/>
                <w:tab w:val="left" w:pos="5670"/>
              </w:tabs>
              <w:spacing w:before="240" w:after="240"/>
              <w:ind w:firstLine="2887"/>
              <w:jc w:val="center"/>
              <w:outlineLvl w:val="0"/>
              <w:rPr>
                <w:rFonts w:ascii="宋体" w:hAnsi="宋体" w:cs="宋体"/>
                <w:sz w:val="24"/>
                <w:lang w:val="zh-CN"/>
              </w:rPr>
            </w:pPr>
          </w:p>
        </w:tc>
      </w:tr>
      <w:tr w14:paraId="3B35C573">
        <w:tblPrEx>
          <w:tblCellMar>
            <w:top w:w="0" w:type="dxa"/>
            <w:left w:w="0" w:type="dxa"/>
            <w:bottom w:w="0" w:type="dxa"/>
            <w:right w:w="0" w:type="dxa"/>
          </w:tblCellMar>
        </w:tblPrEx>
        <w:trPr>
          <w:trHeight w:val="680" w:hRule="atLeast"/>
          <w:jc w:val="center"/>
        </w:trPr>
        <w:tc>
          <w:tcPr>
            <w:tcW w:w="870" w:type="dxa"/>
            <w:tcBorders>
              <w:top w:val="single" w:color="auto" w:sz="6" w:space="0"/>
              <w:left w:val="single" w:color="auto" w:sz="6" w:space="0"/>
              <w:bottom w:val="single" w:color="auto" w:sz="6" w:space="0"/>
              <w:right w:val="single" w:color="auto" w:sz="6" w:space="0"/>
            </w:tcBorders>
            <w:vAlign w:val="center"/>
          </w:tcPr>
          <w:p w14:paraId="33B861AA">
            <w:pPr>
              <w:keepNext/>
              <w:tabs>
                <w:tab w:val="left" w:pos="1440"/>
                <w:tab w:val="left" w:pos="5670"/>
              </w:tabs>
              <w:spacing w:before="240" w:after="240"/>
              <w:ind w:firstLine="2887"/>
              <w:jc w:val="center"/>
              <w:outlineLvl w:val="0"/>
              <w:rPr>
                <w:rFonts w:ascii="宋体" w:hAnsi="宋体" w:cs="宋体"/>
                <w:sz w:val="24"/>
                <w:lang w:val="zh-CN"/>
              </w:rPr>
            </w:pPr>
          </w:p>
        </w:tc>
        <w:tc>
          <w:tcPr>
            <w:tcW w:w="1559" w:type="dxa"/>
            <w:tcBorders>
              <w:top w:val="single" w:color="auto" w:sz="6" w:space="0"/>
              <w:left w:val="single" w:color="auto" w:sz="6" w:space="0"/>
              <w:bottom w:val="single" w:color="auto" w:sz="6" w:space="0"/>
              <w:right w:val="single" w:color="auto" w:sz="6" w:space="0"/>
            </w:tcBorders>
            <w:vAlign w:val="center"/>
          </w:tcPr>
          <w:p w14:paraId="0B8453BC">
            <w:pPr>
              <w:keepNext/>
              <w:tabs>
                <w:tab w:val="left" w:pos="1440"/>
                <w:tab w:val="left" w:pos="5670"/>
              </w:tabs>
              <w:spacing w:before="240" w:after="240"/>
              <w:ind w:firstLine="2887"/>
              <w:jc w:val="center"/>
              <w:outlineLvl w:val="0"/>
              <w:rPr>
                <w:rFonts w:ascii="宋体" w:hAnsi="宋体" w:cs="宋体"/>
                <w:sz w:val="24"/>
                <w:lang w:val="zh-CN"/>
              </w:rPr>
            </w:pPr>
          </w:p>
        </w:tc>
        <w:tc>
          <w:tcPr>
            <w:tcW w:w="2552" w:type="dxa"/>
            <w:tcBorders>
              <w:top w:val="single" w:color="auto" w:sz="6" w:space="0"/>
              <w:left w:val="single" w:color="auto" w:sz="6" w:space="0"/>
              <w:bottom w:val="single" w:color="auto" w:sz="6" w:space="0"/>
              <w:right w:val="single" w:color="auto" w:sz="6" w:space="0"/>
            </w:tcBorders>
            <w:vAlign w:val="center"/>
          </w:tcPr>
          <w:p w14:paraId="1AF66196">
            <w:pPr>
              <w:keepNext/>
              <w:tabs>
                <w:tab w:val="left" w:pos="1440"/>
                <w:tab w:val="left" w:pos="5670"/>
              </w:tabs>
              <w:spacing w:before="240" w:after="240"/>
              <w:ind w:firstLine="2887"/>
              <w:jc w:val="center"/>
              <w:outlineLvl w:val="0"/>
              <w:rPr>
                <w:rFonts w:ascii="宋体" w:hAnsi="宋体" w:cs="宋体"/>
                <w:sz w:val="24"/>
                <w:lang w:val="zh-CN"/>
              </w:rPr>
            </w:pPr>
          </w:p>
        </w:tc>
        <w:tc>
          <w:tcPr>
            <w:tcW w:w="1802" w:type="dxa"/>
            <w:tcBorders>
              <w:top w:val="single" w:color="auto" w:sz="6" w:space="0"/>
              <w:left w:val="single" w:color="auto" w:sz="6" w:space="0"/>
              <w:bottom w:val="single" w:color="auto" w:sz="6" w:space="0"/>
              <w:right w:val="single" w:color="auto" w:sz="6" w:space="0"/>
            </w:tcBorders>
            <w:vAlign w:val="center"/>
          </w:tcPr>
          <w:p w14:paraId="67B51C8C">
            <w:pPr>
              <w:keepNext/>
              <w:tabs>
                <w:tab w:val="left" w:pos="1440"/>
                <w:tab w:val="left" w:pos="5670"/>
              </w:tabs>
              <w:spacing w:before="240" w:after="240"/>
              <w:ind w:firstLine="2887"/>
              <w:jc w:val="center"/>
              <w:outlineLvl w:val="0"/>
              <w:rPr>
                <w:rFonts w:ascii="宋体" w:hAnsi="宋体" w:cs="宋体"/>
                <w:sz w:val="24"/>
                <w:lang w:val="zh-CN"/>
              </w:rPr>
            </w:pPr>
          </w:p>
        </w:tc>
        <w:tc>
          <w:tcPr>
            <w:tcW w:w="1134" w:type="dxa"/>
            <w:tcBorders>
              <w:top w:val="single" w:color="auto" w:sz="6" w:space="0"/>
              <w:left w:val="single" w:color="auto" w:sz="6" w:space="0"/>
              <w:bottom w:val="single" w:color="auto" w:sz="6" w:space="0"/>
              <w:right w:val="single" w:color="auto" w:sz="6" w:space="0"/>
            </w:tcBorders>
          </w:tcPr>
          <w:p w14:paraId="6D620908">
            <w:pPr>
              <w:keepNext/>
              <w:tabs>
                <w:tab w:val="left" w:pos="1440"/>
                <w:tab w:val="left" w:pos="5670"/>
              </w:tabs>
              <w:spacing w:before="240" w:after="240"/>
              <w:ind w:firstLine="2887"/>
              <w:jc w:val="center"/>
              <w:outlineLvl w:val="0"/>
              <w:rPr>
                <w:rFonts w:ascii="宋体" w:hAnsi="宋体" w:cs="宋体"/>
                <w:sz w:val="24"/>
                <w:lang w:val="zh-CN"/>
              </w:rPr>
            </w:pPr>
          </w:p>
        </w:tc>
        <w:tc>
          <w:tcPr>
            <w:tcW w:w="1134" w:type="dxa"/>
            <w:tcBorders>
              <w:top w:val="single" w:color="auto" w:sz="6" w:space="0"/>
              <w:left w:val="single" w:color="auto" w:sz="6" w:space="0"/>
              <w:bottom w:val="single" w:color="auto" w:sz="6" w:space="0"/>
              <w:right w:val="single" w:color="auto" w:sz="6" w:space="0"/>
            </w:tcBorders>
            <w:vAlign w:val="center"/>
          </w:tcPr>
          <w:p w14:paraId="7975F25D">
            <w:pPr>
              <w:keepNext/>
              <w:tabs>
                <w:tab w:val="left" w:pos="1440"/>
                <w:tab w:val="left" w:pos="5670"/>
              </w:tabs>
              <w:spacing w:before="240" w:after="240"/>
              <w:ind w:firstLine="2887"/>
              <w:jc w:val="center"/>
              <w:outlineLvl w:val="0"/>
              <w:rPr>
                <w:rFonts w:ascii="宋体" w:hAnsi="宋体" w:cs="宋体"/>
                <w:sz w:val="24"/>
                <w:lang w:val="zh-CN"/>
              </w:rPr>
            </w:pPr>
          </w:p>
        </w:tc>
      </w:tr>
      <w:tr w14:paraId="0F7725B5">
        <w:tblPrEx>
          <w:tblCellMar>
            <w:top w:w="0" w:type="dxa"/>
            <w:left w:w="0" w:type="dxa"/>
            <w:bottom w:w="0" w:type="dxa"/>
            <w:right w:w="0" w:type="dxa"/>
          </w:tblCellMar>
        </w:tblPrEx>
        <w:trPr>
          <w:trHeight w:val="680" w:hRule="atLeast"/>
          <w:jc w:val="center"/>
        </w:trPr>
        <w:tc>
          <w:tcPr>
            <w:tcW w:w="870" w:type="dxa"/>
            <w:tcBorders>
              <w:top w:val="single" w:color="auto" w:sz="6" w:space="0"/>
              <w:left w:val="single" w:color="auto" w:sz="6" w:space="0"/>
              <w:bottom w:val="single" w:color="auto" w:sz="6" w:space="0"/>
              <w:right w:val="single" w:color="auto" w:sz="6" w:space="0"/>
            </w:tcBorders>
            <w:vAlign w:val="center"/>
          </w:tcPr>
          <w:p w14:paraId="200E36C7">
            <w:pPr>
              <w:keepNext/>
              <w:tabs>
                <w:tab w:val="left" w:pos="1440"/>
                <w:tab w:val="left" w:pos="5670"/>
              </w:tabs>
              <w:spacing w:before="240" w:after="240"/>
              <w:ind w:firstLine="2887"/>
              <w:jc w:val="center"/>
              <w:outlineLvl w:val="0"/>
              <w:rPr>
                <w:rFonts w:ascii="宋体" w:hAnsi="宋体" w:cs="宋体"/>
                <w:sz w:val="24"/>
                <w:lang w:val="zh-CN"/>
              </w:rPr>
            </w:pPr>
          </w:p>
        </w:tc>
        <w:tc>
          <w:tcPr>
            <w:tcW w:w="1559" w:type="dxa"/>
            <w:tcBorders>
              <w:top w:val="single" w:color="auto" w:sz="6" w:space="0"/>
              <w:left w:val="single" w:color="auto" w:sz="6" w:space="0"/>
              <w:bottom w:val="single" w:color="auto" w:sz="6" w:space="0"/>
              <w:right w:val="single" w:color="auto" w:sz="6" w:space="0"/>
            </w:tcBorders>
            <w:vAlign w:val="center"/>
          </w:tcPr>
          <w:p w14:paraId="4ED29453">
            <w:pPr>
              <w:keepNext/>
              <w:tabs>
                <w:tab w:val="left" w:pos="1440"/>
                <w:tab w:val="left" w:pos="5670"/>
              </w:tabs>
              <w:spacing w:before="240" w:after="240"/>
              <w:ind w:firstLine="2887"/>
              <w:jc w:val="center"/>
              <w:outlineLvl w:val="0"/>
              <w:rPr>
                <w:rFonts w:ascii="宋体" w:hAnsi="宋体" w:cs="宋体"/>
                <w:sz w:val="24"/>
                <w:lang w:val="zh-CN"/>
              </w:rPr>
            </w:pPr>
          </w:p>
        </w:tc>
        <w:tc>
          <w:tcPr>
            <w:tcW w:w="2552" w:type="dxa"/>
            <w:tcBorders>
              <w:top w:val="single" w:color="auto" w:sz="6" w:space="0"/>
              <w:left w:val="single" w:color="auto" w:sz="6" w:space="0"/>
              <w:bottom w:val="single" w:color="auto" w:sz="6" w:space="0"/>
              <w:right w:val="single" w:color="auto" w:sz="6" w:space="0"/>
            </w:tcBorders>
            <w:vAlign w:val="center"/>
          </w:tcPr>
          <w:p w14:paraId="1A4086FE">
            <w:pPr>
              <w:keepNext/>
              <w:tabs>
                <w:tab w:val="left" w:pos="1440"/>
                <w:tab w:val="left" w:pos="5670"/>
              </w:tabs>
              <w:spacing w:before="240" w:after="240"/>
              <w:ind w:firstLine="2887"/>
              <w:jc w:val="center"/>
              <w:outlineLvl w:val="0"/>
              <w:rPr>
                <w:rFonts w:ascii="宋体" w:hAnsi="宋体" w:cs="宋体"/>
                <w:sz w:val="24"/>
                <w:lang w:val="zh-CN"/>
              </w:rPr>
            </w:pPr>
          </w:p>
        </w:tc>
        <w:tc>
          <w:tcPr>
            <w:tcW w:w="1802" w:type="dxa"/>
            <w:tcBorders>
              <w:top w:val="single" w:color="auto" w:sz="6" w:space="0"/>
              <w:left w:val="single" w:color="auto" w:sz="6" w:space="0"/>
              <w:bottom w:val="single" w:color="auto" w:sz="6" w:space="0"/>
              <w:right w:val="single" w:color="auto" w:sz="6" w:space="0"/>
            </w:tcBorders>
            <w:vAlign w:val="center"/>
          </w:tcPr>
          <w:p w14:paraId="679BF17A">
            <w:pPr>
              <w:keepNext/>
              <w:tabs>
                <w:tab w:val="left" w:pos="1440"/>
                <w:tab w:val="left" w:pos="5670"/>
              </w:tabs>
              <w:spacing w:before="240" w:after="240"/>
              <w:ind w:firstLine="2887"/>
              <w:jc w:val="center"/>
              <w:outlineLvl w:val="0"/>
              <w:rPr>
                <w:rFonts w:ascii="宋体" w:hAnsi="宋体" w:cs="宋体"/>
                <w:sz w:val="24"/>
                <w:lang w:val="zh-CN"/>
              </w:rPr>
            </w:pPr>
          </w:p>
        </w:tc>
        <w:tc>
          <w:tcPr>
            <w:tcW w:w="1134" w:type="dxa"/>
            <w:tcBorders>
              <w:top w:val="single" w:color="auto" w:sz="6" w:space="0"/>
              <w:left w:val="single" w:color="auto" w:sz="6" w:space="0"/>
              <w:bottom w:val="single" w:color="auto" w:sz="6" w:space="0"/>
              <w:right w:val="single" w:color="auto" w:sz="6" w:space="0"/>
            </w:tcBorders>
          </w:tcPr>
          <w:p w14:paraId="767E71B0">
            <w:pPr>
              <w:keepNext/>
              <w:tabs>
                <w:tab w:val="left" w:pos="1440"/>
                <w:tab w:val="left" w:pos="5670"/>
              </w:tabs>
              <w:spacing w:before="240" w:after="240"/>
              <w:ind w:firstLine="2887"/>
              <w:jc w:val="center"/>
              <w:outlineLvl w:val="0"/>
              <w:rPr>
                <w:rFonts w:ascii="宋体" w:hAnsi="宋体" w:cs="宋体"/>
                <w:sz w:val="24"/>
                <w:lang w:val="zh-CN"/>
              </w:rPr>
            </w:pPr>
          </w:p>
        </w:tc>
        <w:tc>
          <w:tcPr>
            <w:tcW w:w="1134" w:type="dxa"/>
            <w:tcBorders>
              <w:top w:val="single" w:color="auto" w:sz="6" w:space="0"/>
              <w:left w:val="single" w:color="auto" w:sz="6" w:space="0"/>
              <w:bottom w:val="single" w:color="auto" w:sz="6" w:space="0"/>
              <w:right w:val="single" w:color="auto" w:sz="6" w:space="0"/>
            </w:tcBorders>
            <w:vAlign w:val="center"/>
          </w:tcPr>
          <w:p w14:paraId="5E61B269">
            <w:pPr>
              <w:keepNext/>
              <w:tabs>
                <w:tab w:val="left" w:pos="1440"/>
                <w:tab w:val="left" w:pos="5670"/>
              </w:tabs>
              <w:spacing w:before="240" w:after="240"/>
              <w:ind w:firstLine="2887"/>
              <w:jc w:val="center"/>
              <w:outlineLvl w:val="0"/>
              <w:rPr>
                <w:rFonts w:ascii="宋体" w:hAnsi="宋体" w:cs="宋体"/>
                <w:sz w:val="24"/>
                <w:lang w:val="zh-CN"/>
              </w:rPr>
            </w:pPr>
          </w:p>
        </w:tc>
      </w:tr>
      <w:tr w14:paraId="4BD0FA63">
        <w:tblPrEx>
          <w:tblCellMar>
            <w:top w:w="0" w:type="dxa"/>
            <w:left w:w="0" w:type="dxa"/>
            <w:bottom w:w="0" w:type="dxa"/>
            <w:right w:w="0" w:type="dxa"/>
          </w:tblCellMar>
        </w:tblPrEx>
        <w:trPr>
          <w:trHeight w:val="680" w:hRule="atLeast"/>
          <w:jc w:val="center"/>
        </w:trPr>
        <w:tc>
          <w:tcPr>
            <w:tcW w:w="870" w:type="dxa"/>
            <w:tcBorders>
              <w:top w:val="single" w:color="auto" w:sz="6" w:space="0"/>
              <w:left w:val="single" w:color="auto" w:sz="6" w:space="0"/>
              <w:bottom w:val="single" w:color="auto" w:sz="6" w:space="0"/>
              <w:right w:val="single" w:color="auto" w:sz="6" w:space="0"/>
            </w:tcBorders>
            <w:vAlign w:val="center"/>
          </w:tcPr>
          <w:p w14:paraId="2E73E92C">
            <w:pPr>
              <w:keepNext/>
              <w:tabs>
                <w:tab w:val="left" w:pos="1440"/>
                <w:tab w:val="left" w:pos="5670"/>
              </w:tabs>
              <w:spacing w:before="240" w:after="240"/>
              <w:ind w:firstLine="2887"/>
              <w:jc w:val="center"/>
              <w:outlineLvl w:val="0"/>
              <w:rPr>
                <w:rFonts w:ascii="宋体" w:hAnsi="宋体" w:cs="宋体"/>
                <w:sz w:val="24"/>
                <w:lang w:val="zh-CN"/>
              </w:rPr>
            </w:pPr>
          </w:p>
        </w:tc>
        <w:tc>
          <w:tcPr>
            <w:tcW w:w="1559" w:type="dxa"/>
            <w:tcBorders>
              <w:top w:val="single" w:color="auto" w:sz="6" w:space="0"/>
              <w:left w:val="single" w:color="auto" w:sz="6" w:space="0"/>
              <w:bottom w:val="single" w:color="auto" w:sz="6" w:space="0"/>
              <w:right w:val="single" w:color="auto" w:sz="6" w:space="0"/>
            </w:tcBorders>
            <w:vAlign w:val="center"/>
          </w:tcPr>
          <w:p w14:paraId="2AFAAD7A">
            <w:pPr>
              <w:keepNext/>
              <w:tabs>
                <w:tab w:val="left" w:pos="1440"/>
                <w:tab w:val="left" w:pos="5670"/>
              </w:tabs>
              <w:spacing w:before="240" w:after="240"/>
              <w:ind w:firstLine="2887"/>
              <w:jc w:val="center"/>
              <w:outlineLvl w:val="0"/>
              <w:rPr>
                <w:rFonts w:ascii="宋体" w:hAnsi="宋体" w:cs="宋体"/>
                <w:sz w:val="24"/>
                <w:lang w:val="zh-CN"/>
              </w:rPr>
            </w:pPr>
          </w:p>
        </w:tc>
        <w:tc>
          <w:tcPr>
            <w:tcW w:w="2552" w:type="dxa"/>
            <w:tcBorders>
              <w:top w:val="single" w:color="auto" w:sz="6" w:space="0"/>
              <w:left w:val="single" w:color="auto" w:sz="6" w:space="0"/>
              <w:bottom w:val="single" w:color="auto" w:sz="6" w:space="0"/>
              <w:right w:val="single" w:color="auto" w:sz="6" w:space="0"/>
            </w:tcBorders>
            <w:vAlign w:val="center"/>
          </w:tcPr>
          <w:p w14:paraId="1B16EA35">
            <w:pPr>
              <w:keepNext/>
              <w:tabs>
                <w:tab w:val="left" w:pos="1440"/>
                <w:tab w:val="left" w:pos="5670"/>
              </w:tabs>
              <w:spacing w:before="240" w:after="240"/>
              <w:ind w:firstLine="2887"/>
              <w:jc w:val="center"/>
              <w:outlineLvl w:val="0"/>
              <w:rPr>
                <w:rFonts w:ascii="宋体" w:hAnsi="宋体" w:cs="宋体"/>
                <w:sz w:val="24"/>
                <w:lang w:val="zh-CN"/>
              </w:rPr>
            </w:pPr>
          </w:p>
        </w:tc>
        <w:tc>
          <w:tcPr>
            <w:tcW w:w="1802" w:type="dxa"/>
            <w:tcBorders>
              <w:top w:val="single" w:color="auto" w:sz="6" w:space="0"/>
              <w:left w:val="single" w:color="auto" w:sz="6" w:space="0"/>
              <w:bottom w:val="single" w:color="auto" w:sz="6" w:space="0"/>
              <w:right w:val="single" w:color="auto" w:sz="6" w:space="0"/>
            </w:tcBorders>
            <w:vAlign w:val="center"/>
          </w:tcPr>
          <w:p w14:paraId="06ECA807">
            <w:pPr>
              <w:keepNext/>
              <w:tabs>
                <w:tab w:val="left" w:pos="1440"/>
                <w:tab w:val="left" w:pos="5670"/>
              </w:tabs>
              <w:spacing w:before="240" w:after="240"/>
              <w:ind w:firstLine="2887"/>
              <w:jc w:val="center"/>
              <w:outlineLvl w:val="0"/>
              <w:rPr>
                <w:rFonts w:ascii="宋体" w:hAnsi="宋体" w:cs="宋体"/>
                <w:sz w:val="24"/>
                <w:lang w:val="zh-CN"/>
              </w:rPr>
            </w:pPr>
          </w:p>
        </w:tc>
        <w:tc>
          <w:tcPr>
            <w:tcW w:w="1134" w:type="dxa"/>
            <w:tcBorders>
              <w:top w:val="single" w:color="auto" w:sz="6" w:space="0"/>
              <w:left w:val="single" w:color="auto" w:sz="6" w:space="0"/>
              <w:bottom w:val="single" w:color="auto" w:sz="6" w:space="0"/>
              <w:right w:val="single" w:color="auto" w:sz="6" w:space="0"/>
            </w:tcBorders>
          </w:tcPr>
          <w:p w14:paraId="2233924E">
            <w:pPr>
              <w:keepNext/>
              <w:tabs>
                <w:tab w:val="left" w:pos="1440"/>
                <w:tab w:val="left" w:pos="5670"/>
              </w:tabs>
              <w:spacing w:before="240" w:after="240"/>
              <w:ind w:firstLine="2887"/>
              <w:jc w:val="center"/>
              <w:outlineLvl w:val="0"/>
              <w:rPr>
                <w:rFonts w:ascii="宋体" w:hAnsi="宋体" w:cs="宋体"/>
                <w:sz w:val="24"/>
                <w:lang w:val="zh-CN"/>
              </w:rPr>
            </w:pPr>
          </w:p>
        </w:tc>
        <w:tc>
          <w:tcPr>
            <w:tcW w:w="1134" w:type="dxa"/>
            <w:tcBorders>
              <w:top w:val="single" w:color="auto" w:sz="6" w:space="0"/>
              <w:left w:val="single" w:color="auto" w:sz="6" w:space="0"/>
              <w:bottom w:val="single" w:color="auto" w:sz="6" w:space="0"/>
              <w:right w:val="single" w:color="auto" w:sz="6" w:space="0"/>
            </w:tcBorders>
            <w:vAlign w:val="center"/>
          </w:tcPr>
          <w:p w14:paraId="4F2FD73E">
            <w:pPr>
              <w:keepNext/>
              <w:tabs>
                <w:tab w:val="left" w:pos="1440"/>
                <w:tab w:val="left" w:pos="5670"/>
              </w:tabs>
              <w:spacing w:before="240" w:after="240"/>
              <w:ind w:firstLine="2887"/>
              <w:jc w:val="center"/>
              <w:outlineLvl w:val="0"/>
              <w:rPr>
                <w:rFonts w:ascii="宋体" w:hAnsi="宋体" w:cs="宋体"/>
                <w:sz w:val="24"/>
                <w:lang w:val="zh-CN"/>
              </w:rPr>
            </w:pPr>
          </w:p>
        </w:tc>
      </w:tr>
      <w:tr w14:paraId="41F22291">
        <w:tblPrEx>
          <w:tblCellMar>
            <w:top w:w="0" w:type="dxa"/>
            <w:left w:w="0" w:type="dxa"/>
            <w:bottom w:w="0" w:type="dxa"/>
            <w:right w:w="0" w:type="dxa"/>
          </w:tblCellMar>
        </w:tblPrEx>
        <w:trPr>
          <w:trHeight w:val="680" w:hRule="atLeast"/>
          <w:jc w:val="center"/>
        </w:trPr>
        <w:tc>
          <w:tcPr>
            <w:tcW w:w="870" w:type="dxa"/>
            <w:tcBorders>
              <w:top w:val="single" w:color="auto" w:sz="6" w:space="0"/>
              <w:left w:val="single" w:color="auto" w:sz="6" w:space="0"/>
              <w:bottom w:val="single" w:color="auto" w:sz="6" w:space="0"/>
              <w:right w:val="single" w:color="auto" w:sz="6" w:space="0"/>
            </w:tcBorders>
            <w:vAlign w:val="center"/>
          </w:tcPr>
          <w:p w14:paraId="191C96B1">
            <w:pPr>
              <w:keepNext/>
              <w:tabs>
                <w:tab w:val="left" w:pos="1440"/>
                <w:tab w:val="left" w:pos="5670"/>
              </w:tabs>
              <w:spacing w:before="240" w:after="240"/>
              <w:ind w:firstLine="2887"/>
              <w:jc w:val="center"/>
              <w:outlineLvl w:val="0"/>
              <w:rPr>
                <w:rFonts w:ascii="宋体" w:hAnsi="宋体" w:cs="宋体"/>
                <w:sz w:val="24"/>
                <w:lang w:val="zh-CN"/>
              </w:rPr>
            </w:pPr>
          </w:p>
        </w:tc>
        <w:tc>
          <w:tcPr>
            <w:tcW w:w="1559" w:type="dxa"/>
            <w:tcBorders>
              <w:top w:val="single" w:color="auto" w:sz="6" w:space="0"/>
              <w:left w:val="single" w:color="auto" w:sz="6" w:space="0"/>
              <w:bottom w:val="single" w:color="auto" w:sz="6" w:space="0"/>
              <w:right w:val="single" w:color="auto" w:sz="6" w:space="0"/>
            </w:tcBorders>
            <w:vAlign w:val="center"/>
          </w:tcPr>
          <w:p w14:paraId="31561F07">
            <w:pPr>
              <w:keepNext/>
              <w:tabs>
                <w:tab w:val="left" w:pos="1440"/>
                <w:tab w:val="left" w:pos="5670"/>
              </w:tabs>
              <w:spacing w:before="240" w:after="240"/>
              <w:ind w:firstLine="2887"/>
              <w:jc w:val="center"/>
              <w:outlineLvl w:val="0"/>
              <w:rPr>
                <w:rFonts w:ascii="宋体" w:hAnsi="宋体" w:cs="宋体"/>
                <w:sz w:val="24"/>
                <w:lang w:val="zh-CN"/>
              </w:rPr>
            </w:pPr>
          </w:p>
        </w:tc>
        <w:tc>
          <w:tcPr>
            <w:tcW w:w="2552" w:type="dxa"/>
            <w:tcBorders>
              <w:top w:val="single" w:color="auto" w:sz="6" w:space="0"/>
              <w:left w:val="single" w:color="auto" w:sz="6" w:space="0"/>
              <w:bottom w:val="single" w:color="auto" w:sz="6" w:space="0"/>
              <w:right w:val="single" w:color="auto" w:sz="6" w:space="0"/>
            </w:tcBorders>
            <w:vAlign w:val="center"/>
          </w:tcPr>
          <w:p w14:paraId="51939AFA">
            <w:pPr>
              <w:keepNext/>
              <w:tabs>
                <w:tab w:val="left" w:pos="1440"/>
                <w:tab w:val="left" w:pos="5670"/>
              </w:tabs>
              <w:spacing w:before="240" w:after="240"/>
              <w:ind w:firstLine="2887"/>
              <w:jc w:val="center"/>
              <w:outlineLvl w:val="0"/>
              <w:rPr>
                <w:rFonts w:ascii="宋体" w:hAnsi="宋体" w:cs="宋体"/>
                <w:sz w:val="24"/>
                <w:lang w:val="zh-CN"/>
              </w:rPr>
            </w:pPr>
          </w:p>
        </w:tc>
        <w:tc>
          <w:tcPr>
            <w:tcW w:w="1802" w:type="dxa"/>
            <w:tcBorders>
              <w:top w:val="single" w:color="auto" w:sz="6" w:space="0"/>
              <w:left w:val="single" w:color="auto" w:sz="6" w:space="0"/>
              <w:bottom w:val="single" w:color="auto" w:sz="6" w:space="0"/>
              <w:right w:val="single" w:color="auto" w:sz="6" w:space="0"/>
            </w:tcBorders>
            <w:vAlign w:val="center"/>
          </w:tcPr>
          <w:p w14:paraId="4568707F">
            <w:pPr>
              <w:keepNext/>
              <w:tabs>
                <w:tab w:val="left" w:pos="1440"/>
                <w:tab w:val="left" w:pos="5670"/>
              </w:tabs>
              <w:spacing w:before="240" w:after="240"/>
              <w:ind w:firstLine="2887"/>
              <w:jc w:val="center"/>
              <w:outlineLvl w:val="0"/>
              <w:rPr>
                <w:rFonts w:ascii="宋体" w:hAnsi="宋体" w:cs="宋体"/>
                <w:sz w:val="24"/>
                <w:lang w:val="zh-CN"/>
              </w:rPr>
            </w:pPr>
          </w:p>
        </w:tc>
        <w:tc>
          <w:tcPr>
            <w:tcW w:w="1134" w:type="dxa"/>
            <w:tcBorders>
              <w:top w:val="single" w:color="auto" w:sz="6" w:space="0"/>
              <w:left w:val="single" w:color="auto" w:sz="6" w:space="0"/>
              <w:bottom w:val="single" w:color="auto" w:sz="6" w:space="0"/>
              <w:right w:val="single" w:color="auto" w:sz="6" w:space="0"/>
            </w:tcBorders>
          </w:tcPr>
          <w:p w14:paraId="6DA6D21D">
            <w:pPr>
              <w:keepNext/>
              <w:tabs>
                <w:tab w:val="left" w:pos="1440"/>
                <w:tab w:val="left" w:pos="5670"/>
              </w:tabs>
              <w:spacing w:before="240" w:after="240"/>
              <w:ind w:firstLine="2887"/>
              <w:jc w:val="center"/>
              <w:outlineLvl w:val="0"/>
              <w:rPr>
                <w:rFonts w:ascii="宋体" w:hAnsi="宋体" w:cs="宋体"/>
                <w:sz w:val="24"/>
                <w:lang w:val="zh-CN"/>
              </w:rPr>
            </w:pPr>
          </w:p>
        </w:tc>
        <w:tc>
          <w:tcPr>
            <w:tcW w:w="1134" w:type="dxa"/>
            <w:tcBorders>
              <w:top w:val="single" w:color="auto" w:sz="6" w:space="0"/>
              <w:left w:val="single" w:color="auto" w:sz="6" w:space="0"/>
              <w:bottom w:val="single" w:color="auto" w:sz="6" w:space="0"/>
              <w:right w:val="single" w:color="auto" w:sz="6" w:space="0"/>
            </w:tcBorders>
            <w:vAlign w:val="center"/>
          </w:tcPr>
          <w:p w14:paraId="5A80BFA0">
            <w:pPr>
              <w:keepNext/>
              <w:tabs>
                <w:tab w:val="left" w:pos="1440"/>
                <w:tab w:val="left" w:pos="5670"/>
              </w:tabs>
              <w:spacing w:before="240" w:after="240"/>
              <w:ind w:firstLine="2887"/>
              <w:jc w:val="center"/>
              <w:outlineLvl w:val="0"/>
              <w:rPr>
                <w:rFonts w:ascii="宋体" w:hAnsi="宋体" w:cs="宋体"/>
                <w:sz w:val="24"/>
                <w:lang w:val="zh-CN"/>
              </w:rPr>
            </w:pPr>
          </w:p>
        </w:tc>
      </w:tr>
    </w:tbl>
    <w:p w14:paraId="432035C1">
      <w:pPr>
        <w:spacing w:line="360" w:lineRule="auto"/>
        <w:rPr>
          <w:rFonts w:ascii="宋体" w:hAnsi="宋体" w:cs="宋体"/>
          <w:sz w:val="24"/>
          <w:lang w:val="zh-CN"/>
        </w:rPr>
      </w:pPr>
    </w:p>
    <w:p w14:paraId="56871D9D">
      <w:pPr>
        <w:spacing w:line="360" w:lineRule="auto"/>
        <w:rPr>
          <w:rFonts w:ascii="宋体" w:hAnsi="宋体" w:cs="宋体"/>
          <w:sz w:val="24"/>
          <w:lang w:val="zh-CN"/>
        </w:rPr>
      </w:pPr>
      <w:r>
        <w:rPr>
          <w:rFonts w:hint="eastAsia" w:ascii="宋体" w:hAnsi="宋体" w:cs="宋体"/>
          <w:sz w:val="24"/>
          <w:lang w:val="zh-CN"/>
        </w:rPr>
        <w:t>供应商名称：（</w:t>
      </w:r>
      <w:r>
        <w:rPr>
          <w:rFonts w:hint="eastAsia" w:ascii="宋体" w:hAnsi="宋体" w:cs="宋体"/>
          <w:sz w:val="24"/>
        </w:rPr>
        <w:t>加盖电子公章</w:t>
      </w:r>
      <w:r>
        <w:rPr>
          <w:rFonts w:hint="eastAsia" w:ascii="宋体" w:hAnsi="宋体" w:cs="宋体"/>
          <w:sz w:val="24"/>
          <w:lang w:val="zh-CN"/>
        </w:rPr>
        <w:t>）</w:t>
      </w:r>
    </w:p>
    <w:p w14:paraId="0475A333">
      <w:pPr>
        <w:spacing w:line="360" w:lineRule="auto"/>
        <w:rPr>
          <w:rFonts w:ascii="宋体" w:hAnsi="宋体" w:cs="宋体"/>
          <w:sz w:val="24"/>
          <w:lang w:val="zh-CN"/>
        </w:rPr>
      </w:pPr>
      <w:r>
        <w:rPr>
          <w:rFonts w:hint="eastAsia" w:ascii="宋体" w:hAnsi="宋体" w:cs="宋体"/>
          <w:sz w:val="24"/>
          <w:lang w:val="zh-CN"/>
        </w:rPr>
        <w:t>说明：</w:t>
      </w:r>
    </w:p>
    <w:p w14:paraId="7FD4906A">
      <w:pPr>
        <w:spacing w:line="360" w:lineRule="auto"/>
        <w:ind w:firstLine="480"/>
        <w:rPr>
          <w:rFonts w:ascii="宋体" w:hAnsi="宋体" w:cs="宋体"/>
          <w:sz w:val="24"/>
          <w:lang w:val="zh-CN"/>
        </w:rPr>
      </w:pPr>
      <w:r>
        <w:rPr>
          <w:rFonts w:hint="eastAsia" w:ascii="宋体" w:hAnsi="宋体" w:cs="宋体"/>
          <w:sz w:val="24"/>
        </w:rPr>
        <w:t>1</w:t>
      </w:r>
      <w:r>
        <w:rPr>
          <w:rFonts w:hint="eastAsia" w:ascii="宋体" w:hAnsi="宋体" w:cs="宋体"/>
          <w:sz w:val="24"/>
          <w:lang w:val="zh-CN"/>
        </w:rPr>
        <w:t>、如果行数不够，请自行增加。</w:t>
      </w:r>
    </w:p>
    <w:p w14:paraId="397B4356">
      <w:pPr>
        <w:spacing w:line="360" w:lineRule="auto"/>
        <w:ind w:firstLine="480"/>
        <w:rPr>
          <w:rFonts w:ascii="宋体" w:hAnsi="宋体" w:cs="宋体"/>
          <w:bCs/>
          <w:sz w:val="24"/>
          <w:lang w:val="zh-CN"/>
        </w:rPr>
      </w:pPr>
      <w:r>
        <w:rPr>
          <w:rFonts w:hint="eastAsia" w:ascii="宋体" w:hAnsi="宋体" w:cs="宋体"/>
          <w:bCs/>
          <w:sz w:val="24"/>
        </w:rPr>
        <w:t>2、</w:t>
      </w:r>
      <w:r>
        <w:rPr>
          <w:rFonts w:hint="eastAsia" w:ascii="宋体" w:hAnsi="宋体" w:cs="宋体"/>
          <w:sz w:val="24"/>
          <w:lang w:val="zh-CN"/>
        </w:rPr>
        <w:t>供应商必须仔细阅读招标文件所有条款，并对所有偏离的条目列入上表，未列入上表的视作供应商完全接受。</w:t>
      </w:r>
    </w:p>
    <w:p w14:paraId="6FE4CAD1">
      <w:pPr>
        <w:pStyle w:val="3"/>
        <w:spacing w:line="360" w:lineRule="auto"/>
        <w:rPr>
          <w:rFonts w:ascii="宋体" w:hAnsi="宋体" w:eastAsia="宋体" w:cs="宋体"/>
          <w:sz w:val="24"/>
          <w:szCs w:val="24"/>
        </w:rPr>
      </w:pPr>
      <w:r>
        <w:rPr>
          <w:rFonts w:hint="eastAsia" w:ascii="宋体" w:hAnsi="宋体" w:eastAsia="宋体" w:cs="宋体"/>
          <w:sz w:val="24"/>
          <w:szCs w:val="24"/>
          <w:lang w:val="zh-CN"/>
        </w:rPr>
        <w:br w:type="page" w:clear="all"/>
      </w:r>
      <w:bookmarkStart w:id="108" w:name="_Toc5173"/>
      <w:bookmarkStart w:id="109" w:name="_Toc50644495"/>
      <w:bookmarkStart w:id="110" w:name="_Toc38721224"/>
      <w:bookmarkStart w:id="111" w:name="_Toc119344351"/>
      <w:bookmarkStart w:id="112" w:name="_Toc50974356"/>
      <w:bookmarkStart w:id="113" w:name="_Toc38723696"/>
      <w:bookmarkStart w:id="114" w:name="_Toc126827497"/>
      <w:bookmarkStart w:id="115" w:name="_Toc33266159"/>
      <w:r>
        <w:rPr>
          <w:rFonts w:hint="eastAsia" w:ascii="宋体" w:hAnsi="宋体" w:eastAsia="宋体" w:cs="宋体"/>
          <w:sz w:val="24"/>
          <w:szCs w:val="24"/>
        </w:rPr>
        <w:t>附件七、商务条款偏离表格式</w:t>
      </w:r>
      <w:bookmarkEnd w:id="108"/>
      <w:bookmarkEnd w:id="109"/>
      <w:bookmarkEnd w:id="110"/>
      <w:bookmarkEnd w:id="111"/>
      <w:bookmarkEnd w:id="112"/>
      <w:bookmarkEnd w:id="113"/>
      <w:bookmarkEnd w:id="114"/>
      <w:bookmarkEnd w:id="115"/>
    </w:p>
    <w:p w14:paraId="687DECC8">
      <w:pPr>
        <w:spacing w:line="360" w:lineRule="auto"/>
        <w:ind w:firstLine="602"/>
        <w:jc w:val="center"/>
        <w:rPr>
          <w:rFonts w:ascii="宋体" w:hAnsi="宋体" w:cs="宋体"/>
          <w:b/>
          <w:bCs/>
          <w:sz w:val="24"/>
        </w:rPr>
      </w:pPr>
      <w:r>
        <w:rPr>
          <w:rFonts w:hint="eastAsia" w:ascii="宋体" w:hAnsi="宋体" w:cs="宋体"/>
          <w:b/>
          <w:bCs/>
          <w:sz w:val="24"/>
        </w:rPr>
        <w:t>商务条款偏离表</w:t>
      </w:r>
    </w:p>
    <w:tbl>
      <w:tblPr>
        <w:tblStyle w:val="59"/>
        <w:tblW w:w="8975" w:type="dxa"/>
        <w:jc w:val="center"/>
        <w:tblLayout w:type="fixed"/>
        <w:tblCellMar>
          <w:top w:w="0" w:type="dxa"/>
          <w:left w:w="0" w:type="dxa"/>
          <w:bottom w:w="0" w:type="dxa"/>
          <w:right w:w="0" w:type="dxa"/>
        </w:tblCellMar>
      </w:tblPr>
      <w:tblGrid>
        <w:gridCol w:w="1320"/>
        <w:gridCol w:w="1638"/>
        <w:gridCol w:w="1750"/>
        <w:gridCol w:w="1843"/>
        <w:gridCol w:w="1134"/>
        <w:gridCol w:w="1290"/>
      </w:tblGrid>
      <w:tr w14:paraId="31D9DFDA">
        <w:tblPrEx>
          <w:tblCellMar>
            <w:top w:w="0" w:type="dxa"/>
            <w:left w:w="0" w:type="dxa"/>
            <w:bottom w:w="0" w:type="dxa"/>
            <w:right w:w="0" w:type="dxa"/>
          </w:tblCellMar>
        </w:tblPrEx>
        <w:trPr>
          <w:trHeight w:val="680" w:hRule="atLeast"/>
          <w:jc w:val="center"/>
        </w:trPr>
        <w:tc>
          <w:tcPr>
            <w:tcW w:w="8975" w:type="dxa"/>
            <w:gridSpan w:val="6"/>
            <w:tcBorders>
              <w:top w:val="nil"/>
              <w:left w:val="nil"/>
              <w:bottom w:val="single" w:color="auto" w:sz="6" w:space="0"/>
              <w:right w:val="nil"/>
            </w:tcBorders>
            <w:vAlign w:val="center"/>
          </w:tcPr>
          <w:p w14:paraId="598B6EAB">
            <w:pPr>
              <w:widowControl/>
              <w:spacing w:line="360" w:lineRule="auto"/>
              <w:jc w:val="left"/>
              <w:rPr>
                <w:rFonts w:ascii="宋体" w:hAnsi="宋体" w:cs="宋体"/>
                <w:sz w:val="24"/>
                <w:lang w:val="zh-CN"/>
              </w:rPr>
            </w:pPr>
            <w:r>
              <w:rPr>
                <w:rFonts w:hint="eastAsia" w:ascii="宋体" w:hAnsi="宋体" w:cs="宋体"/>
                <w:sz w:val="24"/>
                <w:lang w:val="zh-CN"/>
              </w:rPr>
              <w:t xml:space="preserve">项目名称： </w:t>
            </w:r>
          </w:p>
          <w:p w14:paraId="385F892C">
            <w:pPr>
              <w:rPr>
                <w:rFonts w:ascii="宋体" w:hAnsi="宋体" w:cs="宋体"/>
                <w:sz w:val="24"/>
                <w:lang w:val="zh-CN"/>
              </w:rPr>
            </w:pPr>
            <w:r>
              <w:rPr>
                <w:rFonts w:hint="eastAsia" w:ascii="宋体" w:hAnsi="宋体" w:cs="宋体"/>
                <w:sz w:val="24"/>
              </w:rPr>
              <w:t>项目</w:t>
            </w:r>
            <w:r>
              <w:rPr>
                <w:rFonts w:hint="eastAsia" w:ascii="宋体" w:hAnsi="宋体" w:cs="宋体"/>
                <w:sz w:val="24"/>
                <w:lang w:val="zh-CN"/>
              </w:rPr>
              <w:t>编号：</w:t>
            </w:r>
          </w:p>
        </w:tc>
      </w:tr>
      <w:tr w14:paraId="037984E7">
        <w:tblPrEx>
          <w:tblCellMar>
            <w:top w:w="0" w:type="dxa"/>
            <w:left w:w="0" w:type="dxa"/>
            <w:bottom w:w="0" w:type="dxa"/>
            <w:right w:w="0" w:type="dxa"/>
          </w:tblCellMar>
        </w:tblPrEx>
        <w:trPr>
          <w:trHeight w:val="680" w:hRule="atLeast"/>
          <w:jc w:val="center"/>
        </w:trPr>
        <w:tc>
          <w:tcPr>
            <w:tcW w:w="1320" w:type="dxa"/>
            <w:tcBorders>
              <w:top w:val="single" w:color="auto" w:sz="6" w:space="0"/>
              <w:left w:val="single" w:color="auto" w:sz="6" w:space="0"/>
              <w:bottom w:val="single" w:color="auto" w:sz="6" w:space="0"/>
              <w:right w:val="single" w:color="auto" w:sz="6" w:space="0"/>
            </w:tcBorders>
            <w:vAlign w:val="center"/>
          </w:tcPr>
          <w:p w14:paraId="492FFFB6">
            <w:pPr>
              <w:jc w:val="center"/>
              <w:rPr>
                <w:rFonts w:ascii="宋体" w:hAnsi="宋体" w:cs="宋体"/>
                <w:sz w:val="24"/>
                <w:lang w:val="zh-CN"/>
              </w:rPr>
            </w:pPr>
            <w:r>
              <w:rPr>
                <w:rFonts w:hint="eastAsia" w:ascii="宋体" w:hAnsi="宋体" w:cs="宋体"/>
                <w:sz w:val="24"/>
                <w:lang w:val="zh-CN"/>
              </w:rPr>
              <w:t>序号</w:t>
            </w:r>
          </w:p>
        </w:tc>
        <w:tc>
          <w:tcPr>
            <w:tcW w:w="1638" w:type="dxa"/>
            <w:tcBorders>
              <w:top w:val="single" w:color="auto" w:sz="6" w:space="0"/>
              <w:left w:val="single" w:color="auto" w:sz="6" w:space="0"/>
              <w:bottom w:val="single" w:color="auto" w:sz="6" w:space="0"/>
              <w:right w:val="single" w:color="auto" w:sz="6" w:space="0"/>
            </w:tcBorders>
            <w:vAlign w:val="center"/>
          </w:tcPr>
          <w:p w14:paraId="1D8835E4">
            <w:pPr>
              <w:jc w:val="center"/>
              <w:rPr>
                <w:rFonts w:ascii="宋体" w:hAnsi="宋体" w:cs="宋体"/>
                <w:sz w:val="24"/>
                <w:lang w:val="zh-CN"/>
              </w:rPr>
            </w:pPr>
            <w:r>
              <w:rPr>
                <w:rFonts w:hint="eastAsia" w:ascii="宋体" w:hAnsi="宋体" w:cs="宋体"/>
                <w:sz w:val="24"/>
                <w:lang w:val="zh-CN"/>
              </w:rPr>
              <w:t>公开招标文件条目号</w:t>
            </w:r>
          </w:p>
        </w:tc>
        <w:tc>
          <w:tcPr>
            <w:tcW w:w="1750" w:type="dxa"/>
            <w:tcBorders>
              <w:top w:val="single" w:color="auto" w:sz="6" w:space="0"/>
              <w:left w:val="single" w:color="auto" w:sz="6" w:space="0"/>
              <w:bottom w:val="single" w:color="auto" w:sz="6" w:space="0"/>
              <w:right w:val="single" w:color="auto" w:sz="6" w:space="0"/>
            </w:tcBorders>
            <w:vAlign w:val="center"/>
          </w:tcPr>
          <w:p w14:paraId="2B8C6427">
            <w:pPr>
              <w:jc w:val="center"/>
              <w:rPr>
                <w:rFonts w:ascii="宋体" w:hAnsi="宋体" w:cs="宋体"/>
                <w:sz w:val="24"/>
                <w:lang w:val="zh-CN"/>
              </w:rPr>
            </w:pPr>
            <w:r>
              <w:rPr>
                <w:rFonts w:hint="eastAsia" w:ascii="宋体" w:hAnsi="宋体" w:cs="宋体"/>
                <w:sz w:val="24"/>
                <w:lang w:val="zh-CN"/>
              </w:rPr>
              <w:t>公开招标要求的商务条款</w:t>
            </w:r>
          </w:p>
        </w:tc>
        <w:tc>
          <w:tcPr>
            <w:tcW w:w="1843" w:type="dxa"/>
            <w:tcBorders>
              <w:top w:val="single" w:color="auto" w:sz="6" w:space="0"/>
              <w:left w:val="single" w:color="auto" w:sz="6" w:space="0"/>
              <w:bottom w:val="single" w:color="auto" w:sz="6" w:space="0"/>
              <w:right w:val="single" w:color="auto" w:sz="6" w:space="0"/>
            </w:tcBorders>
            <w:vAlign w:val="center"/>
          </w:tcPr>
          <w:p w14:paraId="79BF88C9">
            <w:pPr>
              <w:jc w:val="center"/>
              <w:rPr>
                <w:rFonts w:ascii="宋体" w:hAnsi="宋体" w:cs="宋体"/>
                <w:sz w:val="24"/>
                <w:lang w:val="zh-CN"/>
              </w:rPr>
            </w:pPr>
            <w:r>
              <w:rPr>
                <w:rFonts w:hint="eastAsia" w:ascii="宋体" w:hAnsi="宋体" w:cs="宋体"/>
                <w:sz w:val="24"/>
                <w:lang w:val="zh-CN"/>
              </w:rPr>
              <w:t>供应商响应的商务要求</w:t>
            </w:r>
          </w:p>
        </w:tc>
        <w:tc>
          <w:tcPr>
            <w:tcW w:w="1134" w:type="dxa"/>
            <w:tcBorders>
              <w:top w:val="single" w:color="auto" w:sz="6" w:space="0"/>
              <w:left w:val="single" w:color="auto" w:sz="6" w:space="0"/>
              <w:bottom w:val="single" w:color="auto" w:sz="6" w:space="0"/>
              <w:right w:val="single" w:color="auto" w:sz="6" w:space="0"/>
            </w:tcBorders>
            <w:vAlign w:val="center"/>
          </w:tcPr>
          <w:p w14:paraId="549F52B4">
            <w:pPr>
              <w:jc w:val="center"/>
              <w:rPr>
                <w:rFonts w:ascii="宋体" w:hAnsi="宋体" w:cs="宋体"/>
                <w:sz w:val="24"/>
                <w:lang w:val="zh-CN"/>
              </w:rPr>
            </w:pPr>
            <w:r>
              <w:rPr>
                <w:rFonts w:hint="eastAsia" w:ascii="宋体" w:hAnsi="宋体" w:cs="宋体"/>
                <w:sz w:val="24"/>
                <w:lang w:val="zh-CN"/>
              </w:rPr>
              <w:t>是否响应</w:t>
            </w:r>
          </w:p>
        </w:tc>
        <w:tc>
          <w:tcPr>
            <w:tcW w:w="1290" w:type="dxa"/>
            <w:tcBorders>
              <w:top w:val="single" w:color="auto" w:sz="6" w:space="0"/>
              <w:left w:val="single" w:color="auto" w:sz="6" w:space="0"/>
              <w:bottom w:val="single" w:color="auto" w:sz="6" w:space="0"/>
              <w:right w:val="single" w:color="auto" w:sz="6" w:space="0"/>
            </w:tcBorders>
            <w:vAlign w:val="center"/>
          </w:tcPr>
          <w:p w14:paraId="6AAFB079">
            <w:pPr>
              <w:jc w:val="center"/>
              <w:rPr>
                <w:rFonts w:ascii="宋体" w:hAnsi="宋体" w:cs="宋体"/>
                <w:sz w:val="24"/>
                <w:lang w:val="zh-CN"/>
              </w:rPr>
            </w:pPr>
            <w:r>
              <w:rPr>
                <w:rFonts w:hint="eastAsia" w:ascii="宋体" w:hAnsi="宋体" w:cs="宋体"/>
                <w:sz w:val="24"/>
                <w:lang w:val="zh-CN"/>
              </w:rPr>
              <w:t>偏离情况</w:t>
            </w:r>
          </w:p>
        </w:tc>
      </w:tr>
      <w:tr w14:paraId="24275096">
        <w:tblPrEx>
          <w:tblCellMar>
            <w:top w:w="0" w:type="dxa"/>
            <w:left w:w="0" w:type="dxa"/>
            <w:bottom w:w="0" w:type="dxa"/>
            <w:right w:w="0" w:type="dxa"/>
          </w:tblCellMar>
        </w:tblPrEx>
        <w:trPr>
          <w:trHeight w:val="680" w:hRule="atLeast"/>
          <w:jc w:val="center"/>
        </w:trPr>
        <w:tc>
          <w:tcPr>
            <w:tcW w:w="1320" w:type="dxa"/>
            <w:tcBorders>
              <w:top w:val="single" w:color="auto" w:sz="6" w:space="0"/>
              <w:left w:val="single" w:color="auto" w:sz="6" w:space="0"/>
              <w:bottom w:val="single" w:color="auto" w:sz="6" w:space="0"/>
              <w:right w:val="single" w:color="auto" w:sz="6" w:space="0"/>
            </w:tcBorders>
            <w:vAlign w:val="center"/>
          </w:tcPr>
          <w:p w14:paraId="713BC542">
            <w:pPr>
              <w:keepNext/>
              <w:tabs>
                <w:tab w:val="left" w:pos="1440"/>
                <w:tab w:val="left" w:pos="5670"/>
              </w:tabs>
              <w:spacing w:before="240" w:after="240"/>
              <w:ind w:firstLine="2887"/>
              <w:jc w:val="center"/>
              <w:outlineLvl w:val="0"/>
              <w:rPr>
                <w:rFonts w:ascii="宋体" w:hAnsi="宋体" w:cs="宋体"/>
                <w:sz w:val="24"/>
                <w:lang w:val="zh-CN"/>
              </w:rPr>
            </w:pPr>
          </w:p>
        </w:tc>
        <w:tc>
          <w:tcPr>
            <w:tcW w:w="1638" w:type="dxa"/>
            <w:tcBorders>
              <w:top w:val="single" w:color="auto" w:sz="6" w:space="0"/>
              <w:left w:val="single" w:color="auto" w:sz="6" w:space="0"/>
              <w:bottom w:val="single" w:color="auto" w:sz="6" w:space="0"/>
              <w:right w:val="single" w:color="auto" w:sz="6" w:space="0"/>
            </w:tcBorders>
            <w:vAlign w:val="center"/>
          </w:tcPr>
          <w:p w14:paraId="39878874">
            <w:pPr>
              <w:keepNext/>
              <w:tabs>
                <w:tab w:val="left" w:pos="1440"/>
                <w:tab w:val="left" w:pos="5670"/>
              </w:tabs>
              <w:spacing w:before="240" w:after="240"/>
              <w:ind w:firstLine="2887"/>
              <w:jc w:val="center"/>
              <w:outlineLvl w:val="0"/>
              <w:rPr>
                <w:rFonts w:ascii="宋体" w:hAnsi="宋体" w:cs="宋体"/>
                <w:sz w:val="24"/>
                <w:lang w:val="zh-CN"/>
              </w:rPr>
            </w:pPr>
          </w:p>
        </w:tc>
        <w:tc>
          <w:tcPr>
            <w:tcW w:w="1750" w:type="dxa"/>
            <w:tcBorders>
              <w:top w:val="single" w:color="auto" w:sz="6" w:space="0"/>
              <w:left w:val="single" w:color="auto" w:sz="6" w:space="0"/>
              <w:bottom w:val="single" w:color="auto" w:sz="6" w:space="0"/>
              <w:right w:val="single" w:color="auto" w:sz="6" w:space="0"/>
            </w:tcBorders>
            <w:vAlign w:val="center"/>
          </w:tcPr>
          <w:p w14:paraId="76C40D30">
            <w:pPr>
              <w:keepNext/>
              <w:tabs>
                <w:tab w:val="left" w:pos="1440"/>
                <w:tab w:val="left" w:pos="5670"/>
              </w:tabs>
              <w:spacing w:before="240" w:after="240"/>
              <w:ind w:firstLine="2887"/>
              <w:jc w:val="center"/>
              <w:outlineLvl w:val="0"/>
              <w:rPr>
                <w:rFonts w:ascii="宋体" w:hAnsi="宋体" w:cs="宋体"/>
                <w:sz w:val="24"/>
                <w:lang w:val="zh-CN"/>
              </w:rPr>
            </w:pPr>
          </w:p>
        </w:tc>
        <w:tc>
          <w:tcPr>
            <w:tcW w:w="1843" w:type="dxa"/>
            <w:tcBorders>
              <w:top w:val="single" w:color="auto" w:sz="6" w:space="0"/>
              <w:left w:val="single" w:color="auto" w:sz="6" w:space="0"/>
              <w:bottom w:val="single" w:color="auto" w:sz="6" w:space="0"/>
              <w:right w:val="single" w:color="auto" w:sz="6" w:space="0"/>
            </w:tcBorders>
            <w:vAlign w:val="center"/>
          </w:tcPr>
          <w:p w14:paraId="1FB10903">
            <w:pPr>
              <w:keepNext/>
              <w:tabs>
                <w:tab w:val="left" w:pos="1440"/>
                <w:tab w:val="left" w:pos="5670"/>
              </w:tabs>
              <w:spacing w:before="240" w:after="240"/>
              <w:ind w:firstLine="2887"/>
              <w:jc w:val="center"/>
              <w:outlineLvl w:val="0"/>
              <w:rPr>
                <w:rFonts w:ascii="宋体" w:hAnsi="宋体" w:cs="宋体"/>
                <w:sz w:val="24"/>
                <w:lang w:val="zh-CN"/>
              </w:rPr>
            </w:pPr>
          </w:p>
        </w:tc>
        <w:tc>
          <w:tcPr>
            <w:tcW w:w="1134" w:type="dxa"/>
            <w:tcBorders>
              <w:top w:val="single" w:color="auto" w:sz="6" w:space="0"/>
              <w:left w:val="single" w:color="auto" w:sz="6" w:space="0"/>
              <w:bottom w:val="single" w:color="auto" w:sz="6" w:space="0"/>
              <w:right w:val="single" w:color="auto" w:sz="6" w:space="0"/>
            </w:tcBorders>
          </w:tcPr>
          <w:p w14:paraId="1DCCB470">
            <w:pPr>
              <w:keepNext/>
              <w:tabs>
                <w:tab w:val="left" w:pos="1440"/>
                <w:tab w:val="left" w:pos="5670"/>
              </w:tabs>
              <w:spacing w:before="240" w:after="240"/>
              <w:ind w:firstLine="2887"/>
              <w:jc w:val="center"/>
              <w:outlineLvl w:val="0"/>
              <w:rPr>
                <w:rFonts w:ascii="宋体" w:hAnsi="宋体" w:cs="宋体"/>
                <w:sz w:val="24"/>
                <w:lang w:val="zh-CN"/>
              </w:rPr>
            </w:pPr>
          </w:p>
        </w:tc>
        <w:tc>
          <w:tcPr>
            <w:tcW w:w="1290" w:type="dxa"/>
            <w:tcBorders>
              <w:top w:val="single" w:color="auto" w:sz="6" w:space="0"/>
              <w:left w:val="single" w:color="auto" w:sz="6" w:space="0"/>
              <w:bottom w:val="single" w:color="auto" w:sz="6" w:space="0"/>
              <w:right w:val="single" w:color="auto" w:sz="6" w:space="0"/>
            </w:tcBorders>
            <w:vAlign w:val="center"/>
          </w:tcPr>
          <w:p w14:paraId="6110828C">
            <w:pPr>
              <w:keepNext/>
              <w:tabs>
                <w:tab w:val="left" w:pos="1440"/>
                <w:tab w:val="left" w:pos="5670"/>
              </w:tabs>
              <w:spacing w:before="240" w:after="240"/>
              <w:ind w:firstLine="2887"/>
              <w:jc w:val="center"/>
              <w:outlineLvl w:val="0"/>
              <w:rPr>
                <w:rFonts w:ascii="宋体" w:hAnsi="宋体" w:cs="宋体"/>
                <w:sz w:val="24"/>
                <w:lang w:val="zh-CN"/>
              </w:rPr>
            </w:pPr>
          </w:p>
        </w:tc>
      </w:tr>
      <w:tr w14:paraId="371A638E">
        <w:tblPrEx>
          <w:tblCellMar>
            <w:top w:w="0" w:type="dxa"/>
            <w:left w:w="0" w:type="dxa"/>
            <w:bottom w:w="0" w:type="dxa"/>
            <w:right w:w="0" w:type="dxa"/>
          </w:tblCellMar>
        </w:tblPrEx>
        <w:trPr>
          <w:trHeight w:val="680" w:hRule="atLeast"/>
          <w:jc w:val="center"/>
        </w:trPr>
        <w:tc>
          <w:tcPr>
            <w:tcW w:w="1320" w:type="dxa"/>
            <w:tcBorders>
              <w:top w:val="single" w:color="auto" w:sz="6" w:space="0"/>
              <w:left w:val="single" w:color="auto" w:sz="6" w:space="0"/>
              <w:bottom w:val="single" w:color="auto" w:sz="6" w:space="0"/>
              <w:right w:val="single" w:color="auto" w:sz="6" w:space="0"/>
            </w:tcBorders>
            <w:vAlign w:val="center"/>
          </w:tcPr>
          <w:p w14:paraId="50CD0490">
            <w:pPr>
              <w:keepNext/>
              <w:tabs>
                <w:tab w:val="left" w:pos="1440"/>
                <w:tab w:val="left" w:pos="5670"/>
              </w:tabs>
              <w:spacing w:before="240" w:after="240"/>
              <w:ind w:firstLine="2887"/>
              <w:jc w:val="center"/>
              <w:outlineLvl w:val="0"/>
              <w:rPr>
                <w:rFonts w:ascii="宋体" w:hAnsi="宋体" w:cs="宋体"/>
                <w:sz w:val="24"/>
                <w:lang w:val="zh-CN"/>
              </w:rPr>
            </w:pPr>
          </w:p>
        </w:tc>
        <w:tc>
          <w:tcPr>
            <w:tcW w:w="1638" w:type="dxa"/>
            <w:tcBorders>
              <w:top w:val="single" w:color="auto" w:sz="6" w:space="0"/>
              <w:left w:val="single" w:color="auto" w:sz="6" w:space="0"/>
              <w:bottom w:val="single" w:color="auto" w:sz="6" w:space="0"/>
              <w:right w:val="single" w:color="auto" w:sz="6" w:space="0"/>
            </w:tcBorders>
            <w:vAlign w:val="center"/>
          </w:tcPr>
          <w:p w14:paraId="0A75FD22">
            <w:pPr>
              <w:keepNext/>
              <w:tabs>
                <w:tab w:val="left" w:pos="1440"/>
                <w:tab w:val="left" w:pos="5670"/>
              </w:tabs>
              <w:spacing w:before="240" w:after="240"/>
              <w:ind w:firstLine="2887"/>
              <w:jc w:val="center"/>
              <w:outlineLvl w:val="0"/>
              <w:rPr>
                <w:rFonts w:ascii="宋体" w:hAnsi="宋体" w:cs="宋体"/>
                <w:sz w:val="24"/>
                <w:lang w:val="zh-CN"/>
              </w:rPr>
            </w:pPr>
          </w:p>
        </w:tc>
        <w:tc>
          <w:tcPr>
            <w:tcW w:w="1750" w:type="dxa"/>
            <w:tcBorders>
              <w:top w:val="single" w:color="auto" w:sz="6" w:space="0"/>
              <w:left w:val="single" w:color="auto" w:sz="6" w:space="0"/>
              <w:bottom w:val="single" w:color="auto" w:sz="6" w:space="0"/>
              <w:right w:val="single" w:color="auto" w:sz="6" w:space="0"/>
            </w:tcBorders>
            <w:vAlign w:val="center"/>
          </w:tcPr>
          <w:p w14:paraId="75D5C614">
            <w:pPr>
              <w:keepNext/>
              <w:tabs>
                <w:tab w:val="left" w:pos="1440"/>
                <w:tab w:val="left" w:pos="5670"/>
              </w:tabs>
              <w:spacing w:before="240" w:after="240"/>
              <w:ind w:firstLine="2887"/>
              <w:jc w:val="center"/>
              <w:outlineLvl w:val="0"/>
              <w:rPr>
                <w:rFonts w:ascii="宋体" w:hAnsi="宋体" w:cs="宋体"/>
                <w:sz w:val="24"/>
                <w:lang w:val="zh-CN"/>
              </w:rPr>
            </w:pPr>
          </w:p>
        </w:tc>
        <w:tc>
          <w:tcPr>
            <w:tcW w:w="1843" w:type="dxa"/>
            <w:tcBorders>
              <w:top w:val="single" w:color="auto" w:sz="6" w:space="0"/>
              <w:left w:val="single" w:color="auto" w:sz="6" w:space="0"/>
              <w:bottom w:val="single" w:color="auto" w:sz="6" w:space="0"/>
              <w:right w:val="single" w:color="auto" w:sz="6" w:space="0"/>
            </w:tcBorders>
            <w:vAlign w:val="center"/>
          </w:tcPr>
          <w:p w14:paraId="1274778A">
            <w:pPr>
              <w:keepNext/>
              <w:tabs>
                <w:tab w:val="left" w:pos="1440"/>
                <w:tab w:val="left" w:pos="5670"/>
              </w:tabs>
              <w:spacing w:before="240" w:after="240"/>
              <w:ind w:firstLine="2887"/>
              <w:jc w:val="center"/>
              <w:outlineLvl w:val="0"/>
              <w:rPr>
                <w:rFonts w:ascii="宋体" w:hAnsi="宋体" w:cs="宋体"/>
                <w:sz w:val="24"/>
                <w:lang w:val="zh-CN"/>
              </w:rPr>
            </w:pPr>
          </w:p>
        </w:tc>
        <w:tc>
          <w:tcPr>
            <w:tcW w:w="1134" w:type="dxa"/>
            <w:tcBorders>
              <w:top w:val="single" w:color="auto" w:sz="6" w:space="0"/>
              <w:left w:val="single" w:color="auto" w:sz="6" w:space="0"/>
              <w:bottom w:val="single" w:color="auto" w:sz="6" w:space="0"/>
              <w:right w:val="single" w:color="auto" w:sz="6" w:space="0"/>
            </w:tcBorders>
          </w:tcPr>
          <w:p w14:paraId="1723EAA1">
            <w:pPr>
              <w:keepNext/>
              <w:tabs>
                <w:tab w:val="left" w:pos="1440"/>
                <w:tab w:val="left" w:pos="5670"/>
              </w:tabs>
              <w:spacing w:before="240" w:after="240"/>
              <w:ind w:firstLine="2887"/>
              <w:jc w:val="center"/>
              <w:outlineLvl w:val="0"/>
              <w:rPr>
                <w:rFonts w:ascii="宋体" w:hAnsi="宋体" w:cs="宋体"/>
                <w:sz w:val="24"/>
                <w:lang w:val="zh-CN"/>
              </w:rPr>
            </w:pPr>
          </w:p>
        </w:tc>
        <w:tc>
          <w:tcPr>
            <w:tcW w:w="1290" w:type="dxa"/>
            <w:tcBorders>
              <w:top w:val="single" w:color="auto" w:sz="6" w:space="0"/>
              <w:left w:val="single" w:color="auto" w:sz="6" w:space="0"/>
              <w:bottom w:val="single" w:color="auto" w:sz="6" w:space="0"/>
              <w:right w:val="single" w:color="auto" w:sz="6" w:space="0"/>
            </w:tcBorders>
            <w:vAlign w:val="center"/>
          </w:tcPr>
          <w:p w14:paraId="18790FCA">
            <w:pPr>
              <w:keepNext/>
              <w:tabs>
                <w:tab w:val="left" w:pos="1440"/>
                <w:tab w:val="left" w:pos="5670"/>
              </w:tabs>
              <w:spacing w:before="240" w:after="240"/>
              <w:ind w:firstLine="2887"/>
              <w:jc w:val="center"/>
              <w:outlineLvl w:val="0"/>
              <w:rPr>
                <w:rFonts w:ascii="宋体" w:hAnsi="宋体" w:cs="宋体"/>
                <w:sz w:val="24"/>
                <w:lang w:val="zh-CN"/>
              </w:rPr>
            </w:pPr>
          </w:p>
        </w:tc>
      </w:tr>
      <w:tr w14:paraId="011E4606">
        <w:tblPrEx>
          <w:tblCellMar>
            <w:top w:w="0" w:type="dxa"/>
            <w:left w:w="0" w:type="dxa"/>
            <w:bottom w:w="0" w:type="dxa"/>
            <w:right w:w="0" w:type="dxa"/>
          </w:tblCellMar>
        </w:tblPrEx>
        <w:trPr>
          <w:trHeight w:val="680" w:hRule="atLeast"/>
          <w:jc w:val="center"/>
        </w:trPr>
        <w:tc>
          <w:tcPr>
            <w:tcW w:w="1320" w:type="dxa"/>
            <w:tcBorders>
              <w:top w:val="single" w:color="auto" w:sz="6" w:space="0"/>
              <w:left w:val="single" w:color="auto" w:sz="6" w:space="0"/>
              <w:bottom w:val="single" w:color="auto" w:sz="6" w:space="0"/>
              <w:right w:val="single" w:color="auto" w:sz="6" w:space="0"/>
            </w:tcBorders>
            <w:vAlign w:val="center"/>
          </w:tcPr>
          <w:p w14:paraId="6E23A330">
            <w:pPr>
              <w:keepNext/>
              <w:tabs>
                <w:tab w:val="left" w:pos="1440"/>
                <w:tab w:val="left" w:pos="5670"/>
              </w:tabs>
              <w:spacing w:before="240" w:after="240"/>
              <w:ind w:firstLine="2887"/>
              <w:jc w:val="center"/>
              <w:outlineLvl w:val="0"/>
              <w:rPr>
                <w:rFonts w:ascii="宋体" w:hAnsi="宋体" w:cs="宋体"/>
                <w:sz w:val="24"/>
                <w:lang w:val="zh-CN"/>
              </w:rPr>
            </w:pPr>
          </w:p>
        </w:tc>
        <w:tc>
          <w:tcPr>
            <w:tcW w:w="1638" w:type="dxa"/>
            <w:tcBorders>
              <w:top w:val="single" w:color="auto" w:sz="6" w:space="0"/>
              <w:left w:val="single" w:color="auto" w:sz="6" w:space="0"/>
              <w:bottom w:val="single" w:color="auto" w:sz="6" w:space="0"/>
              <w:right w:val="single" w:color="auto" w:sz="6" w:space="0"/>
            </w:tcBorders>
            <w:vAlign w:val="center"/>
          </w:tcPr>
          <w:p w14:paraId="45EDDD2B">
            <w:pPr>
              <w:keepNext/>
              <w:tabs>
                <w:tab w:val="left" w:pos="1440"/>
                <w:tab w:val="left" w:pos="5670"/>
              </w:tabs>
              <w:spacing w:before="240" w:after="240"/>
              <w:ind w:firstLine="2887"/>
              <w:jc w:val="center"/>
              <w:outlineLvl w:val="0"/>
              <w:rPr>
                <w:rFonts w:ascii="宋体" w:hAnsi="宋体" w:cs="宋体"/>
                <w:sz w:val="24"/>
                <w:lang w:val="zh-CN"/>
              </w:rPr>
            </w:pPr>
          </w:p>
        </w:tc>
        <w:tc>
          <w:tcPr>
            <w:tcW w:w="1750" w:type="dxa"/>
            <w:tcBorders>
              <w:top w:val="single" w:color="auto" w:sz="6" w:space="0"/>
              <w:left w:val="single" w:color="auto" w:sz="6" w:space="0"/>
              <w:bottom w:val="single" w:color="auto" w:sz="6" w:space="0"/>
              <w:right w:val="single" w:color="auto" w:sz="6" w:space="0"/>
            </w:tcBorders>
            <w:vAlign w:val="center"/>
          </w:tcPr>
          <w:p w14:paraId="6CE15355">
            <w:pPr>
              <w:keepNext/>
              <w:tabs>
                <w:tab w:val="left" w:pos="1440"/>
                <w:tab w:val="left" w:pos="5670"/>
              </w:tabs>
              <w:spacing w:before="240" w:after="240"/>
              <w:ind w:firstLine="2887"/>
              <w:jc w:val="center"/>
              <w:outlineLvl w:val="0"/>
              <w:rPr>
                <w:rFonts w:ascii="宋体" w:hAnsi="宋体" w:cs="宋体"/>
                <w:sz w:val="24"/>
                <w:lang w:val="zh-CN"/>
              </w:rPr>
            </w:pPr>
          </w:p>
        </w:tc>
        <w:tc>
          <w:tcPr>
            <w:tcW w:w="1843" w:type="dxa"/>
            <w:tcBorders>
              <w:top w:val="single" w:color="auto" w:sz="6" w:space="0"/>
              <w:left w:val="single" w:color="auto" w:sz="6" w:space="0"/>
              <w:bottom w:val="single" w:color="auto" w:sz="6" w:space="0"/>
              <w:right w:val="single" w:color="auto" w:sz="6" w:space="0"/>
            </w:tcBorders>
            <w:vAlign w:val="center"/>
          </w:tcPr>
          <w:p w14:paraId="2FE74722">
            <w:pPr>
              <w:keepNext/>
              <w:tabs>
                <w:tab w:val="left" w:pos="1440"/>
                <w:tab w:val="left" w:pos="5670"/>
              </w:tabs>
              <w:spacing w:before="240" w:after="240"/>
              <w:ind w:firstLine="2887"/>
              <w:jc w:val="center"/>
              <w:outlineLvl w:val="0"/>
              <w:rPr>
                <w:rFonts w:ascii="宋体" w:hAnsi="宋体" w:cs="宋体"/>
                <w:sz w:val="24"/>
                <w:lang w:val="zh-CN"/>
              </w:rPr>
            </w:pPr>
          </w:p>
        </w:tc>
        <w:tc>
          <w:tcPr>
            <w:tcW w:w="1134" w:type="dxa"/>
            <w:tcBorders>
              <w:top w:val="single" w:color="auto" w:sz="6" w:space="0"/>
              <w:left w:val="single" w:color="auto" w:sz="6" w:space="0"/>
              <w:bottom w:val="single" w:color="auto" w:sz="6" w:space="0"/>
              <w:right w:val="single" w:color="auto" w:sz="6" w:space="0"/>
            </w:tcBorders>
          </w:tcPr>
          <w:p w14:paraId="64461649">
            <w:pPr>
              <w:keepNext/>
              <w:tabs>
                <w:tab w:val="left" w:pos="1440"/>
                <w:tab w:val="left" w:pos="5670"/>
              </w:tabs>
              <w:spacing w:before="240" w:after="240"/>
              <w:ind w:firstLine="2887"/>
              <w:jc w:val="center"/>
              <w:outlineLvl w:val="0"/>
              <w:rPr>
                <w:rFonts w:ascii="宋体" w:hAnsi="宋体" w:cs="宋体"/>
                <w:sz w:val="24"/>
                <w:lang w:val="zh-CN"/>
              </w:rPr>
            </w:pPr>
          </w:p>
        </w:tc>
        <w:tc>
          <w:tcPr>
            <w:tcW w:w="1290" w:type="dxa"/>
            <w:tcBorders>
              <w:top w:val="single" w:color="auto" w:sz="6" w:space="0"/>
              <w:left w:val="single" w:color="auto" w:sz="6" w:space="0"/>
              <w:bottom w:val="single" w:color="auto" w:sz="6" w:space="0"/>
              <w:right w:val="single" w:color="auto" w:sz="6" w:space="0"/>
            </w:tcBorders>
            <w:vAlign w:val="center"/>
          </w:tcPr>
          <w:p w14:paraId="4B748036">
            <w:pPr>
              <w:keepNext/>
              <w:tabs>
                <w:tab w:val="left" w:pos="1440"/>
                <w:tab w:val="left" w:pos="5670"/>
              </w:tabs>
              <w:spacing w:before="240" w:after="240"/>
              <w:ind w:firstLine="2887"/>
              <w:jc w:val="center"/>
              <w:outlineLvl w:val="0"/>
              <w:rPr>
                <w:rFonts w:ascii="宋体" w:hAnsi="宋体" w:cs="宋体"/>
                <w:sz w:val="24"/>
                <w:lang w:val="zh-CN"/>
              </w:rPr>
            </w:pPr>
          </w:p>
        </w:tc>
      </w:tr>
      <w:tr w14:paraId="0F4F1883">
        <w:tblPrEx>
          <w:tblCellMar>
            <w:top w:w="0" w:type="dxa"/>
            <w:left w:w="0" w:type="dxa"/>
            <w:bottom w:w="0" w:type="dxa"/>
            <w:right w:w="0" w:type="dxa"/>
          </w:tblCellMar>
        </w:tblPrEx>
        <w:trPr>
          <w:trHeight w:val="680" w:hRule="atLeast"/>
          <w:jc w:val="center"/>
        </w:trPr>
        <w:tc>
          <w:tcPr>
            <w:tcW w:w="1320" w:type="dxa"/>
            <w:tcBorders>
              <w:top w:val="single" w:color="auto" w:sz="6" w:space="0"/>
              <w:left w:val="single" w:color="auto" w:sz="6" w:space="0"/>
              <w:bottom w:val="single" w:color="auto" w:sz="6" w:space="0"/>
              <w:right w:val="single" w:color="auto" w:sz="6" w:space="0"/>
            </w:tcBorders>
            <w:vAlign w:val="center"/>
          </w:tcPr>
          <w:p w14:paraId="0E541EF6">
            <w:pPr>
              <w:keepNext/>
              <w:tabs>
                <w:tab w:val="left" w:pos="1440"/>
                <w:tab w:val="left" w:pos="5670"/>
              </w:tabs>
              <w:spacing w:before="240" w:after="240"/>
              <w:ind w:firstLine="2887"/>
              <w:jc w:val="center"/>
              <w:outlineLvl w:val="0"/>
              <w:rPr>
                <w:rFonts w:ascii="宋体" w:hAnsi="宋体" w:cs="宋体"/>
                <w:sz w:val="24"/>
                <w:lang w:val="zh-CN"/>
              </w:rPr>
            </w:pPr>
          </w:p>
        </w:tc>
        <w:tc>
          <w:tcPr>
            <w:tcW w:w="1638" w:type="dxa"/>
            <w:tcBorders>
              <w:top w:val="single" w:color="auto" w:sz="6" w:space="0"/>
              <w:left w:val="single" w:color="auto" w:sz="6" w:space="0"/>
              <w:bottom w:val="single" w:color="auto" w:sz="6" w:space="0"/>
              <w:right w:val="single" w:color="auto" w:sz="6" w:space="0"/>
            </w:tcBorders>
            <w:vAlign w:val="center"/>
          </w:tcPr>
          <w:p w14:paraId="4F8F54E9">
            <w:pPr>
              <w:keepNext/>
              <w:tabs>
                <w:tab w:val="left" w:pos="1440"/>
                <w:tab w:val="left" w:pos="5670"/>
              </w:tabs>
              <w:spacing w:before="240" w:after="240"/>
              <w:ind w:firstLine="2887"/>
              <w:jc w:val="center"/>
              <w:outlineLvl w:val="0"/>
              <w:rPr>
                <w:rFonts w:ascii="宋体" w:hAnsi="宋体" w:cs="宋体"/>
                <w:sz w:val="24"/>
                <w:lang w:val="zh-CN"/>
              </w:rPr>
            </w:pPr>
          </w:p>
        </w:tc>
        <w:tc>
          <w:tcPr>
            <w:tcW w:w="1750" w:type="dxa"/>
            <w:tcBorders>
              <w:top w:val="single" w:color="auto" w:sz="6" w:space="0"/>
              <w:left w:val="single" w:color="auto" w:sz="6" w:space="0"/>
              <w:bottom w:val="single" w:color="auto" w:sz="6" w:space="0"/>
              <w:right w:val="single" w:color="auto" w:sz="6" w:space="0"/>
            </w:tcBorders>
            <w:vAlign w:val="center"/>
          </w:tcPr>
          <w:p w14:paraId="79A72ACA">
            <w:pPr>
              <w:keepNext/>
              <w:tabs>
                <w:tab w:val="left" w:pos="1440"/>
                <w:tab w:val="left" w:pos="5670"/>
              </w:tabs>
              <w:spacing w:before="240" w:after="240"/>
              <w:ind w:firstLine="2887"/>
              <w:jc w:val="center"/>
              <w:outlineLvl w:val="0"/>
              <w:rPr>
                <w:rFonts w:ascii="宋体" w:hAnsi="宋体" w:cs="宋体"/>
                <w:sz w:val="24"/>
                <w:lang w:val="zh-CN"/>
              </w:rPr>
            </w:pPr>
          </w:p>
        </w:tc>
        <w:tc>
          <w:tcPr>
            <w:tcW w:w="1843" w:type="dxa"/>
            <w:tcBorders>
              <w:top w:val="single" w:color="auto" w:sz="6" w:space="0"/>
              <w:left w:val="single" w:color="auto" w:sz="6" w:space="0"/>
              <w:bottom w:val="single" w:color="auto" w:sz="6" w:space="0"/>
              <w:right w:val="single" w:color="auto" w:sz="6" w:space="0"/>
            </w:tcBorders>
            <w:vAlign w:val="center"/>
          </w:tcPr>
          <w:p w14:paraId="0A88F502">
            <w:pPr>
              <w:keepNext/>
              <w:tabs>
                <w:tab w:val="left" w:pos="1440"/>
                <w:tab w:val="left" w:pos="5670"/>
              </w:tabs>
              <w:spacing w:before="240" w:after="240"/>
              <w:ind w:firstLine="2887"/>
              <w:jc w:val="center"/>
              <w:outlineLvl w:val="0"/>
              <w:rPr>
                <w:rFonts w:ascii="宋体" w:hAnsi="宋体" w:cs="宋体"/>
                <w:sz w:val="24"/>
                <w:lang w:val="zh-CN"/>
              </w:rPr>
            </w:pPr>
          </w:p>
        </w:tc>
        <w:tc>
          <w:tcPr>
            <w:tcW w:w="1134" w:type="dxa"/>
            <w:tcBorders>
              <w:top w:val="single" w:color="auto" w:sz="6" w:space="0"/>
              <w:left w:val="single" w:color="auto" w:sz="6" w:space="0"/>
              <w:bottom w:val="single" w:color="auto" w:sz="6" w:space="0"/>
              <w:right w:val="single" w:color="auto" w:sz="6" w:space="0"/>
            </w:tcBorders>
          </w:tcPr>
          <w:p w14:paraId="68489AF0">
            <w:pPr>
              <w:keepNext/>
              <w:tabs>
                <w:tab w:val="left" w:pos="1440"/>
                <w:tab w:val="left" w:pos="5670"/>
              </w:tabs>
              <w:spacing w:before="240" w:after="240"/>
              <w:ind w:firstLine="2887"/>
              <w:jc w:val="center"/>
              <w:outlineLvl w:val="0"/>
              <w:rPr>
                <w:rFonts w:ascii="宋体" w:hAnsi="宋体" w:cs="宋体"/>
                <w:sz w:val="24"/>
                <w:lang w:val="zh-CN"/>
              </w:rPr>
            </w:pPr>
          </w:p>
        </w:tc>
        <w:tc>
          <w:tcPr>
            <w:tcW w:w="1290" w:type="dxa"/>
            <w:tcBorders>
              <w:top w:val="single" w:color="auto" w:sz="6" w:space="0"/>
              <w:left w:val="single" w:color="auto" w:sz="6" w:space="0"/>
              <w:bottom w:val="single" w:color="auto" w:sz="6" w:space="0"/>
              <w:right w:val="single" w:color="auto" w:sz="6" w:space="0"/>
            </w:tcBorders>
            <w:vAlign w:val="center"/>
          </w:tcPr>
          <w:p w14:paraId="6B856DF5">
            <w:pPr>
              <w:keepNext/>
              <w:tabs>
                <w:tab w:val="left" w:pos="1440"/>
                <w:tab w:val="left" w:pos="5670"/>
              </w:tabs>
              <w:spacing w:before="240" w:after="240"/>
              <w:ind w:firstLine="2887"/>
              <w:jc w:val="center"/>
              <w:outlineLvl w:val="0"/>
              <w:rPr>
                <w:rFonts w:ascii="宋体" w:hAnsi="宋体" w:cs="宋体"/>
                <w:sz w:val="24"/>
                <w:lang w:val="zh-CN"/>
              </w:rPr>
            </w:pPr>
          </w:p>
        </w:tc>
      </w:tr>
      <w:tr w14:paraId="4D873FF2">
        <w:tblPrEx>
          <w:tblCellMar>
            <w:top w:w="0" w:type="dxa"/>
            <w:left w:w="0" w:type="dxa"/>
            <w:bottom w:w="0" w:type="dxa"/>
            <w:right w:w="0" w:type="dxa"/>
          </w:tblCellMar>
        </w:tblPrEx>
        <w:trPr>
          <w:trHeight w:val="680" w:hRule="atLeast"/>
          <w:jc w:val="center"/>
        </w:trPr>
        <w:tc>
          <w:tcPr>
            <w:tcW w:w="1320" w:type="dxa"/>
            <w:tcBorders>
              <w:top w:val="single" w:color="auto" w:sz="6" w:space="0"/>
              <w:left w:val="single" w:color="auto" w:sz="6" w:space="0"/>
              <w:bottom w:val="single" w:color="auto" w:sz="6" w:space="0"/>
              <w:right w:val="single" w:color="auto" w:sz="6" w:space="0"/>
            </w:tcBorders>
            <w:vAlign w:val="center"/>
          </w:tcPr>
          <w:p w14:paraId="02762CC8">
            <w:pPr>
              <w:keepNext/>
              <w:tabs>
                <w:tab w:val="left" w:pos="1440"/>
                <w:tab w:val="left" w:pos="5670"/>
              </w:tabs>
              <w:spacing w:before="240" w:after="240"/>
              <w:ind w:firstLine="2887"/>
              <w:jc w:val="center"/>
              <w:outlineLvl w:val="0"/>
              <w:rPr>
                <w:rFonts w:ascii="宋体" w:hAnsi="宋体" w:cs="宋体"/>
                <w:sz w:val="24"/>
                <w:lang w:val="zh-CN"/>
              </w:rPr>
            </w:pPr>
          </w:p>
        </w:tc>
        <w:tc>
          <w:tcPr>
            <w:tcW w:w="1638" w:type="dxa"/>
            <w:tcBorders>
              <w:top w:val="single" w:color="auto" w:sz="6" w:space="0"/>
              <w:left w:val="single" w:color="auto" w:sz="6" w:space="0"/>
              <w:bottom w:val="single" w:color="auto" w:sz="6" w:space="0"/>
              <w:right w:val="single" w:color="auto" w:sz="6" w:space="0"/>
            </w:tcBorders>
            <w:vAlign w:val="center"/>
          </w:tcPr>
          <w:p w14:paraId="0192AFDE">
            <w:pPr>
              <w:keepNext/>
              <w:tabs>
                <w:tab w:val="left" w:pos="1440"/>
                <w:tab w:val="left" w:pos="5670"/>
              </w:tabs>
              <w:spacing w:before="240" w:after="240"/>
              <w:ind w:firstLine="2887"/>
              <w:jc w:val="center"/>
              <w:outlineLvl w:val="0"/>
              <w:rPr>
                <w:rFonts w:ascii="宋体" w:hAnsi="宋体" w:cs="宋体"/>
                <w:sz w:val="24"/>
                <w:lang w:val="zh-CN"/>
              </w:rPr>
            </w:pPr>
          </w:p>
        </w:tc>
        <w:tc>
          <w:tcPr>
            <w:tcW w:w="1750" w:type="dxa"/>
            <w:tcBorders>
              <w:top w:val="single" w:color="auto" w:sz="6" w:space="0"/>
              <w:left w:val="single" w:color="auto" w:sz="6" w:space="0"/>
              <w:bottom w:val="single" w:color="auto" w:sz="6" w:space="0"/>
              <w:right w:val="single" w:color="auto" w:sz="6" w:space="0"/>
            </w:tcBorders>
            <w:vAlign w:val="center"/>
          </w:tcPr>
          <w:p w14:paraId="476C27B5">
            <w:pPr>
              <w:keepNext/>
              <w:tabs>
                <w:tab w:val="left" w:pos="1440"/>
                <w:tab w:val="left" w:pos="5670"/>
              </w:tabs>
              <w:spacing w:before="240" w:after="240"/>
              <w:ind w:firstLine="2887"/>
              <w:jc w:val="center"/>
              <w:outlineLvl w:val="0"/>
              <w:rPr>
                <w:rFonts w:ascii="宋体" w:hAnsi="宋体" w:cs="宋体"/>
                <w:sz w:val="24"/>
                <w:lang w:val="zh-CN"/>
              </w:rPr>
            </w:pPr>
          </w:p>
        </w:tc>
        <w:tc>
          <w:tcPr>
            <w:tcW w:w="1843" w:type="dxa"/>
            <w:tcBorders>
              <w:top w:val="single" w:color="auto" w:sz="6" w:space="0"/>
              <w:left w:val="single" w:color="auto" w:sz="6" w:space="0"/>
              <w:bottom w:val="single" w:color="auto" w:sz="6" w:space="0"/>
              <w:right w:val="single" w:color="auto" w:sz="6" w:space="0"/>
            </w:tcBorders>
            <w:vAlign w:val="center"/>
          </w:tcPr>
          <w:p w14:paraId="2008EE1B">
            <w:pPr>
              <w:keepNext/>
              <w:tabs>
                <w:tab w:val="left" w:pos="1440"/>
                <w:tab w:val="left" w:pos="5670"/>
              </w:tabs>
              <w:spacing w:before="240" w:after="240"/>
              <w:ind w:firstLine="2887"/>
              <w:jc w:val="center"/>
              <w:outlineLvl w:val="0"/>
              <w:rPr>
                <w:rFonts w:ascii="宋体" w:hAnsi="宋体" w:cs="宋体"/>
                <w:sz w:val="24"/>
                <w:lang w:val="zh-CN"/>
              </w:rPr>
            </w:pPr>
          </w:p>
        </w:tc>
        <w:tc>
          <w:tcPr>
            <w:tcW w:w="1134" w:type="dxa"/>
            <w:tcBorders>
              <w:top w:val="single" w:color="auto" w:sz="6" w:space="0"/>
              <w:left w:val="single" w:color="auto" w:sz="6" w:space="0"/>
              <w:bottom w:val="single" w:color="auto" w:sz="6" w:space="0"/>
              <w:right w:val="single" w:color="auto" w:sz="6" w:space="0"/>
            </w:tcBorders>
          </w:tcPr>
          <w:p w14:paraId="70003C6A">
            <w:pPr>
              <w:keepNext/>
              <w:tabs>
                <w:tab w:val="left" w:pos="1440"/>
                <w:tab w:val="left" w:pos="5670"/>
              </w:tabs>
              <w:spacing w:before="240" w:after="240"/>
              <w:ind w:firstLine="2887"/>
              <w:jc w:val="center"/>
              <w:outlineLvl w:val="0"/>
              <w:rPr>
                <w:rFonts w:ascii="宋体" w:hAnsi="宋体" w:cs="宋体"/>
                <w:sz w:val="24"/>
                <w:lang w:val="zh-CN"/>
              </w:rPr>
            </w:pPr>
          </w:p>
        </w:tc>
        <w:tc>
          <w:tcPr>
            <w:tcW w:w="1290" w:type="dxa"/>
            <w:tcBorders>
              <w:top w:val="single" w:color="auto" w:sz="6" w:space="0"/>
              <w:left w:val="single" w:color="auto" w:sz="6" w:space="0"/>
              <w:bottom w:val="single" w:color="auto" w:sz="6" w:space="0"/>
              <w:right w:val="single" w:color="auto" w:sz="6" w:space="0"/>
            </w:tcBorders>
            <w:vAlign w:val="center"/>
          </w:tcPr>
          <w:p w14:paraId="6974E6F1">
            <w:pPr>
              <w:keepNext/>
              <w:tabs>
                <w:tab w:val="left" w:pos="1440"/>
                <w:tab w:val="left" w:pos="5670"/>
              </w:tabs>
              <w:spacing w:before="240" w:after="240"/>
              <w:ind w:firstLine="2887"/>
              <w:jc w:val="center"/>
              <w:outlineLvl w:val="0"/>
              <w:rPr>
                <w:rFonts w:ascii="宋体" w:hAnsi="宋体" w:cs="宋体"/>
                <w:sz w:val="24"/>
                <w:lang w:val="zh-CN"/>
              </w:rPr>
            </w:pPr>
          </w:p>
        </w:tc>
      </w:tr>
      <w:tr w14:paraId="2C6AE3F4">
        <w:tblPrEx>
          <w:tblCellMar>
            <w:top w:w="0" w:type="dxa"/>
            <w:left w:w="0" w:type="dxa"/>
            <w:bottom w:w="0" w:type="dxa"/>
            <w:right w:w="0" w:type="dxa"/>
          </w:tblCellMar>
        </w:tblPrEx>
        <w:trPr>
          <w:trHeight w:val="680" w:hRule="atLeast"/>
          <w:jc w:val="center"/>
        </w:trPr>
        <w:tc>
          <w:tcPr>
            <w:tcW w:w="1320" w:type="dxa"/>
            <w:tcBorders>
              <w:top w:val="single" w:color="auto" w:sz="6" w:space="0"/>
              <w:left w:val="single" w:color="auto" w:sz="6" w:space="0"/>
              <w:bottom w:val="single" w:color="auto" w:sz="6" w:space="0"/>
              <w:right w:val="single" w:color="auto" w:sz="6" w:space="0"/>
            </w:tcBorders>
            <w:vAlign w:val="center"/>
          </w:tcPr>
          <w:p w14:paraId="4C7387D3">
            <w:pPr>
              <w:keepNext/>
              <w:tabs>
                <w:tab w:val="left" w:pos="1440"/>
                <w:tab w:val="left" w:pos="5670"/>
              </w:tabs>
              <w:spacing w:before="240" w:after="240"/>
              <w:ind w:firstLine="2887"/>
              <w:jc w:val="center"/>
              <w:outlineLvl w:val="0"/>
              <w:rPr>
                <w:rFonts w:ascii="宋体" w:hAnsi="宋体" w:cs="宋体"/>
                <w:sz w:val="24"/>
                <w:lang w:val="zh-CN"/>
              </w:rPr>
            </w:pPr>
          </w:p>
        </w:tc>
        <w:tc>
          <w:tcPr>
            <w:tcW w:w="1638" w:type="dxa"/>
            <w:tcBorders>
              <w:top w:val="single" w:color="auto" w:sz="6" w:space="0"/>
              <w:left w:val="single" w:color="auto" w:sz="6" w:space="0"/>
              <w:bottom w:val="single" w:color="auto" w:sz="6" w:space="0"/>
              <w:right w:val="single" w:color="auto" w:sz="6" w:space="0"/>
            </w:tcBorders>
            <w:vAlign w:val="center"/>
          </w:tcPr>
          <w:p w14:paraId="6184C811">
            <w:pPr>
              <w:keepNext/>
              <w:tabs>
                <w:tab w:val="left" w:pos="1440"/>
                <w:tab w:val="left" w:pos="5670"/>
              </w:tabs>
              <w:spacing w:before="240" w:after="240"/>
              <w:ind w:firstLine="2887"/>
              <w:jc w:val="center"/>
              <w:outlineLvl w:val="0"/>
              <w:rPr>
                <w:rFonts w:ascii="宋体" w:hAnsi="宋体" w:cs="宋体"/>
                <w:sz w:val="24"/>
                <w:lang w:val="zh-CN"/>
              </w:rPr>
            </w:pPr>
          </w:p>
        </w:tc>
        <w:tc>
          <w:tcPr>
            <w:tcW w:w="1750" w:type="dxa"/>
            <w:tcBorders>
              <w:top w:val="single" w:color="auto" w:sz="6" w:space="0"/>
              <w:left w:val="single" w:color="auto" w:sz="6" w:space="0"/>
              <w:bottom w:val="single" w:color="auto" w:sz="6" w:space="0"/>
              <w:right w:val="single" w:color="auto" w:sz="6" w:space="0"/>
            </w:tcBorders>
            <w:vAlign w:val="center"/>
          </w:tcPr>
          <w:p w14:paraId="32C719EE">
            <w:pPr>
              <w:keepNext/>
              <w:tabs>
                <w:tab w:val="left" w:pos="1440"/>
                <w:tab w:val="left" w:pos="5670"/>
              </w:tabs>
              <w:spacing w:before="240" w:after="240"/>
              <w:ind w:firstLine="2887"/>
              <w:jc w:val="center"/>
              <w:outlineLvl w:val="0"/>
              <w:rPr>
                <w:rFonts w:ascii="宋体" w:hAnsi="宋体" w:cs="宋体"/>
                <w:sz w:val="24"/>
                <w:lang w:val="zh-CN"/>
              </w:rPr>
            </w:pPr>
          </w:p>
        </w:tc>
        <w:tc>
          <w:tcPr>
            <w:tcW w:w="1843" w:type="dxa"/>
            <w:tcBorders>
              <w:top w:val="single" w:color="auto" w:sz="6" w:space="0"/>
              <w:left w:val="single" w:color="auto" w:sz="6" w:space="0"/>
              <w:bottom w:val="single" w:color="auto" w:sz="6" w:space="0"/>
              <w:right w:val="single" w:color="auto" w:sz="6" w:space="0"/>
            </w:tcBorders>
            <w:vAlign w:val="center"/>
          </w:tcPr>
          <w:p w14:paraId="3F51CAEB">
            <w:pPr>
              <w:keepNext/>
              <w:tabs>
                <w:tab w:val="left" w:pos="1440"/>
                <w:tab w:val="left" w:pos="5670"/>
              </w:tabs>
              <w:spacing w:before="240" w:after="240"/>
              <w:ind w:firstLine="2887"/>
              <w:jc w:val="center"/>
              <w:outlineLvl w:val="0"/>
              <w:rPr>
                <w:rFonts w:ascii="宋体" w:hAnsi="宋体" w:cs="宋体"/>
                <w:sz w:val="24"/>
                <w:lang w:val="zh-CN"/>
              </w:rPr>
            </w:pPr>
          </w:p>
        </w:tc>
        <w:tc>
          <w:tcPr>
            <w:tcW w:w="1134" w:type="dxa"/>
            <w:tcBorders>
              <w:top w:val="single" w:color="auto" w:sz="6" w:space="0"/>
              <w:left w:val="single" w:color="auto" w:sz="6" w:space="0"/>
              <w:bottom w:val="single" w:color="auto" w:sz="6" w:space="0"/>
              <w:right w:val="single" w:color="auto" w:sz="6" w:space="0"/>
            </w:tcBorders>
          </w:tcPr>
          <w:p w14:paraId="5511FCF3">
            <w:pPr>
              <w:keepNext/>
              <w:tabs>
                <w:tab w:val="left" w:pos="1440"/>
                <w:tab w:val="left" w:pos="5670"/>
              </w:tabs>
              <w:spacing w:before="240" w:after="240"/>
              <w:ind w:firstLine="2887"/>
              <w:jc w:val="center"/>
              <w:outlineLvl w:val="0"/>
              <w:rPr>
                <w:rFonts w:ascii="宋体" w:hAnsi="宋体" w:cs="宋体"/>
                <w:sz w:val="24"/>
                <w:lang w:val="zh-CN"/>
              </w:rPr>
            </w:pPr>
          </w:p>
        </w:tc>
        <w:tc>
          <w:tcPr>
            <w:tcW w:w="1290" w:type="dxa"/>
            <w:tcBorders>
              <w:top w:val="single" w:color="auto" w:sz="6" w:space="0"/>
              <w:left w:val="single" w:color="auto" w:sz="6" w:space="0"/>
              <w:bottom w:val="single" w:color="auto" w:sz="6" w:space="0"/>
              <w:right w:val="single" w:color="auto" w:sz="6" w:space="0"/>
            </w:tcBorders>
            <w:vAlign w:val="center"/>
          </w:tcPr>
          <w:p w14:paraId="780C01F5">
            <w:pPr>
              <w:keepNext/>
              <w:tabs>
                <w:tab w:val="left" w:pos="1440"/>
                <w:tab w:val="left" w:pos="5670"/>
              </w:tabs>
              <w:spacing w:before="240" w:after="240"/>
              <w:ind w:firstLine="2887"/>
              <w:jc w:val="center"/>
              <w:outlineLvl w:val="0"/>
              <w:rPr>
                <w:rFonts w:ascii="宋体" w:hAnsi="宋体" w:cs="宋体"/>
                <w:sz w:val="24"/>
                <w:lang w:val="zh-CN"/>
              </w:rPr>
            </w:pPr>
          </w:p>
        </w:tc>
      </w:tr>
    </w:tbl>
    <w:p w14:paraId="5786B4B6">
      <w:pPr>
        <w:spacing w:line="360" w:lineRule="auto"/>
        <w:rPr>
          <w:rFonts w:ascii="宋体" w:hAnsi="宋体" w:cs="宋体"/>
          <w:sz w:val="24"/>
          <w:lang w:val="zh-CN"/>
        </w:rPr>
      </w:pPr>
    </w:p>
    <w:p w14:paraId="2BF289AB">
      <w:pPr>
        <w:spacing w:line="360" w:lineRule="auto"/>
        <w:rPr>
          <w:rFonts w:ascii="宋体" w:hAnsi="宋体" w:cs="宋体"/>
          <w:sz w:val="24"/>
          <w:lang w:val="zh-CN"/>
        </w:rPr>
      </w:pPr>
      <w:r>
        <w:rPr>
          <w:rFonts w:hint="eastAsia" w:ascii="宋体" w:hAnsi="宋体" w:cs="宋体"/>
          <w:sz w:val="24"/>
          <w:lang w:val="zh-CN"/>
        </w:rPr>
        <w:t>供应商名称：（</w:t>
      </w:r>
      <w:r>
        <w:rPr>
          <w:rFonts w:hint="eastAsia" w:ascii="宋体" w:hAnsi="宋体" w:cs="宋体"/>
          <w:sz w:val="24"/>
        </w:rPr>
        <w:t>加盖电子公章</w:t>
      </w:r>
      <w:r>
        <w:rPr>
          <w:rFonts w:hint="eastAsia" w:ascii="宋体" w:hAnsi="宋体" w:cs="宋体"/>
          <w:sz w:val="24"/>
          <w:lang w:val="zh-CN"/>
        </w:rPr>
        <w:t>）</w:t>
      </w:r>
    </w:p>
    <w:p w14:paraId="46E90B0D">
      <w:pPr>
        <w:spacing w:line="360" w:lineRule="auto"/>
        <w:rPr>
          <w:rFonts w:ascii="宋体" w:hAnsi="宋体" w:cs="宋体"/>
          <w:sz w:val="24"/>
          <w:lang w:val="zh-CN"/>
        </w:rPr>
      </w:pPr>
      <w:r>
        <w:rPr>
          <w:rFonts w:hint="eastAsia" w:ascii="宋体" w:hAnsi="宋体" w:cs="宋体"/>
          <w:sz w:val="24"/>
          <w:lang w:val="zh-CN"/>
        </w:rPr>
        <w:t>说明：</w:t>
      </w:r>
    </w:p>
    <w:p w14:paraId="1F822BB0">
      <w:pPr>
        <w:spacing w:line="360" w:lineRule="auto"/>
        <w:ind w:firstLine="480"/>
        <w:rPr>
          <w:rFonts w:ascii="宋体" w:hAnsi="宋体" w:cs="宋体"/>
          <w:sz w:val="24"/>
          <w:lang w:val="zh-CN"/>
        </w:rPr>
      </w:pPr>
      <w:r>
        <w:rPr>
          <w:rFonts w:hint="eastAsia" w:ascii="宋体" w:hAnsi="宋体" w:cs="宋体"/>
          <w:sz w:val="24"/>
        </w:rPr>
        <w:t>1</w:t>
      </w:r>
      <w:r>
        <w:rPr>
          <w:rFonts w:hint="eastAsia" w:ascii="宋体" w:hAnsi="宋体" w:cs="宋体"/>
          <w:sz w:val="24"/>
          <w:lang w:val="zh-CN"/>
        </w:rPr>
        <w:t>、如果行数不够，请自行增加。</w:t>
      </w:r>
    </w:p>
    <w:p w14:paraId="4479E874">
      <w:pPr>
        <w:spacing w:line="360" w:lineRule="auto"/>
        <w:ind w:firstLine="480"/>
        <w:rPr>
          <w:rFonts w:ascii="宋体" w:hAnsi="宋体" w:cs="宋体"/>
          <w:sz w:val="24"/>
          <w:lang w:val="zh-CN"/>
        </w:rPr>
      </w:pPr>
      <w:r>
        <w:rPr>
          <w:rFonts w:hint="eastAsia" w:ascii="宋体" w:hAnsi="宋体" w:cs="宋体"/>
          <w:sz w:val="24"/>
          <w:lang w:val="zh-CN"/>
        </w:rPr>
        <w:t>2、说明：供应商必须仔细阅读招标文件所有条款，并对所有偏离的条目列入上表，未列入上表的视作供应商完全接受。</w:t>
      </w:r>
    </w:p>
    <w:p w14:paraId="4A709782">
      <w:pPr>
        <w:spacing w:line="360" w:lineRule="auto"/>
        <w:rPr>
          <w:rFonts w:ascii="宋体" w:hAnsi="宋体" w:cs="宋体"/>
          <w:sz w:val="24"/>
        </w:rPr>
      </w:pPr>
    </w:p>
    <w:p w14:paraId="1ED221E6">
      <w:pPr>
        <w:pStyle w:val="3"/>
        <w:spacing w:line="360" w:lineRule="auto"/>
        <w:rPr>
          <w:rFonts w:ascii="宋体" w:hAnsi="宋体" w:eastAsia="宋体" w:cs="宋体"/>
          <w:sz w:val="24"/>
          <w:szCs w:val="24"/>
        </w:rPr>
      </w:pPr>
      <w:r>
        <w:rPr>
          <w:rFonts w:hint="eastAsia" w:ascii="宋体" w:hAnsi="宋体" w:eastAsia="宋体" w:cs="宋体"/>
          <w:sz w:val="24"/>
          <w:szCs w:val="24"/>
          <w:lang w:val="zh-CN"/>
        </w:rPr>
        <w:br w:type="page" w:clear="all"/>
      </w:r>
      <w:bookmarkStart w:id="116" w:name="_Toc33266160"/>
      <w:bookmarkStart w:id="117" w:name="_Toc38721225"/>
      <w:bookmarkStart w:id="118" w:name="_Toc38723697"/>
      <w:bookmarkStart w:id="119" w:name="_Toc13863"/>
      <w:bookmarkStart w:id="120" w:name="_Toc126827499"/>
      <w:bookmarkStart w:id="121" w:name="_Toc119344353"/>
      <w:bookmarkStart w:id="122" w:name="_Toc50974358"/>
      <w:bookmarkStart w:id="123" w:name="_Toc50644497"/>
      <w:r>
        <w:rPr>
          <w:rFonts w:hint="eastAsia" w:ascii="宋体" w:hAnsi="宋体" w:eastAsia="宋体" w:cs="宋体"/>
          <w:sz w:val="24"/>
          <w:szCs w:val="24"/>
        </w:rPr>
        <w:t>附件</w:t>
      </w:r>
      <w:bookmarkEnd w:id="116"/>
      <w:bookmarkEnd w:id="117"/>
      <w:bookmarkEnd w:id="118"/>
      <w:bookmarkStart w:id="124" w:name="_Toc50035738"/>
      <w:r>
        <w:rPr>
          <w:rFonts w:hint="eastAsia" w:ascii="宋体" w:hAnsi="宋体" w:eastAsia="宋体" w:cs="宋体"/>
          <w:sz w:val="24"/>
          <w:szCs w:val="24"/>
          <w:lang w:val="en-US" w:eastAsia="zh-CN"/>
        </w:rPr>
        <w:t>八</w:t>
      </w:r>
      <w:r>
        <w:rPr>
          <w:rFonts w:hint="eastAsia" w:ascii="宋体" w:hAnsi="宋体" w:eastAsia="宋体" w:cs="宋体"/>
          <w:sz w:val="24"/>
          <w:szCs w:val="24"/>
        </w:rPr>
        <w:t>、供应商类似业绩情况表</w:t>
      </w:r>
      <w:bookmarkEnd w:id="119"/>
      <w:bookmarkEnd w:id="120"/>
      <w:bookmarkEnd w:id="121"/>
      <w:bookmarkEnd w:id="124"/>
    </w:p>
    <w:p w14:paraId="473C05FB">
      <w:pPr>
        <w:widowControl/>
        <w:spacing w:line="360" w:lineRule="auto"/>
        <w:jc w:val="center"/>
        <w:rPr>
          <w:rFonts w:ascii="宋体" w:hAnsi="宋体" w:cs="宋体"/>
          <w:b/>
          <w:bCs/>
          <w:sz w:val="24"/>
        </w:rPr>
      </w:pPr>
      <w:r>
        <w:rPr>
          <w:rFonts w:hint="eastAsia" w:ascii="宋体" w:hAnsi="宋体" w:cs="宋体"/>
          <w:b/>
          <w:bCs/>
          <w:sz w:val="24"/>
        </w:rPr>
        <w:t>供应商近年类似业绩情况表</w:t>
      </w:r>
    </w:p>
    <w:p w14:paraId="1C7E01B8">
      <w:pPr>
        <w:widowControl/>
        <w:spacing w:line="360" w:lineRule="auto"/>
        <w:jc w:val="left"/>
        <w:rPr>
          <w:rFonts w:ascii="宋体" w:hAnsi="宋体" w:cs="宋体"/>
          <w:sz w:val="24"/>
          <w:lang w:val="zh-CN"/>
        </w:rPr>
      </w:pPr>
      <w:r>
        <w:rPr>
          <w:rFonts w:hint="eastAsia" w:ascii="宋体" w:hAnsi="宋体" w:cs="宋体"/>
          <w:sz w:val="24"/>
          <w:lang w:val="zh-CN"/>
        </w:rPr>
        <w:t xml:space="preserve">项目名称： </w:t>
      </w:r>
    </w:p>
    <w:p w14:paraId="4BADCC3A">
      <w:pPr>
        <w:spacing w:line="360" w:lineRule="auto"/>
        <w:rPr>
          <w:rFonts w:ascii="宋体" w:hAnsi="宋体" w:cs="宋体"/>
          <w:sz w:val="24"/>
        </w:rPr>
      </w:pPr>
      <w:r>
        <w:rPr>
          <w:rFonts w:hint="eastAsia" w:ascii="宋体" w:hAnsi="宋体" w:cs="宋体"/>
          <w:sz w:val="24"/>
        </w:rPr>
        <w:t>项目</w:t>
      </w:r>
      <w:r>
        <w:rPr>
          <w:rFonts w:hint="eastAsia" w:ascii="宋体" w:hAnsi="宋体" w:cs="宋体"/>
          <w:sz w:val="24"/>
          <w:lang w:val="zh-CN"/>
        </w:rPr>
        <w:t>编号：</w:t>
      </w:r>
    </w:p>
    <w:tbl>
      <w:tblPr>
        <w:tblStyle w:val="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3"/>
        <w:gridCol w:w="1417"/>
        <w:gridCol w:w="1418"/>
        <w:gridCol w:w="1417"/>
        <w:gridCol w:w="1517"/>
        <w:gridCol w:w="1134"/>
        <w:gridCol w:w="794"/>
      </w:tblGrid>
      <w:tr w14:paraId="4D925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3" w:type="dxa"/>
            <w:vAlign w:val="center"/>
          </w:tcPr>
          <w:p w14:paraId="7607C840">
            <w:pPr>
              <w:jc w:val="center"/>
              <w:rPr>
                <w:rFonts w:ascii="宋体" w:hAnsi="宋体" w:cs="宋体"/>
                <w:sz w:val="24"/>
              </w:rPr>
            </w:pPr>
            <w:r>
              <w:rPr>
                <w:rFonts w:hint="eastAsia" w:ascii="宋体" w:hAnsi="宋体" w:cs="宋体"/>
                <w:sz w:val="24"/>
              </w:rPr>
              <w:t>序号</w:t>
            </w:r>
          </w:p>
        </w:tc>
        <w:tc>
          <w:tcPr>
            <w:tcW w:w="1417" w:type="dxa"/>
            <w:vAlign w:val="center"/>
          </w:tcPr>
          <w:p w14:paraId="3CC09F00">
            <w:pPr>
              <w:jc w:val="center"/>
              <w:rPr>
                <w:rFonts w:ascii="宋体" w:hAnsi="宋体" w:cs="宋体"/>
                <w:sz w:val="24"/>
              </w:rPr>
            </w:pPr>
            <w:r>
              <w:rPr>
                <w:rFonts w:hint="eastAsia" w:ascii="宋体" w:hAnsi="宋体" w:cs="宋体"/>
                <w:sz w:val="24"/>
              </w:rPr>
              <w:t>项目名称</w:t>
            </w:r>
          </w:p>
        </w:tc>
        <w:tc>
          <w:tcPr>
            <w:tcW w:w="1418" w:type="dxa"/>
            <w:vAlign w:val="center"/>
          </w:tcPr>
          <w:p w14:paraId="21C18850">
            <w:pPr>
              <w:jc w:val="center"/>
              <w:rPr>
                <w:rFonts w:ascii="宋体" w:hAnsi="宋体" w:cs="宋体"/>
                <w:sz w:val="24"/>
              </w:rPr>
            </w:pPr>
            <w:r>
              <w:rPr>
                <w:rFonts w:hint="eastAsia" w:ascii="宋体" w:hAnsi="宋体" w:cs="宋体"/>
                <w:sz w:val="24"/>
              </w:rPr>
              <w:t>业主单位及联系方式</w:t>
            </w:r>
          </w:p>
        </w:tc>
        <w:tc>
          <w:tcPr>
            <w:tcW w:w="1417" w:type="dxa"/>
            <w:vAlign w:val="center"/>
          </w:tcPr>
          <w:p w14:paraId="350C55B1">
            <w:pPr>
              <w:jc w:val="center"/>
              <w:rPr>
                <w:rFonts w:ascii="宋体" w:hAnsi="宋体" w:cs="宋体"/>
                <w:sz w:val="24"/>
              </w:rPr>
            </w:pPr>
            <w:r>
              <w:rPr>
                <w:rFonts w:hint="eastAsia" w:ascii="宋体" w:hAnsi="宋体" w:cs="宋体"/>
                <w:sz w:val="24"/>
              </w:rPr>
              <w:t>项目合同价</w:t>
            </w:r>
          </w:p>
        </w:tc>
        <w:tc>
          <w:tcPr>
            <w:tcW w:w="1517" w:type="dxa"/>
            <w:vAlign w:val="center"/>
          </w:tcPr>
          <w:p w14:paraId="136EE81C">
            <w:pPr>
              <w:jc w:val="center"/>
              <w:rPr>
                <w:rFonts w:ascii="宋体" w:hAnsi="宋体" w:cs="宋体"/>
                <w:sz w:val="24"/>
              </w:rPr>
            </w:pPr>
            <w:r>
              <w:rPr>
                <w:rFonts w:hint="eastAsia" w:ascii="宋体" w:hAnsi="宋体" w:cs="宋体"/>
                <w:sz w:val="24"/>
              </w:rPr>
              <w:t>项目概况</w:t>
            </w:r>
          </w:p>
        </w:tc>
        <w:tc>
          <w:tcPr>
            <w:tcW w:w="1134" w:type="dxa"/>
            <w:vAlign w:val="center"/>
          </w:tcPr>
          <w:p w14:paraId="369FA5BA">
            <w:pPr>
              <w:jc w:val="center"/>
              <w:rPr>
                <w:rFonts w:ascii="宋体" w:hAnsi="宋体" w:cs="宋体"/>
                <w:sz w:val="24"/>
              </w:rPr>
            </w:pPr>
            <w:r>
              <w:rPr>
                <w:rFonts w:hint="eastAsia" w:ascii="宋体" w:hAnsi="宋体" w:cs="宋体"/>
                <w:sz w:val="24"/>
              </w:rPr>
              <w:t>项目实施期限</w:t>
            </w:r>
          </w:p>
        </w:tc>
        <w:tc>
          <w:tcPr>
            <w:tcW w:w="794" w:type="dxa"/>
            <w:vAlign w:val="center"/>
          </w:tcPr>
          <w:p w14:paraId="78AD3F5A">
            <w:pPr>
              <w:jc w:val="center"/>
              <w:rPr>
                <w:rFonts w:ascii="宋体" w:hAnsi="宋体" w:cs="宋体"/>
                <w:sz w:val="24"/>
              </w:rPr>
            </w:pPr>
            <w:r>
              <w:rPr>
                <w:rFonts w:hint="eastAsia" w:ascii="宋体" w:hAnsi="宋体" w:cs="宋体"/>
                <w:sz w:val="24"/>
              </w:rPr>
              <w:t>备注</w:t>
            </w:r>
          </w:p>
        </w:tc>
      </w:tr>
      <w:tr w14:paraId="54044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3" w:type="dxa"/>
            <w:vAlign w:val="center"/>
          </w:tcPr>
          <w:p w14:paraId="5A10A576">
            <w:pPr>
              <w:spacing w:line="360" w:lineRule="auto"/>
              <w:jc w:val="center"/>
              <w:rPr>
                <w:rFonts w:ascii="宋体" w:hAnsi="宋体" w:cs="宋体"/>
                <w:sz w:val="24"/>
              </w:rPr>
            </w:pPr>
          </w:p>
        </w:tc>
        <w:tc>
          <w:tcPr>
            <w:tcW w:w="1417" w:type="dxa"/>
            <w:vAlign w:val="center"/>
          </w:tcPr>
          <w:p w14:paraId="055DEAF2">
            <w:pPr>
              <w:spacing w:line="360" w:lineRule="auto"/>
              <w:jc w:val="center"/>
              <w:rPr>
                <w:rFonts w:ascii="宋体" w:hAnsi="宋体" w:cs="宋体"/>
                <w:sz w:val="24"/>
              </w:rPr>
            </w:pPr>
          </w:p>
        </w:tc>
        <w:tc>
          <w:tcPr>
            <w:tcW w:w="1418" w:type="dxa"/>
            <w:vAlign w:val="center"/>
          </w:tcPr>
          <w:p w14:paraId="1E2393B5">
            <w:pPr>
              <w:spacing w:line="360" w:lineRule="auto"/>
              <w:ind w:firstLine="120"/>
              <w:jc w:val="center"/>
              <w:rPr>
                <w:rFonts w:ascii="宋体" w:hAnsi="宋体" w:cs="宋体"/>
                <w:sz w:val="24"/>
              </w:rPr>
            </w:pPr>
          </w:p>
        </w:tc>
        <w:tc>
          <w:tcPr>
            <w:tcW w:w="1417" w:type="dxa"/>
            <w:vAlign w:val="center"/>
          </w:tcPr>
          <w:p w14:paraId="0FC4C2A7">
            <w:pPr>
              <w:spacing w:line="360" w:lineRule="auto"/>
              <w:jc w:val="center"/>
              <w:rPr>
                <w:rFonts w:ascii="宋体" w:hAnsi="宋体" w:cs="宋体"/>
                <w:sz w:val="24"/>
              </w:rPr>
            </w:pPr>
          </w:p>
        </w:tc>
        <w:tc>
          <w:tcPr>
            <w:tcW w:w="1517" w:type="dxa"/>
            <w:vAlign w:val="center"/>
          </w:tcPr>
          <w:p w14:paraId="65F53F43">
            <w:pPr>
              <w:spacing w:line="360" w:lineRule="auto"/>
              <w:jc w:val="center"/>
              <w:rPr>
                <w:rFonts w:ascii="宋体" w:hAnsi="宋体" w:cs="宋体"/>
                <w:sz w:val="24"/>
              </w:rPr>
            </w:pPr>
          </w:p>
        </w:tc>
        <w:tc>
          <w:tcPr>
            <w:tcW w:w="1134" w:type="dxa"/>
            <w:vAlign w:val="center"/>
          </w:tcPr>
          <w:p w14:paraId="1C59D7EC">
            <w:pPr>
              <w:spacing w:line="360" w:lineRule="auto"/>
              <w:jc w:val="center"/>
              <w:rPr>
                <w:rFonts w:ascii="宋体" w:hAnsi="宋体" w:cs="宋体"/>
                <w:sz w:val="24"/>
              </w:rPr>
            </w:pPr>
          </w:p>
        </w:tc>
        <w:tc>
          <w:tcPr>
            <w:tcW w:w="794" w:type="dxa"/>
            <w:vAlign w:val="center"/>
          </w:tcPr>
          <w:p w14:paraId="7CB431F0">
            <w:pPr>
              <w:spacing w:line="360" w:lineRule="auto"/>
              <w:jc w:val="center"/>
              <w:rPr>
                <w:rFonts w:ascii="宋体" w:hAnsi="宋体" w:cs="宋体"/>
                <w:sz w:val="24"/>
              </w:rPr>
            </w:pPr>
          </w:p>
        </w:tc>
      </w:tr>
      <w:tr w14:paraId="2CAE5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3" w:type="dxa"/>
            <w:vAlign w:val="center"/>
          </w:tcPr>
          <w:p w14:paraId="04C7C186">
            <w:pPr>
              <w:spacing w:line="360" w:lineRule="auto"/>
              <w:jc w:val="center"/>
              <w:rPr>
                <w:rFonts w:ascii="宋体" w:hAnsi="宋体" w:cs="宋体"/>
                <w:sz w:val="24"/>
              </w:rPr>
            </w:pPr>
          </w:p>
        </w:tc>
        <w:tc>
          <w:tcPr>
            <w:tcW w:w="1417" w:type="dxa"/>
            <w:vAlign w:val="center"/>
          </w:tcPr>
          <w:p w14:paraId="18FB07EA">
            <w:pPr>
              <w:spacing w:line="360" w:lineRule="auto"/>
              <w:jc w:val="center"/>
              <w:rPr>
                <w:rFonts w:ascii="宋体" w:hAnsi="宋体" w:cs="宋体"/>
                <w:sz w:val="24"/>
              </w:rPr>
            </w:pPr>
          </w:p>
        </w:tc>
        <w:tc>
          <w:tcPr>
            <w:tcW w:w="1418" w:type="dxa"/>
            <w:vAlign w:val="center"/>
          </w:tcPr>
          <w:p w14:paraId="44FA76A6">
            <w:pPr>
              <w:spacing w:line="360" w:lineRule="auto"/>
              <w:jc w:val="center"/>
              <w:rPr>
                <w:rFonts w:ascii="宋体" w:hAnsi="宋体" w:cs="宋体"/>
                <w:sz w:val="24"/>
              </w:rPr>
            </w:pPr>
          </w:p>
        </w:tc>
        <w:tc>
          <w:tcPr>
            <w:tcW w:w="1417" w:type="dxa"/>
            <w:vAlign w:val="center"/>
          </w:tcPr>
          <w:p w14:paraId="40E67705">
            <w:pPr>
              <w:spacing w:line="360" w:lineRule="auto"/>
              <w:jc w:val="center"/>
              <w:rPr>
                <w:rFonts w:ascii="宋体" w:hAnsi="宋体" w:cs="宋体"/>
                <w:sz w:val="24"/>
              </w:rPr>
            </w:pPr>
          </w:p>
        </w:tc>
        <w:tc>
          <w:tcPr>
            <w:tcW w:w="1517" w:type="dxa"/>
            <w:vAlign w:val="center"/>
          </w:tcPr>
          <w:p w14:paraId="75E4CA57">
            <w:pPr>
              <w:spacing w:line="360" w:lineRule="auto"/>
              <w:jc w:val="center"/>
              <w:rPr>
                <w:rFonts w:ascii="宋体" w:hAnsi="宋体" w:cs="宋体"/>
                <w:sz w:val="24"/>
              </w:rPr>
            </w:pPr>
          </w:p>
        </w:tc>
        <w:tc>
          <w:tcPr>
            <w:tcW w:w="1134" w:type="dxa"/>
            <w:vAlign w:val="center"/>
          </w:tcPr>
          <w:p w14:paraId="35114DAE">
            <w:pPr>
              <w:spacing w:line="360" w:lineRule="auto"/>
              <w:jc w:val="center"/>
              <w:rPr>
                <w:rFonts w:ascii="宋体" w:hAnsi="宋体" w:cs="宋体"/>
                <w:sz w:val="24"/>
              </w:rPr>
            </w:pPr>
          </w:p>
        </w:tc>
        <w:tc>
          <w:tcPr>
            <w:tcW w:w="794" w:type="dxa"/>
            <w:vAlign w:val="center"/>
          </w:tcPr>
          <w:p w14:paraId="59F909E4">
            <w:pPr>
              <w:spacing w:line="360" w:lineRule="auto"/>
              <w:jc w:val="center"/>
              <w:rPr>
                <w:rFonts w:ascii="宋体" w:hAnsi="宋体" w:cs="宋体"/>
                <w:sz w:val="24"/>
              </w:rPr>
            </w:pPr>
          </w:p>
        </w:tc>
      </w:tr>
      <w:tr w14:paraId="14B0B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3" w:type="dxa"/>
            <w:vAlign w:val="center"/>
          </w:tcPr>
          <w:p w14:paraId="135084ED">
            <w:pPr>
              <w:spacing w:line="360" w:lineRule="auto"/>
              <w:jc w:val="center"/>
              <w:rPr>
                <w:rFonts w:ascii="宋体" w:hAnsi="宋体" w:cs="宋体"/>
                <w:sz w:val="24"/>
              </w:rPr>
            </w:pPr>
          </w:p>
        </w:tc>
        <w:tc>
          <w:tcPr>
            <w:tcW w:w="1417" w:type="dxa"/>
            <w:vAlign w:val="center"/>
          </w:tcPr>
          <w:p w14:paraId="0945CE77">
            <w:pPr>
              <w:spacing w:line="360" w:lineRule="auto"/>
              <w:jc w:val="center"/>
              <w:rPr>
                <w:rFonts w:ascii="宋体" w:hAnsi="宋体" w:cs="宋体"/>
                <w:sz w:val="24"/>
              </w:rPr>
            </w:pPr>
          </w:p>
        </w:tc>
        <w:tc>
          <w:tcPr>
            <w:tcW w:w="1418" w:type="dxa"/>
            <w:vAlign w:val="center"/>
          </w:tcPr>
          <w:p w14:paraId="4C5396F5">
            <w:pPr>
              <w:spacing w:line="360" w:lineRule="auto"/>
              <w:jc w:val="center"/>
              <w:rPr>
                <w:rFonts w:ascii="宋体" w:hAnsi="宋体" w:cs="宋体"/>
                <w:sz w:val="24"/>
              </w:rPr>
            </w:pPr>
          </w:p>
        </w:tc>
        <w:tc>
          <w:tcPr>
            <w:tcW w:w="1417" w:type="dxa"/>
            <w:vAlign w:val="center"/>
          </w:tcPr>
          <w:p w14:paraId="2A1F236B">
            <w:pPr>
              <w:spacing w:line="360" w:lineRule="auto"/>
              <w:jc w:val="center"/>
              <w:rPr>
                <w:rFonts w:ascii="宋体" w:hAnsi="宋体" w:cs="宋体"/>
                <w:sz w:val="24"/>
              </w:rPr>
            </w:pPr>
          </w:p>
        </w:tc>
        <w:tc>
          <w:tcPr>
            <w:tcW w:w="1517" w:type="dxa"/>
            <w:vAlign w:val="center"/>
          </w:tcPr>
          <w:p w14:paraId="521C9966">
            <w:pPr>
              <w:spacing w:line="360" w:lineRule="auto"/>
              <w:jc w:val="center"/>
              <w:rPr>
                <w:rFonts w:ascii="宋体" w:hAnsi="宋体" w:cs="宋体"/>
                <w:sz w:val="24"/>
              </w:rPr>
            </w:pPr>
          </w:p>
        </w:tc>
        <w:tc>
          <w:tcPr>
            <w:tcW w:w="1134" w:type="dxa"/>
            <w:vAlign w:val="center"/>
          </w:tcPr>
          <w:p w14:paraId="1B45E69D">
            <w:pPr>
              <w:spacing w:line="360" w:lineRule="auto"/>
              <w:jc w:val="center"/>
              <w:rPr>
                <w:rFonts w:ascii="宋体" w:hAnsi="宋体" w:cs="宋体"/>
                <w:sz w:val="24"/>
              </w:rPr>
            </w:pPr>
          </w:p>
        </w:tc>
        <w:tc>
          <w:tcPr>
            <w:tcW w:w="794" w:type="dxa"/>
            <w:vAlign w:val="center"/>
          </w:tcPr>
          <w:p w14:paraId="202249A1">
            <w:pPr>
              <w:spacing w:line="360" w:lineRule="auto"/>
              <w:jc w:val="center"/>
              <w:rPr>
                <w:rFonts w:ascii="宋体" w:hAnsi="宋体" w:cs="宋体"/>
                <w:sz w:val="24"/>
              </w:rPr>
            </w:pPr>
          </w:p>
        </w:tc>
      </w:tr>
      <w:tr w14:paraId="7C2BE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3" w:type="dxa"/>
            <w:vAlign w:val="center"/>
          </w:tcPr>
          <w:p w14:paraId="2F3DE97B">
            <w:pPr>
              <w:spacing w:line="360" w:lineRule="auto"/>
              <w:jc w:val="center"/>
              <w:rPr>
                <w:rFonts w:ascii="宋体" w:hAnsi="宋体" w:cs="宋体"/>
                <w:sz w:val="24"/>
              </w:rPr>
            </w:pPr>
          </w:p>
        </w:tc>
        <w:tc>
          <w:tcPr>
            <w:tcW w:w="1417" w:type="dxa"/>
            <w:vAlign w:val="center"/>
          </w:tcPr>
          <w:p w14:paraId="730150EA">
            <w:pPr>
              <w:spacing w:line="360" w:lineRule="auto"/>
              <w:jc w:val="center"/>
              <w:rPr>
                <w:rFonts w:ascii="宋体" w:hAnsi="宋体" w:cs="宋体"/>
                <w:sz w:val="24"/>
              </w:rPr>
            </w:pPr>
          </w:p>
        </w:tc>
        <w:tc>
          <w:tcPr>
            <w:tcW w:w="1418" w:type="dxa"/>
            <w:vAlign w:val="center"/>
          </w:tcPr>
          <w:p w14:paraId="58D2A2CD">
            <w:pPr>
              <w:spacing w:line="360" w:lineRule="auto"/>
              <w:jc w:val="center"/>
              <w:rPr>
                <w:rFonts w:ascii="宋体" w:hAnsi="宋体" w:cs="宋体"/>
                <w:sz w:val="24"/>
              </w:rPr>
            </w:pPr>
          </w:p>
        </w:tc>
        <w:tc>
          <w:tcPr>
            <w:tcW w:w="1417" w:type="dxa"/>
            <w:vAlign w:val="center"/>
          </w:tcPr>
          <w:p w14:paraId="6883E39B">
            <w:pPr>
              <w:spacing w:line="360" w:lineRule="auto"/>
              <w:jc w:val="center"/>
              <w:rPr>
                <w:rFonts w:ascii="宋体" w:hAnsi="宋体" w:cs="宋体"/>
                <w:sz w:val="24"/>
              </w:rPr>
            </w:pPr>
          </w:p>
        </w:tc>
        <w:tc>
          <w:tcPr>
            <w:tcW w:w="1517" w:type="dxa"/>
            <w:vAlign w:val="center"/>
          </w:tcPr>
          <w:p w14:paraId="269FFB72">
            <w:pPr>
              <w:spacing w:line="360" w:lineRule="auto"/>
              <w:jc w:val="center"/>
              <w:rPr>
                <w:rFonts w:ascii="宋体" w:hAnsi="宋体" w:cs="宋体"/>
                <w:sz w:val="24"/>
              </w:rPr>
            </w:pPr>
          </w:p>
        </w:tc>
        <w:tc>
          <w:tcPr>
            <w:tcW w:w="1134" w:type="dxa"/>
            <w:vAlign w:val="center"/>
          </w:tcPr>
          <w:p w14:paraId="4F7CBB21">
            <w:pPr>
              <w:spacing w:line="360" w:lineRule="auto"/>
              <w:jc w:val="center"/>
              <w:rPr>
                <w:rFonts w:ascii="宋体" w:hAnsi="宋体" w:cs="宋体"/>
                <w:sz w:val="24"/>
              </w:rPr>
            </w:pPr>
          </w:p>
        </w:tc>
        <w:tc>
          <w:tcPr>
            <w:tcW w:w="794" w:type="dxa"/>
            <w:vAlign w:val="center"/>
          </w:tcPr>
          <w:p w14:paraId="3836D128">
            <w:pPr>
              <w:spacing w:line="360" w:lineRule="auto"/>
              <w:jc w:val="center"/>
              <w:rPr>
                <w:rFonts w:ascii="宋体" w:hAnsi="宋体" w:cs="宋体"/>
                <w:sz w:val="24"/>
              </w:rPr>
            </w:pPr>
          </w:p>
        </w:tc>
      </w:tr>
      <w:tr w14:paraId="0ED60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3" w:type="dxa"/>
            <w:vAlign w:val="center"/>
          </w:tcPr>
          <w:p w14:paraId="0C1689CC">
            <w:pPr>
              <w:spacing w:line="360" w:lineRule="auto"/>
              <w:jc w:val="center"/>
              <w:rPr>
                <w:rFonts w:ascii="宋体" w:hAnsi="宋体" w:cs="宋体"/>
                <w:sz w:val="24"/>
              </w:rPr>
            </w:pPr>
          </w:p>
        </w:tc>
        <w:tc>
          <w:tcPr>
            <w:tcW w:w="1417" w:type="dxa"/>
            <w:vAlign w:val="center"/>
          </w:tcPr>
          <w:p w14:paraId="77EEDE89">
            <w:pPr>
              <w:spacing w:line="360" w:lineRule="auto"/>
              <w:jc w:val="center"/>
              <w:rPr>
                <w:rFonts w:ascii="宋体" w:hAnsi="宋体" w:cs="宋体"/>
                <w:sz w:val="24"/>
              </w:rPr>
            </w:pPr>
          </w:p>
        </w:tc>
        <w:tc>
          <w:tcPr>
            <w:tcW w:w="1418" w:type="dxa"/>
            <w:vAlign w:val="center"/>
          </w:tcPr>
          <w:p w14:paraId="3DC11936">
            <w:pPr>
              <w:spacing w:line="360" w:lineRule="auto"/>
              <w:jc w:val="center"/>
              <w:rPr>
                <w:rFonts w:ascii="宋体" w:hAnsi="宋体" w:cs="宋体"/>
                <w:sz w:val="24"/>
              </w:rPr>
            </w:pPr>
          </w:p>
        </w:tc>
        <w:tc>
          <w:tcPr>
            <w:tcW w:w="1417" w:type="dxa"/>
            <w:vAlign w:val="center"/>
          </w:tcPr>
          <w:p w14:paraId="779383C9">
            <w:pPr>
              <w:spacing w:line="360" w:lineRule="auto"/>
              <w:jc w:val="center"/>
              <w:rPr>
                <w:rFonts w:ascii="宋体" w:hAnsi="宋体" w:cs="宋体"/>
                <w:sz w:val="24"/>
              </w:rPr>
            </w:pPr>
          </w:p>
        </w:tc>
        <w:tc>
          <w:tcPr>
            <w:tcW w:w="1517" w:type="dxa"/>
            <w:vAlign w:val="center"/>
          </w:tcPr>
          <w:p w14:paraId="09D4F052">
            <w:pPr>
              <w:spacing w:line="360" w:lineRule="auto"/>
              <w:jc w:val="center"/>
              <w:rPr>
                <w:rFonts w:ascii="宋体" w:hAnsi="宋体" w:cs="宋体"/>
                <w:sz w:val="24"/>
              </w:rPr>
            </w:pPr>
          </w:p>
        </w:tc>
        <w:tc>
          <w:tcPr>
            <w:tcW w:w="1134" w:type="dxa"/>
            <w:vAlign w:val="center"/>
          </w:tcPr>
          <w:p w14:paraId="0E0AF684">
            <w:pPr>
              <w:spacing w:line="360" w:lineRule="auto"/>
              <w:jc w:val="center"/>
              <w:rPr>
                <w:rFonts w:ascii="宋体" w:hAnsi="宋体" w:cs="宋体"/>
                <w:sz w:val="24"/>
              </w:rPr>
            </w:pPr>
          </w:p>
        </w:tc>
        <w:tc>
          <w:tcPr>
            <w:tcW w:w="794" w:type="dxa"/>
            <w:vAlign w:val="center"/>
          </w:tcPr>
          <w:p w14:paraId="77B0A51B">
            <w:pPr>
              <w:spacing w:line="360" w:lineRule="auto"/>
              <w:jc w:val="center"/>
              <w:rPr>
                <w:rFonts w:ascii="宋体" w:hAnsi="宋体" w:cs="宋体"/>
                <w:sz w:val="24"/>
              </w:rPr>
            </w:pPr>
          </w:p>
        </w:tc>
      </w:tr>
      <w:tr w14:paraId="0B31A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3" w:type="dxa"/>
            <w:vAlign w:val="center"/>
          </w:tcPr>
          <w:p w14:paraId="493190D0">
            <w:pPr>
              <w:spacing w:line="360" w:lineRule="auto"/>
              <w:jc w:val="center"/>
              <w:rPr>
                <w:rFonts w:ascii="宋体" w:hAnsi="宋体" w:cs="宋体"/>
                <w:sz w:val="24"/>
              </w:rPr>
            </w:pPr>
          </w:p>
        </w:tc>
        <w:tc>
          <w:tcPr>
            <w:tcW w:w="1417" w:type="dxa"/>
            <w:vAlign w:val="center"/>
          </w:tcPr>
          <w:p w14:paraId="03A1AA02">
            <w:pPr>
              <w:spacing w:line="360" w:lineRule="auto"/>
              <w:jc w:val="center"/>
              <w:rPr>
                <w:rFonts w:ascii="宋体" w:hAnsi="宋体" w:cs="宋体"/>
                <w:sz w:val="24"/>
              </w:rPr>
            </w:pPr>
          </w:p>
        </w:tc>
        <w:tc>
          <w:tcPr>
            <w:tcW w:w="1418" w:type="dxa"/>
            <w:vAlign w:val="center"/>
          </w:tcPr>
          <w:p w14:paraId="7784194D">
            <w:pPr>
              <w:spacing w:line="360" w:lineRule="auto"/>
              <w:jc w:val="center"/>
              <w:rPr>
                <w:rFonts w:ascii="宋体" w:hAnsi="宋体" w:cs="宋体"/>
                <w:sz w:val="24"/>
              </w:rPr>
            </w:pPr>
          </w:p>
        </w:tc>
        <w:tc>
          <w:tcPr>
            <w:tcW w:w="1417" w:type="dxa"/>
            <w:vAlign w:val="center"/>
          </w:tcPr>
          <w:p w14:paraId="163A849E">
            <w:pPr>
              <w:spacing w:line="360" w:lineRule="auto"/>
              <w:jc w:val="center"/>
              <w:rPr>
                <w:rFonts w:ascii="宋体" w:hAnsi="宋体" w:cs="宋体"/>
                <w:sz w:val="24"/>
              </w:rPr>
            </w:pPr>
          </w:p>
        </w:tc>
        <w:tc>
          <w:tcPr>
            <w:tcW w:w="1517" w:type="dxa"/>
            <w:vAlign w:val="center"/>
          </w:tcPr>
          <w:p w14:paraId="61512A4D">
            <w:pPr>
              <w:spacing w:line="360" w:lineRule="auto"/>
              <w:jc w:val="center"/>
              <w:rPr>
                <w:rFonts w:ascii="宋体" w:hAnsi="宋体" w:cs="宋体"/>
                <w:sz w:val="24"/>
              </w:rPr>
            </w:pPr>
          </w:p>
        </w:tc>
        <w:tc>
          <w:tcPr>
            <w:tcW w:w="1134" w:type="dxa"/>
            <w:vAlign w:val="center"/>
          </w:tcPr>
          <w:p w14:paraId="78A9BAC0">
            <w:pPr>
              <w:spacing w:line="360" w:lineRule="auto"/>
              <w:jc w:val="center"/>
              <w:rPr>
                <w:rFonts w:ascii="宋体" w:hAnsi="宋体" w:cs="宋体"/>
                <w:sz w:val="24"/>
              </w:rPr>
            </w:pPr>
          </w:p>
        </w:tc>
        <w:tc>
          <w:tcPr>
            <w:tcW w:w="794" w:type="dxa"/>
            <w:vAlign w:val="center"/>
          </w:tcPr>
          <w:p w14:paraId="6BE85604">
            <w:pPr>
              <w:spacing w:line="360" w:lineRule="auto"/>
              <w:jc w:val="center"/>
              <w:rPr>
                <w:rFonts w:ascii="宋体" w:hAnsi="宋体" w:cs="宋体"/>
                <w:sz w:val="24"/>
              </w:rPr>
            </w:pPr>
          </w:p>
        </w:tc>
      </w:tr>
      <w:tr w14:paraId="1AB45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3" w:type="dxa"/>
            <w:vAlign w:val="center"/>
          </w:tcPr>
          <w:p w14:paraId="47284295">
            <w:pPr>
              <w:spacing w:line="360" w:lineRule="auto"/>
              <w:jc w:val="center"/>
              <w:rPr>
                <w:rFonts w:ascii="宋体" w:hAnsi="宋体" w:cs="宋体"/>
                <w:sz w:val="24"/>
              </w:rPr>
            </w:pPr>
          </w:p>
        </w:tc>
        <w:tc>
          <w:tcPr>
            <w:tcW w:w="1417" w:type="dxa"/>
            <w:vAlign w:val="center"/>
          </w:tcPr>
          <w:p w14:paraId="2D1A3DD9">
            <w:pPr>
              <w:spacing w:line="360" w:lineRule="auto"/>
              <w:jc w:val="center"/>
              <w:rPr>
                <w:rFonts w:ascii="宋体" w:hAnsi="宋体" w:cs="宋体"/>
                <w:sz w:val="24"/>
              </w:rPr>
            </w:pPr>
          </w:p>
        </w:tc>
        <w:tc>
          <w:tcPr>
            <w:tcW w:w="1418" w:type="dxa"/>
            <w:vAlign w:val="center"/>
          </w:tcPr>
          <w:p w14:paraId="3939D9D9">
            <w:pPr>
              <w:spacing w:line="360" w:lineRule="auto"/>
              <w:jc w:val="center"/>
              <w:rPr>
                <w:rFonts w:ascii="宋体" w:hAnsi="宋体" w:cs="宋体"/>
                <w:sz w:val="24"/>
              </w:rPr>
            </w:pPr>
          </w:p>
        </w:tc>
        <w:tc>
          <w:tcPr>
            <w:tcW w:w="1417" w:type="dxa"/>
            <w:vAlign w:val="center"/>
          </w:tcPr>
          <w:p w14:paraId="60E64562">
            <w:pPr>
              <w:spacing w:line="360" w:lineRule="auto"/>
              <w:jc w:val="center"/>
              <w:rPr>
                <w:rFonts w:ascii="宋体" w:hAnsi="宋体" w:cs="宋体"/>
                <w:sz w:val="24"/>
              </w:rPr>
            </w:pPr>
          </w:p>
        </w:tc>
        <w:tc>
          <w:tcPr>
            <w:tcW w:w="1517" w:type="dxa"/>
            <w:vAlign w:val="center"/>
          </w:tcPr>
          <w:p w14:paraId="7A338850">
            <w:pPr>
              <w:spacing w:line="360" w:lineRule="auto"/>
              <w:jc w:val="center"/>
              <w:rPr>
                <w:rFonts w:ascii="宋体" w:hAnsi="宋体" w:cs="宋体"/>
                <w:sz w:val="24"/>
              </w:rPr>
            </w:pPr>
          </w:p>
        </w:tc>
        <w:tc>
          <w:tcPr>
            <w:tcW w:w="1134" w:type="dxa"/>
            <w:vAlign w:val="center"/>
          </w:tcPr>
          <w:p w14:paraId="6A4F99FD">
            <w:pPr>
              <w:spacing w:line="360" w:lineRule="auto"/>
              <w:jc w:val="center"/>
              <w:rPr>
                <w:rFonts w:ascii="宋体" w:hAnsi="宋体" w:cs="宋体"/>
                <w:sz w:val="24"/>
              </w:rPr>
            </w:pPr>
          </w:p>
        </w:tc>
        <w:tc>
          <w:tcPr>
            <w:tcW w:w="794" w:type="dxa"/>
            <w:vAlign w:val="center"/>
          </w:tcPr>
          <w:p w14:paraId="4B32D40A">
            <w:pPr>
              <w:spacing w:line="360" w:lineRule="auto"/>
              <w:jc w:val="center"/>
              <w:rPr>
                <w:rFonts w:ascii="宋体" w:hAnsi="宋体" w:cs="宋体"/>
                <w:sz w:val="24"/>
              </w:rPr>
            </w:pPr>
          </w:p>
        </w:tc>
      </w:tr>
      <w:tr w14:paraId="19D50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3" w:type="dxa"/>
            <w:vAlign w:val="center"/>
          </w:tcPr>
          <w:p w14:paraId="17E76837">
            <w:pPr>
              <w:spacing w:line="360" w:lineRule="auto"/>
              <w:jc w:val="center"/>
              <w:rPr>
                <w:rFonts w:ascii="宋体" w:hAnsi="宋体" w:cs="宋体"/>
                <w:sz w:val="24"/>
              </w:rPr>
            </w:pPr>
          </w:p>
        </w:tc>
        <w:tc>
          <w:tcPr>
            <w:tcW w:w="1417" w:type="dxa"/>
            <w:vAlign w:val="center"/>
          </w:tcPr>
          <w:p w14:paraId="6C630345">
            <w:pPr>
              <w:spacing w:line="360" w:lineRule="auto"/>
              <w:jc w:val="center"/>
              <w:rPr>
                <w:rFonts w:ascii="宋体" w:hAnsi="宋体" w:cs="宋体"/>
                <w:sz w:val="24"/>
              </w:rPr>
            </w:pPr>
          </w:p>
        </w:tc>
        <w:tc>
          <w:tcPr>
            <w:tcW w:w="1418" w:type="dxa"/>
            <w:vAlign w:val="center"/>
          </w:tcPr>
          <w:p w14:paraId="59CB6D87">
            <w:pPr>
              <w:spacing w:line="360" w:lineRule="auto"/>
              <w:jc w:val="center"/>
              <w:rPr>
                <w:rFonts w:ascii="宋体" w:hAnsi="宋体" w:cs="宋体"/>
                <w:sz w:val="24"/>
              </w:rPr>
            </w:pPr>
          </w:p>
        </w:tc>
        <w:tc>
          <w:tcPr>
            <w:tcW w:w="1417" w:type="dxa"/>
            <w:vAlign w:val="center"/>
          </w:tcPr>
          <w:p w14:paraId="41B69DAF">
            <w:pPr>
              <w:spacing w:line="360" w:lineRule="auto"/>
              <w:jc w:val="center"/>
              <w:rPr>
                <w:rFonts w:ascii="宋体" w:hAnsi="宋体" w:cs="宋体"/>
                <w:sz w:val="24"/>
              </w:rPr>
            </w:pPr>
          </w:p>
        </w:tc>
        <w:tc>
          <w:tcPr>
            <w:tcW w:w="1517" w:type="dxa"/>
            <w:vAlign w:val="center"/>
          </w:tcPr>
          <w:p w14:paraId="2DF9905E">
            <w:pPr>
              <w:spacing w:line="360" w:lineRule="auto"/>
              <w:jc w:val="center"/>
              <w:rPr>
                <w:rFonts w:ascii="宋体" w:hAnsi="宋体" w:cs="宋体"/>
                <w:sz w:val="24"/>
              </w:rPr>
            </w:pPr>
          </w:p>
        </w:tc>
        <w:tc>
          <w:tcPr>
            <w:tcW w:w="1134" w:type="dxa"/>
            <w:vAlign w:val="center"/>
          </w:tcPr>
          <w:p w14:paraId="13CE3250">
            <w:pPr>
              <w:spacing w:line="360" w:lineRule="auto"/>
              <w:jc w:val="center"/>
              <w:rPr>
                <w:rFonts w:ascii="宋体" w:hAnsi="宋体" w:cs="宋体"/>
                <w:sz w:val="24"/>
              </w:rPr>
            </w:pPr>
          </w:p>
        </w:tc>
        <w:tc>
          <w:tcPr>
            <w:tcW w:w="794" w:type="dxa"/>
            <w:vAlign w:val="center"/>
          </w:tcPr>
          <w:p w14:paraId="041A888A">
            <w:pPr>
              <w:spacing w:line="360" w:lineRule="auto"/>
              <w:jc w:val="center"/>
              <w:rPr>
                <w:rFonts w:ascii="宋体" w:hAnsi="宋体" w:cs="宋体"/>
                <w:sz w:val="24"/>
              </w:rPr>
            </w:pPr>
          </w:p>
        </w:tc>
      </w:tr>
    </w:tbl>
    <w:p w14:paraId="382D57CF">
      <w:pPr>
        <w:spacing w:line="360" w:lineRule="auto"/>
        <w:ind w:firstLine="602"/>
        <w:rPr>
          <w:rFonts w:ascii="宋体" w:hAnsi="宋体" w:cs="宋体"/>
          <w:b/>
          <w:sz w:val="24"/>
        </w:rPr>
      </w:pPr>
    </w:p>
    <w:p w14:paraId="2EC29EE3">
      <w:pPr>
        <w:spacing w:line="360" w:lineRule="auto"/>
        <w:rPr>
          <w:rFonts w:ascii="宋体" w:hAnsi="宋体" w:cs="宋体"/>
          <w:sz w:val="24"/>
          <w:lang w:val="zh-CN"/>
        </w:rPr>
      </w:pPr>
      <w:r>
        <w:rPr>
          <w:rFonts w:hint="eastAsia" w:ascii="宋体" w:hAnsi="宋体" w:cs="宋体"/>
          <w:sz w:val="24"/>
          <w:lang w:val="zh-CN"/>
        </w:rPr>
        <w:t>供应商名称：（</w:t>
      </w:r>
      <w:r>
        <w:rPr>
          <w:rFonts w:hint="eastAsia" w:ascii="宋体" w:hAnsi="宋体" w:cs="宋体"/>
          <w:sz w:val="24"/>
        </w:rPr>
        <w:t>加盖电子公章</w:t>
      </w:r>
      <w:r>
        <w:rPr>
          <w:rFonts w:hint="eastAsia" w:ascii="宋体" w:hAnsi="宋体" w:cs="宋体"/>
          <w:sz w:val="24"/>
          <w:lang w:val="zh-CN"/>
        </w:rPr>
        <w:t>）</w:t>
      </w:r>
    </w:p>
    <w:p w14:paraId="40389056">
      <w:pPr>
        <w:spacing w:line="360" w:lineRule="auto"/>
        <w:rPr>
          <w:rFonts w:ascii="宋体" w:hAnsi="宋体" w:cs="宋体"/>
          <w:b/>
          <w:sz w:val="24"/>
        </w:rPr>
      </w:pPr>
      <w:r>
        <w:rPr>
          <w:rFonts w:hint="eastAsia" w:ascii="宋体" w:hAnsi="宋体" w:cs="宋体"/>
          <w:b/>
          <w:sz w:val="24"/>
        </w:rPr>
        <w:t>说明：请供应商根据本格式要求如实填写业绩情况表，并附相关证明。</w:t>
      </w:r>
    </w:p>
    <w:p w14:paraId="706F44F9">
      <w:pPr>
        <w:ind w:firstLine="600"/>
        <w:rPr>
          <w:rFonts w:ascii="宋体" w:hAnsi="宋体" w:cs="宋体"/>
        </w:rPr>
      </w:pPr>
    </w:p>
    <w:p w14:paraId="2C0B64FB">
      <w:pPr>
        <w:spacing w:line="360" w:lineRule="auto"/>
        <w:rPr>
          <w:rFonts w:ascii="宋体" w:hAnsi="宋体" w:cs="宋体"/>
          <w:sz w:val="24"/>
        </w:rPr>
      </w:pPr>
      <w:r>
        <w:rPr>
          <w:rFonts w:hint="eastAsia" w:ascii="宋体" w:hAnsi="宋体" w:eastAsia="宋体" w:cs="宋体"/>
        </w:rPr>
        <w:br w:type="page" w:clear="all"/>
      </w:r>
      <w:bookmarkEnd w:id="122"/>
      <w:bookmarkEnd w:id="123"/>
    </w:p>
    <w:p w14:paraId="54F83EFA">
      <w:pPr>
        <w:pStyle w:val="3"/>
        <w:spacing w:line="360" w:lineRule="auto"/>
        <w:rPr>
          <w:rFonts w:ascii="宋体" w:hAnsi="宋体" w:eastAsia="宋体" w:cs="宋体"/>
          <w:sz w:val="24"/>
          <w:szCs w:val="24"/>
        </w:rPr>
      </w:pPr>
      <w:bookmarkStart w:id="125" w:name="_Toc50974361"/>
      <w:bookmarkStart w:id="126" w:name="_Toc33266163"/>
      <w:bookmarkStart w:id="127" w:name="_Toc38721228"/>
      <w:bookmarkStart w:id="128" w:name="_Toc50644500"/>
      <w:bookmarkStart w:id="129" w:name="_Toc38723700"/>
      <w:r>
        <w:rPr>
          <w:rFonts w:hint="eastAsia" w:ascii="宋体" w:hAnsi="宋体" w:eastAsia="宋体" w:cs="宋体"/>
          <w:sz w:val="24"/>
          <w:szCs w:val="24"/>
        </w:rPr>
        <w:t>附件</w:t>
      </w:r>
      <w:r>
        <w:rPr>
          <w:rFonts w:hint="eastAsia" w:ascii="宋体" w:hAnsi="宋体" w:eastAsia="宋体" w:cs="宋体"/>
          <w:sz w:val="24"/>
          <w:szCs w:val="24"/>
          <w:lang w:val="en-US" w:eastAsia="zh-CN"/>
        </w:rPr>
        <w:t>九</w:t>
      </w:r>
      <w:r>
        <w:rPr>
          <w:rFonts w:hint="eastAsia" w:ascii="宋体" w:hAnsi="宋体" w:eastAsia="宋体" w:cs="宋体"/>
          <w:sz w:val="24"/>
          <w:szCs w:val="24"/>
        </w:rPr>
        <w:t>、公开招标文件要求或供应商认为投标需要的其他证明文件及材料</w:t>
      </w:r>
    </w:p>
    <w:p w14:paraId="5CF5EC15">
      <w:pPr>
        <w:spacing w:line="360" w:lineRule="auto"/>
        <w:rPr>
          <w:rStyle w:val="220"/>
          <w:rFonts w:ascii="宋体" w:hAnsi="宋体" w:cs="宋体"/>
          <w:szCs w:val="24"/>
        </w:rPr>
      </w:pPr>
      <w:r>
        <w:rPr>
          <w:rFonts w:hint="eastAsia" w:ascii="宋体" w:hAnsi="宋体" w:cs="宋体"/>
          <w:sz w:val="24"/>
        </w:rPr>
        <w:br w:type="page" w:clear="all"/>
      </w:r>
      <w:bookmarkStart w:id="130" w:name="_Toc132279691"/>
      <w:bookmarkStart w:id="131" w:name="_Toc19993"/>
      <w:bookmarkStart w:id="132" w:name="_Toc25944"/>
      <w:bookmarkStart w:id="133" w:name="_Toc126065763"/>
      <w:bookmarkStart w:id="134" w:name="_Toc99466368"/>
      <w:bookmarkStart w:id="135" w:name="_Toc108793404"/>
      <w:bookmarkStart w:id="136" w:name="_Toc120873495"/>
      <w:bookmarkStart w:id="137" w:name="_Toc132279719"/>
      <w:r>
        <w:rPr>
          <w:rFonts w:hint="eastAsia" w:ascii="宋体" w:hAnsi="宋体" w:cs="宋体"/>
          <w:b/>
          <w:bCs/>
          <w:sz w:val="24"/>
        </w:rPr>
        <w:t>附件十、供应商资格承诺函</w:t>
      </w:r>
      <w:bookmarkEnd w:id="130"/>
      <w:bookmarkEnd w:id="131"/>
      <w:bookmarkEnd w:id="132"/>
      <w:bookmarkEnd w:id="133"/>
      <w:bookmarkEnd w:id="134"/>
      <w:bookmarkEnd w:id="135"/>
      <w:bookmarkEnd w:id="136"/>
      <w:bookmarkEnd w:id="137"/>
    </w:p>
    <w:p w14:paraId="125928A1">
      <w:pPr>
        <w:spacing w:line="360" w:lineRule="auto"/>
        <w:jc w:val="center"/>
        <w:rPr>
          <w:rFonts w:ascii="宋体" w:hAnsi="宋体" w:cs="宋体"/>
          <w:b/>
          <w:bCs/>
          <w:sz w:val="24"/>
          <w:lang w:val="zh-CN"/>
        </w:rPr>
      </w:pPr>
      <w:bookmarkStart w:id="138" w:name="_Toc132279720"/>
      <w:bookmarkStart w:id="139" w:name="_Toc99466369"/>
      <w:bookmarkStart w:id="140" w:name="_Toc18512"/>
      <w:bookmarkStart w:id="141" w:name="_Toc108793405"/>
      <w:bookmarkStart w:id="142" w:name="_Toc132279692"/>
      <w:bookmarkStart w:id="143" w:name="_Toc120873496"/>
      <w:bookmarkStart w:id="144" w:name="_Toc1412"/>
      <w:bookmarkStart w:id="145" w:name="_Toc126065764"/>
      <w:r>
        <w:rPr>
          <w:rFonts w:hint="eastAsia" w:ascii="宋体" w:hAnsi="宋体" w:cs="宋体"/>
          <w:b/>
          <w:bCs/>
          <w:sz w:val="24"/>
        </w:rPr>
        <w:t>供应商资格承诺函</w:t>
      </w:r>
      <w:bookmarkEnd w:id="138"/>
      <w:bookmarkEnd w:id="139"/>
      <w:bookmarkEnd w:id="140"/>
      <w:bookmarkEnd w:id="141"/>
      <w:bookmarkEnd w:id="142"/>
      <w:bookmarkEnd w:id="143"/>
      <w:bookmarkEnd w:id="144"/>
      <w:bookmarkEnd w:id="145"/>
    </w:p>
    <w:p w14:paraId="01AC2EA3">
      <w:pPr>
        <w:spacing w:line="360" w:lineRule="auto"/>
        <w:ind w:firstLine="480"/>
        <w:rPr>
          <w:rFonts w:ascii="宋体" w:hAnsi="宋体" w:cs="宋体"/>
          <w:sz w:val="24"/>
        </w:rPr>
      </w:pPr>
      <w:r>
        <w:rPr>
          <w:rFonts w:hint="eastAsia" w:ascii="宋体" w:hAnsi="宋体" w:cs="宋体"/>
          <w:sz w:val="24"/>
        </w:rPr>
        <w:t>我公司自愿参加贵公司组织的本次采购活动，严格遵守招标文件资格要求及相关法律法规，坚守公开、公平、公正和诚实信用的原则，依法诚信经营，无条件遵守本次政府采购活动的各项规定。我们郑重承诺，本公司符合本项目招标文件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p>
    <w:p w14:paraId="22DAEC8C">
      <w:pPr>
        <w:spacing w:line="360" w:lineRule="auto"/>
        <w:ind w:firstLine="480"/>
        <w:rPr>
          <w:rFonts w:ascii="宋体" w:hAnsi="宋体" w:cs="宋体"/>
          <w:sz w:val="24"/>
        </w:rPr>
      </w:pPr>
    </w:p>
    <w:p w14:paraId="21452D28">
      <w:pPr>
        <w:spacing w:line="360" w:lineRule="auto"/>
        <w:ind w:firstLine="480"/>
        <w:rPr>
          <w:rFonts w:ascii="宋体" w:hAnsi="宋体" w:cs="宋体"/>
          <w:sz w:val="24"/>
        </w:rPr>
      </w:pPr>
    </w:p>
    <w:p w14:paraId="2C789748">
      <w:pPr>
        <w:spacing w:line="360" w:lineRule="auto"/>
        <w:ind w:firstLine="5040"/>
        <w:rPr>
          <w:rFonts w:ascii="宋体" w:hAnsi="宋体" w:cs="宋体"/>
          <w:sz w:val="24"/>
        </w:rPr>
      </w:pPr>
      <w:r>
        <w:rPr>
          <w:rFonts w:hint="eastAsia" w:ascii="宋体" w:hAnsi="宋体" w:cs="宋体"/>
          <w:sz w:val="24"/>
        </w:rPr>
        <w:t>供应商名称</w:t>
      </w:r>
      <w:r>
        <w:rPr>
          <w:rFonts w:hint="eastAsia" w:ascii="宋体" w:hAnsi="宋体" w:cs="宋体"/>
          <w:sz w:val="24"/>
          <w:lang w:bidi="ar"/>
        </w:rPr>
        <w:t>（加盖电子公章）</w:t>
      </w:r>
      <w:r>
        <w:rPr>
          <w:rFonts w:hint="eastAsia" w:ascii="宋体" w:hAnsi="宋体" w:cs="宋体"/>
          <w:sz w:val="24"/>
        </w:rPr>
        <w:t>：</w:t>
      </w:r>
    </w:p>
    <w:p w14:paraId="63A9C011">
      <w:pPr>
        <w:spacing w:line="360" w:lineRule="auto"/>
        <w:ind w:firstLine="5040"/>
        <w:rPr>
          <w:rFonts w:ascii="宋体" w:hAnsi="宋体" w:cs="宋体"/>
          <w:sz w:val="24"/>
        </w:rPr>
      </w:pPr>
      <w:r>
        <w:rPr>
          <w:rFonts w:hint="eastAsia" w:ascii="宋体" w:hAnsi="宋体" w:cs="宋体"/>
          <w:sz w:val="24"/>
        </w:rPr>
        <w:t>二〇 年 月 日</w:t>
      </w:r>
    </w:p>
    <w:p w14:paraId="07547D2A">
      <w:pPr>
        <w:rPr>
          <w:rFonts w:ascii="宋体" w:hAnsi="宋体" w:cs="宋体"/>
          <w:sz w:val="24"/>
        </w:rPr>
      </w:pPr>
      <w:r>
        <w:rPr>
          <w:rFonts w:hint="eastAsia" w:ascii="宋体" w:hAnsi="宋体" w:cs="宋体"/>
          <w:sz w:val="24"/>
        </w:rPr>
        <w:br w:type="page" w:clear="all"/>
      </w:r>
    </w:p>
    <w:p w14:paraId="08EBBCA9">
      <w:pPr>
        <w:pStyle w:val="3"/>
        <w:spacing w:line="360" w:lineRule="auto"/>
        <w:rPr>
          <w:rFonts w:ascii="宋体" w:hAnsi="宋体" w:eastAsia="宋体" w:cs="宋体"/>
          <w:sz w:val="24"/>
          <w:szCs w:val="24"/>
        </w:rPr>
      </w:pPr>
      <w:r>
        <w:rPr>
          <w:rFonts w:hint="eastAsia" w:ascii="宋体" w:hAnsi="宋体" w:eastAsia="宋体" w:cs="宋体"/>
          <w:sz w:val="24"/>
          <w:szCs w:val="24"/>
        </w:rPr>
        <w:t>附件十</w:t>
      </w:r>
      <w:r>
        <w:rPr>
          <w:rFonts w:hint="eastAsia" w:ascii="宋体" w:hAnsi="宋体" w:eastAsia="宋体" w:cs="宋体"/>
          <w:sz w:val="24"/>
          <w:szCs w:val="24"/>
          <w:lang w:val="en-US" w:eastAsia="zh-CN"/>
        </w:rPr>
        <w:t>一</w:t>
      </w:r>
      <w:r>
        <w:rPr>
          <w:rFonts w:hint="eastAsia" w:ascii="宋体" w:hAnsi="宋体" w:eastAsia="宋体" w:cs="宋体"/>
          <w:sz w:val="24"/>
          <w:szCs w:val="24"/>
        </w:rPr>
        <w:t>、</w:t>
      </w:r>
      <w:bookmarkStart w:id="146" w:name="_Toc469583074"/>
      <w:bookmarkStart w:id="147" w:name="_Toc447021131"/>
      <w:bookmarkStart w:id="148" w:name="_Toc524964900"/>
      <w:r>
        <w:rPr>
          <w:rFonts w:hint="eastAsia" w:ascii="宋体" w:hAnsi="宋体" w:eastAsia="宋体" w:cs="宋体"/>
          <w:sz w:val="24"/>
          <w:szCs w:val="24"/>
        </w:rPr>
        <w:t>政府采购政策</w:t>
      </w:r>
      <w:bookmarkEnd w:id="125"/>
      <w:bookmarkEnd w:id="126"/>
      <w:bookmarkEnd w:id="127"/>
      <w:bookmarkEnd w:id="128"/>
      <w:bookmarkEnd w:id="129"/>
      <w:bookmarkEnd w:id="146"/>
      <w:bookmarkEnd w:id="147"/>
      <w:bookmarkEnd w:id="148"/>
    </w:p>
    <w:p w14:paraId="77D0D2E7">
      <w:pPr>
        <w:spacing w:line="360" w:lineRule="auto"/>
        <w:rPr>
          <w:rFonts w:ascii="宋体" w:hAnsi="宋体" w:cs="宋体"/>
          <w:b/>
          <w:bCs/>
          <w:sz w:val="24"/>
        </w:rPr>
      </w:pPr>
      <w:r>
        <w:rPr>
          <w:rFonts w:hint="eastAsia" w:ascii="宋体" w:hAnsi="宋体" w:cs="宋体"/>
          <w:b/>
          <w:bCs/>
          <w:sz w:val="24"/>
        </w:rPr>
        <w:t>1、中小企业声明函</w:t>
      </w:r>
    </w:p>
    <w:p w14:paraId="68ECAD0A">
      <w:pPr>
        <w:spacing w:before="14"/>
        <w:ind w:left="107" w:right="105" w:firstLine="602"/>
        <w:jc w:val="center"/>
        <w:rPr>
          <w:rFonts w:ascii="宋体" w:hAnsi="宋体" w:cs="宋体"/>
          <w:sz w:val="24"/>
        </w:rPr>
      </w:pPr>
      <w:bookmarkStart w:id="149" w:name="_Hlk138682453"/>
      <w:r>
        <w:rPr>
          <w:rFonts w:hint="eastAsia" w:ascii="宋体" w:hAnsi="宋体" w:cs="宋体"/>
          <w:b/>
          <w:bCs/>
          <w:sz w:val="24"/>
        </w:rPr>
        <w:t>中小企业声明函</w:t>
      </w:r>
    </w:p>
    <w:p w14:paraId="580DC738">
      <w:pPr>
        <w:widowControl/>
        <w:shd w:val="clear" w:color="auto" w:fill="FFFFFF"/>
        <w:spacing w:line="360" w:lineRule="auto"/>
        <w:ind w:firstLine="480"/>
        <w:jc w:val="center"/>
        <w:rPr>
          <w:rFonts w:ascii="宋体" w:hAnsi="宋体" w:cs="宋体"/>
          <w:sz w:val="24"/>
        </w:rPr>
      </w:pPr>
    </w:p>
    <w:p w14:paraId="72574097">
      <w:pPr>
        <w:widowControl/>
        <w:spacing w:line="360" w:lineRule="auto"/>
        <w:ind w:firstLine="480"/>
        <w:rPr>
          <w:rFonts w:ascii="宋体" w:hAnsi="宋体" w:cs="宋体"/>
          <w:sz w:val="24"/>
        </w:rPr>
      </w:pPr>
      <w:r>
        <w:rPr>
          <w:rFonts w:hint="eastAsia" w:ascii="宋体" w:hAnsi="宋体" w:cs="宋体"/>
          <w:sz w:val="24"/>
        </w:rPr>
        <w:t>本单位郑重声明，根据《政府采购促进中小企业发展管理办法》（财库</w:t>
      </w:r>
    </w:p>
    <w:p w14:paraId="0B910B0B">
      <w:pPr>
        <w:widowControl/>
        <w:spacing w:line="360" w:lineRule="auto"/>
        <w:ind w:firstLine="480"/>
        <w:rPr>
          <w:rFonts w:ascii="宋体" w:hAnsi="宋体" w:cs="宋体"/>
          <w:color w:val="auto"/>
          <w:sz w:val="24"/>
        </w:rPr>
      </w:pPr>
      <w:r>
        <w:rPr>
          <w:rFonts w:hint="eastAsia" w:ascii="宋体" w:hAnsi="宋体" w:cs="宋体"/>
          <w:color w:val="auto"/>
          <w:sz w:val="24"/>
        </w:rPr>
        <w:t>﹝2020﹞46号）的规定，本单位参加</w:t>
      </w:r>
      <w:r>
        <w:rPr>
          <w:rFonts w:hint="eastAsia" w:ascii="宋体" w:hAnsi="宋体" w:cs="宋体"/>
          <w:color w:val="auto"/>
          <w:spacing w:val="-2"/>
          <w:sz w:val="24"/>
          <w:u w:val="single"/>
        </w:rPr>
        <w:t>（单位名称）</w:t>
      </w:r>
      <w:r>
        <w:rPr>
          <w:rFonts w:hint="eastAsia" w:ascii="宋体" w:hAnsi="宋体" w:cs="宋体"/>
          <w:color w:val="auto"/>
          <w:spacing w:val="-2"/>
          <w:sz w:val="24"/>
        </w:rPr>
        <w:t>的</w:t>
      </w:r>
      <w:r>
        <w:rPr>
          <w:rFonts w:hint="eastAsia" w:ascii="宋体" w:hAnsi="宋体" w:cs="宋体"/>
          <w:color w:val="auto"/>
          <w:spacing w:val="-2"/>
          <w:sz w:val="24"/>
          <w:u w:val="single"/>
        </w:rPr>
        <w:t>（项目名称）</w:t>
      </w:r>
      <w:r>
        <w:rPr>
          <w:rFonts w:hint="eastAsia" w:ascii="宋体" w:hAnsi="宋体" w:cs="宋体"/>
          <w:color w:val="auto"/>
          <w:spacing w:val="-2"/>
          <w:sz w:val="24"/>
        </w:rPr>
        <w:t>采购活动，</w:t>
      </w:r>
      <w:r>
        <w:rPr>
          <w:rFonts w:hint="eastAsia" w:ascii="宋体" w:hAnsi="宋体" w:cs="宋体"/>
          <w:color w:val="auto"/>
          <w:sz w:val="24"/>
        </w:rPr>
        <w:t>服务全部由符合政策要求的中小企业承接。相关企业的具体情况如下：</w:t>
      </w:r>
    </w:p>
    <w:p w14:paraId="0FBCABF3">
      <w:pPr>
        <w:widowControl/>
        <w:spacing w:line="360" w:lineRule="auto"/>
        <w:ind w:firstLine="600"/>
        <w:rPr>
          <w:rFonts w:ascii="宋体" w:hAnsi="宋体" w:cs="宋体"/>
          <w:sz w:val="24"/>
        </w:rPr>
      </w:pPr>
      <w:r>
        <w:rPr>
          <w:rFonts w:hint="eastAsia" w:ascii="宋体" w:hAnsi="宋体" w:cs="宋体"/>
          <w:color w:val="auto"/>
          <w:sz w:val="24"/>
          <w:u w:val="single"/>
        </w:rPr>
        <w:t>高淳区桠溪街道2024年中央农作物秸秆综合利用重点县建设项目设备采购</w:t>
      </w:r>
      <w:r>
        <w:rPr>
          <w:rFonts w:hint="eastAsia" w:ascii="宋体" w:hAnsi="宋体" w:cs="宋体"/>
          <w:color w:val="auto"/>
          <w:sz w:val="24"/>
        </w:rPr>
        <w:t>，属于</w:t>
      </w:r>
      <w:r>
        <w:rPr>
          <w:rFonts w:hint="eastAsia" w:ascii="宋体" w:hAnsi="宋体" w:cs="宋体"/>
          <w:color w:val="auto"/>
          <w:sz w:val="24"/>
          <w:u w:val="single"/>
        </w:rPr>
        <w:t>其他未列明行业</w:t>
      </w:r>
      <w:r>
        <w:rPr>
          <w:rFonts w:hint="eastAsia" w:ascii="宋体" w:hAnsi="宋体" w:cs="宋体"/>
          <w:color w:val="auto"/>
          <w:sz w:val="24"/>
        </w:rPr>
        <w:t>，承接企业为</w:t>
      </w:r>
      <w:r>
        <w:rPr>
          <w:rFonts w:hint="eastAsia" w:ascii="宋体" w:hAnsi="宋体" w:cs="宋体"/>
          <w:iCs/>
          <w:color w:val="auto"/>
          <w:sz w:val="24"/>
          <w:u w:val="single"/>
        </w:rPr>
        <w:t>（企业名称）</w:t>
      </w:r>
      <w:r>
        <w:rPr>
          <w:rFonts w:hint="eastAsia" w:ascii="宋体" w:hAnsi="宋体" w:cs="宋体"/>
          <w:color w:val="auto"/>
          <w:sz w:val="24"/>
        </w:rPr>
        <w:t>，从业人员＿人，营业收入为＿万元，资产总额为＿万元</w:t>
      </w:r>
      <w:r>
        <w:rPr>
          <w:rFonts w:hint="eastAsia" w:ascii="宋体" w:hAnsi="宋体" w:cs="宋体"/>
          <w:sz w:val="24"/>
        </w:rPr>
        <w:t>，属于</w:t>
      </w:r>
      <w:r>
        <w:rPr>
          <w:rFonts w:hint="eastAsia" w:ascii="宋体" w:hAnsi="宋体" w:cs="宋体"/>
          <w:sz w:val="24"/>
        </w:rPr>
        <w:sym w:font="Wingdings 2" w:char="00A3"/>
      </w:r>
      <w:r>
        <w:rPr>
          <w:rFonts w:hint="eastAsia" w:ascii="宋体" w:hAnsi="宋体" w:cs="宋体"/>
          <w:sz w:val="24"/>
        </w:rPr>
        <w:t xml:space="preserve">¨中型企业  </w:t>
      </w:r>
      <w:r>
        <w:rPr>
          <w:rFonts w:hint="eastAsia" w:ascii="宋体" w:hAnsi="宋体" w:cs="宋体"/>
          <w:sz w:val="24"/>
        </w:rPr>
        <w:sym w:font="Wingdings 2" w:char="00A3"/>
      </w:r>
      <w:r>
        <w:rPr>
          <w:rFonts w:hint="eastAsia" w:ascii="宋体" w:hAnsi="宋体" w:cs="宋体"/>
          <w:sz w:val="24"/>
        </w:rPr>
        <w:t xml:space="preserve">¨小型企业  </w:t>
      </w:r>
      <w:r>
        <w:rPr>
          <w:rFonts w:hint="eastAsia" w:ascii="宋体" w:hAnsi="宋体" w:cs="宋体"/>
          <w:sz w:val="24"/>
        </w:rPr>
        <w:sym w:font="Wingdings 2" w:char="00A3"/>
      </w:r>
      <w:r>
        <w:rPr>
          <w:rFonts w:hint="eastAsia" w:ascii="宋体" w:hAnsi="宋体" w:cs="宋体"/>
          <w:sz w:val="24"/>
        </w:rPr>
        <w:t>¨微型企业。</w:t>
      </w:r>
    </w:p>
    <w:p w14:paraId="02E01915">
      <w:pPr>
        <w:pStyle w:val="21"/>
        <w:spacing w:line="360" w:lineRule="auto"/>
        <w:ind w:firstLine="480"/>
        <w:rPr>
          <w:rFonts w:ascii="宋体" w:hAnsi="宋体" w:cs="宋体"/>
        </w:rPr>
      </w:pPr>
      <w:r>
        <w:rPr>
          <w:rFonts w:hint="eastAsia" w:ascii="宋体" w:hAnsi="宋体" w:cs="宋体"/>
        </w:rPr>
        <w:t>本单位</w:t>
      </w:r>
      <w:r>
        <w:rPr>
          <w:rFonts w:hint="eastAsia" w:ascii="宋体" w:hAnsi="宋体" w:cs="宋体"/>
          <w:spacing w:val="-2"/>
        </w:rPr>
        <w:t>不属于大企业的分支机构，不存在控股股东为大企业的情形，也不存在与大</w:t>
      </w:r>
      <w:r>
        <w:rPr>
          <w:rFonts w:hint="eastAsia" w:ascii="宋体" w:hAnsi="宋体" w:cs="宋体"/>
        </w:rPr>
        <w:t>企业的负责人为同一人的情形。</w:t>
      </w:r>
    </w:p>
    <w:p w14:paraId="3B396FB6">
      <w:pPr>
        <w:pStyle w:val="21"/>
        <w:spacing w:line="360" w:lineRule="auto"/>
        <w:ind w:firstLine="472"/>
        <w:rPr>
          <w:rFonts w:ascii="宋体" w:hAnsi="宋体" w:cs="宋体"/>
        </w:rPr>
      </w:pPr>
      <w:r>
        <w:rPr>
          <w:rFonts w:hint="eastAsia" w:ascii="宋体" w:hAnsi="宋体" w:cs="宋体"/>
          <w:spacing w:val="-2"/>
        </w:rPr>
        <w:t>本企业对上述声明内容的真实性负责。如有虚假，将依法承担相应责任。</w:t>
      </w:r>
    </w:p>
    <w:p w14:paraId="6747A034">
      <w:pPr>
        <w:spacing w:line="360" w:lineRule="auto"/>
        <w:ind w:left="598"/>
        <w:rPr>
          <w:rFonts w:ascii="宋体" w:hAnsi="宋体" w:cs="宋体"/>
          <w:sz w:val="24"/>
        </w:rPr>
      </w:pPr>
    </w:p>
    <w:p w14:paraId="2FD1DFEC">
      <w:pPr>
        <w:spacing w:before="11" w:line="360" w:lineRule="auto"/>
        <w:rPr>
          <w:rFonts w:ascii="宋体" w:hAnsi="宋体" w:cs="宋体"/>
          <w:sz w:val="24"/>
        </w:rPr>
      </w:pPr>
    </w:p>
    <w:p w14:paraId="491BD4CE">
      <w:pPr>
        <w:pStyle w:val="21"/>
        <w:spacing w:line="360" w:lineRule="auto"/>
        <w:ind w:right="1096"/>
        <w:jc w:val="right"/>
        <w:rPr>
          <w:rFonts w:ascii="宋体" w:hAnsi="宋体" w:cs="宋体"/>
          <w:spacing w:val="-1"/>
        </w:rPr>
      </w:pPr>
      <w:r>
        <w:rPr>
          <w:rFonts w:hint="eastAsia" w:ascii="宋体" w:hAnsi="宋体" w:cs="宋体"/>
          <w:spacing w:val="-1"/>
        </w:rPr>
        <w:t>企业名称（</w:t>
      </w:r>
      <w:r>
        <w:rPr>
          <w:rFonts w:hint="eastAsia" w:ascii="宋体" w:hAnsi="宋体" w:cs="宋体"/>
          <w:lang w:bidi="ar"/>
        </w:rPr>
        <w:t>加盖电子公章</w:t>
      </w:r>
      <w:r>
        <w:rPr>
          <w:rFonts w:hint="eastAsia" w:ascii="宋体" w:hAnsi="宋体" w:cs="宋体"/>
          <w:spacing w:val="-1"/>
        </w:rPr>
        <w:t>）：</w:t>
      </w:r>
    </w:p>
    <w:p w14:paraId="1119B940">
      <w:pPr>
        <w:pStyle w:val="21"/>
        <w:spacing w:line="360" w:lineRule="auto"/>
        <w:ind w:right="1096"/>
        <w:jc w:val="right"/>
        <w:rPr>
          <w:rFonts w:ascii="宋体" w:hAnsi="宋体" w:cs="宋体"/>
        </w:rPr>
      </w:pPr>
      <w:r>
        <w:rPr>
          <w:rFonts w:hint="eastAsia" w:ascii="宋体" w:hAnsi="宋体" w:cs="宋体"/>
        </w:rPr>
        <w:t>日期：</w:t>
      </w:r>
    </w:p>
    <w:p w14:paraId="18D22135">
      <w:pPr>
        <w:spacing w:line="360" w:lineRule="auto"/>
        <w:ind w:firstLine="480"/>
        <w:rPr>
          <w:rFonts w:ascii="宋体" w:hAnsi="宋体" w:cs="宋体"/>
          <w:sz w:val="24"/>
        </w:rPr>
      </w:pPr>
      <w:r>
        <w:rPr>
          <w:rFonts w:hint="eastAsia" w:ascii="宋体" w:hAnsi="宋体" w:cs="宋体"/>
          <w:sz w:val="24"/>
        </w:rPr>
        <w:t>备注：</w:t>
      </w:r>
    </w:p>
    <w:p w14:paraId="75862612">
      <w:pPr>
        <w:spacing w:line="360" w:lineRule="auto"/>
        <w:ind w:firstLine="480"/>
        <w:rPr>
          <w:rFonts w:ascii="宋体" w:hAnsi="宋体" w:cs="宋体"/>
          <w:sz w:val="24"/>
        </w:rPr>
      </w:pPr>
      <w:r>
        <w:rPr>
          <w:rFonts w:hint="eastAsia" w:ascii="宋体" w:hAnsi="宋体" w:cs="宋体"/>
          <w:sz w:val="24"/>
        </w:rPr>
        <w:t>1.从业人员、营业收入、资产总额填报上一年度数据，无上一年度数据的新成立企业可不填报。</w:t>
      </w:r>
    </w:p>
    <w:p w14:paraId="24E82DA2">
      <w:pPr>
        <w:spacing w:line="360" w:lineRule="auto"/>
        <w:ind w:firstLine="480"/>
        <w:rPr>
          <w:rFonts w:ascii="宋体" w:hAnsi="宋体" w:cs="宋体"/>
          <w:sz w:val="24"/>
        </w:rPr>
      </w:pPr>
      <w:r>
        <w:rPr>
          <w:rFonts w:hint="eastAsia" w:ascii="宋体" w:hAnsi="宋体" w:cs="宋体"/>
          <w:sz w:val="24"/>
        </w:rPr>
        <w:t>2.在所属企业类型前的¨内打“√”。</w:t>
      </w:r>
    </w:p>
    <w:p w14:paraId="48F58E63">
      <w:pPr>
        <w:spacing w:line="360" w:lineRule="auto"/>
        <w:ind w:firstLine="480"/>
        <w:rPr>
          <w:rFonts w:ascii="宋体" w:hAnsi="宋体" w:cs="宋体"/>
          <w:sz w:val="24"/>
        </w:rPr>
      </w:pPr>
      <w:r>
        <w:rPr>
          <w:rFonts w:hint="eastAsia" w:ascii="宋体" w:hAnsi="宋体" w:cs="宋体"/>
          <w:sz w:val="24"/>
        </w:rPr>
        <w:t>3.供应商如不提供此声明函，不得参加专门面向中小企业采购项目或者不得享受小微企业价格扣除政策。此声明函将随成交结果同时公告，接受社会监督。</w:t>
      </w:r>
    </w:p>
    <w:p w14:paraId="197FDBA7">
      <w:pPr>
        <w:spacing w:line="360" w:lineRule="auto"/>
        <w:ind w:firstLine="480"/>
        <w:rPr>
          <w:rFonts w:ascii="宋体" w:hAnsi="宋体" w:cs="宋体"/>
          <w:sz w:val="24"/>
        </w:rPr>
      </w:pPr>
      <w:r>
        <w:rPr>
          <w:rFonts w:hint="eastAsia" w:ascii="宋体" w:hAnsi="宋体" w:cs="宋体"/>
          <w:sz w:val="24"/>
        </w:rPr>
        <w:t>4.服务采购项目中，服务的承接商应当为中小企业，不对其中涉及的货物的制造商、工程的承建商作出要求。</w:t>
      </w:r>
    </w:p>
    <w:p w14:paraId="71D3863E">
      <w:pPr>
        <w:spacing w:line="360" w:lineRule="auto"/>
        <w:rPr>
          <w:rFonts w:ascii="宋体" w:hAnsi="宋体" w:cs="宋体"/>
          <w:b/>
          <w:bCs/>
          <w:sz w:val="24"/>
        </w:rPr>
      </w:pPr>
      <w:r>
        <w:rPr>
          <w:rFonts w:hint="eastAsia" w:ascii="宋体" w:hAnsi="宋体" w:cs="宋体"/>
          <w:sz w:val="24"/>
        </w:rPr>
        <w:br w:type="page" w:clear="all"/>
      </w:r>
      <w:bookmarkEnd w:id="149"/>
      <w:r>
        <w:rPr>
          <w:rFonts w:hint="eastAsia" w:ascii="宋体" w:hAnsi="宋体" w:cs="宋体"/>
          <w:b/>
          <w:bCs/>
          <w:sz w:val="24"/>
        </w:rPr>
        <w:t>2、残疾人福利性单位声明函</w:t>
      </w:r>
    </w:p>
    <w:p w14:paraId="5B6E0A01">
      <w:pPr>
        <w:spacing w:line="360" w:lineRule="auto"/>
        <w:ind w:firstLine="480"/>
        <w:rPr>
          <w:rFonts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 141 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 </w:t>
      </w:r>
    </w:p>
    <w:p w14:paraId="00C9604D">
      <w:pPr>
        <w:spacing w:line="360" w:lineRule="auto"/>
        <w:ind w:firstLine="480"/>
        <w:rPr>
          <w:rFonts w:ascii="宋体" w:hAnsi="宋体" w:cs="宋体"/>
          <w:sz w:val="24"/>
        </w:rPr>
      </w:pPr>
      <w:r>
        <w:rPr>
          <w:rFonts w:hint="eastAsia" w:ascii="宋体" w:hAnsi="宋体" w:cs="宋体"/>
          <w:sz w:val="24"/>
        </w:rPr>
        <w:t xml:space="preserve">本单位对上述声明的真实性负责。如有虚假，将依法承担相应责任。 </w:t>
      </w:r>
    </w:p>
    <w:p w14:paraId="064B61FA">
      <w:pPr>
        <w:spacing w:line="360" w:lineRule="auto"/>
        <w:ind w:firstLine="480"/>
        <w:jc w:val="right"/>
        <w:rPr>
          <w:rFonts w:ascii="宋体" w:hAnsi="宋体" w:cs="宋体"/>
          <w:sz w:val="24"/>
        </w:rPr>
      </w:pPr>
      <w:r>
        <w:rPr>
          <w:rFonts w:hint="eastAsia" w:ascii="宋体" w:hAnsi="宋体" w:cs="宋体"/>
          <w:sz w:val="24"/>
        </w:rPr>
        <w:t>单位名称（</w:t>
      </w:r>
      <w:r>
        <w:rPr>
          <w:rFonts w:hint="eastAsia" w:ascii="宋体" w:hAnsi="宋体" w:cs="宋体"/>
          <w:sz w:val="24"/>
          <w:lang w:bidi="ar"/>
        </w:rPr>
        <w:t>加盖电子公章</w:t>
      </w:r>
      <w:r>
        <w:rPr>
          <w:rFonts w:hint="eastAsia" w:ascii="宋体" w:hAnsi="宋体" w:cs="宋体"/>
          <w:sz w:val="24"/>
        </w:rPr>
        <w:t xml:space="preserve">）： </w:t>
      </w:r>
    </w:p>
    <w:p w14:paraId="1B27B7C1">
      <w:pPr>
        <w:spacing w:line="360" w:lineRule="auto"/>
        <w:ind w:firstLine="480"/>
        <w:jc w:val="right"/>
        <w:rPr>
          <w:rFonts w:ascii="宋体" w:hAnsi="宋体" w:cs="宋体"/>
          <w:sz w:val="24"/>
        </w:rPr>
      </w:pPr>
      <w:r>
        <w:rPr>
          <w:rFonts w:hint="eastAsia" w:ascii="宋体" w:hAnsi="宋体" w:cs="宋体"/>
          <w:sz w:val="24"/>
        </w:rPr>
        <w:t>日  期：</w:t>
      </w:r>
    </w:p>
    <w:p w14:paraId="7D118647">
      <w:pPr>
        <w:spacing w:line="360" w:lineRule="auto"/>
        <w:rPr>
          <w:rFonts w:ascii="宋体" w:hAnsi="宋体" w:cs="宋体"/>
          <w:b/>
          <w:bCs/>
          <w:sz w:val="24"/>
        </w:rPr>
      </w:pPr>
    </w:p>
    <w:p w14:paraId="0D7ADDB8">
      <w:pPr>
        <w:spacing w:line="360" w:lineRule="auto"/>
        <w:rPr>
          <w:rFonts w:ascii="宋体" w:hAnsi="宋体" w:cs="宋体"/>
          <w:b/>
          <w:bCs/>
          <w:sz w:val="24"/>
        </w:rPr>
      </w:pPr>
    </w:p>
    <w:p w14:paraId="46334A5D">
      <w:pPr>
        <w:spacing w:line="360" w:lineRule="auto"/>
        <w:rPr>
          <w:rFonts w:ascii="宋体" w:hAnsi="宋体" w:cs="宋体"/>
          <w:b/>
          <w:bCs/>
          <w:sz w:val="24"/>
        </w:rPr>
      </w:pPr>
    </w:p>
    <w:p w14:paraId="5BBB570B">
      <w:pPr>
        <w:spacing w:line="360" w:lineRule="auto"/>
        <w:rPr>
          <w:rFonts w:ascii="宋体" w:hAnsi="宋体" w:cs="宋体"/>
          <w:b/>
          <w:bCs/>
          <w:sz w:val="24"/>
        </w:rPr>
      </w:pPr>
    </w:p>
    <w:p w14:paraId="4AEFCB36">
      <w:pPr>
        <w:spacing w:line="360" w:lineRule="auto"/>
        <w:rPr>
          <w:rFonts w:ascii="宋体" w:hAnsi="宋体" w:cs="宋体"/>
          <w:b/>
          <w:bCs/>
          <w:sz w:val="24"/>
        </w:rPr>
      </w:pPr>
    </w:p>
    <w:p w14:paraId="32E2A343">
      <w:pPr>
        <w:spacing w:line="360" w:lineRule="auto"/>
        <w:rPr>
          <w:rFonts w:ascii="宋体" w:hAnsi="宋体" w:cs="宋体"/>
          <w:b/>
          <w:bCs/>
          <w:sz w:val="24"/>
        </w:rPr>
      </w:pPr>
    </w:p>
    <w:p w14:paraId="062D4856">
      <w:pPr>
        <w:spacing w:line="360" w:lineRule="auto"/>
        <w:rPr>
          <w:rFonts w:ascii="宋体" w:hAnsi="宋体" w:cs="宋体"/>
          <w:b/>
          <w:bCs/>
          <w:sz w:val="24"/>
        </w:rPr>
      </w:pPr>
    </w:p>
    <w:p w14:paraId="0477EC9F">
      <w:pPr>
        <w:spacing w:line="360" w:lineRule="auto"/>
        <w:rPr>
          <w:rFonts w:ascii="宋体" w:hAnsi="宋体" w:cs="宋体"/>
          <w:b/>
          <w:bCs/>
          <w:sz w:val="24"/>
        </w:rPr>
      </w:pPr>
      <w:r>
        <w:rPr>
          <w:rFonts w:hint="eastAsia" w:ascii="宋体" w:hAnsi="宋体" w:cs="宋体"/>
          <w:b/>
          <w:bCs/>
          <w:sz w:val="24"/>
        </w:rPr>
        <w:t>3、属于监狱企业的证明文件</w:t>
      </w:r>
    </w:p>
    <w:p w14:paraId="4EBB365F">
      <w:pPr>
        <w:spacing w:line="360" w:lineRule="auto"/>
        <w:ind w:firstLine="480"/>
        <w:jc w:val="left"/>
        <w:rPr>
          <w:rFonts w:ascii="宋体" w:hAnsi="宋体" w:cs="宋体"/>
          <w:sz w:val="24"/>
        </w:rPr>
      </w:pPr>
      <w:r>
        <w:rPr>
          <w:rFonts w:hint="eastAsia" w:ascii="宋体" w:hAnsi="宋体" w:cs="宋体"/>
          <w:sz w:val="24"/>
        </w:rPr>
        <w:t>（提供由省级以上监狱管理局、戒毒管理局（含新疆生产建设兵团）出具的属于监狱企业的证明文件）</w:t>
      </w:r>
    </w:p>
    <w:p w14:paraId="55419C53">
      <w:pPr>
        <w:spacing w:line="360" w:lineRule="auto"/>
        <w:ind w:firstLine="480"/>
        <w:jc w:val="center"/>
        <w:rPr>
          <w:rFonts w:ascii="宋体" w:hAnsi="宋体" w:cs="宋体"/>
          <w:sz w:val="24"/>
        </w:rPr>
      </w:pPr>
    </w:p>
    <w:p w14:paraId="5C040704">
      <w:pPr>
        <w:spacing w:line="360" w:lineRule="auto"/>
        <w:ind w:firstLine="480"/>
        <w:jc w:val="center"/>
        <w:rPr>
          <w:rFonts w:ascii="宋体" w:hAnsi="宋体" w:cs="宋体"/>
          <w:sz w:val="24"/>
        </w:rPr>
      </w:pPr>
    </w:p>
    <w:p w14:paraId="1448AF34">
      <w:pPr>
        <w:spacing w:line="360" w:lineRule="auto"/>
        <w:jc w:val="left"/>
        <w:rPr>
          <w:rFonts w:ascii="宋体" w:hAnsi="宋体" w:cs="宋体"/>
          <w:sz w:val="24"/>
        </w:rPr>
      </w:pPr>
      <w:bookmarkStart w:id="150" w:name="_Toc33266164"/>
    </w:p>
    <w:p w14:paraId="058ADC2B">
      <w:pPr>
        <w:spacing w:line="360" w:lineRule="auto"/>
        <w:rPr>
          <w:rFonts w:ascii="宋体" w:hAnsi="宋体" w:cs="宋体"/>
          <w:b/>
          <w:bCs/>
          <w:sz w:val="24"/>
        </w:rPr>
      </w:pPr>
      <w:bookmarkStart w:id="151" w:name="_Toc38721229"/>
      <w:bookmarkStart w:id="152" w:name="_Toc38723701"/>
      <w:r>
        <w:rPr>
          <w:rFonts w:hint="eastAsia" w:ascii="宋体" w:hAnsi="宋体" w:cs="宋体"/>
          <w:sz w:val="24"/>
        </w:rPr>
        <w:br w:type="page" w:clear="all"/>
      </w:r>
      <w:bookmarkEnd w:id="150"/>
      <w:bookmarkEnd w:id="151"/>
      <w:bookmarkEnd w:id="152"/>
    </w:p>
    <w:p w14:paraId="156CA276">
      <w:pPr>
        <w:pStyle w:val="3"/>
        <w:spacing w:line="360" w:lineRule="auto"/>
        <w:rPr>
          <w:rFonts w:ascii="宋体" w:hAnsi="宋体" w:eastAsia="宋体" w:cs="宋体"/>
          <w:sz w:val="24"/>
          <w:szCs w:val="24"/>
        </w:rPr>
      </w:pPr>
      <w:bookmarkStart w:id="153" w:name="_Toc38721230"/>
      <w:bookmarkStart w:id="154" w:name="_Toc50974363"/>
      <w:bookmarkStart w:id="155" w:name="_Toc1700"/>
      <w:bookmarkStart w:id="156" w:name="_Toc119344358"/>
      <w:bookmarkStart w:id="157" w:name="_Toc38723702"/>
      <w:bookmarkStart w:id="158" w:name="_Toc50644502"/>
      <w:bookmarkStart w:id="159" w:name="_Toc126827504"/>
      <w:bookmarkStart w:id="160" w:name="_Toc33266165"/>
      <w:r>
        <w:rPr>
          <w:rFonts w:hint="eastAsia" w:ascii="宋体" w:hAnsi="宋体" w:eastAsia="宋体" w:cs="宋体"/>
          <w:sz w:val="24"/>
          <w:szCs w:val="24"/>
        </w:rPr>
        <w:t>附件十</w:t>
      </w:r>
      <w:r>
        <w:rPr>
          <w:rFonts w:hint="eastAsia" w:ascii="宋体" w:hAnsi="宋体" w:eastAsia="宋体" w:cs="宋体"/>
          <w:sz w:val="24"/>
          <w:szCs w:val="24"/>
          <w:lang w:val="en-US" w:eastAsia="zh-CN"/>
        </w:rPr>
        <w:t>二</w:t>
      </w:r>
      <w:r>
        <w:rPr>
          <w:rFonts w:hint="eastAsia" w:ascii="宋体" w:hAnsi="宋体" w:eastAsia="宋体" w:cs="宋体"/>
          <w:sz w:val="24"/>
          <w:szCs w:val="24"/>
        </w:rPr>
        <w:t>、</w:t>
      </w:r>
      <w:bookmarkEnd w:id="153"/>
      <w:bookmarkEnd w:id="154"/>
      <w:bookmarkEnd w:id="155"/>
      <w:bookmarkEnd w:id="156"/>
      <w:bookmarkEnd w:id="157"/>
      <w:bookmarkEnd w:id="158"/>
      <w:bookmarkEnd w:id="159"/>
      <w:bookmarkEnd w:id="160"/>
      <w:r>
        <w:rPr>
          <w:rFonts w:hint="eastAsia" w:ascii="宋体" w:hAnsi="宋体" w:eastAsia="宋体" w:cs="宋体"/>
          <w:sz w:val="24"/>
          <w:szCs w:val="24"/>
        </w:rPr>
        <w:t>南京市政府采购供应商信用记录表暨信用承诺书</w:t>
      </w:r>
    </w:p>
    <w:p w14:paraId="3779B8DA">
      <w:pPr>
        <w:spacing w:line="360" w:lineRule="auto"/>
        <w:ind w:firstLine="602"/>
        <w:jc w:val="center"/>
        <w:rPr>
          <w:rFonts w:ascii="宋体" w:hAnsi="宋体" w:cs="宋体"/>
          <w:sz w:val="24"/>
        </w:rPr>
      </w:pPr>
      <w:r>
        <w:rPr>
          <w:rFonts w:hint="eastAsia" w:ascii="宋体" w:hAnsi="宋体" w:cs="宋体"/>
          <w:b/>
          <w:bCs/>
          <w:sz w:val="24"/>
        </w:rPr>
        <w:t>南京市政府采购供应商信用记录表暨信用承诺书</w:t>
      </w:r>
    </w:p>
    <w:p w14:paraId="29BCB1CD">
      <w:pPr>
        <w:spacing w:line="360" w:lineRule="auto"/>
        <w:rPr>
          <w:rFonts w:ascii="宋体" w:hAnsi="宋体" w:cs="宋体"/>
          <w:szCs w:val="21"/>
        </w:rPr>
      </w:pPr>
      <w:r>
        <w:rPr>
          <w:rFonts w:hint="eastAsia" w:ascii="宋体" w:hAnsi="宋体" w:cs="宋体"/>
          <w:szCs w:val="21"/>
        </w:rPr>
        <w:t>（仅为示范格式，直接填写无效，需至“南京政府采购供应商诚信档案管理系统”在线打印）</w:t>
      </w:r>
    </w:p>
    <w:tbl>
      <w:tblPr>
        <w:tblStyle w:val="59"/>
        <w:tblW w:w="9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085"/>
        <w:gridCol w:w="2218"/>
        <w:gridCol w:w="2218"/>
        <w:gridCol w:w="2559"/>
      </w:tblGrid>
      <w:tr w14:paraId="09490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5" w:hRule="atLeast"/>
          <w:jc w:val="center"/>
        </w:trPr>
        <w:tc>
          <w:tcPr>
            <w:tcW w:w="2085" w:type="dxa"/>
            <w:vAlign w:val="center"/>
          </w:tcPr>
          <w:p w14:paraId="4EC4499A">
            <w:pPr>
              <w:spacing w:line="360" w:lineRule="auto"/>
              <w:jc w:val="center"/>
              <w:rPr>
                <w:rFonts w:ascii="宋体" w:hAnsi="宋体" w:cs="宋体"/>
                <w:sz w:val="24"/>
              </w:rPr>
            </w:pPr>
            <w:r>
              <w:rPr>
                <w:rFonts w:hint="eastAsia" w:ascii="宋体" w:hAnsi="宋体" w:cs="宋体"/>
                <w:b/>
                <w:bCs/>
                <w:sz w:val="24"/>
              </w:rPr>
              <w:t>单位名称</w:t>
            </w:r>
          </w:p>
        </w:tc>
        <w:tc>
          <w:tcPr>
            <w:tcW w:w="2218" w:type="dxa"/>
            <w:vAlign w:val="center"/>
          </w:tcPr>
          <w:p w14:paraId="71F3EF70">
            <w:pPr>
              <w:spacing w:line="360" w:lineRule="auto"/>
              <w:jc w:val="center"/>
              <w:rPr>
                <w:rFonts w:ascii="宋体" w:hAnsi="宋体" w:cs="宋体"/>
                <w:sz w:val="24"/>
              </w:rPr>
            </w:pPr>
          </w:p>
        </w:tc>
        <w:tc>
          <w:tcPr>
            <w:tcW w:w="2218" w:type="dxa"/>
            <w:vAlign w:val="center"/>
          </w:tcPr>
          <w:p w14:paraId="5B47E63C">
            <w:pPr>
              <w:spacing w:line="360" w:lineRule="auto"/>
              <w:jc w:val="center"/>
              <w:rPr>
                <w:rFonts w:ascii="宋体" w:hAnsi="宋体" w:cs="宋体"/>
                <w:sz w:val="24"/>
              </w:rPr>
            </w:pPr>
            <w:r>
              <w:rPr>
                <w:rFonts w:hint="eastAsia" w:ascii="宋体" w:hAnsi="宋体" w:cs="宋体"/>
                <w:b/>
                <w:bCs/>
                <w:sz w:val="24"/>
              </w:rPr>
              <w:t>统一社会信用代码</w:t>
            </w:r>
          </w:p>
        </w:tc>
        <w:tc>
          <w:tcPr>
            <w:tcW w:w="2559" w:type="dxa"/>
            <w:vAlign w:val="center"/>
          </w:tcPr>
          <w:p w14:paraId="37A70233">
            <w:pPr>
              <w:spacing w:line="360" w:lineRule="auto"/>
              <w:jc w:val="center"/>
              <w:rPr>
                <w:rFonts w:ascii="宋体" w:hAnsi="宋体" w:cs="宋体"/>
                <w:sz w:val="24"/>
              </w:rPr>
            </w:pPr>
          </w:p>
        </w:tc>
      </w:tr>
      <w:tr w14:paraId="2E06C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2" w:hRule="atLeast"/>
          <w:jc w:val="center"/>
        </w:trPr>
        <w:tc>
          <w:tcPr>
            <w:tcW w:w="2085" w:type="dxa"/>
            <w:vAlign w:val="center"/>
          </w:tcPr>
          <w:p w14:paraId="55E56386">
            <w:pPr>
              <w:spacing w:line="360" w:lineRule="auto"/>
              <w:jc w:val="center"/>
              <w:rPr>
                <w:rFonts w:ascii="宋体" w:hAnsi="宋体" w:cs="宋体"/>
                <w:sz w:val="24"/>
              </w:rPr>
            </w:pPr>
            <w:r>
              <w:rPr>
                <w:rFonts w:hint="eastAsia" w:ascii="宋体" w:hAnsi="宋体" w:cs="宋体"/>
                <w:b/>
                <w:bCs/>
                <w:sz w:val="24"/>
              </w:rPr>
              <w:t>法定代表人</w:t>
            </w:r>
          </w:p>
        </w:tc>
        <w:tc>
          <w:tcPr>
            <w:tcW w:w="2218" w:type="dxa"/>
            <w:vAlign w:val="center"/>
          </w:tcPr>
          <w:p w14:paraId="0FEA3779">
            <w:pPr>
              <w:spacing w:line="360" w:lineRule="auto"/>
              <w:jc w:val="center"/>
              <w:rPr>
                <w:rFonts w:ascii="宋体" w:hAnsi="宋体" w:cs="宋体"/>
                <w:sz w:val="24"/>
              </w:rPr>
            </w:pPr>
          </w:p>
        </w:tc>
        <w:tc>
          <w:tcPr>
            <w:tcW w:w="2218" w:type="dxa"/>
            <w:vAlign w:val="center"/>
          </w:tcPr>
          <w:p w14:paraId="6451DA20">
            <w:pPr>
              <w:spacing w:line="360" w:lineRule="auto"/>
              <w:jc w:val="center"/>
              <w:rPr>
                <w:rFonts w:ascii="宋体" w:hAnsi="宋体" w:cs="宋体"/>
                <w:sz w:val="24"/>
              </w:rPr>
            </w:pPr>
            <w:r>
              <w:rPr>
                <w:rFonts w:hint="eastAsia" w:ascii="宋体" w:hAnsi="宋体" w:cs="宋体"/>
                <w:b/>
                <w:bCs/>
                <w:sz w:val="24"/>
              </w:rPr>
              <w:t>联系人</w:t>
            </w:r>
          </w:p>
        </w:tc>
        <w:tc>
          <w:tcPr>
            <w:tcW w:w="2559" w:type="dxa"/>
            <w:vAlign w:val="center"/>
          </w:tcPr>
          <w:p w14:paraId="28221CFC">
            <w:pPr>
              <w:spacing w:line="360" w:lineRule="auto"/>
              <w:jc w:val="center"/>
              <w:rPr>
                <w:rFonts w:ascii="宋体" w:hAnsi="宋体" w:cs="宋体"/>
                <w:sz w:val="24"/>
              </w:rPr>
            </w:pPr>
          </w:p>
        </w:tc>
      </w:tr>
      <w:tr w14:paraId="75C8C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4" w:hRule="atLeast"/>
          <w:jc w:val="center"/>
        </w:trPr>
        <w:tc>
          <w:tcPr>
            <w:tcW w:w="2085" w:type="dxa"/>
            <w:vAlign w:val="center"/>
          </w:tcPr>
          <w:p w14:paraId="48130C0B">
            <w:pPr>
              <w:spacing w:line="360" w:lineRule="auto"/>
              <w:jc w:val="center"/>
              <w:rPr>
                <w:rFonts w:ascii="宋体" w:hAnsi="宋体" w:cs="宋体"/>
                <w:sz w:val="24"/>
              </w:rPr>
            </w:pPr>
            <w:r>
              <w:rPr>
                <w:rFonts w:hint="eastAsia" w:ascii="宋体" w:hAnsi="宋体" w:cs="宋体"/>
                <w:b/>
                <w:bCs/>
                <w:sz w:val="24"/>
              </w:rPr>
              <w:t>联系地址</w:t>
            </w:r>
          </w:p>
        </w:tc>
        <w:tc>
          <w:tcPr>
            <w:tcW w:w="2218" w:type="dxa"/>
            <w:vAlign w:val="center"/>
          </w:tcPr>
          <w:p w14:paraId="3EFC4860">
            <w:pPr>
              <w:spacing w:line="360" w:lineRule="auto"/>
              <w:jc w:val="center"/>
              <w:rPr>
                <w:rFonts w:ascii="宋体" w:hAnsi="宋体" w:cs="宋体"/>
                <w:sz w:val="24"/>
              </w:rPr>
            </w:pPr>
          </w:p>
        </w:tc>
        <w:tc>
          <w:tcPr>
            <w:tcW w:w="2218" w:type="dxa"/>
            <w:vAlign w:val="center"/>
          </w:tcPr>
          <w:p w14:paraId="720ED291">
            <w:pPr>
              <w:spacing w:line="360" w:lineRule="auto"/>
              <w:jc w:val="center"/>
              <w:rPr>
                <w:rFonts w:ascii="宋体" w:hAnsi="宋体" w:cs="宋体"/>
                <w:sz w:val="24"/>
              </w:rPr>
            </w:pPr>
            <w:r>
              <w:rPr>
                <w:rFonts w:hint="eastAsia" w:ascii="宋体" w:hAnsi="宋体" w:cs="宋体"/>
                <w:b/>
                <w:bCs/>
                <w:sz w:val="24"/>
              </w:rPr>
              <w:t>联系电话</w:t>
            </w:r>
          </w:p>
        </w:tc>
        <w:tc>
          <w:tcPr>
            <w:tcW w:w="2559" w:type="dxa"/>
            <w:vAlign w:val="center"/>
          </w:tcPr>
          <w:p w14:paraId="1BADF0C1">
            <w:pPr>
              <w:spacing w:line="360" w:lineRule="auto"/>
              <w:jc w:val="center"/>
              <w:rPr>
                <w:rFonts w:ascii="宋体" w:hAnsi="宋体" w:cs="宋体"/>
                <w:sz w:val="24"/>
              </w:rPr>
            </w:pPr>
          </w:p>
        </w:tc>
      </w:tr>
      <w:tr w14:paraId="6802F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44" w:hRule="atLeast"/>
          <w:jc w:val="center"/>
        </w:trPr>
        <w:tc>
          <w:tcPr>
            <w:tcW w:w="2085" w:type="dxa"/>
            <w:vAlign w:val="center"/>
          </w:tcPr>
          <w:p w14:paraId="08628700">
            <w:pPr>
              <w:spacing w:line="360" w:lineRule="auto"/>
              <w:jc w:val="center"/>
              <w:rPr>
                <w:rFonts w:ascii="宋体" w:hAnsi="宋体" w:cs="宋体"/>
                <w:sz w:val="24"/>
              </w:rPr>
            </w:pPr>
            <w:r>
              <w:rPr>
                <w:rFonts w:hint="eastAsia" w:ascii="宋体" w:hAnsi="宋体" w:cs="宋体"/>
                <w:b/>
                <w:bCs/>
                <w:sz w:val="24"/>
              </w:rPr>
              <w:t>诚信档案记录情况</w:t>
            </w:r>
          </w:p>
        </w:tc>
        <w:tc>
          <w:tcPr>
            <w:tcW w:w="6995" w:type="dxa"/>
            <w:gridSpan w:val="3"/>
            <w:vAlign w:val="center"/>
          </w:tcPr>
          <w:p w14:paraId="2C4CC935">
            <w:pPr>
              <w:spacing w:line="360" w:lineRule="auto"/>
              <w:jc w:val="center"/>
              <w:rPr>
                <w:rFonts w:ascii="宋体" w:hAnsi="宋体" w:cs="宋体"/>
                <w:sz w:val="24"/>
              </w:rPr>
            </w:pPr>
          </w:p>
        </w:tc>
      </w:tr>
      <w:tr w14:paraId="4F3C6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13" w:hRule="atLeast"/>
          <w:jc w:val="center"/>
        </w:trPr>
        <w:tc>
          <w:tcPr>
            <w:tcW w:w="2085" w:type="dxa"/>
            <w:vAlign w:val="center"/>
          </w:tcPr>
          <w:p w14:paraId="24F3B0E3">
            <w:pPr>
              <w:spacing w:line="360" w:lineRule="auto"/>
              <w:jc w:val="center"/>
              <w:rPr>
                <w:rFonts w:ascii="宋体" w:hAnsi="宋体" w:cs="宋体"/>
                <w:sz w:val="24"/>
              </w:rPr>
            </w:pPr>
            <w:r>
              <w:rPr>
                <w:rFonts w:hint="eastAsia" w:ascii="宋体" w:hAnsi="宋体" w:cs="宋体"/>
                <w:b/>
                <w:bCs/>
                <w:sz w:val="24"/>
              </w:rPr>
              <w:t>信用承诺</w:t>
            </w:r>
          </w:p>
        </w:tc>
        <w:tc>
          <w:tcPr>
            <w:tcW w:w="6995" w:type="dxa"/>
            <w:gridSpan w:val="3"/>
            <w:vAlign w:val="center"/>
          </w:tcPr>
          <w:p w14:paraId="460367E0">
            <w:pPr>
              <w:spacing w:line="360" w:lineRule="auto"/>
              <w:ind w:right="60" w:firstLine="480"/>
              <w:rPr>
                <w:rFonts w:ascii="宋体" w:hAnsi="宋体" w:cs="宋体"/>
                <w:sz w:val="24"/>
              </w:rPr>
            </w:pPr>
            <w:r>
              <w:rPr>
                <w:rFonts w:hint="eastAsia" w:ascii="宋体" w:hAnsi="宋体" w:cs="宋体"/>
                <w:sz w:val="24"/>
              </w:rPr>
              <w:t>我公司自愿参加贵中心（公司）组织的本次采购活动，严格遵守《中华人民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p>
          <w:p w14:paraId="76655F9B">
            <w:pPr>
              <w:pStyle w:val="366"/>
              <w:spacing w:line="360" w:lineRule="auto"/>
              <w:ind w:firstLine="480"/>
              <w:rPr>
                <w:rFonts w:ascii="宋体" w:hAnsi="宋体" w:cs="宋体"/>
                <w:sz w:val="24"/>
              </w:rPr>
            </w:pPr>
          </w:p>
          <w:p w14:paraId="61786081">
            <w:pPr>
              <w:pStyle w:val="366"/>
              <w:spacing w:line="360" w:lineRule="auto"/>
              <w:ind w:firstLine="480"/>
              <w:rPr>
                <w:rFonts w:ascii="宋体" w:hAnsi="宋体" w:cs="宋体"/>
                <w:sz w:val="24"/>
              </w:rPr>
            </w:pPr>
          </w:p>
          <w:p w14:paraId="0E9AA0A3">
            <w:pPr>
              <w:spacing w:line="360" w:lineRule="auto"/>
              <w:ind w:right="3180" w:firstLine="480"/>
              <w:rPr>
                <w:rFonts w:ascii="宋体" w:hAnsi="宋体" w:cs="宋体"/>
                <w:sz w:val="24"/>
              </w:rPr>
            </w:pPr>
            <w:r>
              <w:rPr>
                <w:rFonts w:hint="eastAsia" w:ascii="宋体" w:hAnsi="宋体" w:cs="宋体"/>
                <w:sz w:val="24"/>
              </w:rPr>
              <w:t>供应商名称（盖章）：</w:t>
            </w:r>
          </w:p>
          <w:p w14:paraId="603AFBE8">
            <w:pPr>
              <w:spacing w:line="360" w:lineRule="auto"/>
              <w:ind w:right="3180" w:firstLine="480"/>
              <w:rPr>
                <w:rFonts w:ascii="宋体" w:hAnsi="宋体" w:cs="宋体"/>
                <w:sz w:val="24"/>
              </w:rPr>
            </w:pPr>
            <w:r>
              <w:rPr>
                <w:rFonts w:hint="eastAsia" w:ascii="宋体" w:hAnsi="宋体" w:cs="宋体"/>
                <w:sz w:val="24"/>
              </w:rPr>
              <w:t>法定代表人（签字）：</w:t>
            </w:r>
          </w:p>
          <w:p w14:paraId="438E3BC0">
            <w:pPr>
              <w:spacing w:line="360" w:lineRule="auto"/>
              <w:ind w:firstLine="480"/>
              <w:rPr>
                <w:rFonts w:ascii="宋体" w:hAnsi="宋体" w:cs="宋体"/>
                <w:sz w:val="24"/>
              </w:rPr>
            </w:pPr>
            <w:r>
              <w:rPr>
                <w:rFonts w:hint="eastAsia" w:ascii="宋体" w:hAnsi="宋体" w:cs="宋体"/>
                <w:sz w:val="24"/>
              </w:rPr>
              <w:t>二〇  年  月   日</w:t>
            </w:r>
          </w:p>
        </w:tc>
      </w:tr>
    </w:tbl>
    <w:p w14:paraId="5E2425ED">
      <w:pPr>
        <w:ind w:firstLine="600"/>
        <w:rPr>
          <w:rFonts w:ascii="宋体" w:hAnsi="宋体" w:cs="宋体"/>
        </w:rPr>
      </w:pPr>
    </w:p>
    <w:sectPr>
      <w:headerReference r:id="rId5" w:type="default"/>
      <w:footerReference r:id="rId6" w:type="default"/>
      <w:endnotePr>
        <w:numFmt w:val="decimal"/>
      </w:endnotePr>
      <w:pgSz w:w="11905" w:h="16838"/>
      <w:pgMar w:top="1440" w:right="1800" w:bottom="1440" w:left="1800" w:header="680" w:footer="850" w:gutter="0"/>
      <w:pgNumType w:fmt="decimal"/>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Cambria">
    <w:panose1 w:val="02040503050406030204"/>
    <w:charset w:val="00"/>
    <w:family w:val="roman"/>
    <w:pitch w:val="default"/>
    <w:sig w:usb0="E00006FF" w:usb1="420024FF" w:usb2="02000000" w:usb3="00000000" w:csb0="2000019F" w:csb1="00000000"/>
  </w:font>
  <w:font w:name="Georgia">
    <w:panose1 w:val="02040502050405020303"/>
    <w:charset w:val="00"/>
    <w:family w:val="roman"/>
    <w:pitch w:val="default"/>
    <w:sig w:usb0="00000287" w:usb1="00000000" w:usb2="00000000" w:usb3="00000000" w:csb0="2000009F" w:csb1="00000000"/>
  </w:font>
  <w:font w:name="微软雅黑">
    <w:panose1 w:val="020B0503020204020204"/>
    <w:charset w:val="86"/>
    <w:family w:val="swiss"/>
    <w:pitch w:val="default"/>
    <w:sig w:usb0="80000287" w:usb1="2ACF3C50" w:usb2="00000016" w:usb3="00000000" w:csb0="0004001F" w:csb1="00000000"/>
  </w:font>
  <w:font w:name="方正大黑简体">
    <w:altName w:val="黑体"/>
    <w:panose1 w:val="00000000000000000000"/>
    <w:charset w:val="00"/>
    <w:family w:val="auto"/>
    <w:pitch w:val="default"/>
    <w:sig w:usb0="00000000" w:usb1="00000000" w:usb2="00000000" w:usb3="00000000" w:csb0="00000000" w:csb1="00000000"/>
  </w:font>
  <w:font w:name="??">
    <w:altName w:val="Agency FB"/>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华文楷体">
    <w:panose1 w:val="02010600040101010101"/>
    <w:charset w:val="86"/>
    <w:family w:val="auto"/>
    <w:pitch w:val="default"/>
    <w:sig w:usb0="00000287" w:usb1="080F0000" w:usb2="00000000" w:usb3="00000000" w:csb0="0004009F" w:csb1="DFD70000"/>
  </w:font>
  <w:font w:name="HYDaHeiJ">
    <w:altName w:val="Agency FB"/>
    <w:panose1 w:val="00000000000000000000"/>
    <w:charset w:val="00"/>
    <w:family w:val="auto"/>
    <w:pitch w:val="default"/>
    <w:sig w:usb0="00000000" w:usb1="00000000" w:usb2="00000000" w:usb3="00000000" w:csb0="00000000" w:csb1="00000000"/>
  </w:font>
  <w:font w:name="方正小标宋_GBK">
    <w:altName w:val="微软雅黑"/>
    <w:panose1 w:val="00000000000000000000"/>
    <w:charset w:val="86"/>
    <w:family w:val="auto"/>
    <w:pitch w:val="default"/>
    <w:sig w:usb0="00000000" w:usb1="00000000" w:usb2="00082016" w:usb3="00000000" w:csb0="00040001" w:csb1="00000000"/>
  </w:font>
  <w:font w:name="华文细黑">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Wingdings 2">
    <w:panose1 w:val="05020102010507070707"/>
    <w:charset w:val="00"/>
    <w:family w:val="auto"/>
    <w:pitch w:val="default"/>
    <w:sig w:usb0="00000000" w:usb1="00000000" w:usb2="00000000" w:usb3="00000000" w:csb0="80000000" w:csb1="00000000"/>
    <w:embedRegular r:id="rId1" w:fontKey="{BD9504C4-6BCB-40D1-893F-82ED8F09262A}"/>
  </w:font>
  <w:font w:name="仿宋">
    <w:panose1 w:val="02010609060101010101"/>
    <w:charset w:val="86"/>
    <w:family w:val="auto"/>
    <w:pitch w:val="default"/>
    <w:sig w:usb0="800002BF" w:usb1="38CF7CFA" w:usb2="00000016" w:usb3="00000000" w:csb0="00040001" w:csb1="00000000"/>
  </w:font>
  <w:font w:name="Agency FB">
    <w:panose1 w:val="020B0503020202020204"/>
    <w:charset w:val="00"/>
    <w:family w:val="auto"/>
    <w:pitch w:val="default"/>
    <w:sig w:usb0="00000003" w:usb1="00000000" w:usb2="00000000" w:usb3="00000000" w:csb0="2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10D533">
    <w:pPr>
      <w:pStyle w:val="3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940E97">
                          <w:pPr>
                            <w:pStyle w:val="35"/>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PuF3382AgAAYwQAAA4AAAAAAAAAAQAgAAAAHwEAAGRycy9lMm9Eb2MueG1s&#10;UEsFBgAAAAAGAAYAWQEAAMcFAAAAAA==&#10;">
              <v:fill on="f" focussize="0,0"/>
              <v:stroke on="f" weight="0.5pt"/>
              <v:imagedata o:title=""/>
              <o:lock v:ext="edit" aspectratio="f"/>
              <v:textbox inset="0mm,0mm,0mm,0mm" style="mso-fit-shape-to-text:t;">
                <w:txbxContent>
                  <w:p w14:paraId="25940E97">
                    <w:pPr>
                      <w:pStyle w:val="35"/>
                    </w:pPr>
                    <w:r>
                      <w:fldChar w:fldCharType="begin"/>
                    </w:r>
                    <w:r>
                      <w:instrText xml:space="preserve"> PAGE  \* MERGEFORMAT </w:instrText>
                    </w:r>
                    <w:r>
                      <w:fldChar w:fldCharType="separate"/>
                    </w:r>
                    <w:r>
                      <w:t>26</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9FEDC0">
    <w:pPr>
      <w:pStyle w:val="35"/>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95D366">
                          <w:pPr>
                            <w:pStyle w:val="3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C0MWpY2AgAAYwQAAA4AAAAAAAAAAQAgAAAAHwEAAGRycy9lMm9Eb2MueG1s&#10;UEsFBgAAAAAGAAYAWQEAAMcFAAAAAA==&#10;">
              <v:fill on="f" focussize="0,0"/>
              <v:stroke on="f" weight="0.5pt"/>
              <v:imagedata o:title=""/>
              <o:lock v:ext="edit" aspectratio="f"/>
              <v:textbox inset="0mm,0mm,0mm,0mm" style="mso-fit-shape-to-text:t;">
                <w:txbxContent>
                  <w:p w14:paraId="7595D366">
                    <w:pPr>
                      <w:pStyle w:val="3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A4C0F2">
    <w:pPr>
      <w:pStyle w:val="35"/>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594AFAD9">
                          <w:pPr>
                            <w:pStyle w:val="35"/>
                          </w:pPr>
                          <w:r>
                            <w:fldChar w:fldCharType="begin"/>
                          </w:r>
                          <w:r>
                            <w:instrText xml:space="preserve"> PAGE  \* MERGEFORMAT </w:instrText>
                          </w:r>
                          <w:r>
                            <w:fldChar w:fldCharType="separate"/>
                          </w:r>
                          <w:r>
                            <w:t>27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UuKWy90CAAAkBgAADgAAAAAAAAABACAAAAAfAQAAZHJzL2Uyb0RvYy54bWxQSwUG&#10;AAAAAAYABgBZAQAAbgYAAAAA&#10;">
              <v:fill on="f" focussize="0,0"/>
              <v:stroke on="f" weight="0.5pt"/>
              <v:imagedata o:title=""/>
              <o:lock v:ext="edit" aspectratio="f"/>
              <v:textbox inset="0mm,0mm,0mm,0mm" style="mso-fit-shape-to-text:t;">
                <w:txbxContent>
                  <w:p w14:paraId="594AFAD9">
                    <w:pPr>
                      <w:pStyle w:val="35"/>
                    </w:pPr>
                    <w:r>
                      <w:fldChar w:fldCharType="begin"/>
                    </w:r>
                    <w:r>
                      <w:instrText xml:space="preserve"> PAGE  \* MERGEFORMAT </w:instrText>
                    </w:r>
                    <w:r>
                      <w:fldChar w:fldCharType="separate"/>
                    </w:r>
                    <w:r>
                      <w:t>27</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25D335">
    <w:pPr>
      <w:pStyle w:val="3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315E665"/>
    <w:multiLevelType w:val="singleLevel"/>
    <w:tmpl w:val="A315E665"/>
    <w:lvl w:ilvl="0" w:tentative="0">
      <w:start w:val="11"/>
      <w:numFmt w:val="decimal"/>
      <w:suff w:val="nothing"/>
      <w:lvlText w:val="（%1）"/>
      <w:lvlJc w:val="left"/>
    </w:lvl>
  </w:abstractNum>
  <w:abstractNum w:abstractNumId="1">
    <w:nsid w:val="E5DCA399"/>
    <w:multiLevelType w:val="singleLevel"/>
    <w:tmpl w:val="E5DCA399"/>
    <w:lvl w:ilvl="0" w:tentative="0">
      <w:start w:val="1"/>
      <w:numFmt w:val="decimal"/>
      <w:suff w:val="nothing"/>
      <w:lvlText w:val="（%1）"/>
      <w:lvlJc w:val="left"/>
    </w:lvl>
  </w:abstractNum>
  <w:abstractNum w:abstractNumId="2">
    <w:nsid w:val="614A59A7"/>
    <w:multiLevelType w:val="singleLevel"/>
    <w:tmpl w:val="614A59A7"/>
    <w:lvl w:ilvl="0" w:tentative="0">
      <w:start w:val="1"/>
      <w:numFmt w:val="decimal"/>
      <w:suff w:val="nothing"/>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2"/>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BlMWFjM2NkMzVlNDViOTAwNzA3MWVmNGRkNTY2OWMifQ=="/>
  </w:docVars>
  <w:rsids>
    <w:rsidRoot w:val="004A1452"/>
    <w:rsid w:val="00135FED"/>
    <w:rsid w:val="001579DE"/>
    <w:rsid w:val="003F68CD"/>
    <w:rsid w:val="004A1452"/>
    <w:rsid w:val="00730EC7"/>
    <w:rsid w:val="00F17F63"/>
    <w:rsid w:val="02810A7C"/>
    <w:rsid w:val="02DD34E9"/>
    <w:rsid w:val="0397607D"/>
    <w:rsid w:val="04CA305F"/>
    <w:rsid w:val="051C0210"/>
    <w:rsid w:val="06A10022"/>
    <w:rsid w:val="06F7755F"/>
    <w:rsid w:val="077A1F3E"/>
    <w:rsid w:val="08362309"/>
    <w:rsid w:val="09042C53"/>
    <w:rsid w:val="097E7AC3"/>
    <w:rsid w:val="0A0A57FB"/>
    <w:rsid w:val="0B26246A"/>
    <w:rsid w:val="0C464B53"/>
    <w:rsid w:val="0CAE147F"/>
    <w:rsid w:val="0DA601C5"/>
    <w:rsid w:val="0E18279C"/>
    <w:rsid w:val="0E741495"/>
    <w:rsid w:val="0F3B0205"/>
    <w:rsid w:val="1025513D"/>
    <w:rsid w:val="10E943BC"/>
    <w:rsid w:val="12631BBA"/>
    <w:rsid w:val="12C55982"/>
    <w:rsid w:val="13E56991"/>
    <w:rsid w:val="13F866C4"/>
    <w:rsid w:val="141A663B"/>
    <w:rsid w:val="19166B54"/>
    <w:rsid w:val="1B1E690C"/>
    <w:rsid w:val="1E366767"/>
    <w:rsid w:val="1E6F2EA7"/>
    <w:rsid w:val="1EEB54F0"/>
    <w:rsid w:val="1F2111C5"/>
    <w:rsid w:val="1FB9701B"/>
    <w:rsid w:val="20436F19"/>
    <w:rsid w:val="23F21382"/>
    <w:rsid w:val="23F76998"/>
    <w:rsid w:val="242A6565"/>
    <w:rsid w:val="25CC5500"/>
    <w:rsid w:val="2762006E"/>
    <w:rsid w:val="28956780"/>
    <w:rsid w:val="28BC4382"/>
    <w:rsid w:val="28CC0812"/>
    <w:rsid w:val="28D53712"/>
    <w:rsid w:val="2A574F5A"/>
    <w:rsid w:val="2BA2368E"/>
    <w:rsid w:val="2E4A068F"/>
    <w:rsid w:val="2FEC7BA7"/>
    <w:rsid w:val="30C85944"/>
    <w:rsid w:val="32D103B5"/>
    <w:rsid w:val="34917B4B"/>
    <w:rsid w:val="34A264AC"/>
    <w:rsid w:val="35317208"/>
    <w:rsid w:val="389039BE"/>
    <w:rsid w:val="38D1110E"/>
    <w:rsid w:val="39B8628D"/>
    <w:rsid w:val="3A0D13C2"/>
    <w:rsid w:val="403F240F"/>
    <w:rsid w:val="41523008"/>
    <w:rsid w:val="422B58DD"/>
    <w:rsid w:val="431F6F1A"/>
    <w:rsid w:val="4512225B"/>
    <w:rsid w:val="45B124BE"/>
    <w:rsid w:val="47051BEE"/>
    <w:rsid w:val="479D78F2"/>
    <w:rsid w:val="48F826E7"/>
    <w:rsid w:val="4DD94895"/>
    <w:rsid w:val="4F20019F"/>
    <w:rsid w:val="5055041F"/>
    <w:rsid w:val="52804422"/>
    <w:rsid w:val="52C40E56"/>
    <w:rsid w:val="53896967"/>
    <w:rsid w:val="55A71B30"/>
    <w:rsid w:val="5A4412E8"/>
    <w:rsid w:val="5DE132F2"/>
    <w:rsid w:val="5F0E3EC0"/>
    <w:rsid w:val="60B71B94"/>
    <w:rsid w:val="610B7004"/>
    <w:rsid w:val="611E37D0"/>
    <w:rsid w:val="656942F9"/>
    <w:rsid w:val="65F20792"/>
    <w:rsid w:val="663906D0"/>
    <w:rsid w:val="669153DC"/>
    <w:rsid w:val="66FE3167"/>
    <w:rsid w:val="67B57CC9"/>
    <w:rsid w:val="69860F0F"/>
    <w:rsid w:val="6ADD1590"/>
    <w:rsid w:val="6DE76703"/>
    <w:rsid w:val="6DEC589C"/>
    <w:rsid w:val="6E217E67"/>
    <w:rsid w:val="6FA65D1A"/>
    <w:rsid w:val="6FC224C5"/>
    <w:rsid w:val="70512D38"/>
    <w:rsid w:val="710E21F8"/>
    <w:rsid w:val="71BA0F12"/>
    <w:rsid w:val="7244017F"/>
    <w:rsid w:val="73D87EAF"/>
    <w:rsid w:val="755830E8"/>
    <w:rsid w:val="772F3C2D"/>
    <w:rsid w:val="784A5B52"/>
    <w:rsid w:val="79346574"/>
    <w:rsid w:val="79D106AF"/>
    <w:rsid w:val="7A57076C"/>
    <w:rsid w:val="7AAA11E4"/>
    <w:rsid w:val="7CF14CE5"/>
    <w:rsid w:val="7D20753B"/>
    <w:rsid w:val="7DA43CC8"/>
    <w:rsid w:val="7DEB737A"/>
    <w:rsid w:val="7F280929"/>
    <w:rsid w:val="7FF85C9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qFormat="1" w:unhideWhenUsed="0" w:uiPriority="99" w:name="index 1"/>
    <w:lsdException w:qFormat="1" w:unhideWhenUsed="0" w:uiPriority="99" w:name="index 2"/>
    <w:lsdException w:qFormat="1" w:unhideWhenUsed="0"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99" w:name="footnote text"/>
    <w:lsdException w:qFormat="1" w:unhideWhenUsed="0" w:uiPriority="99" w:semiHidden="0" w:name="annotation text"/>
    <w:lsdException w:qFormat="1" w:uiPriority="0" w:semiHidden="0" w:name="header"/>
    <w:lsdException w:qFormat="1" w:uiPriority="0" w:semiHidden="0" w:name="footer"/>
    <w:lsdException w:qFormat="1" w:unhideWhenUsed="0" w:uiPriority="99" w:name="index heading"/>
    <w:lsdException w:qFormat="1" w:uiPriority="35" w:name="caption"/>
    <w:lsdException w:qFormat="1" w:unhideWhenUsed="0" w:uiPriority="99" w:name="table of figures"/>
    <w:lsdException w:uiPriority="99" w:name="envelope address"/>
    <w:lsdException w:qFormat="1" w:uiPriority="99" w:semiHidden="0" w:name="envelope return"/>
    <w:lsdException w:qFormat="1" w:unhideWhenUsed="0" w:uiPriority="99" w:name="footnote reference"/>
    <w:lsdException w:qFormat="1" w:unhideWhenUsed="0" w:uiPriority="0" w:semiHidden="0" w:name="annotation reference"/>
    <w:lsdException w:qFormat="1" w:unhideWhenUsed="0" w:uiPriority="99" w:semiHidden="0" w:name="line number"/>
    <w:lsdException w:qFormat="1" w:unhideWhenUsed="0" w:uiPriority="99" w:semiHidden="0" w:name="page number"/>
    <w:lsdException w:qFormat="1" w:unhideWhenUsed="0" w:uiPriority="99" w:name="endnote reference"/>
    <w:lsdException w:qFormat="1" w:unhideWhenUsed="0" w:uiPriority="99" w:name="endnote text"/>
    <w:lsdException w:uiPriority="99" w:name="table of authorities"/>
    <w:lsdException w:uiPriority="99" w:name="macro"/>
    <w:lsdException w:uiPriority="99" w:name="toa heading"/>
    <w:lsdException w:qFormat="1" w:unhideWhenUsed="0" w:uiPriority="99" w:semiHidden="0" w:name="List"/>
    <w:lsdException w:uiPriority="99" w:name="List Bullet"/>
    <w:lsdException w:qFormat="1" w:unhideWhenUsed="0" w:uiPriority="99" w:semiHidden="0" w:name="List Number"/>
    <w:lsdException w:qFormat="1" w:unhideWhenUsed="0" w:uiPriority="99" w:semiHidden="0" w:name="List 2"/>
    <w:lsdException w:qFormat="1" w:unhideWhenUsed="0"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nhideWhenUsed="0" w:uiPriority="99" w:semiHidden="0"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qFormat="1" w:unhideWhenUsed="0" w:uiPriority="99" w:semiHidden="0" w:name="Signature"/>
    <w:lsdException w:qFormat="1" w:uiPriority="1" w:name="Default Paragraph Font"/>
    <w:lsdException w:qFormat="1" w:uiPriority="1"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nhideWhenUsed="0" w:uiPriority="99" w:semiHidden="0" w:name="Salutation"/>
    <w:lsdException w:qFormat="1" w:unhideWhenUsed="0" w:uiPriority="0" w:semiHidden="0" w:name="Date"/>
    <w:lsdException w:qFormat="1" w:unhideWhenUsed="0" w:uiPriority="99" w:semiHidden="0" w:name="Body Text First Indent"/>
    <w:lsdException w:qFormat="1" w:unhideWhenUsed="0" w:uiPriority="99" w:semiHidden="0" w:name="Body Text First Indent 2"/>
    <w:lsdException w:uiPriority="99" w:name="Note Heading"/>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iPriority="99"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nhideWhenUsed="0"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99" w:semiHidden="0" w:name="HTML Preformatted"/>
    <w:lsdException w:qFormat="1" w:unhideWhenUsed="0" w:uiPriority="99" w:semiHidden="0" w:name="HTML Sample"/>
    <w:lsdException w:qFormat="1" w:unhideWhenUsed="0" w:uiPriority="99" w:semiHidden="0" w:name="HTML Typewriter"/>
    <w:lsdException w:uiPriority="99" w:name="HTML Variable"/>
    <w:lsdException w:qFormat="1" w:uiPriority="99" w:name="Normal Table"/>
    <w:lsdException w:qFormat="1" w:unhideWhenUsed="0"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4"/>
      <w:lang w:val="en-US" w:eastAsia="zh-CN" w:bidi="ar-SA"/>
    </w:rPr>
  </w:style>
  <w:style w:type="paragraph" w:styleId="2">
    <w:name w:val="heading 1"/>
    <w:basedOn w:val="1"/>
    <w:next w:val="1"/>
    <w:link w:val="220"/>
    <w:qFormat/>
    <w:uiPriority w:val="0"/>
    <w:pPr>
      <w:keepNext/>
      <w:keepLines/>
      <w:spacing w:before="340" w:after="330" w:line="576" w:lineRule="auto"/>
      <w:outlineLvl w:val="0"/>
    </w:pPr>
    <w:rPr>
      <w:rFonts w:ascii="Times New Roman" w:hAnsi="Times New Roman"/>
      <w:b/>
      <w:bCs/>
      <w:sz w:val="44"/>
      <w:szCs w:val="44"/>
    </w:rPr>
  </w:style>
  <w:style w:type="paragraph" w:styleId="3">
    <w:name w:val="heading 2"/>
    <w:basedOn w:val="1"/>
    <w:next w:val="1"/>
    <w:link w:val="221"/>
    <w:qFormat/>
    <w:uiPriority w:val="0"/>
    <w:pPr>
      <w:keepNext/>
      <w:keepLines/>
      <w:spacing w:before="260" w:after="260" w:line="413" w:lineRule="auto"/>
      <w:outlineLvl w:val="1"/>
    </w:pPr>
    <w:rPr>
      <w:rFonts w:ascii="Arial" w:hAnsi="Arial" w:eastAsia="黑体"/>
      <w:b/>
      <w:bCs/>
      <w:sz w:val="32"/>
      <w:szCs w:val="32"/>
    </w:rPr>
  </w:style>
  <w:style w:type="paragraph" w:styleId="4">
    <w:name w:val="heading 3"/>
    <w:basedOn w:val="1"/>
    <w:next w:val="1"/>
    <w:link w:val="222"/>
    <w:qFormat/>
    <w:uiPriority w:val="0"/>
    <w:pPr>
      <w:keepNext/>
      <w:keepLines/>
      <w:spacing w:before="260" w:after="260" w:line="413" w:lineRule="auto"/>
      <w:outlineLvl w:val="2"/>
    </w:pPr>
    <w:rPr>
      <w:rFonts w:ascii="Times New Roman" w:hAnsi="Times New Roman"/>
      <w:b/>
      <w:bCs/>
      <w:sz w:val="32"/>
      <w:szCs w:val="32"/>
    </w:rPr>
  </w:style>
  <w:style w:type="paragraph" w:styleId="5">
    <w:name w:val="heading 4"/>
    <w:basedOn w:val="1"/>
    <w:next w:val="1"/>
    <w:link w:val="223"/>
    <w:qFormat/>
    <w:uiPriority w:val="9"/>
    <w:pPr>
      <w:keepNext/>
      <w:keepLines/>
      <w:spacing w:before="120" w:after="120"/>
      <w:outlineLvl w:val="3"/>
    </w:pPr>
    <w:rPr>
      <w:rFonts w:ascii="Arial" w:hAnsi="Arial" w:eastAsia="黑体"/>
      <w:b/>
      <w:sz w:val="20"/>
      <w:szCs w:val="20"/>
    </w:rPr>
  </w:style>
  <w:style w:type="paragraph" w:styleId="6">
    <w:name w:val="heading 5"/>
    <w:basedOn w:val="1"/>
    <w:next w:val="1"/>
    <w:link w:val="224"/>
    <w:qFormat/>
    <w:uiPriority w:val="9"/>
    <w:pPr>
      <w:keepNext/>
      <w:keepLines/>
      <w:tabs>
        <w:tab w:val="left" w:pos="1008"/>
      </w:tabs>
      <w:spacing w:before="280" w:after="290" w:line="372" w:lineRule="auto"/>
      <w:ind w:left="1008" w:hanging="1008"/>
      <w:outlineLvl w:val="4"/>
    </w:pPr>
    <w:rPr>
      <w:rFonts w:ascii="Times New Roman" w:hAnsi="Times New Roman"/>
      <w:b/>
      <w:bCs/>
      <w:sz w:val="28"/>
      <w:szCs w:val="28"/>
    </w:rPr>
  </w:style>
  <w:style w:type="paragraph" w:styleId="7">
    <w:name w:val="heading 6"/>
    <w:basedOn w:val="1"/>
    <w:next w:val="1"/>
    <w:link w:val="225"/>
    <w:qFormat/>
    <w:uiPriority w:val="9"/>
    <w:pPr>
      <w:keepNext/>
      <w:keepLines/>
      <w:tabs>
        <w:tab w:val="left" w:pos="1152"/>
      </w:tabs>
      <w:spacing w:before="240" w:after="64" w:line="317" w:lineRule="auto"/>
      <w:ind w:left="1152" w:hanging="1152"/>
      <w:outlineLvl w:val="5"/>
    </w:pPr>
    <w:rPr>
      <w:rFonts w:ascii="Arial" w:hAnsi="Arial" w:eastAsia="黑体"/>
      <w:b/>
      <w:bCs/>
      <w:sz w:val="24"/>
    </w:rPr>
  </w:style>
  <w:style w:type="paragraph" w:styleId="8">
    <w:name w:val="heading 7"/>
    <w:basedOn w:val="1"/>
    <w:next w:val="1"/>
    <w:link w:val="226"/>
    <w:qFormat/>
    <w:uiPriority w:val="9"/>
    <w:pPr>
      <w:keepNext/>
      <w:keepLines/>
      <w:tabs>
        <w:tab w:val="left" w:pos="1296"/>
      </w:tabs>
      <w:spacing w:before="240" w:after="64" w:line="317" w:lineRule="auto"/>
      <w:ind w:left="1296" w:hanging="1296"/>
      <w:outlineLvl w:val="6"/>
    </w:pPr>
    <w:rPr>
      <w:rFonts w:ascii="Times New Roman" w:hAnsi="Times New Roman"/>
      <w:b/>
      <w:bCs/>
      <w:sz w:val="24"/>
    </w:rPr>
  </w:style>
  <w:style w:type="paragraph" w:styleId="9">
    <w:name w:val="heading 8"/>
    <w:basedOn w:val="1"/>
    <w:next w:val="1"/>
    <w:link w:val="227"/>
    <w:qFormat/>
    <w:uiPriority w:val="9"/>
    <w:pPr>
      <w:keepNext/>
      <w:keepLines/>
      <w:tabs>
        <w:tab w:val="left" w:pos="1440"/>
      </w:tabs>
      <w:spacing w:before="240" w:after="64" w:line="317" w:lineRule="auto"/>
      <w:ind w:left="1440" w:hanging="1440"/>
      <w:outlineLvl w:val="7"/>
    </w:pPr>
    <w:rPr>
      <w:rFonts w:ascii="Arial" w:hAnsi="Arial" w:eastAsia="黑体"/>
      <w:sz w:val="24"/>
    </w:rPr>
  </w:style>
  <w:style w:type="paragraph" w:styleId="10">
    <w:name w:val="heading 9"/>
    <w:basedOn w:val="1"/>
    <w:next w:val="1"/>
    <w:link w:val="228"/>
    <w:qFormat/>
    <w:uiPriority w:val="9"/>
    <w:pPr>
      <w:keepNext/>
      <w:keepLines/>
      <w:tabs>
        <w:tab w:val="left" w:pos="1584"/>
      </w:tabs>
      <w:spacing w:before="240" w:after="64" w:line="317" w:lineRule="auto"/>
      <w:ind w:left="1584" w:hanging="1584"/>
      <w:outlineLvl w:val="8"/>
    </w:pPr>
    <w:rPr>
      <w:rFonts w:ascii="Arial" w:hAnsi="Arial" w:eastAsia="黑体"/>
      <w:szCs w:val="21"/>
    </w:rPr>
  </w:style>
  <w:style w:type="character" w:default="1" w:styleId="61">
    <w:name w:val="Default Paragraph Font"/>
    <w:semiHidden/>
    <w:unhideWhenUsed/>
    <w:qFormat/>
    <w:uiPriority w:val="1"/>
  </w:style>
  <w:style w:type="table" w:default="1" w:styleId="59">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99"/>
    <w:pPr>
      <w:ind w:left="1260" w:hanging="420"/>
    </w:pPr>
    <w:rPr>
      <w:szCs w:val="20"/>
    </w:rPr>
  </w:style>
  <w:style w:type="paragraph" w:styleId="12">
    <w:name w:val="toc 7"/>
    <w:basedOn w:val="1"/>
    <w:next w:val="1"/>
    <w:qFormat/>
    <w:uiPriority w:val="39"/>
    <w:pPr>
      <w:ind w:left="1260"/>
      <w:jc w:val="left"/>
    </w:pPr>
    <w:rPr>
      <w:szCs w:val="21"/>
    </w:rPr>
  </w:style>
  <w:style w:type="paragraph" w:styleId="13">
    <w:name w:val="List Number 2"/>
    <w:basedOn w:val="1"/>
    <w:qFormat/>
    <w:uiPriority w:val="99"/>
    <w:pPr>
      <w:tabs>
        <w:tab w:val="left" w:pos="1440"/>
      </w:tabs>
      <w:spacing w:line="360" w:lineRule="auto"/>
      <w:ind w:left="1440" w:hanging="1440"/>
    </w:pPr>
    <w:rPr>
      <w:sz w:val="24"/>
    </w:rPr>
  </w:style>
  <w:style w:type="paragraph" w:styleId="14">
    <w:name w:val="List Number"/>
    <w:basedOn w:val="1"/>
    <w:qFormat/>
    <w:uiPriority w:val="99"/>
    <w:pPr>
      <w:tabs>
        <w:tab w:val="left" w:pos="2952"/>
      </w:tabs>
      <w:ind w:left="2952" w:hanging="432"/>
    </w:pPr>
  </w:style>
  <w:style w:type="paragraph" w:styleId="15">
    <w:name w:val="Normal Indent"/>
    <w:basedOn w:val="1"/>
    <w:qFormat/>
    <w:uiPriority w:val="0"/>
    <w:pPr>
      <w:ind w:firstLine="420"/>
    </w:pPr>
    <w:rPr>
      <w:szCs w:val="20"/>
    </w:rPr>
  </w:style>
  <w:style w:type="paragraph" w:styleId="16">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7">
    <w:name w:val="Document Map"/>
    <w:basedOn w:val="1"/>
    <w:link w:val="229"/>
    <w:semiHidden/>
    <w:qFormat/>
    <w:uiPriority w:val="99"/>
    <w:pPr>
      <w:shd w:val="clear" w:color="auto" w:fill="000080"/>
    </w:pPr>
    <w:rPr>
      <w:rFonts w:ascii="Times New Roman" w:hAnsi="Times New Roman"/>
      <w:sz w:val="24"/>
    </w:rPr>
  </w:style>
  <w:style w:type="paragraph" w:styleId="18">
    <w:name w:val="annotation text"/>
    <w:basedOn w:val="1"/>
    <w:link w:val="230"/>
    <w:qFormat/>
    <w:uiPriority w:val="99"/>
    <w:pPr>
      <w:jc w:val="left"/>
    </w:pPr>
    <w:rPr>
      <w:rFonts w:ascii="Times New Roman" w:hAnsi="Times New Roman"/>
      <w:sz w:val="20"/>
      <w:szCs w:val="20"/>
    </w:rPr>
  </w:style>
  <w:style w:type="paragraph" w:styleId="19">
    <w:name w:val="Salutation"/>
    <w:basedOn w:val="1"/>
    <w:next w:val="1"/>
    <w:link w:val="231"/>
    <w:qFormat/>
    <w:uiPriority w:val="99"/>
    <w:rPr>
      <w:rFonts w:ascii="仿宋_GB2312" w:hAnsi="Times New Roman" w:eastAsia="仿宋_GB2312"/>
      <w:sz w:val="20"/>
      <w:szCs w:val="20"/>
    </w:rPr>
  </w:style>
  <w:style w:type="paragraph" w:styleId="20">
    <w:name w:val="Body Text 3"/>
    <w:basedOn w:val="1"/>
    <w:link w:val="232"/>
    <w:qFormat/>
    <w:uiPriority w:val="99"/>
    <w:pPr>
      <w:spacing w:after="120"/>
    </w:pPr>
    <w:rPr>
      <w:rFonts w:ascii="Times New Roman" w:hAnsi="Times New Roman"/>
      <w:sz w:val="16"/>
      <w:szCs w:val="16"/>
    </w:rPr>
  </w:style>
  <w:style w:type="paragraph" w:styleId="21">
    <w:name w:val="Body Text"/>
    <w:basedOn w:val="1"/>
    <w:next w:val="1"/>
    <w:link w:val="233"/>
    <w:unhideWhenUsed/>
    <w:qFormat/>
    <w:uiPriority w:val="1"/>
    <w:pPr>
      <w:spacing w:after="120"/>
    </w:pPr>
    <w:rPr>
      <w:rFonts w:ascii="Times New Roman" w:hAnsi="Times New Roman"/>
      <w:sz w:val="24"/>
    </w:rPr>
  </w:style>
  <w:style w:type="paragraph" w:styleId="22">
    <w:name w:val="Body Text Indent"/>
    <w:basedOn w:val="1"/>
    <w:link w:val="218"/>
    <w:qFormat/>
    <w:uiPriority w:val="99"/>
    <w:pPr>
      <w:spacing w:after="120"/>
      <w:ind w:left="420"/>
    </w:pPr>
    <w:rPr>
      <w:rFonts w:ascii="Times New Roman" w:hAnsi="Times New Roman"/>
      <w:sz w:val="24"/>
    </w:rPr>
  </w:style>
  <w:style w:type="paragraph" w:styleId="23">
    <w:name w:val="List 2"/>
    <w:basedOn w:val="1"/>
    <w:qFormat/>
    <w:uiPriority w:val="99"/>
    <w:pPr>
      <w:ind w:left="100" w:hanging="200"/>
    </w:pPr>
    <w:rPr>
      <w:szCs w:val="21"/>
    </w:rPr>
  </w:style>
  <w:style w:type="paragraph" w:styleId="24">
    <w:name w:val="Block Text"/>
    <w:basedOn w:val="1"/>
    <w:unhideWhenUsed/>
    <w:qFormat/>
    <w:uiPriority w:val="99"/>
    <w:pPr>
      <w:spacing w:after="120"/>
      <w:ind w:left="1440" w:right="1440"/>
    </w:pPr>
  </w:style>
  <w:style w:type="paragraph" w:styleId="25">
    <w:name w:val="index 4"/>
    <w:basedOn w:val="1"/>
    <w:next w:val="1"/>
    <w:qFormat/>
    <w:uiPriority w:val="99"/>
    <w:pPr>
      <w:ind w:left="1260"/>
    </w:pPr>
  </w:style>
  <w:style w:type="paragraph" w:styleId="26">
    <w:name w:val="toc 5"/>
    <w:basedOn w:val="1"/>
    <w:next w:val="1"/>
    <w:qFormat/>
    <w:uiPriority w:val="39"/>
    <w:pPr>
      <w:ind w:left="840"/>
      <w:jc w:val="left"/>
    </w:pPr>
    <w:rPr>
      <w:szCs w:val="21"/>
    </w:rPr>
  </w:style>
  <w:style w:type="paragraph" w:styleId="27">
    <w:name w:val="toc 3"/>
    <w:basedOn w:val="1"/>
    <w:next w:val="1"/>
    <w:qFormat/>
    <w:uiPriority w:val="39"/>
    <w:pPr>
      <w:ind w:left="840"/>
    </w:pPr>
  </w:style>
  <w:style w:type="paragraph" w:styleId="28">
    <w:name w:val="Plain Text"/>
    <w:basedOn w:val="1"/>
    <w:link w:val="234"/>
    <w:qFormat/>
    <w:uiPriority w:val="0"/>
    <w:rPr>
      <w:rFonts w:ascii="宋体" w:hAnsi="Courier New"/>
      <w:szCs w:val="21"/>
    </w:rPr>
  </w:style>
  <w:style w:type="paragraph" w:styleId="29">
    <w:name w:val="toc 8"/>
    <w:basedOn w:val="1"/>
    <w:next w:val="1"/>
    <w:qFormat/>
    <w:uiPriority w:val="39"/>
    <w:pPr>
      <w:ind w:left="1470"/>
      <w:jc w:val="left"/>
    </w:pPr>
    <w:rPr>
      <w:szCs w:val="21"/>
    </w:rPr>
  </w:style>
  <w:style w:type="paragraph" w:styleId="30">
    <w:name w:val="index 3"/>
    <w:basedOn w:val="1"/>
    <w:next w:val="1"/>
    <w:semiHidden/>
    <w:qFormat/>
    <w:uiPriority w:val="99"/>
    <w:pPr>
      <w:ind w:left="840"/>
    </w:pPr>
    <w:rPr>
      <w:szCs w:val="20"/>
    </w:rPr>
  </w:style>
  <w:style w:type="paragraph" w:styleId="31">
    <w:name w:val="Date"/>
    <w:basedOn w:val="1"/>
    <w:next w:val="1"/>
    <w:link w:val="235"/>
    <w:qFormat/>
    <w:uiPriority w:val="0"/>
    <w:pPr>
      <w:ind w:left="100"/>
    </w:pPr>
    <w:rPr>
      <w:rFonts w:ascii="Times New Roman" w:hAnsi="Times New Roman"/>
      <w:sz w:val="20"/>
      <w:szCs w:val="20"/>
    </w:rPr>
  </w:style>
  <w:style w:type="paragraph" w:styleId="32">
    <w:name w:val="Body Text Indent 2"/>
    <w:basedOn w:val="1"/>
    <w:link w:val="236"/>
    <w:qFormat/>
    <w:uiPriority w:val="99"/>
    <w:pPr>
      <w:spacing w:line="400" w:lineRule="exact"/>
      <w:ind w:firstLine="480"/>
    </w:pPr>
    <w:rPr>
      <w:rFonts w:ascii="宋体" w:hAnsi="宋体"/>
      <w:sz w:val="24"/>
    </w:rPr>
  </w:style>
  <w:style w:type="paragraph" w:styleId="33">
    <w:name w:val="endnote text"/>
    <w:basedOn w:val="1"/>
    <w:link w:val="237"/>
    <w:semiHidden/>
    <w:qFormat/>
    <w:uiPriority w:val="99"/>
    <w:pPr>
      <w:jc w:val="left"/>
    </w:pPr>
    <w:rPr>
      <w:rFonts w:ascii="Times New Roman" w:hAnsi="Times New Roman"/>
      <w:sz w:val="24"/>
    </w:rPr>
  </w:style>
  <w:style w:type="paragraph" w:styleId="34">
    <w:name w:val="Balloon Text"/>
    <w:basedOn w:val="1"/>
    <w:link w:val="238"/>
    <w:semiHidden/>
    <w:qFormat/>
    <w:uiPriority w:val="99"/>
    <w:rPr>
      <w:rFonts w:ascii="Times New Roman" w:hAnsi="Times New Roman"/>
      <w:sz w:val="18"/>
      <w:szCs w:val="18"/>
    </w:rPr>
  </w:style>
  <w:style w:type="paragraph" w:styleId="35">
    <w:name w:val="footer"/>
    <w:basedOn w:val="1"/>
    <w:link w:val="239"/>
    <w:unhideWhenUsed/>
    <w:qFormat/>
    <w:uiPriority w:val="0"/>
    <w:pPr>
      <w:tabs>
        <w:tab w:val="center" w:pos="4153"/>
        <w:tab w:val="right" w:pos="8306"/>
      </w:tabs>
      <w:jc w:val="left"/>
    </w:pPr>
    <w:rPr>
      <w:sz w:val="18"/>
      <w:szCs w:val="18"/>
    </w:rPr>
  </w:style>
  <w:style w:type="paragraph" w:styleId="36">
    <w:name w:val="envelope return"/>
    <w:basedOn w:val="1"/>
    <w:unhideWhenUsed/>
    <w:qFormat/>
    <w:uiPriority w:val="99"/>
    <w:rPr>
      <w:rFonts w:ascii="Arial" w:hAnsi="Arial" w:eastAsiaTheme="minorEastAsia" w:cstheme="minorBidi"/>
    </w:rPr>
  </w:style>
  <w:style w:type="paragraph" w:styleId="37">
    <w:name w:val="header"/>
    <w:basedOn w:val="1"/>
    <w:link w:val="240"/>
    <w:unhideWhenUsed/>
    <w:qFormat/>
    <w:uiPriority w:val="0"/>
    <w:pPr>
      <w:pBdr>
        <w:bottom w:val="single" w:color="auto" w:sz="6" w:space="1"/>
      </w:pBdr>
      <w:tabs>
        <w:tab w:val="center" w:pos="4153"/>
        <w:tab w:val="right" w:pos="8306"/>
      </w:tabs>
      <w:jc w:val="center"/>
    </w:pPr>
    <w:rPr>
      <w:sz w:val="18"/>
      <w:szCs w:val="18"/>
    </w:rPr>
  </w:style>
  <w:style w:type="paragraph" w:styleId="38">
    <w:name w:val="Signature"/>
    <w:basedOn w:val="1"/>
    <w:link w:val="241"/>
    <w:qFormat/>
    <w:uiPriority w:val="99"/>
    <w:pPr>
      <w:spacing w:after="600" w:line="312" w:lineRule="atLeast"/>
      <w:jc w:val="center"/>
    </w:pPr>
    <w:rPr>
      <w:rFonts w:ascii="Times New Roman" w:hAnsi="Times New Roman" w:eastAsia="仿宋_GB2312"/>
      <w:sz w:val="20"/>
      <w:szCs w:val="20"/>
    </w:rPr>
  </w:style>
  <w:style w:type="paragraph" w:styleId="39">
    <w:name w:val="toc 1"/>
    <w:basedOn w:val="1"/>
    <w:next w:val="1"/>
    <w:qFormat/>
    <w:uiPriority w:val="39"/>
  </w:style>
  <w:style w:type="paragraph" w:styleId="40">
    <w:name w:val="toc 4"/>
    <w:basedOn w:val="1"/>
    <w:next w:val="1"/>
    <w:qFormat/>
    <w:uiPriority w:val="39"/>
    <w:pPr>
      <w:ind w:left="630"/>
      <w:jc w:val="left"/>
    </w:pPr>
    <w:rPr>
      <w:szCs w:val="21"/>
    </w:rPr>
  </w:style>
  <w:style w:type="paragraph" w:styleId="41">
    <w:name w:val="index heading"/>
    <w:basedOn w:val="1"/>
    <w:next w:val="42"/>
    <w:semiHidden/>
    <w:qFormat/>
    <w:uiPriority w:val="99"/>
    <w:rPr>
      <w:szCs w:val="20"/>
    </w:rPr>
  </w:style>
  <w:style w:type="paragraph" w:styleId="42">
    <w:name w:val="index 1"/>
    <w:basedOn w:val="1"/>
    <w:next w:val="1"/>
    <w:semiHidden/>
    <w:qFormat/>
    <w:uiPriority w:val="99"/>
    <w:pPr>
      <w:tabs>
        <w:tab w:val="left" w:pos="1260"/>
      </w:tabs>
      <w:jc w:val="center"/>
    </w:pPr>
    <w:rPr>
      <w:rFonts w:ascii="仿宋_GB2312" w:hAnsi="宋体" w:eastAsia="仿宋_GB2312"/>
      <w:sz w:val="30"/>
      <w:szCs w:val="20"/>
    </w:rPr>
  </w:style>
  <w:style w:type="paragraph" w:styleId="43">
    <w:name w:val="Subtitle"/>
    <w:basedOn w:val="1"/>
    <w:next w:val="1"/>
    <w:link w:val="242"/>
    <w:qFormat/>
    <w:uiPriority w:val="11"/>
    <w:pPr>
      <w:widowControl/>
      <w:spacing w:after="600" w:line="276" w:lineRule="auto"/>
      <w:jc w:val="left"/>
    </w:pPr>
    <w:rPr>
      <w:rFonts w:ascii="Cambria" w:hAnsi="Cambria"/>
      <w:i/>
      <w:iCs/>
      <w:spacing w:val="13"/>
      <w:sz w:val="24"/>
      <w:lang w:eastAsia="en-US"/>
    </w:rPr>
  </w:style>
  <w:style w:type="paragraph" w:styleId="44">
    <w:name w:val="List"/>
    <w:basedOn w:val="1"/>
    <w:qFormat/>
    <w:uiPriority w:val="99"/>
    <w:pPr>
      <w:ind w:left="200" w:hanging="200"/>
    </w:pPr>
    <w:rPr>
      <w:szCs w:val="21"/>
    </w:rPr>
  </w:style>
  <w:style w:type="paragraph" w:styleId="45">
    <w:name w:val="footnote text"/>
    <w:basedOn w:val="1"/>
    <w:link w:val="243"/>
    <w:semiHidden/>
    <w:qFormat/>
    <w:uiPriority w:val="99"/>
    <w:pPr>
      <w:jc w:val="left"/>
    </w:pPr>
    <w:rPr>
      <w:rFonts w:ascii="Times New Roman" w:hAnsi="Times New Roman"/>
      <w:sz w:val="18"/>
      <w:szCs w:val="18"/>
    </w:rPr>
  </w:style>
  <w:style w:type="paragraph" w:styleId="46">
    <w:name w:val="toc 6"/>
    <w:basedOn w:val="1"/>
    <w:next w:val="1"/>
    <w:qFormat/>
    <w:uiPriority w:val="39"/>
    <w:pPr>
      <w:ind w:left="1050"/>
      <w:jc w:val="left"/>
    </w:pPr>
    <w:rPr>
      <w:szCs w:val="21"/>
    </w:rPr>
  </w:style>
  <w:style w:type="paragraph" w:styleId="47">
    <w:name w:val="Body Text Indent 3"/>
    <w:basedOn w:val="1"/>
    <w:link w:val="244"/>
    <w:qFormat/>
    <w:uiPriority w:val="99"/>
    <w:pPr>
      <w:spacing w:before="120" w:after="120" w:line="264" w:lineRule="auto"/>
      <w:ind w:left="480"/>
    </w:pPr>
    <w:rPr>
      <w:rFonts w:ascii="Times New Roman" w:hAnsi="Times New Roman"/>
      <w:b/>
      <w:bCs/>
      <w:sz w:val="20"/>
      <w:szCs w:val="20"/>
    </w:rPr>
  </w:style>
  <w:style w:type="paragraph" w:styleId="48">
    <w:name w:val="table of figures"/>
    <w:basedOn w:val="1"/>
    <w:next w:val="1"/>
    <w:semiHidden/>
    <w:qFormat/>
    <w:uiPriority w:val="99"/>
    <w:pPr>
      <w:ind w:left="840" w:hanging="420"/>
    </w:pPr>
    <w:rPr>
      <w:szCs w:val="21"/>
    </w:rPr>
  </w:style>
  <w:style w:type="paragraph" w:styleId="49">
    <w:name w:val="toc 2"/>
    <w:basedOn w:val="1"/>
    <w:next w:val="1"/>
    <w:qFormat/>
    <w:uiPriority w:val="39"/>
    <w:pPr>
      <w:ind w:left="420"/>
    </w:pPr>
  </w:style>
  <w:style w:type="paragraph" w:styleId="50">
    <w:name w:val="toc 9"/>
    <w:basedOn w:val="1"/>
    <w:next w:val="1"/>
    <w:qFormat/>
    <w:uiPriority w:val="39"/>
    <w:pPr>
      <w:ind w:left="1680"/>
      <w:jc w:val="left"/>
    </w:pPr>
    <w:rPr>
      <w:szCs w:val="21"/>
    </w:rPr>
  </w:style>
  <w:style w:type="paragraph" w:styleId="51">
    <w:name w:val="Body Text 2"/>
    <w:basedOn w:val="1"/>
    <w:link w:val="245"/>
    <w:qFormat/>
    <w:uiPriority w:val="99"/>
    <w:pPr>
      <w:jc w:val="center"/>
    </w:pPr>
    <w:rPr>
      <w:rFonts w:ascii="Times New Roman" w:hAnsi="Times New Roman"/>
      <w:b/>
      <w:bCs/>
      <w:sz w:val="20"/>
      <w:szCs w:val="20"/>
    </w:rPr>
  </w:style>
  <w:style w:type="paragraph" w:styleId="52">
    <w:name w:val="HTML Preformatted"/>
    <w:basedOn w:val="1"/>
    <w:link w:val="246"/>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paragraph" w:styleId="53">
    <w:name w:val="Normal (Web)"/>
    <w:basedOn w:val="1"/>
    <w:qFormat/>
    <w:uiPriority w:val="99"/>
    <w:pPr>
      <w:widowControl/>
      <w:spacing w:before="100" w:beforeAutospacing="1" w:after="100" w:afterAutospacing="1"/>
      <w:jc w:val="left"/>
    </w:pPr>
    <w:rPr>
      <w:rFonts w:ascii="宋体" w:hAnsi="宋体" w:cs="宋体"/>
      <w:sz w:val="24"/>
    </w:rPr>
  </w:style>
  <w:style w:type="paragraph" w:styleId="54">
    <w:name w:val="index 2"/>
    <w:basedOn w:val="1"/>
    <w:next w:val="1"/>
    <w:semiHidden/>
    <w:qFormat/>
    <w:uiPriority w:val="99"/>
    <w:pPr>
      <w:ind w:left="420"/>
      <w:jc w:val="center"/>
    </w:pPr>
    <w:rPr>
      <w:rFonts w:ascii="宋体" w:hAnsi="宋体"/>
      <w:b/>
      <w:sz w:val="32"/>
      <w:szCs w:val="20"/>
    </w:rPr>
  </w:style>
  <w:style w:type="paragraph" w:styleId="55">
    <w:name w:val="Title"/>
    <w:basedOn w:val="1"/>
    <w:link w:val="247"/>
    <w:qFormat/>
    <w:uiPriority w:val="10"/>
    <w:pPr>
      <w:widowControl/>
      <w:spacing w:line="420" w:lineRule="exact"/>
      <w:jc w:val="center"/>
    </w:pPr>
    <w:rPr>
      <w:rFonts w:ascii="Times New Roman" w:hAnsi="Times New Roman" w:eastAsia="黑体"/>
      <w:b/>
      <w:sz w:val="20"/>
      <w:szCs w:val="20"/>
      <w:lang w:val="en-GB"/>
    </w:rPr>
  </w:style>
  <w:style w:type="paragraph" w:styleId="56">
    <w:name w:val="annotation subject"/>
    <w:basedOn w:val="18"/>
    <w:next w:val="18"/>
    <w:link w:val="248"/>
    <w:semiHidden/>
    <w:qFormat/>
    <w:uiPriority w:val="99"/>
    <w:rPr>
      <w:b/>
      <w:bCs/>
      <w:sz w:val="24"/>
      <w:szCs w:val="24"/>
    </w:rPr>
  </w:style>
  <w:style w:type="paragraph" w:styleId="57">
    <w:name w:val="Body Text First Indent"/>
    <w:basedOn w:val="21"/>
    <w:link w:val="249"/>
    <w:qFormat/>
    <w:uiPriority w:val="99"/>
    <w:pPr>
      <w:ind w:firstLine="420"/>
    </w:pPr>
  </w:style>
  <w:style w:type="paragraph" w:styleId="58">
    <w:name w:val="Body Text First Indent 2"/>
    <w:basedOn w:val="22"/>
    <w:link w:val="219"/>
    <w:qFormat/>
    <w:uiPriority w:val="99"/>
    <w:pPr>
      <w:spacing w:after="0" w:line="360" w:lineRule="auto"/>
      <w:ind w:left="0" w:firstLine="420"/>
    </w:pPr>
    <w:rPr>
      <w:rFonts w:ascii="宋体" w:hAnsi="宋体"/>
      <w:sz w:val="20"/>
      <w:szCs w:val="20"/>
    </w:rPr>
  </w:style>
  <w:style w:type="table" w:styleId="60">
    <w:name w:val="Table Grid"/>
    <w:basedOn w:val="59"/>
    <w:qFormat/>
    <w:uiPriority w:val="0"/>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62">
    <w:name w:val="Strong"/>
    <w:qFormat/>
    <w:uiPriority w:val="22"/>
    <w:rPr>
      <w:b/>
    </w:rPr>
  </w:style>
  <w:style w:type="character" w:styleId="63">
    <w:name w:val="endnote reference"/>
    <w:semiHidden/>
    <w:qFormat/>
    <w:uiPriority w:val="99"/>
    <w:rPr>
      <w:vertAlign w:val="superscript"/>
    </w:rPr>
  </w:style>
  <w:style w:type="character" w:styleId="64">
    <w:name w:val="page number"/>
    <w:qFormat/>
    <w:uiPriority w:val="99"/>
    <w:rPr>
      <w:rFonts w:cs="Times New Roman"/>
    </w:rPr>
  </w:style>
  <w:style w:type="character" w:styleId="65">
    <w:name w:val="FollowedHyperlink"/>
    <w:qFormat/>
    <w:uiPriority w:val="99"/>
    <w:rPr>
      <w:color w:val="800080"/>
      <w:u w:val="single"/>
    </w:rPr>
  </w:style>
  <w:style w:type="character" w:styleId="66">
    <w:name w:val="Emphasis"/>
    <w:qFormat/>
    <w:uiPriority w:val="20"/>
    <w:rPr>
      <w:b/>
      <w:i/>
      <w:spacing w:val="10"/>
      <w:shd w:val="clear" w:color="auto" w:fill="auto"/>
    </w:rPr>
  </w:style>
  <w:style w:type="character" w:styleId="67">
    <w:name w:val="line number"/>
    <w:qFormat/>
    <w:uiPriority w:val="99"/>
    <w:rPr>
      <w:rFonts w:cs="Times New Roman"/>
    </w:rPr>
  </w:style>
  <w:style w:type="character" w:styleId="68">
    <w:name w:val="HTML Typewriter"/>
    <w:qFormat/>
    <w:uiPriority w:val="99"/>
    <w:rPr>
      <w:rFonts w:ascii="宋体" w:hAnsi="宋体" w:eastAsia="宋体"/>
      <w:sz w:val="24"/>
    </w:rPr>
  </w:style>
  <w:style w:type="character" w:styleId="69">
    <w:name w:val="Hyperlink"/>
    <w:qFormat/>
    <w:uiPriority w:val="99"/>
    <w:rPr>
      <w:color w:val="0000FF"/>
      <w:u w:val="single"/>
    </w:rPr>
  </w:style>
  <w:style w:type="character" w:styleId="70">
    <w:name w:val="annotation reference"/>
    <w:qFormat/>
    <w:uiPriority w:val="0"/>
    <w:rPr>
      <w:sz w:val="21"/>
    </w:rPr>
  </w:style>
  <w:style w:type="character" w:styleId="71">
    <w:name w:val="footnote reference"/>
    <w:semiHidden/>
    <w:qFormat/>
    <w:uiPriority w:val="99"/>
    <w:rPr>
      <w:vertAlign w:val="superscript"/>
    </w:rPr>
  </w:style>
  <w:style w:type="character" w:styleId="72">
    <w:name w:val="HTML Sample"/>
    <w:qFormat/>
    <w:uiPriority w:val="99"/>
    <w:rPr>
      <w:rFonts w:ascii="Courier New" w:hAnsi="宋体" w:eastAsia="宋体"/>
    </w:rPr>
  </w:style>
  <w:style w:type="character" w:customStyle="1" w:styleId="73">
    <w:name w:val="标题 1 Char"/>
    <w:qFormat/>
    <w:uiPriority w:val="0"/>
    <w:rPr>
      <w:rFonts w:ascii="Times New Roman" w:hAnsi="Times New Roman" w:eastAsia="宋体" w:cs="Times New Roman"/>
      <w:b/>
      <w:bCs/>
      <w:sz w:val="44"/>
      <w:szCs w:val="44"/>
    </w:rPr>
  </w:style>
  <w:style w:type="character" w:customStyle="1" w:styleId="74">
    <w:name w:val="Heading 1 Char"/>
    <w:basedOn w:val="61"/>
    <w:qFormat/>
    <w:uiPriority w:val="9"/>
    <w:rPr>
      <w:rFonts w:ascii="Arial" w:hAnsi="Arial" w:eastAsia="Arial" w:cs="Arial"/>
      <w:sz w:val="40"/>
      <w:szCs w:val="40"/>
    </w:rPr>
  </w:style>
  <w:style w:type="character" w:customStyle="1" w:styleId="75">
    <w:name w:val="Heading 2 Char"/>
    <w:basedOn w:val="61"/>
    <w:qFormat/>
    <w:uiPriority w:val="9"/>
    <w:rPr>
      <w:rFonts w:ascii="Arial" w:hAnsi="Arial" w:eastAsia="Arial" w:cs="Arial"/>
      <w:sz w:val="34"/>
    </w:rPr>
  </w:style>
  <w:style w:type="character" w:customStyle="1" w:styleId="76">
    <w:name w:val="Heading 3 Char"/>
    <w:basedOn w:val="61"/>
    <w:qFormat/>
    <w:uiPriority w:val="9"/>
    <w:rPr>
      <w:rFonts w:ascii="Arial" w:hAnsi="Arial" w:eastAsia="Arial" w:cs="Arial"/>
      <w:sz w:val="30"/>
      <w:szCs w:val="30"/>
    </w:rPr>
  </w:style>
  <w:style w:type="character" w:customStyle="1" w:styleId="77">
    <w:name w:val="Heading 4 Char"/>
    <w:basedOn w:val="61"/>
    <w:qFormat/>
    <w:uiPriority w:val="9"/>
    <w:rPr>
      <w:rFonts w:ascii="Arial" w:hAnsi="Arial" w:eastAsia="Arial" w:cs="Arial"/>
      <w:b/>
      <w:bCs/>
      <w:sz w:val="26"/>
      <w:szCs w:val="26"/>
    </w:rPr>
  </w:style>
  <w:style w:type="character" w:customStyle="1" w:styleId="78">
    <w:name w:val="Heading 5 Char"/>
    <w:basedOn w:val="61"/>
    <w:qFormat/>
    <w:uiPriority w:val="9"/>
    <w:rPr>
      <w:rFonts w:ascii="Arial" w:hAnsi="Arial" w:eastAsia="Arial" w:cs="Arial"/>
      <w:b/>
      <w:bCs/>
      <w:sz w:val="24"/>
      <w:szCs w:val="24"/>
    </w:rPr>
  </w:style>
  <w:style w:type="character" w:customStyle="1" w:styleId="79">
    <w:name w:val="Heading 6 Char"/>
    <w:basedOn w:val="61"/>
    <w:qFormat/>
    <w:uiPriority w:val="9"/>
    <w:rPr>
      <w:rFonts w:ascii="Arial" w:hAnsi="Arial" w:eastAsia="Arial" w:cs="Arial"/>
      <w:b/>
      <w:bCs/>
      <w:sz w:val="22"/>
      <w:szCs w:val="22"/>
    </w:rPr>
  </w:style>
  <w:style w:type="character" w:customStyle="1" w:styleId="80">
    <w:name w:val="Heading 7 Char"/>
    <w:basedOn w:val="61"/>
    <w:qFormat/>
    <w:uiPriority w:val="9"/>
    <w:rPr>
      <w:rFonts w:ascii="Arial" w:hAnsi="Arial" w:eastAsia="Arial" w:cs="Arial"/>
      <w:b/>
      <w:bCs/>
      <w:i/>
      <w:iCs/>
      <w:sz w:val="22"/>
      <w:szCs w:val="22"/>
    </w:rPr>
  </w:style>
  <w:style w:type="character" w:customStyle="1" w:styleId="81">
    <w:name w:val="Heading 8 Char"/>
    <w:basedOn w:val="61"/>
    <w:qFormat/>
    <w:uiPriority w:val="9"/>
    <w:rPr>
      <w:rFonts w:ascii="Arial" w:hAnsi="Arial" w:eastAsia="Arial" w:cs="Arial"/>
      <w:i/>
      <w:iCs/>
      <w:sz w:val="22"/>
      <w:szCs w:val="22"/>
    </w:rPr>
  </w:style>
  <w:style w:type="character" w:customStyle="1" w:styleId="82">
    <w:name w:val="Heading 9 Char"/>
    <w:basedOn w:val="61"/>
    <w:qFormat/>
    <w:uiPriority w:val="9"/>
    <w:rPr>
      <w:rFonts w:ascii="Arial" w:hAnsi="Arial" w:eastAsia="Arial" w:cs="Arial"/>
      <w:i/>
      <w:iCs/>
      <w:sz w:val="21"/>
      <w:szCs w:val="21"/>
    </w:rPr>
  </w:style>
  <w:style w:type="character" w:customStyle="1" w:styleId="83">
    <w:name w:val="Title Char"/>
    <w:basedOn w:val="61"/>
    <w:qFormat/>
    <w:uiPriority w:val="10"/>
    <w:rPr>
      <w:sz w:val="48"/>
      <w:szCs w:val="48"/>
    </w:rPr>
  </w:style>
  <w:style w:type="character" w:customStyle="1" w:styleId="84">
    <w:name w:val="Subtitle Char"/>
    <w:basedOn w:val="61"/>
    <w:qFormat/>
    <w:uiPriority w:val="11"/>
    <w:rPr>
      <w:sz w:val="24"/>
      <w:szCs w:val="24"/>
    </w:rPr>
  </w:style>
  <w:style w:type="paragraph" w:styleId="85">
    <w:name w:val="Quote"/>
    <w:basedOn w:val="1"/>
    <w:next w:val="1"/>
    <w:qFormat/>
    <w:uiPriority w:val="29"/>
    <w:pPr>
      <w:ind w:left="720" w:right="720"/>
    </w:pPr>
    <w:rPr>
      <w:i/>
    </w:rPr>
  </w:style>
  <w:style w:type="paragraph" w:styleId="86">
    <w:name w:val="Intense Quote"/>
    <w:basedOn w:val="1"/>
    <w:next w:val="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87">
    <w:name w:val="Header Char"/>
    <w:basedOn w:val="61"/>
    <w:qFormat/>
    <w:uiPriority w:val="99"/>
  </w:style>
  <w:style w:type="character" w:customStyle="1" w:styleId="88">
    <w:name w:val="Footer Char"/>
    <w:basedOn w:val="61"/>
    <w:qFormat/>
    <w:uiPriority w:val="99"/>
  </w:style>
  <w:style w:type="character" w:customStyle="1" w:styleId="89">
    <w:name w:val="Caption Char"/>
    <w:qFormat/>
    <w:uiPriority w:val="99"/>
  </w:style>
  <w:style w:type="table" w:customStyle="1" w:styleId="90">
    <w:name w:val="Table Grid Light"/>
    <w:basedOn w:val="59"/>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91">
    <w:name w:val="Plain Table 1"/>
    <w:basedOn w:val="59"/>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2">
    <w:name w:val="Plain Table 2"/>
    <w:basedOn w:val="59"/>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3">
    <w:name w:val="Plain Table 3"/>
    <w:basedOn w:val="59"/>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4">
    <w:name w:val="Plain Table 4"/>
    <w:basedOn w:val="59"/>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5">
    <w:name w:val="Plain Table 5"/>
    <w:basedOn w:val="59"/>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6">
    <w:name w:val="Grid Table 1 Light"/>
    <w:basedOn w:val="59"/>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7">
    <w:name w:val="Grid Table 1 Light - Accent 1"/>
    <w:basedOn w:val="59"/>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108" w:type="dxa"/>
        <w:bottom w:w="0" w:type="dxa"/>
        <w:right w:w="108"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98">
    <w:name w:val="Grid Table 1 Light - Accent 2"/>
    <w:basedOn w:val="59"/>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108" w:type="dxa"/>
        <w:bottom w:w="0" w:type="dxa"/>
        <w:right w:w="108"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9">
    <w:name w:val="Grid Table 1 Light - Accent 3"/>
    <w:basedOn w:val="59"/>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108" w:type="dxa"/>
        <w:bottom w:w="0" w:type="dxa"/>
        <w:right w:w="108"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00">
    <w:name w:val="Grid Table 1 Light - Accent 4"/>
    <w:basedOn w:val="59"/>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108" w:type="dxa"/>
        <w:bottom w:w="0" w:type="dxa"/>
        <w:right w:w="108"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01">
    <w:name w:val="Grid Table 1 Light - Accent 5"/>
    <w:basedOn w:val="59"/>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108" w:type="dxa"/>
        <w:bottom w:w="0" w:type="dxa"/>
        <w:right w:w="108"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02">
    <w:name w:val="Grid Table 1 Light - Accent 6"/>
    <w:basedOn w:val="59"/>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108" w:type="dxa"/>
        <w:bottom w:w="0" w:type="dxa"/>
        <w:right w:w="108"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03">
    <w:name w:val="Grid Table 2"/>
    <w:basedOn w:val="59"/>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4">
    <w:name w:val="Grid Table 2 - Accent 1"/>
    <w:basedOn w:val="59"/>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5">
    <w:name w:val="Grid Table 2 - Accent 2"/>
    <w:basedOn w:val="59"/>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6">
    <w:name w:val="Grid Table 2 - Accent 3"/>
    <w:basedOn w:val="59"/>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7">
    <w:name w:val="Grid Table 2 - Accent 4"/>
    <w:basedOn w:val="59"/>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8">
    <w:name w:val="Grid Table 2 - Accent 5"/>
    <w:basedOn w:val="59"/>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9">
    <w:name w:val="Grid Table 2 - Accent 6"/>
    <w:basedOn w:val="59"/>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0">
    <w:name w:val="Grid Table 3"/>
    <w:basedOn w:val="59"/>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1">
    <w:name w:val="Grid Table 3 - Accent 1"/>
    <w:basedOn w:val="59"/>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2">
    <w:name w:val="Grid Table 3 - Accent 2"/>
    <w:basedOn w:val="59"/>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3">
    <w:name w:val="Grid Table 3 - Accent 3"/>
    <w:basedOn w:val="59"/>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4">
    <w:name w:val="Grid Table 3 - Accent 4"/>
    <w:basedOn w:val="59"/>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5">
    <w:name w:val="Grid Table 3 - Accent 5"/>
    <w:basedOn w:val="59"/>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6">
    <w:name w:val="Grid Table 3 - Accent 6"/>
    <w:basedOn w:val="59"/>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7">
    <w:name w:val="Grid Table 4"/>
    <w:basedOn w:val="59"/>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8">
    <w:name w:val="Grid Table 4 - Accent 1"/>
    <w:basedOn w:val="59"/>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9">
    <w:name w:val="Grid Table 4 - Accent 2"/>
    <w:basedOn w:val="59"/>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0">
    <w:name w:val="Grid Table 4 - Accent 3"/>
    <w:basedOn w:val="59"/>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1">
    <w:name w:val="Grid Table 4 - Accent 4"/>
    <w:basedOn w:val="59"/>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2">
    <w:name w:val="Grid Table 4 - Accent 5"/>
    <w:basedOn w:val="59"/>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3">
    <w:name w:val="Grid Table 4 - Accent 6"/>
    <w:basedOn w:val="59"/>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4">
    <w:name w:val="Grid Table 5 Dark"/>
    <w:basedOn w:val="5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5">
    <w:name w:val="Grid Table 5 Dark- Accent 1"/>
    <w:basedOn w:val="5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26">
    <w:name w:val="Grid Table 5 Dark - Accent 2"/>
    <w:basedOn w:val="5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27">
    <w:name w:val="Grid Table 5 Dark - Accent 3"/>
    <w:basedOn w:val="5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8">
    <w:name w:val="Grid Table 5 Dark- Accent 4"/>
    <w:basedOn w:val="5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9">
    <w:name w:val="Grid Table 5 Dark - Accent 5"/>
    <w:basedOn w:val="5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30">
    <w:name w:val="Grid Table 5 Dark - Accent 6"/>
    <w:basedOn w:val="5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31">
    <w:name w:val="Grid Table 6 Colorful"/>
    <w:basedOn w:val="59"/>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2">
    <w:name w:val="Grid Table 6 Colorful - Accent 1"/>
    <w:basedOn w:val="59"/>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108" w:type="dxa"/>
        <w:bottom w:w="0" w:type="dxa"/>
        <w:right w:w="108"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3">
    <w:name w:val="Grid Table 6 Colorful - Accent 2"/>
    <w:basedOn w:val="59"/>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4">
    <w:name w:val="Grid Table 6 Colorful - Accent 3"/>
    <w:basedOn w:val="59"/>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5">
    <w:name w:val="Grid Table 6 Colorful - Accent 4"/>
    <w:basedOn w:val="59"/>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6">
    <w:name w:val="Grid Table 6 Colorful - Accent 5"/>
    <w:basedOn w:val="59"/>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7">
    <w:name w:val="Grid Table 6 Colorful - Accent 6"/>
    <w:basedOn w:val="59"/>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38">
    <w:name w:val="Grid Table 7 Colorful"/>
    <w:basedOn w:val="59"/>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9">
    <w:name w:val="Grid Table 7 Colorful - Accent 1"/>
    <w:basedOn w:val="59"/>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108" w:type="dxa"/>
        <w:bottom w:w="0" w:type="dxa"/>
        <w:right w:w="108"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0">
    <w:name w:val="Grid Table 7 Colorful - Accent 2"/>
    <w:basedOn w:val="59"/>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1">
    <w:name w:val="Grid Table 7 Colorful - Accent 3"/>
    <w:basedOn w:val="59"/>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2">
    <w:name w:val="Grid Table 7 Colorful - Accent 4"/>
    <w:basedOn w:val="59"/>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3">
    <w:name w:val="Grid Table 7 Colorful - Accent 5"/>
    <w:basedOn w:val="59"/>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108" w:type="dxa"/>
        <w:bottom w:w="0" w:type="dxa"/>
        <w:right w:w="108"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4">
    <w:name w:val="Grid Table 7 Colorful - Accent 6"/>
    <w:basedOn w:val="59"/>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108" w:type="dxa"/>
        <w:bottom w:w="0" w:type="dxa"/>
        <w:right w:w="108"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45">
    <w:name w:val="List Table 1 Light"/>
    <w:basedOn w:val="59"/>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6">
    <w:name w:val="List Table 1 Light - Accent 1"/>
    <w:basedOn w:val="59"/>
    <w:qFormat/>
    <w:uiPriority w:val="99"/>
    <w:tblPr>
      <w:tblCellMar>
        <w:top w:w="0" w:type="dxa"/>
        <w:left w:w="108" w:type="dxa"/>
        <w:bottom w:w="0" w:type="dxa"/>
        <w:right w:w="108"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7">
    <w:name w:val="List Table 1 Light - Accent 2"/>
    <w:basedOn w:val="59"/>
    <w:qFormat/>
    <w:uiPriority w:val="99"/>
    <w:tblPr>
      <w:tblCellMar>
        <w:top w:w="0" w:type="dxa"/>
        <w:left w:w="108" w:type="dxa"/>
        <w:bottom w:w="0" w:type="dxa"/>
        <w:right w:w="108"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8">
    <w:name w:val="List Table 1 Light - Accent 3"/>
    <w:basedOn w:val="59"/>
    <w:qFormat/>
    <w:uiPriority w:val="99"/>
    <w:tblPr>
      <w:tblCellMar>
        <w:top w:w="0" w:type="dxa"/>
        <w:left w:w="108" w:type="dxa"/>
        <w:bottom w:w="0" w:type="dxa"/>
        <w:right w:w="108"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9">
    <w:name w:val="List Table 1 Light - Accent 4"/>
    <w:basedOn w:val="59"/>
    <w:qFormat/>
    <w:uiPriority w:val="99"/>
    <w:tblPr>
      <w:tblCellMar>
        <w:top w:w="0" w:type="dxa"/>
        <w:left w:w="108" w:type="dxa"/>
        <w:bottom w:w="0" w:type="dxa"/>
        <w:right w:w="108"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50">
    <w:name w:val="List Table 1 Light - Accent 5"/>
    <w:basedOn w:val="59"/>
    <w:qFormat/>
    <w:uiPriority w:val="99"/>
    <w:tblPr>
      <w:tblCellMar>
        <w:top w:w="0" w:type="dxa"/>
        <w:left w:w="108" w:type="dxa"/>
        <w:bottom w:w="0" w:type="dxa"/>
        <w:right w:w="108"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51">
    <w:name w:val="List Table 1 Light - Accent 6"/>
    <w:basedOn w:val="59"/>
    <w:qFormat/>
    <w:uiPriority w:val="99"/>
    <w:tblPr>
      <w:tblCellMar>
        <w:top w:w="0" w:type="dxa"/>
        <w:left w:w="108" w:type="dxa"/>
        <w:bottom w:w="0" w:type="dxa"/>
        <w:right w:w="108"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52">
    <w:name w:val="List Table 2"/>
    <w:basedOn w:val="59"/>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3">
    <w:name w:val="List Table 2 - Accent 1"/>
    <w:basedOn w:val="59"/>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4">
    <w:name w:val="List Table 2 - Accent 2"/>
    <w:basedOn w:val="59"/>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5">
    <w:name w:val="List Table 2 - Accent 3"/>
    <w:basedOn w:val="59"/>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6">
    <w:name w:val="List Table 2 - Accent 4"/>
    <w:basedOn w:val="59"/>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7">
    <w:name w:val="List Table 2 - Accent 5"/>
    <w:basedOn w:val="59"/>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8">
    <w:name w:val="List Table 2 - Accent 6"/>
    <w:basedOn w:val="59"/>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9">
    <w:name w:val="List Table 3"/>
    <w:basedOn w:val="59"/>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60">
    <w:name w:val="List Table 3 - Accent 1"/>
    <w:basedOn w:val="59"/>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61">
    <w:name w:val="List Table 3 - Accent 2"/>
    <w:basedOn w:val="59"/>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108" w:type="dxa"/>
        <w:bottom w:w="0" w:type="dxa"/>
        <w:right w:w="108"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62">
    <w:name w:val="List Table 3 - Accent 3"/>
    <w:basedOn w:val="59"/>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108" w:type="dxa"/>
        <w:bottom w:w="0" w:type="dxa"/>
        <w:right w:w="108"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63">
    <w:name w:val="List Table 3 - Accent 4"/>
    <w:basedOn w:val="59"/>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108" w:type="dxa"/>
        <w:bottom w:w="0" w:type="dxa"/>
        <w:right w:w="108"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64">
    <w:name w:val="List Table 3 - Accent 5"/>
    <w:basedOn w:val="59"/>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108" w:type="dxa"/>
        <w:bottom w:w="0" w:type="dxa"/>
        <w:right w:w="108"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5">
    <w:name w:val="List Table 3 - Accent 6"/>
    <w:basedOn w:val="59"/>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108" w:type="dxa"/>
        <w:bottom w:w="0" w:type="dxa"/>
        <w:right w:w="108"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6">
    <w:name w:val="List Table 4"/>
    <w:basedOn w:val="59"/>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7">
    <w:name w:val="List Table 4 - Accent 1"/>
    <w:basedOn w:val="59"/>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8">
    <w:name w:val="List Table 4 - Accent 2"/>
    <w:basedOn w:val="59"/>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108" w:type="dxa"/>
        <w:bottom w:w="0" w:type="dxa"/>
        <w:right w:w="108"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9">
    <w:name w:val="List Table 4 - Accent 3"/>
    <w:basedOn w:val="59"/>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108" w:type="dxa"/>
        <w:bottom w:w="0" w:type="dxa"/>
        <w:right w:w="108"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0">
    <w:name w:val="List Table 4 - Accent 4"/>
    <w:basedOn w:val="59"/>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108" w:type="dxa"/>
        <w:bottom w:w="0" w:type="dxa"/>
        <w:right w:w="108"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1">
    <w:name w:val="List Table 4 - Accent 5"/>
    <w:basedOn w:val="59"/>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2">
    <w:name w:val="List Table 4 - Accent 6"/>
    <w:basedOn w:val="59"/>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108" w:type="dxa"/>
        <w:bottom w:w="0" w:type="dxa"/>
        <w:right w:w="108"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3">
    <w:name w:val="List Table 5 Dark"/>
    <w:basedOn w:val="59"/>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4">
    <w:name w:val="List Table 5 Dark - Accent 1"/>
    <w:basedOn w:val="59"/>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75">
    <w:name w:val="List Table 5 Dark - Accent 2"/>
    <w:basedOn w:val="59"/>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76">
    <w:name w:val="List Table 5 Dark - Accent 3"/>
    <w:basedOn w:val="59"/>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7">
    <w:name w:val="List Table 5 Dark - Accent 4"/>
    <w:basedOn w:val="59"/>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8">
    <w:name w:val="List Table 5 Dark - Accent 5"/>
    <w:basedOn w:val="59"/>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9">
    <w:name w:val="List Table 5 Dark - Accent 6"/>
    <w:basedOn w:val="59"/>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80">
    <w:name w:val="List Table 6 Colorful"/>
    <w:basedOn w:val="59"/>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81">
    <w:name w:val="List Table 6 Colorful - Accent 1"/>
    <w:basedOn w:val="59"/>
    <w:qFormat/>
    <w:uiPriority w:val="99"/>
    <w:tblPr>
      <w:tblBorders>
        <w:top w:val="single" w:color="4F81BD" w:themeColor="accent1" w:sz="4" w:space="0"/>
        <w:bottom w:val="single" w:color="4F81BD" w:themeColor="accent1" w:sz="4" w:space="0"/>
      </w:tblBorders>
      <w:tblCellMar>
        <w:top w:w="0" w:type="dxa"/>
        <w:left w:w="108" w:type="dxa"/>
        <w:bottom w:w="0" w:type="dxa"/>
        <w:right w:w="108"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2">
    <w:name w:val="List Table 6 Colorful - Accent 2"/>
    <w:basedOn w:val="59"/>
    <w:qFormat/>
    <w:uiPriority w:val="99"/>
    <w:tblPr>
      <w:tblBorders>
        <w:top w:val="single" w:color="D99795" w:themeColor="accent2" w:themeTint="97" w:sz="4" w:space="0"/>
        <w:bottom w:val="single" w:color="D99795" w:themeColor="accent2" w:themeTint="97" w:sz="4" w:space="0"/>
      </w:tblBorders>
      <w:tblCellMar>
        <w:top w:w="0" w:type="dxa"/>
        <w:left w:w="108" w:type="dxa"/>
        <w:bottom w:w="0" w:type="dxa"/>
        <w:right w:w="108"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3">
    <w:name w:val="List Table 6 Colorful - Accent 3"/>
    <w:basedOn w:val="59"/>
    <w:qFormat/>
    <w:uiPriority w:val="99"/>
    <w:tblPr>
      <w:tblBorders>
        <w:top w:val="single" w:color="C3D69C" w:themeColor="accent3" w:themeTint="98" w:sz="4" w:space="0"/>
        <w:bottom w:val="single" w:color="C3D69C" w:themeColor="accent3" w:themeTint="98" w:sz="4" w:space="0"/>
      </w:tblBorders>
      <w:tblCellMar>
        <w:top w:w="0" w:type="dxa"/>
        <w:left w:w="108" w:type="dxa"/>
        <w:bottom w:w="0" w:type="dxa"/>
        <w:right w:w="108"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4">
    <w:name w:val="List Table 6 Colorful - Accent 4"/>
    <w:basedOn w:val="59"/>
    <w:qFormat/>
    <w:uiPriority w:val="99"/>
    <w:tblPr>
      <w:tblBorders>
        <w:top w:val="single" w:color="B2A1C6" w:themeColor="accent4" w:themeTint="9A" w:sz="4" w:space="0"/>
        <w:bottom w:val="single" w:color="B2A1C6" w:themeColor="accent4" w:themeTint="9A" w:sz="4" w:space="0"/>
      </w:tblBorders>
      <w:tblCellMar>
        <w:top w:w="0" w:type="dxa"/>
        <w:left w:w="108" w:type="dxa"/>
        <w:bottom w:w="0" w:type="dxa"/>
        <w:right w:w="108"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5">
    <w:name w:val="List Table 6 Colorful - Accent 5"/>
    <w:basedOn w:val="59"/>
    <w:qFormat/>
    <w:uiPriority w:val="99"/>
    <w:tblPr>
      <w:tblBorders>
        <w:top w:val="single" w:color="92CCDC" w:themeColor="accent5" w:themeTint="9A" w:sz="4" w:space="0"/>
        <w:bottom w:val="single" w:color="92CCDC" w:themeColor="accent5" w:themeTint="9A" w:sz="4" w:space="0"/>
      </w:tblBorders>
      <w:tblCellMar>
        <w:top w:w="0" w:type="dxa"/>
        <w:left w:w="108" w:type="dxa"/>
        <w:bottom w:w="0" w:type="dxa"/>
        <w:right w:w="108"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6">
    <w:name w:val="List Table 6 Colorful - Accent 6"/>
    <w:basedOn w:val="59"/>
    <w:qFormat/>
    <w:uiPriority w:val="99"/>
    <w:tblPr>
      <w:tblBorders>
        <w:top w:val="single" w:color="FAC090" w:themeColor="accent6" w:themeTint="98" w:sz="4" w:space="0"/>
        <w:bottom w:val="single" w:color="FAC090" w:themeColor="accent6" w:themeTint="98" w:sz="4" w:space="0"/>
      </w:tblBorders>
      <w:tblCellMar>
        <w:top w:w="0" w:type="dxa"/>
        <w:left w:w="108" w:type="dxa"/>
        <w:bottom w:w="0" w:type="dxa"/>
        <w:right w:w="108"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7">
    <w:name w:val="List Table 7 Colorful"/>
    <w:basedOn w:val="59"/>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8">
    <w:name w:val="List Table 7 Colorful - Accent 1"/>
    <w:basedOn w:val="59"/>
    <w:qFormat/>
    <w:uiPriority w:val="99"/>
    <w:tblPr>
      <w:tblBorders>
        <w:right w:val="single" w:color="4F81BD" w:themeColor="accent1" w:sz="4" w:space="0"/>
      </w:tblBorders>
      <w:tblCellMar>
        <w:top w:w="0" w:type="dxa"/>
        <w:left w:w="108" w:type="dxa"/>
        <w:bottom w:w="0" w:type="dxa"/>
        <w:right w:w="108"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9">
    <w:name w:val="List Table 7 Colorful - Accent 2"/>
    <w:basedOn w:val="59"/>
    <w:qFormat/>
    <w:uiPriority w:val="99"/>
    <w:tblPr>
      <w:tblBorders>
        <w:right w:val="single" w:color="D99795" w:themeColor="accent2" w:themeTint="97" w:sz="4" w:space="0"/>
      </w:tblBorders>
      <w:tblCellMar>
        <w:top w:w="0" w:type="dxa"/>
        <w:left w:w="108" w:type="dxa"/>
        <w:bottom w:w="0" w:type="dxa"/>
        <w:right w:w="108"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0">
    <w:name w:val="List Table 7 Colorful - Accent 3"/>
    <w:basedOn w:val="59"/>
    <w:qFormat/>
    <w:uiPriority w:val="99"/>
    <w:tblPr>
      <w:tblBorders>
        <w:right w:val="single" w:color="C3D69C" w:themeColor="accent3" w:themeTint="98" w:sz="4" w:space="0"/>
      </w:tblBorders>
      <w:tblCellMar>
        <w:top w:w="0" w:type="dxa"/>
        <w:left w:w="108" w:type="dxa"/>
        <w:bottom w:w="0" w:type="dxa"/>
        <w:right w:w="108"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1">
    <w:name w:val="List Table 7 Colorful - Accent 4"/>
    <w:basedOn w:val="59"/>
    <w:qFormat/>
    <w:uiPriority w:val="99"/>
    <w:tblPr>
      <w:tblBorders>
        <w:right w:val="single" w:color="B2A1C6" w:themeColor="accent4" w:themeTint="9A" w:sz="4" w:space="0"/>
      </w:tblBorders>
      <w:tblCellMar>
        <w:top w:w="0" w:type="dxa"/>
        <w:left w:w="108" w:type="dxa"/>
        <w:bottom w:w="0" w:type="dxa"/>
        <w:right w:w="108"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2">
    <w:name w:val="List Table 7 Colorful - Accent 5"/>
    <w:basedOn w:val="59"/>
    <w:qFormat/>
    <w:uiPriority w:val="99"/>
    <w:tblPr>
      <w:tblBorders>
        <w:right w:val="single" w:color="92CCDC" w:themeColor="accent5" w:themeTint="9A" w:sz="4" w:space="0"/>
      </w:tblBorders>
      <w:tblCellMar>
        <w:top w:w="0" w:type="dxa"/>
        <w:left w:w="108" w:type="dxa"/>
        <w:bottom w:w="0" w:type="dxa"/>
        <w:right w:w="108"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3">
    <w:name w:val="List Table 7 Colorful - Accent 6"/>
    <w:basedOn w:val="59"/>
    <w:qFormat/>
    <w:uiPriority w:val="99"/>
    <w:tblPr>
      <w:tblBorders>
        <w:right w:val="single" w:color="FAC090" w:themeColor="accent6" w:themeTint="98" w:sz="4" w:space="0"/>
      </w:tblBorders>
      <w:tblCellMar>
        <w:top w:w="0" w:type="dxa"/>
        <w:left w:w="108" w:type="dxa"/>
        <w:bottom w:w="0" w:type="dxa"/>
        <w:right w:w="108"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4">
    <w:name w:val="Lined - Accent"/>
    <w:basedOn w:val="59"/>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5">
    <w:name w:val="Lined - Accent 1"/>
    <w:basedOn w:val="59"/>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6">
    <w:name w:val="Lined - Accent 2"/>
    <w:basedOn w:val="59"/>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7">
    <w:name w:val="Lined - Accent 3"/>
    <w:basedOn w:val="59"/>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8">
    <w:name w:val="Lined - Accent 4"/>
    <w:basedOn w:val="59"/>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9">
    <w:name w:val="Lined - Accent 5"/>
    <w:basedOn w:val="59"/>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0">
    <w:name w:val="Lined - Accent 6"/>
    <w:basedOn w:val="59"/>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1">
    <w:name w:val="Bordered &amp; Lined - Accent"/>
    <w:basedOn w:val="59"/>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2">
    <w:name w:val="Bordered &amp; Lined - Accent 1"/>
    <w:basedOn w:val="59"/>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108" w:type="dxa"/>
        <w:bottom w:w="0" w:type="dxa"/>
        <w:right w:w="108"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3">
    <w:name w:val="Bordered &amp; Lined - Accent 2"/>
    <w:basedOn w:val="59"/>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108" w:type="dxa"/>
        <w:bottom w:w="0" w:type="dxa"/>
        <w:right w:w="108"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4">
    <w:name w:val="Bordered &amp; Lined - Accent 3"/>
    <w:basedOn w:val="59"/>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108" w:type="dxa"/>
        <w:bottom w:w="0" w:type="dxa"/>
        <w:right w:w="108"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5">
    <w:name w:val="Bordered &amp; Lined - Accent 4"/>
    <w:basedOn w:val="59"/>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108" w:type="dxa"/>
        <w:bottom w:w="0" w:type="dxa"/>
        <w:right w:w="108"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6">
    <w:name w:val="Bordered &amp; Lined - Accent 5"/>
    <w:basedOn w:val="59"/>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108" w:type="dxa"/>
        <w:bottom w:w="0" w:type="dxa"/>
        <w:right w:w="108"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7">
    <w:name w:val="Bordered &amp; Lined - Accent 6"/>
    <w:basedOn w:val="59"/>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108" w:type="dxa"/>
        <w:bottom w:w="0" w:type="dxa"/>
        <w:right w:w="108"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8">
    <w:name w:val="Bordered"/>
    <w:basedOn w:val="59"/>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108" w:type="dxa"/>
        <w:bottom w:w="0" w:type="dxa"/>
        <w:right w:w="108"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9">
    <w:name w:val="Bordered - Accent 1"/>
    <w:basedOn w:val="59"/>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10">
    <w:name w:val="Bordered - Accent 2"/>
    <w:basedOn w:val="59"/>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11">
    <w:name w:val="Bordered - Accent 3"/>
    <w:basedOn w:val="59"/>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12">
    <w:name w:val="Bordered - Accent 4"/>
    <w:basedOn w:val="59"/>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13">
    <w:name w:val="Bordered - Accent 5"/>
    <w:basedOn w:val="59"/>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14">
    <w:name w:val="Bordered - Accent 6"/>
    <w:basedOn w:val="59"/>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5">
    <w:name w:val="Footnote Text Char"/>
    <w:qFormat/>
    <w:uiPriority w:val="99"/>
    <w:rPr>
      <w:sz w:val="18"/>
    </w:rPr>
  </w:style>
  <w:style w:type="character" w:customStyle="1" w:styleId="216">
    <w:name w:val="Endnote Text Char"/>
    <w:qFormat/>
    <w:uiPriority w:val="99"/>
    <w:rPr>
      <w:sz w:val="20"/>
    </w:rPr>
  </w:style>
  <w:style w:type="paragraph" w:customStyle="1" w:styleId="217">
    <w:name w:val="TOC 标题1"/>
    <w:unhideWhenUsed/>
    <w:qFormat/>
    <w:uiPriority w:val="39"/>
    <w:rPr>
      <w:rFonts w:ascii="Times New Roman" w:hAnsi="Times New Roman" w:eastAsia="宋体" w:cs="Times New Roman"/>
      <w:lang w:val="en-US" w:eastAsia="zh-CN" w:bidi="ar-SA"/>
    </w:rPr>
  </w:style>
  <w:style w:type="character" w:customStyle="1" w:styleId="218">
    <w:name w:val="正文文本缩进 Char"/>
    <w:link w:val="22"/>
    <w:qFormat/>
    <w:uiPriority w:val="99"/>
    <w:rPr>
      <w:rFonts w:ascii="Times New Roman" w:hAnsi="Times New Roman" w:eastAsia="宋体" w:cs="Times New Roman"/>
      <w:sz w:val="24"/>
      <w:szCs w:val="24"/>
    </w:rPr>
  </w:style>
  <w:style w:type="character" w:customStyle="1" w:styleId="219">
    <w:name w:val="正文首行缩进 2 Char"/>
    <w:link w:val="58"/>
    <w:qFormat/>
    <w:uiPriority w:val="99"/>
    <w:rPr>
      <w:rFonts w:ascii="宋体" w:hAnsi="宋体" w:eastAsia="宋体" w:cs="Times New Roman"/>
      <w:sz w:val="20"/>
      <w:szCs w:val="20"/>
    </w:rPr>
  </w:style>
  <w:style w:type="character" w:customStyle="1" w:styleId="220">
    <w:name w:val="标题 1 Char1"/>
    <w:basedOn w:val="61"/>
    <w:link w:val="2"/>
    <w:qFormat/>
    <w:uiPriority w:val="0"/>
    <w:rPr>
      <w:rFonts w:ascii="Times New Roman" w:hAnsi="Times New Roman" w:eastAsia="宋体" w:cs="Times New Roman"/>
      <w:b/>
      <w:bCs/>
      <w:sz w:val="44"/>
      <w:szCs w:val="44"/>
    </w:rPr>
  </w:style>
  <w:style w:type="character" w:customStyle="1" w:styleId="221">
    <w:name w:val="标题 2 Char1"/>
    <w:link w:val="3"/>
    <w:qFormat/>
    <w:uiPriority w:val="0"/>
    <w:rPr>
      <w:rFonts w:ascii="Arial" w:hAnsi="Arial" w:eastAsia="黑体" w:cs="Times New Roman"/>
      <w:b/>
      <w:bCs/>
      <w:sz w:val="32"/>
      <w:szCs w:val="32"/>
    </w:rPr>
  </w:style>
  <w:style w:type="character" w:customStyle="1" w:styleId="222">
    <w:name w:val="标题 3 Char"/>
    <w:link w:val="4"/>
    <w:qFormat/>
    <w:uiPriority w:val="0"/>
    <w:rPr>
      <w:rFonts w:ascii="Times New Roman" w:hAnsi="Times New Roman" w:eastAsia="宋体" w:cs="Times New Roman"/>
      <w:b/>
      <w:bCs/>
      <w:sz w:val="32"/>
      <w:szCs w:val="32"/>
    </w:rPr>
  </w:style>
  <w:style w:type="character" w:customStyle="1" w:styleId="223">
    <w:name w:val="标题 4 Char"/>
    <w:link w:val="5"/>
    <w:qFormat/>
    <w:uiPriority w:val="9"/>
    <w:rPr>
      <w:rFonts w:ascii="Arial" w:hAnsi="Arial" w:eastAsia="黑体" w:cs="Times New Roman"/>
      <w:b/>
      <w:sz w:val="20"/>
      <w:szCs w:val="20"/>
    </w:rPr>
  </w:style>
  <w:style w:type="character" w:customStyle="1" w:styleId="224">
    <w:name w:val="标题 5 Char"/>
    <w:link w:val="6"/>
    <w:qFormat/>
    <w:uiPriority w:val="9"/>
    <w:rPr>
      <w:rFonts w:ascii="Times New Roman" w:hAnsi="Times New Roman" w:eastAsia="宋体" w:cs="Times New Roman"/>
      <w:b/>
      <w:bCs/>
      <w:sz w:val="28"/>
      <w:szCs w:val="28"/>
    </w:rPr>
  </w:style>
  <w:style w:type="character" w:customStyle="1" w:styleId="225">
    <w:name w:val="标题 6 Char"/>
    <w:link w:val="7"/>
    <w:qFormat/>
    <w:uiPriority w:val="9"/>
    <w:rPr>
      <w:rFonts w:ascii="Arial" w:hAnsi="Arial" w:eastAsia="黑体" w:cs="Times New Roman"/>
      <w:b/>
      <w:bCs/>
      <w:sz w:val="24"/>
      <w:szCs w:val="24"/>
    </w:rPr>
  </w:style>
  <w:style w:type="character" w:customStyle="1" w:styleId="226">
    <w:name w:val="标题 7 Char"/>
    <w:link w:val="8"/>
    <w:qFormat/>
    <w:uiPriority w:val="9"/>
    <w:rPr>
      <w:rFonts w:ascii="Times New Roman" w:hAnsi="Times New Roman" w:eastAsia="宋体" w:cs="Times New Roman"/>
      <w:b/>
      <w:bCs/>
      <w:sz w:val="24"/>
      <w:szCs w:val="24"/>
    </w:rPr>
  </w:style>
  <w:style w:type="character" w:customStyle="1" w:styleId="227">
    <w:name w:val="标题 8 Char"/>
    <w:link w:val="9"/>
    <w:qFormat/>
    <w:uiPriority w:val="9"/>
    <w:rPr>
      <w:rFonts w:ascii="Arial" w:hAnsi="Arial" w:eastAsia="黑体" w:cs="Times New Roman"/>
      <w:sz w:val="24"/>
      <w:szCs w:val="24"/>
    </w:rPr>
  </w:style>
  <w:style w:type="character" w:customStyle="1" w:styleId="228">
    <w:name w:val="标题 9 Char"/>
    <w:link w:val="10"/>
    <w:qFormat/>
    <w:uiPriority w:val="9"/>
    <w:rPr>
      <w:rFonts w:ascii="Arial" w:hAnsi="Arial" w:eastAsia="黑体" w:cs="Times New Roman"/>
      <w:sz w:val="21"/>
      <w:szCs w:val="21"/>
    </w:rPr>
  </w:style>
  <w:style w:type="character" w:customStyle="1" w:styleId="229">
    <w:name w:val="文档结构图 Char"/>
    <w:link w:val="17"/>
    <w:semiHidden/>
    <w:qFormat/>
    <w:uiPriority w:val="99"/>
    <w:rPr>
      <w:rFonts w:ascii="Times New Roman" w:hAnsi="Times New Roman" w:eastAsia="宋体" w:cs="Times New Roman"/>
      <w:sz w:val="24"/>
      <w:szCs w:val="24"/>
      <w:shd w:val="clear" w:color="auto" w:fill="000080"/>
    </w:rPr>
  </w:style>
  <w:style w:type="character" w:customStyle="1" w:styleId="230">
    <w:name w:val="批注文字 Char"/>
    <w:link w:val="18"/>
    <w:qFormat/>
    <w:uiPriority w:val="99"/>
    <w:rPr>
      <w:rFonts w:ascii="Times New Roman" w:hAnsi="Times New Roman" w:eastAsia="宋体" w:cs="Times New Roman"/>
      <w:sz w:val="20"/>
      <w:szCs w:val="20"/>
    </w:rPr>
  </w:style>
  <w:style w:type="character" w:customStyle="1" w:styleId="231">
    <w:name w:val="称呼 Char"/>
    <w:link w:val="19"/>
    <w:qFormat/>
    <w:uiPriority w:val="99"/>
    <w:rPr>
      <w:rFonts w:ascii="仿宋_GB2312" w:hAnsi="Times New Roman" w:eastAsia="仿宋_GB2312" w:cs="Times New Roman"/>
      <w:sz w:val="20"/>
      <w:szCs w:val="20"/>
    </w:rPr>
  </w:style>
  <w:style w:type="character" w:customStyle="1" w:styleId="232">
    <w:name w:val="正文文本 3 Char"/>
    <w:link w:val="20"/>
    <w:qFormat/>
    <w:uiPriority w:val="99"/>
    <w:rPr>
      <w:rFonts w:ascii="Times New Roman" w:hAnsi="Times New Roman" w:eastAsia="宋体" w:cs="Times New Roman"/>
      <w:sz w:val="16"/>
      <w:szCs w:val="16"/>
    </w:rPr>
  </w:style>
  <w:style w:type="character" w:customStyle="1" w:styleId="233">
    <w:name w:val="正文文本 Char"/>
    <w:link w:val="21"/>
    <w:qFormat/>
    <w:uiPriority w:val="1"/>
    <w:rPr>
      <w:rFonts w:ascii="Times New Roman" w:hAnsi="Times New Roman" w:eastAsia="宋体" w:cs="Times New Roman"/>
      <w:sz w:val="24"/>
      <w:szCs w:val="24"/>
    </w:rPr>
  </w:style>
  <w:style w:type="character" w:customStyle="1" w:styleId="234">
    <w:name w:val="纯文本 Char2"/>
    <w:link w:val="28"/>
    <w:qFormat/>
    <w:uiPriority w:val="0"/>
    <w:rPr>
      <w:rFonts w:ascii="宋体" w:hAnsi="Courier New" w:eastAsia="宋体" w:cs="Times New Roman"/>
      <w:sz w:val="21"/>
      <w:szCs w:val="21"/>
    </w:rPr>
  </w:style>
  <w:style w:type="character" w:customStyle="1" w:styleId="235">
    <w:name w:val="日期 Char"/>
    <w:link w:val="31"/>
    <w:qFormat/>
    <w:uiPriority w:val="0"/>
    <w:rPr>
      <w:rFonts w:ascii="Times New Roman" w:hAnsi="Times New Roman" w:eastAsia="宋体" w:cs="Times New Roman"/>
      <w:sz w:val="20"/>
      <w:szCs w:val="20"/>
    </w:rPr>
  </w:style>
  <w:style w:type="character" w:customStyle="1" w:styleId="236">
    <w:name w:val="正文文本缩进 2 Char"/>
    <w:link w:val="32"/>
    <w:qFormat/>
    <w:uiPriority w:val="99"/>
    <w:rPr>
      <w:rFonts w:ascii="宋体" w:hAnsi="宋体" w:eastAsia="宋体" w:cs="Times New Roman"/>
      <w:sz w:val="24"/>
      <w:szCs w:val="24"/>
    </w:rPr>
  </w:style>
  <w:style w:type="character" w:customStyle="1" w:styleId="237">
    <w:name w:val="尾注文本 Char"/>
    <w:link w:val="33"/>
    <w:semiHidden/>
    <w:qFormat/>
    <w:uiPriority w:val="99"/>
    <w:rPr>
      <w:rFonts w:ascii="Times New Roman" w:hAnsi="Times New Roman" w:eastAsia="宋体" w:cs="Times New Roman"/>
      <w:sz w:val="24"/>
      <w:szCs w:val="24"/>
    </w:rPr>
  </w:style>
  <w:style w:type="character" w:customStyle="1" w:styleId="238">
    <w:name w:val="批注框文本 Char"/>
    <w:link w:val="34"/>
    <w:semiHidden/>
    <w:qFormat/>
    <w:uiPriority w:val="99"/>
    <w:rPr>
      <w:rFonts w:ascii="Times New Roman" w:hAnsi="Times New Roman" w:eastAsia="宋体" w:cs="Times New Roman"/>
      <w:sz w:val="18"/>
      <w:szCs w:val="18"/>
    </w:rPr>
  </w:style>
  <w:style w:type="character" w:customStyle="1" w:styleId="239">
    <w:name w:val="页脚 Char1"/>
    <w:link w:val="35"/>
    <w:qFormat/>
    <w:uiPriority w:val="0"/>
    <w:rPr>
      <w:rFonts w:cs="Times New Roman"/>
      <w:sz w:val="18"/>
      <w:szCs w:val="18"/>
    </w:rPr>
  </w:style>
  <w:style w:type="character" w:customStyle="1" w:styleId="240">
    <w:name w:val="页眉 Char1"/>
    <w:link w:val="37"/>
    <w:qFormat/>
    <w:uiPriority w:val="0"/>
    <w:rPr>
      <w:rFonts w:cs="Times New Roman"/>
      <w:sz w:val="18"/>
      <w:szCs w:val="18"/>
    </w:rPr>
  </w:style>
  <w:style w:type="character" w:customStyle="1" w:styleId="241">
    <w:name w:val="签名 Char"/>
    <w:link w:val="38"/>
    <w:qFormat/>
    <w:uiPriority w:val="99"/>
    <w:rPr>
      <w:rFonts w:ascii="Times New Roman" w:hAnsi="Times New Roman" w:eastAsia="仿宋_GB2312" w:cs="Times New Roman"/>
      <w:sz w:val="20"/>
      <w:szCs w:val="20"/>
    </w:rPr>
  </w:style>
  <w:style w:type="character" w:customStyle="1" w:styleId="242">
    <w:name w:val="副标题 Char"/>
    <w:link w:val="43"/>
    <w:qFormat/>
    <w:uiPriority w:val="11"/>
    <w:rPr>
      <w:rFonts w:ascii="Cambria" w:hAnsi="Cambria" w:eastAsia="宋体" w:cs="Times New Roman"/>
      <w:i/>
      <w:iCs/>
      <w:spacing w:val="13"/>
      <w:sz w:val="24"/>
      <w:szCs w:val="24"/>
      <w:lang w:eastAsia="en-US"/>
    </w:rPr>
  </w:style>
  <w:style w:type="character" w:customStyle="1" w:styleId="243">
    <w:name w:val="脚注文本 Char"/>
    <w:link w:val="45"/>
    <w:semiHidden/>
    <w:qFormat/>
    <w:uiPriority w:val="99"/>
    <w:rPr>
      <w:rFonts w:ascii="Times New Roman" w:hAnsi="Times New Roman" w:eastAsia="宋体" w:cs="Times New Roman"/>
      <w:sz w:val="18"/>
      <w:szCs w:val="18"/>
    </w:rPr>
  </w:style>
  <w:style w:type="character" w:customStyle="1" w:styleId="244">
    <w:name w:val="正文文本缩进 3 Char"/>
    <w:link w:val="47"/>
    <w:qFormat/>
    <w:uiPriority w:val="99"/>
    <w:rPr>
      <w:rFonts w:ascii="Times New Roman" w:hAnsi="Times New Roman" w:eastAsia="宋体" w:cs="Times New Roman"/>
      <w:b/>
      <w:bCs/>
      <w:sz w:val="20"/>
      <w:szCs w:val="20"/>
    </w:rPr>
  </w:style>
  <w:style w:type="character" w:customStyle="1" w:styleId="245">
    <w:name w:val="正文文本 2 Char"/>
    <w:link w:val="51"/>
    <w:qFormat/>
    <w:uiPriority w:val="99"/>
    <w:rPr>
      <w:rFonts w:ascii="Times New Roman" w:hAnsi="Times New Roman" w:eastAsia="宋体" w:cs="Times New Roman"/>
      <w:b/>
      <w:bCs/>
      <w:sz w:val="20"/>
      <w:szCs w:val="20"/>
    </w:rPr>
  </w:style>
  <w:style w:type="character" w:customStyle="1" w:styleId="246">
    <w:name w:val="HTML 预设格式 Char"/>
    <w:link w:val="52"/>
    <w:qFormat/>
    <w:uiPriority w:val="99"/>
    <w:rPr>
      <w:rFonts w:ascii="宋体" w:hAnsi="宋体" w:eastAsia="宋体" w:cs="宋体"/>
      <w:sz w:val="24"/>
      <w:szCs w:val="24"/>
    </w:rPr>
  </w:style>
  <w:style w:type="character" w:customStyle="1" w:styleId="247">
    <w:name w:val="标题 Char"/>
    <w:link w:val="55"/>
    <w:qFormat/>
    <w:uiPriority w:val="10"/>
    <w:rPr>
      <w:rFonts w:ascii="Times New Roman" w:hAnsi="Times New Roman" w:eastAsia="黑体" w:cs="Times New Roman"/>
      <w:b/>
      <w:sz w:val="20"/>
      <w:szCs w:val="20"/>
      <w:lang w:val="en-GB"/>
    </w:rPr>
  </w:style>
  <w:style w:type="character" w:customStyle="1" w:styleId="248">
    <w:name w:val="批注主题 Char"/>
    <w:link w:val="56"/>
    <w:semiHidden/>
    <w:qFormat/>
    <w:uiPriority w:val="99"/>
    <w:rPr>
      <w:rFonts w:ascii="Times New Roman" w:hAnsi="Times New Roman" w:eastAsia="宋体" w:cs="Times New Roman"/>
      <w:b/>
      <w:bCs/>
      <w:sz w:val="24"/>
      <w:szCs w:val="24"/>
    </w:rPr>
  </w:style>
  <w:style w:type="character" w:customStyle="1" w:styleId="249">
    <w:name w:val="正文首行缩进 Char"/>
    <w:basedOn w:val="233"/>
    <w:link w:val="57"/>
    <w:qFormat/>
    <w:uiPriority w:val="99"/>
    <w:rPr>
      <w:rFonts w:ascii="Times New Roman" w:hAnsi="Times New Roman" w:eastAsia="宋体" w:cs="Times New Roman"/>
      <w:sz w:val="24"/>
      <w:szCs w:val="24"/>
    </w:rPr>
  </w:style>
  <w:style w:type="paragraph" w:styleId="250">
    <w:name w:val="List Paragraph"/>
    <w:basedOn w:val="1"/>
    <w:link w:val="592"/>
    <w:qFormat/>
    <w:uiPriority w:val="1"/>
    <w:pPr>
      <w:ind w:firstLine="420"/>
    </w:pPr>
  </w:style>
  <w:style w:type="character" w:customStyle="1" w:styleId="251">
    <w:name w:val="明显引用 Char"/>
    <w:qFormat/>
    <w:uiPriority w:val="0"/>
    <w:rPr>
      <w:rFonts w:ascii="Calibri" w:hAnsi="Calibri" w:eastAsia="宋体"/>
      <w:b/>
      <w:i/>
      <w:sz w:val="22"/>
      <w:lang w:val="en-US" w:eastAsia="en-US"/>
    </w:rPr>
  </w:style>
  <w:style w:type="character" w:customStyle="1" w:styleId="252">
    <w:name w:val="普通文字1 Char"/>
    <w:qFormat/>
    <w:uiPriority w:val="0"/>
    <w:rPr>
      <w:rFonts w:ascii="宋体" w:eastAsia="宋体"/>
      <w:sz w:val="21"/>
      <w:lang w:val="en-US" w:eastAsia="zh-CN"/>
    </w:rPr>
  </w:style>
  <w:style w:type="character" w:customStyle="1" w:styleId="253">
    <w:name w:val="Quote Char"/>
    <w:link w:val="254"/>
    <w:qFormat/>
    <w:uiPriority w:val="29"/>
    <w:rPr>
      <w:rFonts w:ascii="Calibri" w:hAnsi="Calibri" w:eastAsia="宋体" w:cs="Times New Roman"/>
      <w:i/>
      <w:iCs/>
      <w:sz w:val="22"/>
      <w:lang w:eastAsia="en-US"/>
    </w:rPr>
  </w:style>
  <w:style w:type="paragraph" w:customStyle="1" w:styleId="254">
    <w:name w:val="引用1"/>
    <w:basedOn w:val="1"/>
    <w:next w:val="1"/>
    <w:link w:val="253"/>
    <w:qFormat/>
    <w:uiPriority w:val="29"/>
    <w:pPr>
      <w:widowControl/>
      <w:spacing w:before="200" w:line="276" w:lineRule="auto"/>
      <w:ind w:left="360" w:right="360"/>
      <w:jc w:val="left"/>
    </w:pPr>
    <w:rPr>
      <w:i/>
      <w:iCs/>
      <w:sz w:val="22"/>
      <w:szCs w:val="20"/>
      <w:lang w:eastAsia="en-US"/>
    </w:rPr>
  </w:style>
  <w:style w:type="character" w:customStyle="1" w:styleId="255">
    <w:name w:val="小四 段落 宋体 Char Char Char Char Char Char Char Char"/>
    <w:qFormat/>
    <w:uiPriority w:val="0"/>
    <w:rPr>
      <w:rFonts w:eastAsia="宋体"/>
      <w:sz w:val="24"/>
      <w:lang w:val="en-US" w:eastAsia="zh-CN"/>
    </w:rPr>
  </w:style>
  <w:style w:type="character" w:customStyle="1" w:styleId="256">
    <w:name w:val="apple-style-span"/>
    <w:qFormat/>
    <w:uiPriority w:val="0"/>
    <w:rPr>
      <w:rFonts w:cs="Times New Roman"/>
    </w:rPr>
  </w:style>
  <w:style w:type="character" w:customStyle="1" w:styleId="257">
    <w:name w:val="t1"/>
    <w:qFormat/>
    <w:uiPriority w:val="0"/>
  </w:style>
  <w:style w:type="character" w:customStyle="1" w:styleId="258">
    <w:name w:val="纯文本 Char Char"/>
    <w:qFormat/>
    <w:uiPriority w:val="0"/>
    <w:rPr>
      <w:rFonts w:ascii="宋体" w:hAnsi="Courier New" w:eastAsia="宋体"/>
      <w:sz w:val="21"/>
      <w:lang w:val="en-US" w:eastAsia="zh-CN"/>
    </w:rPr>
  </w:style>
  <w:style w:type="character" w:customStyle="1" w:styleId="259">
    <w:name w:val="UserStyle_0"/>
    <w:link w:val="260"/>
    <w:qFormat/>
    <w:uiPriority w:val="0"/>
    <w:rPr>
      <w:rFonts w:ascii="Arial" w:hAnsi="Arial" w:eastAsia="黑体"/>
      <w:sz w:val="21"/>
      <w:szCs w:val="21"/>
    </w:rPr>
  </w:style>
  <w:style w:type="paragraph" w:customStyle="1" w:styleId="260">
    <w:name w:val="标题 91"/>
    <w:basedOn w:val="1"/>
    <w:next w:val="1"/>
    <w:link w:val="259"/>
    <w:qFormat/>
    <w:uiPriority w:val="0"/>
    <w:pPr>
      <w:keepNext/>
      <w:keepLines/>
      <w:widowControl/>
      <w:spacing w:before="240" w:after="64" w:line="320" w:lineRule="auto"/>
    </w:pPr>
    <w:rPr>
      <w:rFonts w:ascii="Arial" w:hAnsi="Arial" w:eastAsia="黑体"/>
      <w:szCs w:val="21"/>
    </w:rPr>
  </w:style>
  <w:style w:type="character" w:customStyle="1" w:styleId="261">
    <w:name w:val="样式 首行缩进:  2 字符 Char Char Char"/>
    <w:qFormat/>
    <w:uiPriority w:val="0"/>
    <w:rPr>
      <w:rFonts w:eastAsia="宋体"/>
      <w:sz w:val="24"/>
      <w:lang w:val="en-US" w:eastAsia="zh-CN"/>
    </w:rPr>
  </w:style>
  <w:style w:type="character" w:customStyle="1" w:styleId="262">
    <w:name w:val="Char Char8"/>
    <w:qFormat/>
    <w:uiPriority w:val="0"/>
    <w:rPr>
      <w:rFonts w:eastAsia="宋体"/>
      <w:sz w:val="18"/>
      <w:lang w:val="en-US" w:eastAsia="zh-CN"/>
    </w:rPr>
  </w:style>
  <w:style w:type="character" w:customStyle="1" w:styleId="263">
    <w:name w:val="Char Char12"/>
    <w:qFormat/>
    <w:uiPriority w:val="0"/>
    <w:rPr>
      <w:rFonts w:ascii="Arial" w:hAnsi="Arial" w:eastAsia="黑体"/>
      <w:sz w:val="21"/>
      <w:lang w:val="en-US" w:eastAsia="zh-CN"/>
    </w:rPr>
  </w:style>
  <w:style w:type="character" w:customStyle="1" w:styleId="264">
    <w:name w:val="标题 3 Char Char"/>
    <w:qFormat/>
    <w:uiPriority w:val="0"/>
    <w:rPr>
      <w:rFonts w:eastAsia="仿宋_GB2312"/>
      <w:b/>
      <w:sz w:val="32"/>
      <w:lang w:val="en-US" w:eastAsia="zh-CN"/>
    </w:rPr>
  </w:style>
  <w:style w:type="character" w:customStyle="1" w:styleId="265">
    <w:name w:val="标准小四 Char"/>
    <w:qFormat/>
    <w:uiPriority w:val="0"/>
    <w:rPr>
      <w:rFonts w:ascii="Arial" w:hAnsi="Arial" w:eastAsia="宋体"/>
      <w:sz w:val="21"/>
      <w:lang w:val="en-US" w:eastAsia="zh-CN"/>
    </w:rPr>
  </w:style>
  <w:style w:type="character" w:customStyle="1" w:styleId="266">
    <w:name w:val="标题 3 Char1"/>
    <w:qFormat/>
    <w:uiPriority w:val="0"/>
    <w:rPr>
      <w:rFonts w:eastAsia="宋体"/>
      <w:b/>
      <w:sz w:val="32"/>
      <w:lang w:val="en-US" w:eastAsia="zh-CN"/>
    </w:rPr>
  </w:style>
  <w:style w:type="character" w:customStyle="1" w:styleId="267">
    <w:name w:val="Char Char31"/>
    <w:qFormat/>
    <w:uiPriority w:val="0"/>
    <w:rPr>
      <w:rFonts w:ascii="Arial" w:hAnsi="Arial" w:eastAsia="黑体"/>
      <w:b/>
      <w:sz w:val="28"/>
      <w:lang w:val="en-US" w:eastAsia="zh-CN"/>
    </w:rPr>
  </w:style>
  <w:style w:type="character" w:customStyle="1" w:styleId="268">
    <w:name w:val="content_lineheight1"/>
    <w:qFormat/>
    <w:uiPriority w:val="0"/>
    <w:rPr>
      <w:rFonts w:cs="Times New Roman"/>
    </w:rPr>
  </w:style>
  <w:style w:type="character" w:customStyle="1" w:styleId="269">
    <w:name w:val="Char Char6"/>
    <w:qFormat/>
    <w:uiPriority w:val="0"/>
    <w:rPr>
      <w:rFonts w:eastAsia="宋体"/>
      <w:sz w:val="24"/>
      <w:lang w:val="en-US" w:eastAsia="zh-CN"/>
    </w:rPr>
  </w:style>
  <w:style w:type="character" w:customStyle="1" w:styleId="270">
    <w:name w:val="style131"/>
    <w:qFormat/>
    <w:uiPriority w:val="0"/>
    <w:rPr>
      <w:sz w:val="18"/>
    </w:rPr>
  </w:style>
  <w:style w:type="character" w:customStyle="1" w:styleId="271">
    <w:name w:val="明显参考1"/>
    <w:qFormat/>
    <w:uiPriority w:val="32"/>
    <w:rPr>
      <w:smallCaps/>
      <w:spacing w:val="5"/>
      <w:u w:val="single"/>
    </w:rPr>
  </w:style>
  <w:style w:type="character" w:customStyle="1" w:styleId="272">
    <w:name w:val="3zw"/>
    <w:qFormat/>
    <w:uiPriority w:val="0"/>
    <w:rPr>
      <w:rFonts w:cs="Times New Roman"/>
    </w:rPr>
  </w:style>
  <w:style w:type="character" w:customStyle="1" w:styleId="273">
    <w:name w:val="Char Char27"/>
    <w:qFormat/>
    <w:uiPriority w:val="0"/>
    <w:rPr>
      <w:b/>
      <w:sz w:val="44"/>
    </w:rPr>
  </w:style>
  <w:style w:type="character" w:customStyle="1" w:styleId="274">
    <w:name w:val="标准文本 Char"/>
    <w:qFormat/>
    <w:uiPriority w:val="0"/>
    <w:rPr>
      <w:rFonts w:eastAsia="宋体"/>
      <w:sz w:val="24"/>
      <w:lang w:val="en-US" w:eastAsia="zh-CN"/>
    </w:rPr>
  </w:style>
  <w:style w:type="character" w:customStyle="1" w:styleId="275">
    <w:name w:val="Char Char18"/>
    <w:qFormat/>
    <w:uiPriority w:val="0"/>
    <w:rPr>
      <w:rFonts w:eastAsia="宋体"/>
      <w:b/>
      <w:sz w:val="24"/>
      <w:lang w:val="en-US" w:eastAsia="zh-CN"/>
    </w:rPr>
  </w:style>
  <w:style w:type="character" w:customStyle="1" w:styleId="276">
    <w:name w:val="Char Char26"/>
    <w:qFormat/>
    <w:uiPriority w:val="0"/>
    <w:rPr>
      <w:b/>
      <w:sz w:val="32"/>
    </w:rPr>
  </w:style>
  <w:style w:type="character" w:customStyle="1" w:styleId="277">
    <w:name w:val="纯文本 Char1"/>
    <w:qFormat/>
    <w:uiPriority w:val="0"/>
    <w:rPr>
      <w:rFonts w:ascii="宋体" w:hAnsi="Courier New"/>
      <w:sz w:val="21"/>
    </w:rPr>
  </w:style>
  <w:style w:type="character" w:customStyle="1" w:styleId="278">
    <w:name w:val="Char Char23"/>
    <w:qFormat/>
    <w:uiPriority w:val="0"/>
    <w:rPr>
      <w:rFonts w:ascii="Arial" w:hAnsi="Arial" w:eastAsia="黑体"/>
      <w:b/>
      <w:sz w:val="24"/>
    </w:rPr>
  </w:style>
  <w:style w:type="character" w:customStyle="1" w:styleId="279">
    <w:name w:val="小四 段落 宋体 Char Char Char Char Char Char"/>
    <w:qFormat/>
    <w:uiPriority w:val="0"/>
    <w:rPr>
      <w:rFonts w:eastAsia="宋体"/>
      <w:sz w:val="24"/>
      <w:lang w:val="en-US" w:eastAsia="zh-CN"/>
    </w:rPr>
  </w:style>
  <w:style w:type="character" w:customStyle="1" w:styleId="280">
    <w:name w:val="纯文本 Char"/>
    <w:qFormat/>
    <w:uiPriority w:val="0"/>
    <w:rPr>
      <w:rFonts w:ascii="宋体" w:hAnsi="Courier New" w:eastAsia="宋体" w:cs="Times New Roman"/>
      <w:sz w:val="21"/>
      <w:szCs w:val="21"/>
    </w:rPr>
  </w:style>
  <w:style w:type="character" w:customStyle="1" w:styleId="281">
    <w:name w:val="小四 段落 宋体 Char1"/>
    <w:qFormat/>
    <w:uiPriority w:val="0"/>
    <w:rPr>
      <w:rFonts w:eastAsia="宋体"/>
      <w:sz w:val="24"/>
      <w:lang w:val="en-US" w:eastAsia="zh-CN"/>
    </w:rPr>
  </w:style>
  <w:style w:type="character" w:customStyle="1" w:styleId="282">
    <w:name w:val="不明显强调1"/>
    <w:qFormat/>
    <w:uiPriority w:val="19"/>
    <w:rPr>
      <w:i/>
    </w:rPr>
  </w:style>
  <w:style w:type="character" w:customStyle="1" w:styleId="283">
    <w:name w:val="Char Char21"/>
    <w:qFormat/>
    <w:uiPriority w:val="0"/>
    <w:rPr>
      <w:rFonts w:ascii="Arial" w:hAnsi="Arial" w:eastAsia="黑体"/>
      <w:sz w:val="24"/>
    </w:rPr>
  </w:style>
  <w:style w:type="character" w:customStyle="1" w:styleId="284">
    <w:name w:val="Char Char22"/>
    <w:qFormat/>
    <w:uiPriority w:val="0"/>
    <w:rPr>
      <w:b/>
      <w:sz w:val="24"/>
    </w:rPr>
  </w:style>
  <w:style w:type="character" w:customStyle="1" w:styleId="285">
    <w:name w:val="已访问的超链接1"/>
    <w:qFormat/>
    <w:uiPriority w:val="0"/>
    <w:rPr>
      <w:color w:val="auto"/>
      <w:u w:val="none"/>
    </w:rPr>
  </w:style>
  <w:style w:type="character" w:customStyle="1" w:styleId="286">
    <w:name w:val="特点 Char1"/>
    <w:qFormat/>
    <w:uiPriority w:val="0"/>
    <w:rPr>
      <w:rFonts w:eastAsia="宋体"/>
      <w:sz w:val="21"/>
      <w:lang w:val="en-US" w:eastAsia="zh-CN"/>
    </w:rPr>
  </w:style>
  <w:style w:type="character" w:customStyle="1" w:styleId="287">
    <w:name w:val="Char Char17"/>
    <w:qFormat/>
    <w:uiPriority w:val="0"/>
    <w:rPr>
      <w:rFonts w:ascii="宋体" w:hAnsi="Courier New"/>
      <w:sz w:val="21"/>
    </w:rPr>
  </w:style>
  <w:style w:type="character" w:customStyle="1" w:styleId="288">
    <w:name w:val="Title1 Char"/>
    <w:qFormat/>
    <w:uiPriority w:val="0"/>
    <w:rPr>
      <w:rFonts w:eastAsia="宋体"/>
      <w:b/>
      <w:sz w:val="44"/>
      <w:lang w:val="en-US" w:eastAsia="zh-CN"/>
    </w:rPr>
  </w:style>
  <w:style w:type="character" w:customStyle="1" w:styleId="289">
    <w:name w:val="Char Char10"/>
    <w:qFormat/>
    <w:uiPriority w:val="0"/>
    <w:rPr>
      <w:rFonts w:eastAsia="宋体"/>
      <w:b/>
      <w:sz w:val="24"/>
      <w:lang w:val="en-US" w:eastAsia="zh-CN"/>
    </w:rPr>
  </w:style>
  <w:style w:type="character" w:customStyle="1" w:styleId="290">
    <w:name w:val="小四 段落 宋体 Char Char Char Char1"/>
    <w:qFormat/>
    <w:uiPriority w:val="0"/>
    <w:rPr>
      <w:rFonts w:eastAsia="宋体"/>
      <w:sz w:val="24"/>
      <w:lang w:val="en-US" w:eastAsia="zh-CN"/>
    </w:rPr>
  </w:style>
  <w:style w:type="character" w:customStyle="1" w:styleId="291">
    <w:name w:val="页眉 Char"/>
    <w:qFormat/>
    <w:uiPriority w:val="99"/>
    <w:rPr>
      <w:rFonts w:ascii="Times New Roman" w:hAnsi="Times New Roman"/>
      <w:sz w:val="18"/>
    </w:rPr>
  </w:style>
  <w:style w:type="character" w:customStyle="1" w:styleId="292">
    <w:name w:val="ih151"/>
    <w:qFormat/>
    <w:uiPriority w:val="0"/>
    <w:rPr>
      <w:color w:val="666666"/>
      <w:sz w:val="18"/>
      <w:u w:val="none"/>
    </w:rPr>
  </w:style>
  <w:style w:type="character" w:customStyle="1" w:styleId="293">
    <w:name w:val="listbenefit"/>
    <w:qFormat/>
    <w:uiPriority w:val="0"/>
  </w:style>
  <w:style w:type="character" w:customStyle="1" w:styleId="294">
    <w:name w:val="页脚 Char"/>
    <w:qFormat/>
    <w:uiPriority w:val="99"/>
    <w:rPr>
      <w:sz w:val="18"/>
    </w:rPr>
  </w:style>
  <w:style w:type="character" w:customStyle="1" w:styleId="295">
    <w:name w:val="正文缩进 Char1"/>
    <w:qFormat/>
    <w:uiPriority w:val="0"/>
    <w:rPr>
      <w:rFonts w:eastAsia="宋体"/>
    </w:rPr>
  </w:style>
  <w:style w:type="character" w:customStyle="1" w:styleId="296">
    <w:name w:val="小四 段落 宋体 Char Char Char Char Char Char Char"/>
    <w:qFormat/>
    <w:uiPriority w:val="0"/>
    <w:rPr>
      <w:rFonts w:eastAsia="宋体"/>
      <w:sz w:val="24"/>
      <w:lang w:val="en-US" w:eastAsia="zh-CN"/>
    </w:rPr>
  </w:style>
  <w:style w:type="character" w:customStyle="1" w:styleId="297">
    <w:name w:val="Char Char25"/>
    <w:qFormat/>
    <w:uiPriority w:val="0"/>
    <w:rPr>
      <w:rFonts w:ascii="Arial" w:hAnsi="Arial" w:eastAsia="黑体"/>
      <w:b/>
      <w:sz w:val="28"/>
    </w:rPr>
  </w:style>
  <w:style w:type="character" w:customStyle="1" w:styleId="298">
    <w:name w:val="书籍标题1"/>
    <w:qFormat/>
    <w:uiPriority w:val="33"/>
    <w:rPr>
      <w:i/>
      <w:smallCaps/>
      <w:spacing w:val="5"/>
    </w:rPr>
  </w:style>
  <w:style w:type="character" w:customStyle="1" w:styleId="299">
    <w:name w:val="subtitle1"/>
    <w:qFormat/>
    <w:uiPriority w:val="0"/>
    <w:rPr>
      <w:rFonts w:ascii="Georgia" w:hAnsi="Georgia"/>
      <w:b/>
      <w:color w:val="666666"/>
      <w:sz w:val="18"/>
    </w:rPr>
  </w:style>
  <w:style w:type="character" w:customStyle="1" w:styleId="300">
    <w:name w:val="标准文本 Char Char"/>
    <w:qFormat/>
    <w:uiPriority w:val="0"/>
    <w:rPr>
      <w:rFonts w:eastAsia="宋体"/>
      <w:sz w:val="24"/>
      <w:lang w:val="en-US" w:eastAsia="zh-CN"/>
    </w:rPr>
  </w:style>
  <w:style w:type="character" w:customStyle="1" w:styleId="301">
    <w:name w:val="不明显参考1"/>
    <w:qFormat/>
    <w:uiPriority w:val="31"/>
    <w:rPr>
      <w:smallCaps/>
    </w:rPr>
  </w:style>
  <w:style w:type="character" w:customStyle="1" w:styleId="302">
    <w:name w:val="font5 Char Char"/>
    <w:qFormat/>
    <w:uiPriority w:val="0"/>
    <w:rPr>
      <w:rFonts w:ascii="宋体" w:hAnsi="宋体" w:eastAsia="宋体"/>
      <w:sz w:val="28"/>
      <w:lang w:val="en-US" w:eastAsia="zh-CN"/>
    </w:rPr>
  </w:style>
  <w:style w:type="character" w:customStyle="1" w:styleId="303">
    <w:name w:val="标题 3 Char Char Char Char Char Char Char Char Char Char Char Char Char Char Char Char Char Char Char Char Char Char Char Char Char Char Char Char Char Char Char Char Char Char Char Char Char Char Char Char Char Char Char Char Char Char Char Char Cha Cha"/>
    <w:qFormat/>
    <w:uiPriority w:val="0"/>
    <w:rPr>
      <w:rFonts w:eastAsia="宋体"/>
      <w:b/>
      <w:sz w:val="32"/>
      <w:lang w:val="en-US" w:eastAsia="zh-CN"/>
    </w:rPr>
  </w:style>
  <w:style w:type="character" w:customStyle="1" w:styleId="304">
    <w:name w:val="小四 段落 宋体 Char Char Char1"/>
    <w:qFormat/>
    <w:uiPriority w:val="0"/>
    <w:rPr>
      <w:rFonts w:ascii="宋体" w:hAnsi="宋体" w:eastAsia="宋体"/>
      <w:sz w:val="24"/>
      <w:lang w:val="en-US" w:eastAsia="zh-CN"/>
    </w:rPr>
  </w:style>
  <w:style w:type="character" w:customStyle="1" w:styleId="305">
    <w:name w:val="h Char Char"/>
    <w:qFormat/>
    <w:uiPriority w:val="0"/>
    <w:rPr>
      <w:rFonts w:eastAsia="宋体"/>
      <w:sz w:val="18"/>
      <w:lang w:val="en-US" w:eastAsia="zh-CN"/>
    </w:rPr>
  </w:style>
  <w:style w:type="character" w:customStyle="1" w:styleId="306">
    <w:name w:val="方案文档 Char Char"/>
    <w:qFormat/>
    <w:uiPriority w:val="0"/>
    <w:rPr>
      <w:rFonts w:ascii="宋体" w:hAnsi="宋体" w:eastAsia="宋体"/>
      <w:sz w:val="24"/>
      <w:lang w:val="zh-CN" w:eastAsia="zh-CN"/>
    </w:rPr>
  </w:style>
  <w:style w:type="character" w:customStyle="1" w:styleId="307">
    <w:name w:val="小四 段落 宋体 Char Char Char Char Char"/>
    <w:qFormat/>
    <w:uiPriority w:val="0"/>
    <w:rPr>
      <w:rFonts w:eastAsia="宋体"/>
      <w:sz w:val="24"/>
      <w:lang w:val="en-US" w:eastAsia="zh-CN"/>
    </w:rPr>
  </w:style>
  <w:style w:type="character" w:customStyle="1" w:styleId="308">
    <w:name w:val="A2"/>
    <w:qFormat/>
    <w:uiPriority w:val="0"/>
    <w:rPr>
      <w:color w:val="000000"/>
      <w:sz w:val="18"/>
    </w:rPr>
  </w:style>
  <w:style w:type="character" w:customStyle="1" w:styleId="309">
    <w:name w:val="纯文本 Char Char Char"/>
    <w:qFormat/>
    <w:uiPriority w:val="0"/>
    <w:rPr>
      <w:rFonts w:ascii="宋体" w:hAnsi="Courier New" w:eastAsia="宋体"/>
      <w:sz w:val="21"/>
      <w:lang w:val="en-US" w:eastAsia="zh-CN"/>
    </w:rPr>
  </w:style>
  <w:style w:type="character" w:customStyle="1" w:styleId="310">
    <w:name w:val="华宇段落1 Char Char"/>
    <w:qFormat/>
    <w:uiPriority w:val="0"/>
    <w:rPr>
      <w:rFonts w:eastAsia="宋体"/>
      <w:sz w:val="24"/>
      <w:lang w:val="en-US" w:eastAsia="zh-CN"/>
    </w:rPr>
  </w:style>
  <w:style w:type="character" w:customStyle="1" w:styleId="311">
    <w:name w:val="Char Char3"/>
    <w:qFormat/>
    <w:uiPriority w:val="0"/>
    <w:rPr>
      <w:rFonts w:eastAsia="宋体"/>
      <w:sz w:val="18"/>
      <w:lang w:val="en-US" w:eastAsia="zh-CN"/>
    </w:rPr>
  </w:style>
  <w:style w:type="character" w:customStyle="1" w:styleId="312">
    <w:name w:val="Char Char32"/>
    <w:qFormat/>
    <w:uiPriority w:val="0"/>
    <w:rPr>
      <w:rFonts w:eastAsia="宋体"/>
      <w:b/>
      <w:sz w:val="32"/>
      <w:lang w:val="en-US" w:eastAsia="zh-CN"/>
    </w:rPr>
  </w:style>
  <w:style w:type="character" w:customStyle="1" w:styleId="313">
    <w:name w:val="样式 宋体 小四"/>
    <w:qFormat/>
    <w:uiPriority w:val="0"/>
    <w:rPr>
      <w:rFonts w:ascii="宋体" w:eastAsia="宋体"/>
      <w:sz w:val="24"/>
    </w:rPr>
  </w:style>
  <w:style w:type="character" w:customStyle="1" w:styleId="314">
    <w:name w:val="Char Char28"/>
    <w:qFormat/>
    <w:uiPriority w:val="0"/>
    <w:rPr>
      <w:rFonts w:ascii="Arial" w:hAnsi="Arial" w:eastAsia="黑体"/>
      <w:b/>
      <w:sz w:val="32"/>
    </w:rPr>
  </w:style>
  <w:style w:type="character" w:customStyle="1" w:styleId="315">
    <w:name w:val="content"/>
    <w:qFormat/>
    <w:uiPriority w:val="0"/>
    <w:rPr>
      <w:rFonts w:cs="Times New Roman"/>
    </w:rPr>
  </w:style>
  <w:style w:type="character" w:customStyle="1" w:styleId="316">
    <w:name w:val="华宇段落1 Char Char Char Char"/>
    <w:qFormat/>
    <w:uiPriority w:val="0"/>
    <w:rPr>
      <w:rFonts w:eastAsia="宋体"/>
      <w:sz w:val="24"/>
      <w:lang w:val="en-US" w:eastAsia="zh-CN"/>
    </w:rPr>
  </w:style>
  <w:style w:type="character" w:customStyle="1" w:styleId="317">
    <w:name w:val="Char Char20"/>
    <w:qFormat/>
    <w:uiPriority w:val="0"/>
    <w:rPr>
      <w:rFonts w:ascii="Arial" w:hAnsi="Arial" w:eastAsia="黑体"/>
      <w:sz w:val="21"/>
    </w:rPr>
  </w:style>
  <w:style w:type="character" w:customStyle="1" w:styleId="318">
    <w:name w:val="Char Char24"/>
    <w:qFormat/>
    <w:uiPriority w:val="0"/>
    <w:rPr>
      <w:b/>
      <w:sz w:val="28"/>
    </w:rPr>
  </w:style>
  <w:style w:type="character" w:customStyle="1" w:styleId="319">
    <w:name w:val="Char Char11"/>
    <w:qFormat/>
    <w:uiPriority w:val="0"/>
    <w:rPr>
      <w:rFonts w:ascii="宋体" w:hAnsi="宋体" w:eastAsia="宋体"/>
      <w:sz w:val="24"/>
      <w:lang w:val="en-US" w:eastAsia="zh-CN"/>
    </w:rPr>
  </w:style>
  <w:style w:type="character" w:customStyle="1" w:styleId="320">
    <w:name w:val="标准小四 Char Char Char"/>
    <w:qFormat/>
    <w:uiPriority w:val="0"/>
    <w:rPr>
      <w:rFonts w:ascii="Arial" w:hAnsi="Arial" w:eastAsia="宋体"/>
      <w:sz w:val="21"/>
      <w:lang w:val="en-US" w:eastAsia="zh-CN"/>
    </w:rPr>
  </w:style>
  <w:style w:type="character" w:customStyle="1" w:styleId="321">
    <w:name w:val="Char Char30"/>
    <w:qFormat/>
    <w:uiPriority w:val="0"/>
    <w:rPr>
      <w:rFonts w:eastAsia="宋体"/>
      <w:b/>
      <w:sz w:val="28"/>
      <w:lang w:val="en-US" w:eastAsia="zh-CN"/>
    </w:rPr>
  </w:style>
  <w:style w:type="character" w:customStyle="1" w:styleId="322">
    <w:name w:val="NormalCharacter"/>
    <w:qFormat/>
    <w:uiPriority w:val="0"/>
  </w:style>
  <w:style w:type="character" w:customStyle="1" w:styleId="323">
    <w:name w:val="case31"/>
    <w:qFormat/>
    <w:uiPriority w:val="0"/>
    <w:rPr>
      <w:sz w:val="21"/>
    </w:rPr>
  </w:style>
  <w:style w:type="character" w:customStyle="1" w:styleId="324">
    <w:name w:val="medium_text1"/>
    <w:qFormat/>
    <w:uiPriority w:val="0"/>
    <w:rPr>
      <w:sz w:val="24"/>
    </w:rPr>
  </w:style>
  <w:style w:type="character" w:customStyle="1" w:styleId="325">
    <w:name w:val="Char Char7"/>
    <w:qFormat/>
    <w:uiPriority w:val="0"/>
    <w:rPr>
      <w:rFonts w:eastAsia="宋体"/>
      <w:b/>
      <w:sz w:val="24"/>
      <w:lang w:val="en-US" w:eastAsia="zh-CN"/>
    </w:rPr>
  </w:style>
  <w:style w:type="character" w:customStyle="1" w:styleId="326">
    <w:name w:val="样式 首行缩进:  2 字符 Char"/>
    <w:qFormat/>
    <w:uiPriority w:val="0"/>
    <w:rPr>
      <w:rFonts w:eastAsia="宋体"/>
      <w:sz w:val="24"/>
      <w:lang w:val="en-US" w:eastAsia="zh-CN"/>
    </w:rPr>
  </w:style>
  <w:style w:type="character" w:customStyle="1" w:styleId="327">
    <w:name w:val="apple-converted-space"/>
    <w:qFormat/>
    <w:uiPriority w:val="0"/>
    <w:rPr>
      <w:rFonts w:cs="Times New Roman"/>
    </w:rPr>
  </w:style>
  <w:style w:type="character" w:customStyle="1" w:styleId="328">
    <w:name w:val="标题 2 Char"/>
    <w:qFormat/>
    <w:uiPriority w:val="0"/>
    <w:rPr>
      <w:rFonts w:ascii="Arial" w:hAnsi="Arial" w:eastAsia="黑体" w:cs="Times New Roman"/>
      <w:b/>
      <w:bCs/>
      <w:sz w:val="32"/>
      <w:szCs w:val="32"/>
    </w:rPr>
  </w:style>
  <w:style w:type="character" w:customStyle="1" w:styleId="329">
    <w:name w:val="无间隔 Char"/>
    <w:qFormat/>
    <w:uiPriority w:val="0"/>
    <w:rPr>
      <w:rFonts w:ascii="Calibri" w:hAnsi="Calibri" w:eastAsia="微软雅黑"/>
      <w:sz w:val="22"/>
      <w:lang w:val="en-US" w:eastAsia="zh-CN"/>
    </w:rPr>
  </w:style>
  <w:style w:type="character" w:customStyle="1" w:styleId="330">
    <w:name w:val="Char Char4"/>
    <w:qFormat/>
    <w:uiPriority w:val="0"/>
    <w:rPr>
      <w:rFonts w:ascii="方正大黑简体" w:eastAsia="方正大黑简体"/>
      <w:position w:val="6"/>
      <w:sz w:val="30"/>
      <w:lang w:val="en-US" w:eastAsia="zh-CN"/>
    </w:rPr>
  </w:style>
  <w:style w:type="character" w:customStyle="1" w:styleId="331">
    <w:name w:val="标准小四 Char Char"/>
    <w:qFormat/>
    <w:uiPriority w:val="0"/>
    <w:rPr>
      <w:rFonts w:ascii="Arial" w:hAnsi="Arial" w:eastAsia="宋体"/>
      <w:sz w:val="21"/>
      <w:lang w:val="en-US" w:eastAsia="zh-CN"/>
    </w:rPr>
  </w:style>
  <w:style w:type="character" w:customStyle="1" w:styleId="332">
    <w:name w:val="111111 Char Char"/>
    <w:qFormat/>
    <w:uiPriority w:val="0"/>
    <w:rPr>
      <w:rFonts w:ascii="宋体" w:hAnsi="宋体" w:eastAsia="黑体"/>
      <w:b/>
      <w:sz w:val="21"/>
      <w:lang w:val="en-US" w:eastAsia="zh-CN"/>
    </w:rPr>
  </w:style>
  <w:style w:type="character" w:customStyle="1" w:styleId="333">
    <w:name w:val="Char Char34"/>
    <w:qFormat/>
    <w:uiPriority w:val="0"/>
    <w:rPr>
      <w:rFonts w:eastAsia="宋体"/>
      <w:b/>
      <w:sz w:val="44"/>
      <w:lang w:val="en-US" w:eastAsia="zh-CN"/>
    </w:rPr>
  </w:style>
  <w:style w:type="character" w:customStyle="1" w:styleId="334">
    <w:name w:val="Char Char14"/>
    <w:qFormat/>
    <w:uiPriority w:val="0"/>
    <w:rPr>
      <w:rFonts w:eastAsia="黑体"/>
      <w:b/>
      <w:sz w:val="28"/>
      <w:lang w:val="en-GB" w:eastAsia="zh-CN"/>
    </w:rPr>
  </w:style>
  <w:style w:type="character" w:customStyle="1" w:styleId="335">
    <w:name w:val="Intense Quote Char"/>
    <w:link w:val="336"/>
    <w:qFormat/>
    <w:uiPriority w:val="30"/>
    <w:rPr>
      <w:rFonts w:ascii="Calibri" w:hAnsi="Calibri" w:eastAsia="宋体" w:cs="Times New Roman"/>
      <w:b/>
      <w:bCs/>
      <w:i/>
      <w:iCs/>
      <w:sz w:val="22"/>
      <w:lang w:eastAsia="en-US"/>
    </w:rPr>
  </w:style>
  <w:style w:type="paragraph" w:customStyle="1" w:styleId="336">
    <w:name w:val="明显引用1"/>
    <w:basedOn w:val="1"/>
    <w:next w:val="1"/>
    <w:link w:val="335"/>
    <w:qFormat/>
    <w:uiPriority w:val="30"/>
    <w:pPr>
      <w:widowControl/>
      <w:pBdr>
        <w:bottom w:val="single" w:color="auto" w:sz="4" w:space="1"/>
      </w:pBdr>
      <w:spacing w:before="200" w:after="280" w:line="276" w:lineRule="auto"/>
      <w:ind w:left="1008" w:right="1152"/>
    </w:pPr>
    <w:rPr>
      <w:b/>
      <w:bCs/>
      <w:i/>
      <w:iCs/>
      <w:sz w:val="22"/>
      <w:szCs w:val="20"/>
      <w:lang w:eastAsia="en-US"/>
    </w:rPr>
  </w:style>
  <w:style w:type="character" w:customStyle="1" w:styleId="337">
    <w:name w:val="样式 非加粗"/>
    <w:qFormat/>
    <w:uiPriority w:val="0"/>
    <w:rPr>
      <w:rFonts w:eastAsia="宋体"/>
      <w:sz w:val="28"/>
    </w:rPr>
  </w:style>
  <w:style w:type="character" w:customStyle="1" w:styleId="338">
    <w:name w:val="标题 Char1"/>
    <w:qFormat/>
    <w:uiPriority w:val="0"/>
    <w:rPr>
      <w:rFonts w:ascii="Cambria" w:eastAsia="宋体"/>
      <w:b/>
      <w:sz w:val="32"/>
    </w:rPr>
  </w:style>
  <w:style w:type="character" w:customStyle="1" w:styleId="339">
    <w:name w:val="标准文本 Char Char Char"/>
    <w:qFormat/>
    <w:uiPriority w:val="0"/>
    <w:rPr>
      <w:rFonts w:eastAsia="宋体"/>
      <w:sz w:val="24"/>
      <w:lang w:val="en-US" w:eastAsia="zh-CN"/>
    </w:rPr>
  </w:style>
  <w:style w:type="character" w:customStyle="1" w:styleId="340">
    <w:name w:val="普通文字 Char Char3"/>
    <w:qFormat/>
    <w:uiPriority w:val="0"/>
    <w:rPr>
      <w:rFonts w:ascii="宋体" w:hAnsi="Courier New" w:eastAsia="宋体"/>
      <w:sz w:val="21"/>
      <w:lang w:val="en-US" w:eastAsia="zh-CN"/>
    </w:rPr>
  </w:style>
  <w:style w:type="character" w:customStyle="1" w:styleId="341">
    <w:name w:val="Char Char19"/>
    <w:qFormat/>
    <w:uiPriority w:val="0"/>
    <w:rPr>
      <w:rFonts w:ascii="Arial" w:hAnsi="Arial" w:eastAsia="黑体"/>
      <w:b/>
      <w:sz w:val="24"/>
      <w:lang w:val="en-US" w:eastAsia="zh-CN"/>
    </w:rPr>
  </w:style>
  <w:style w:type="character" w:customStyle="1" w:styleId="342">
    <w:name w:val="纯文本 Char Char Char1"/>
    <w:qFormat/>
    <w:uiPriority w:val="0"/>
    <w:rPr>
      <w:rFonts w:ascii="宋体" w:hAnsi="Courier New" w:eastAsia="宋体"/>
      <w:sz w:val="21"/>
      <w:lang w:val="en-US" w:eastAsia="zh-CN"/>
    </w:rPr>
  </w:style>
  <w:style w:type="character" w:customStyle="1" w:styleId="343">
    <w:name w:val="title_emph1"/>
    <w:qFormat/>
    <w:uiPriority w:val="0"/>
    <w:rPr>
      <w:rFonts w:ascii="Arial"/>
      <w:b/>
      <w:sz w:val="18"/>
    </w:rPr>
  </w:style>
  <w:style w:type="character" w:customStyle="1" w:styleId="344">
    <w:name w:val="Char Char5"/>
    <w:qFormat/>
    <w:uiPriority w:val="0"/>
    <w:rPr>
      <w:rFonts w:eastAsia="宋体"/>
      <w:sz w:val="24"/>
      <w:lang w:val="en-US" w:eastAsia="zh-CN"/>
    </w:rPr>
  </w:style>
  <w:style w:type="character" w:customStyle="1" w:styleId="345">
    <w:name w:val="Char Char13"/>
    <w:qFormat/>
    <w:uiPriority w:val="0"/>
    <w:rPr>
      <w:rFonts w:ascii="宋体" w:hAnsi="宋体" w:eastAsia="宋体"/>
      <w:sz w:val="24"/>
      <w:lang w:val="en-US" w:eastAsia="zh-CN"/>
    </w:rPr>
  </w:style>
  <w:style w:type="character" w:customStyle="1" w:styleId="346">
    <w:name w:val="明显强调1"/>
    <w:qFormat/>
    <w:uiPriority w:val="21"/>
    <w:rPr>
      <w:b/>
    </w:rPr>
  </w:style>
  <w:style w:type="character" w:customStyle="1" w:styleId="347">
    <w:name w:val="Char Char9"/>
    <w:qFormat/>
    <w:uiPriority w:val="0"/>
    <w:rPr>
      <w:rFonts w:eastAsia="宋体"/>
      <w:sz w:val="21"/>
      <w:lang w:val="en-US" w:eastAsia="zh-CN"/>
    </w:rPr>
  </w:style>
  <w:style w:type="character" w:customStyle="1" w:styleId="348">
    <w:name w:val="Char Char2"/>
    <w:qFormat/>
    <w:uiPriority w:val="0"/>
    <w:rPr>
      <w:rFonts w:ascii="宋体" w:hAnsi="Courier New" w:eastAsia="宋体"/>
      <w:sz w:val="21"/>
      <w:lang w:val="en-US" w:eastAsia="zh-CN"/>
    </w:rPr>
  </w:style>
  <w:style w:type="character" w:customStyle="1" w:styleId="349">
    <w:name w:val="concon"/>
    <w:qFormat/>
    <w:uiPriority w:val="0"/>
  </w:style>
  <w:style w:type="character" w:customStyle="1" w:styleId="350">
    <w:name w:val="normalfont1"/>
    <w:qFormat/>
    <w:uiPriority w:val="0"/>
    <w:rPr>
      <w:rFonts w:ascii="??" w:hAnsi="??"/>
      <w:sz w:val="18"/>
      <w:u w:val="none"/>
    </w:rPr>
  </w:style>
  <w:style w:type="character" w:customStyle="1" w:styleId="351">
    <w:name w:val="Char Char29"/>
    <w:qFormat/>
    <w:uiPriority w:val="0"/>
    <w:rPr>
      <w:rFonts w:ascii="Times New Roman" w:hAnsi="Times New Roman" w:eastAsia="宋体"/>
      <w:b/>
      <w:sz w:val="44"/>
    </w:rPr>
  </w:style>
  <w:style w:type="character" w:customStyle="1" w:styleId="352">
    <w:name w:val="华宇段落1 Char Char Char"/>
    <w:qFormat/>
    <w:uiPriority w:val="0"/>
    <w:rPr>
      <w:rFonts w:eastAsia="宋体"/>
      <w:sz w:val="24"/>
      <w:lang w:val="en-US" w:eastAsia="zh-CN"/>
    </w:rPr>
  </w:style>
  <w:style w:type="character" w:customStyle="1" w:styleId="353">
    <w:name w:val="textcontents"/>
    <w:qFormat/>
    <w:uiPriority w:val="0"/>
    <w:rPr>
      <w:rFonts w:cs="Times New Roman"/>
    </w:rPr>
  </w:style>
  <w:style w:type="character" w:customStyle="1" w:styleId="354">
    <w:name w:val="引用 Char"/>
    <w:qFormat/>
    <w:uiPriority w:val="0"/>
    <w:rPr>
      <w:rFonts w:ascii="Calibri" w:hAnsi="Calibri" w:eastAsia="宋体"/>
      <w:i/>
      <w:sz w:val="22"/>
      <w:lang w:val="en-US" w:eastAsia="en-US"/>
    </w:rPr>
  </w:style>
  <w:style w:type="character" w:customStyle="1" w:styleId="355">
    <w:name w:val="Char Char33"/>
    <w:qFormat/>
    <w:uiPriority w:val="0"/>
    <w:rPr>
      <w:rFonts w:ascii="Arial" w:hAnsi="Arial" w:eastAsia="黑体"/>
      <w:b/>
      <w:sz w:val="32"/>
      <w:lang w:val="en-US" w:eastAsia="zh-CN"/>
    </w:rPr>
  </w:style>
  <w:style w:type="character" w:customStyle="1" w:styleId="356">
    <w:name w:val="样式 首行缩进:  2 字符 Char Char"/>
    <w:qFormat/>
    <w:uiPriority w:val="0"/>
    <w:rPr>
      <w:rFonts w:eastAsia="宋体"/>
      <w:sz w:val="24"/>
      <w:lang w:val="en-US" w:eastAsia="zh-CN"/>
    </w:rPr>
  </w:style>
  <w:style w:type="character" w:customStyle="1" w:styleId="357">
    <w:name w:val="Char Char16"/>
    <w:qFormat/>
    <w:uiPriority w:val="0"/>
    <w:rPr>
      <w:rFonts w:ascii="Arial" w:hAnsi="Arial" w:eastAsia="黑体"/>
      <w:sz w:val="24"/>
      <w:lang w:val="en-US" w:eastAsia="zh-CN"/>
    </w:rPr>
  </w:style>
  <w:style w:type="character" w:customStyle="1" w:styleId="358">
    <w:name w:val="正文 + 宋体 Char"/>
    <w:qFormat/>
    <w:uiPriority w:val="0"/>
    <w:rPr>
      <w:rFonts w:eastAsia="宋体"/>
      <w:sz w:val="24"/>
      <w:lang w:val="en-US" w:eastAsia="zh-CN"/>
    </w:rPr>
  </w:style>
  <w:style w:type="character" w:customStyle="1" w:styleId="359">
    <w:name w:val="2nd level Char"/>
    <w:qFormat/>
    <w:uiPriority w:val="0"/>
    <w:rPr>
      <w:rFonts w:ascii="Arial" w:hAnsi="Arial" w:eastAsia="黑体"/>
      <w:b/>
      <w:sz w:val="32"/>
      <w:lang w:val="en-US" w:eastAsia="zh-CN"/>
    </w:rPr>
  </w:style>
  <w:style w:type="character" w:customStyle="1" w:styleId="360">
    <w:name w:val="Char Char15"/>
    <w:qFormat/>
    <w:uiPriority w:val="0"/>
    <w:rPr>
      <w:rFonts w:ascii="Arial" w:hAnsi="Arial" w:eastAsia="黑体"/>
      <w:sz w:val="21"/>
      <w:lang w:val="en-US" w:eastAsia="zh-CN"/>
    </w:rPr>
  </w:style>
  <w:style w:type="paragraph" w:customStyle="1" w:styleId="361">
    <w:name w:val="Char Char Char Char Char Char Char Char Char Char Char Char Char Char Char Char Char Char Char Char Char Char Char"/>
    <w:basedOn w:val="1"/>
    <w:qFormat/>
    <w:uiPriority w:val="0"/>
    <w:rPr>
      <w:rFonts w:ascii="Tahoma" w:hAnsi="Tahoma"/>
      <w:sz w:val="24"/>
      <w:szCs w:val="20"/>
    </w:rPr>
  </w:style>
  <w:style w:type="paragraph" w:customStyle="1" w:styleId="362">
    <w:name w:val="普通文字"/>
    <w:basedOn w:val="1"/>
    <w:next w:val="1"/>
    <w:qFormat/>
    <w:uiPriority w:val="0"/>
    <w:rPr>
      <w:rFonts w:ascii="宋体" w:hAnsi="宋体" w:cs="宋体"/>
      <w:sz w:val="24"/>
      <w:szCs w:val="20"/>
    </w:rPr>
  </w:style>
  <w:style w:type="paragraph" w:customStyle="1" w:styleId="363">
    <w:name w:val="Char Char Char Char Char Char Char Char Char Char Char Char Char Char Char Char Char Char Char Char Char1"/>
    <w:basedOn w:val="1"/>
    <w:qFormat/>
    <w:uiPriority w:val="0"/>
    <w:rPr>
      <w:rFonts w:ascii="Tahoma" w:hAnsi="Tahoma"/>
      <w:sz w:val="24"/>
      <w:szCs w:val="20"/>
    </w:rPr>
  </w:style>
  <w:style w:type="paragraph" w:customStyle="1" w:styleId="364">
    <w:name w:val="xl54"/>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宋体" w:hAnsi="宋体" w:cs="宋体"/>
      <w:b/>
      <w:bCs/>
      <w:sz w:val="20"/>
      <w:szCs w:val="20"/>
    </w:rPr>
  </w:style>
  <w:style w:type="paragraph" w:customStyle="1" w:styleId="365">
    <w:name w:val="无间隔1"/>
    <w:qFormat/>
    <w:uiPriority w:val="0"/>
    <w:pPr>
      <w:widowControl w:val="0"/>
      <w:jc w:val="both"/>
    </w:pPr>
    <w:rPr>
      <w:rFonts w:ascii="Calibri" w:hAnsi="Calibri" w:eastAsia="微软雅黑" w:cs="Times New Roman"/>
      <w:sz w:val="24"/>
      <w:szCs w:val="22"/>
      <w:lang w:val="en-US" w:eastAsia="zh-CN" w:bidi="ar-SA"/>
    </w:rPr>
  </w:style>
  <w:style w:type="paragraph" w:customStyle="1" w:styleId="366">
    <w:name w:val="_Style 278"/>
    <w:basedOn w:val="1"/>
    <w:next w:val="250"/>
    <w:qFormat/>
    <w:uiPriority w:val="34"/>
    <w:pPr>
      <w:ind w:firstLine="420"/>
    </w:pPr>
  </w:style>
  <w:style w:type="paragraph" w:customStyle="1" w:styleId="367">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szCs w:val="20"/>
    </w:rPr>
  </w:style>
  <w:style w:type="paragraph" w:customStyle="1" w:styleId="368">
    <w:name w:val="正文 + Arial Char"/>
    <w:basedOn w:val="1"/>
    <w:qFormat/>
    <w:uiPriority w:val="0"/>
    <w:pPr>
      <w:widowControl/>
      <w:tabs>
        <w:tab w:val="left" w:pos="315"/>
      </w:tabs>
      <w:spacing w:line="300" w:lineRule="auto"/>
      <w:ind w:left="315" w:hanging="315"/>
    </w:pPr>
    <w:rPr>
      <w:rFonts w:ascii="Arial" w:hAnsi="Arial" w:cs="Arial"/>
      <w:b/>
      <w:color w:val="000000"/>
      <w:szCs w:val="20"/>
    </w:rPr>
  </w:style>
  <w:style w:type="paragraph" w:customStyle="1" w:styleId="369">
    <w:name w:val="正文缩进2字符"/>
    <w:basedOn w:val="1"/>
    <w:qFormat/>
    <w:uiPriority w:val="0"/>
    <w:pPr>
      <w:spacing w:line="300" w:lineRule="auto"/>
      <w:ind w:firstLine="200"/>
    </w:pPr>
    <w:rPr>
      <w:rFonts w:ascii="仿宋_GB2312" w:eastAsia="仿宋_GB2312"/>
      <w:sz w:val="32"/>
      <w:szCs w:val="32"/>
    </w:rPr>
  </w:style>
  <w:style w:type="paragraph" w:customStyle="1" w:styleId="370">
    <w:name w:val="默认段落字体 Para Char Char Char Char Char Char Char"/>
    <w:basedOn w:val="1"/>
    <w:qFormat/>
    <w:uiPriority w:val="0"/>
    <w:rPr>
      <w:rFonts w:ascii="Tahoma" w:hAnsi="Tahoma"/>
      <w:sz w:val="24"/>
      <w:szCs w:val="20"/>
    </w:rPr>
  </w:style>
  <w:style w:type="paragraph" w:customStyle="1" w:styleId="371">
    <w:name w:val="Char1 Char Char Char1"/>
    <w:basedOn w:val="1"/>
    <w:qFormat/>
    <w:uiPriority w:val="0"/>
    <w:rPr>
      <w:rFonts w:ascii="Tahoma" w:hAnsi="Tahoma"/>
      <w:sz w:val="24"/>
      <w:szCs w:val="20"/>
    </w:rPr>
  </w:style>
  <w:style w:type="paragraph" w:customStyle="1" w:styleId="372">
    <w:name w:val="xl55"/>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sz w:val="20"/>
      <w:szCs w:val="20"/>
    </w:rPr>
  </w:style>
  <w:style w:type="paragraph" w:customStyle="1" w:styleId="373">
    <w:name w:val="table_lines"/>
    <w:basedOn w:val="1"/>
    <w:qFormat/>
    <w:uiPriority w:val="0"/>
    <w:pPr>
      <w:widowControl/>
      <w:jc w:val="left"/>
    </w:pPr>
    <w:rPr>
      <w:sz w:val="20"/>
      <w:szCs w:val="20"/>
      <w:lang w:val="de-DE" w:eastAsia="de-DE"/>
    </w:rPr>
  </w:style>
  <w:style w:type="paragraph" w:customStyle="1" w:styleId="374">
    <w:name w:val="部分1"/>
    <w:basedOn w:val="1"/>
    <w:qFormat/>
    <w:uiPriority w:val="0"/>
    <w:pPr>
      <w:keepNext/>
      <w:pageBreakBefore/>
      <w:tabs>
        <w:tab w:val="left" w:pos="360"/>
      </w:tabs>
      <w:spacing w:line="360" w:lineRule="auto"/>
      <w:jc w:val="center"/>
      <w:outlineLvl w:val="0"/>
    </w:pPr>
    <w:rPr>
      <w:rFonts w:eastAsia="黑体"/>
      <w:b/>
      <w:sz w:val="36"/>
      <w:szCs w:val="20"/>
    </w:rPr>
  </w:style>
  <w:style w:type="paragraph" w:customStyle="1" w:styleId="375">
    <w:name w:val="Default Text"/>
    <w:basedOn w:val="1"/>
    <w:qFormat/>
    <w:uiPriority w:val="0"/>
    <w:pPr>
      <w:widowControl/>
      <w:jc w:val="left"/>
    </w:pPr>
    <w:rPr>
      <w:sz w:val="24"/>
      <w:szCs w:val="20"/>
      <w:lang w:eastAsia="en-US"/>
    </w:rPr>
  </w:style>
  <w:style w:type="paragraph" w:customStyle="1" w:styleId="376">
    <w:name w:val="正文 首行缩进:  2 字符 Char"/>
    <w:basedOn w:val="1"/>
    <w:qFormat/>
    <w:uiPriority w:val="0"/>
    <w:pPr>
      <w:spacing w:line="360" w:lineRule="auto"/>
      <w:ind w:firstLine="480"/>
    </w:pPr>
    <w:rPr>
      <w:rFonts w:cs="宋体"/>
      <w:sz w:val="24"/>
      <w:szCs w:val="20"/>
    </w:rPr>
  </w:style>
  <w:style w:type="paragraph" w:customStyle="1" w:styleId="377">
    <w:name w:val="xl56"/>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sz w:val="20"/>
      <w:szCs w:val="20"/>
    </w:rPr>
  </w:style>
  <w:style w:type="paragraph" w:customStyle="1" w:styleId="378">
    <w:name w:val="正文--表格内正文"/>
    <w:basedOn w:val="1"/>
    <w:qFormat/>
    <w:uiPriority w:val="0"/>
    <w:pPr>
      <w:spacing w:line="240" w:lineRule="atLeast"/>
      <w:jc w:val="center"/>
    </w:pPr>
    <w:rPr>
      <w:rFonts w:ascii="宋体" w:hAnsi="宋体"/>
      <w:color w:val="000000"/>
      <w:sz w:val="24"/>
    </w:rPr>
  </w:style>
  <w:style w:type="paragraph" w:customStyle="1" w:styleId="379">
    <w:name w:val="Char Char110"/>
    <w:basedOn w:val="1"/>
    <w:qFormat/>
    <w:uiPriority w:val="0"/>
    <w:rPr>
      <w:rFonts w:ascii="Tahoma" w:hAnsi="Tahoma" w:cs="Tahoma"/>
      <w:sz w:val="24"/>
      <w:szCs w:val="20"/>
    </w:rPr>
  </w:style>
  <w:style w:type="paragraph" w:customStyle="1" w:styleId="380">
    <w:name w:val="xl5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b/>
      <w:bCs/>
      <w:i/>
      <w:iCs/>
      <w:sz w:val="20"/>
      <w:szCs w:val="20"/>
    </w:rPr>
  </w:style>
  <w:style w:type="paragraph" w:customStyle="1" w:styleId="381">
    <w:name w:val="华宇段落1 Char"/>
    <w:basedOn w:val="1"/>
    <w:qFormat/>
    <w:uiPriority w:val="0"/>
    <w:pPr>
      <w:spacing w:line="360" w:lineRule="auto"/>
      <w:ind w:firstLine="200"/>
    </w:pPr>
    <w:rPr>
      <w:bCs/>
      <w:sz w:val="24"/>
    </w:rPr>
  </w:style>
  <w:style w:type="paragraph" w:customStyle="1" w:styleId="382">
    <w:name w:val="Char Char Char Char Char Char Char Char Char Char Char Char Char Char Char Char Char Char Char Char Char"/>
    <w:basedOn w:val="1"/>
    <w:qFormat/>
    <w:uiPriority w:val="0"/>
    <w:rPr>
      <w:rFonts w:ascii="Tahoma" w:hAnsi="Tahoma" w:cs="Tahoma"/>
      <w:sz w:val="24"/>
      <w:szCs w:val="20"/>
    </w:rPr>
  </w:style>
  <w:style w:type="paragraph" w:customStyle="1" w:styleId="383">
    <w:name w:val="Char Char Char Char Char Char Char Char Char"/>
    <w:basedOn w:val="1"/>
    <w:qFormat/>
    <w:uiPriority w:val="0"/>
    <w:pPr>
      <w:tabs>
        <w:tab w:val="left" w:pos="360"/>
      </w:tabs>
      <w:ind w:left="200" w:hanging="200"/>
    </w:pPr>
    <w:rPr>
      <w:sz w:val="24"/>
    </w:rPr>
  </w:style>
  <w:style w:type="paragraph" w:customStyle="1" w:styleId="384">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b/>
      <w:bCs/>
      <w:i/>
      <w:iCs/>
      <w:sz w:val="20"/>
      <w:szCs w:val="20"/>
    </w:rPr>
  </w:style>
  <w:style w:type="paragraph" w:customStyle="1" w:styleId="385">
    <w:name w:val="font11"/>
    <w:basedOn w:val="1"/>
    <w:qFormat/>
    <w:uiPriority w:val="0"/>
    <w:pPr>
      <w:widowControl/>
      <w:spacing w:before="100" w:beforeAutospacing="1" w:after="100" w:afterAutospacing="1"/>
      <w:jc w:val="left"/>
    </w:pPr>
    <w:rPr>
      <w:b/>
      <w:bCs/>
      <w:sz w:val="18"/>
      <w:szCs w:val="18"/>
    </w:rPr>
  </w:style>
  <w:style w:type="paragraph" w:customStyle="1" w:styleId="386">
    <w:name w:val="Char Char Char Char Char Char Char Char Char Char Char Char Char Char"/>
    <w:basedOn w:val="1"/>
    <w:qFormat/>
    <w:uiPriority w:val="0"/>
    <w:rPr>
      <w:rFonts w:ascii="Tahoma" w:hAnsi="Tahoma"/>
      <w:sz w:val="24"/>
      <w:szCs w:val="20"/>
    </w:rPr>
  </w:style>
  <w:style w:type="paragraph" w:customStyle="1" w:styleId="387">
    <w:name w:val="Char Char Char Char Char Char Char"/>
    <w:basedOn w:val="1"/>
    <w:qFormat/>
    <w:uiPriority w:val="0"/>
    <w:pPr>
      <w:jc w:val="left"/>
    </w:pPr>
    <w:rPr>
      <w:rFonts w:ascii="Tahoma" w:hAnsi="Tahoma"/>
      <w:sz w:val="24"/>
      <w:szCs w:val="20"/>
    </w:rPr>
  </w:style>
  <w:style w:type="paragraph" w:customStyle="1" w:styleId="388">
    <w:name w:val="Char Char Char Char Char Char Char Char Char Char Char"/>
    <w:basedOn w:val="1"/>
    <w:qFormat/>
    <w:uiPriority w:val="0"/>
    <w:rPr>
      <w:rFonts w:ascii="Tahoma" w:hAnsi="Tahoma"/>
      <w:sz w:val="24"/>
      <w:szCs w:val="20"/>
    </w:rPr>
  </w:style>
  <w:style w:type="paragraph" w:customStyle="1" w:styleId="389">
    <w:name w:val="公文标题 2"/>
    <w:basedOn w:val="1"/>
    <w:next w:val="390"/>
    <w:qFormat/>
    <w:uiPriority w:val="0"/>
    <w:pPr>
      <w:outlineLvl w:val="1"/>
    </w:pPr>
    <w:rPr>
      <w:rFonts w:ascii="仿宋_GB2312" w:hAnsi="宋体" w:eastAsia="仿宋_GB2312"/>
      <w:sz w:val="28"/>
    </w:rPr>
  </w:style>
  <w:style w:type="paragraph" w:customStyle="1" w:styleId="390">
    <w:name w:val="公文正文"/>
    <w:basedOn w:val="22"/>
    <w:qFormat/>
    <w:uiPriority w:val="0"/>
    <w:pPr>
      <w:spacing w:after="0"/>
      <w:ind w:left="0" w:firstLine="200"/>
    </w:pPr>
    <w:rPr>
      <w:rFonts w:ascii="仿宋_GB2312" w:hAnsi="宋体" w:eastAsia="仿宋_GB2312"/>
      <w:sz w:val="28"/>
    </w:rPr>
  </w:style>
  <w:style w:type="paragraph" w:customStyle="1" w:styleId="391">
    <w:name w:val="标题4，章节第四层"/>
    <w:basedOn w:val="1"/>
    <w:next w:val="1"/>
    <w:qFormat/>
    <w:uiPriority w:val="0"/>
    <w:pPr>
      <w:tabs>
        <w:tab w:val="left" w:pos="0"/>
      </w:tabs>
      <w:spacing w:line="360" w:lineRule="auto"/>
      <w:outlineLvl w:val="3"/>
    </w:pPr>
    <w:rPr>
      <w:rFonts w:ascii="宋体" w:hAnsi="宋体"/>
      <w:b/>
      <w:sz w:val="24"/>
    </w:rPr>
  </w:style>
  <w:style w:type="paragraph" w:customStyle="1" w:styleId="392">
    <w:name w:val="样式 标题 2H2h2sect 1.2Heading 2 HiddenHeading 2 CCBSheading 2..."/>
    <w:basedOn w:val="3"/>
    <w:qFormat/>
    <w:uiPriority w:val="0"/>
    <w:pPr>
      <w:tabs>
        <w:tab w:val="left" w:pos="576"/>
      </w:tabs>
      <w:spacing w:line="240" w:lineRule="auto"/>
      <w:ind w:left="576" w:hanging="36"/>
      <w:jc w:val="left"/>
    </w:pPr>
    <w:rPr>
      <w:rFonts w:ascii="宋体" w:hAnsi="宋体" w:eastAsia="宋体"/>
      <w:sz w:val="28"/>
      <w:szCs w:val="20"/>
    </w:rPr>
  </w:style>
  <w:style w:type="paragraph" w:customStyle="1" w:styleId="393">
    <w:name w:val="符号与编号 Char"/>
    <w:basedOn w:val="1"/>
    <w:qFormat/>
    <w:uiPriority w:val="0"/>
    <w:pPr>
      <w:tabs>
        <w:tab w:val="left" w:pos="720"/>
      </w:tabs>
      <w:spacing w:line="400" w:lineRule="atLeast"/>
      <w:ind w:left="720"/>
    </w:pPr>
    <w:rPr>
      <w:sz w:val="24"/>
    </w:rPr>
  </w:style>
  <w:style w:type="paragraph" w:customStyle="1" w:styleId="394">
    <w:name w:val="xl4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rPr>
  </w:style>
  <w:style w:type="paragraph" w:customStyle="1" w:styleId="395">
    <w:name w:val="丁华正文"/>
    <w:basedOn w:val="47"/>
    <w:qFormat/>
    <w:uiPriority w:val="0"/>
    <w:pPr>
      <w:spacing w:before="0" w:after="0" w:line="360" w:lineRule="auto"/>
      <w:ind w:left="0" w:firstLine="510"/>
    </w:pPr>
    <w:rPr>
      <w:rFonts w:ascii="宋体" w:hAnsi="Arial"/>
      <w:bCs w:val="0"/>
      <w:color w:val="000000"/>
      <w:szCs w:val="16"/>
    </w:rPr>
  </w:style>
  <w:style w:type="paragraph" w:customStyle="1" w:styleId="396">
    <w:name w:val="样式 样式 首行缩进:  0.74 厘米 行距: 1.5 倍行距 + 段后: 0.5 行"/>
    <w:basedOn w:val="1"/>
    <w:qFormat/>
    <w:uiPriority w:val="0"/>
    <w:pPr>
      <w:spacing w:line="360" w:lineRule="auto"/>
      <w:ind w:firstLine="420"/>
    </w:pPr>
    <w:rPr>
      <w:rFonts w:ascii="楷体_GB2312" w:eastAsia="楷体_GB2312"/>
      <w:bCs/>
      <w:sz w:val="24"/>
      <w:szCs w:val="20"/>
    </w:rPr>
  </w:style>
  <w:style w:type="paragraph" w:customStyle="1" w:styleId="397">
    <w:name w:val="xl25"/>
    <w:basedOn w:val="1"/>
    <w:qFormat/>
    <w:uiPriority w:val="0"/>
    <w:pPr>
      <w:widowControl/>
      <w:pBdr>
        <w:right w:val="single" w:color="auto" w:sz="4" w:space="0"/>
      </w:pBdr>
      <w:spacing w:before="100" w:beforeAutospacing="1" w:after="100" w:afterAutospacing="1"/>
      <w:jc w:val="center"/>
    </w:pPr>
    <w:rPr>
      <w:szCs w:val="21"/>
    </w:rPr>
  </w:style>
  <w:style w:type="paragraph" w:customStyle="1" w:styleId="398">
    <w:name w:val="Char Char Char Char Char Char Char1 Char"/>
    <w:basedOn w:val="1"/>
    <w:qFormat/>
    <w:uiPriority w:val="0"/>
    <w:rPr>
      <w:rFonts w:ascii="Tahoma" w:hAnsi="Tahoma" w:cs="Tahoma"/>
      <w:sz w:val="24"/>
      <w:szCs w:val="20"/>
    </w:rPr>
  </w:style>
  <w:style w:type="paragraph" w:customStyle="1" w:styleId="399">
    <w:name w:val="flNote"/>
    <w:basedOn w:val="1"/>
    <w:qFormat/>
    <w:uiPriority w:val="0"/>
    <w:pPr>
      <w:spacing w:before="567" w:line="360" w:lineRule="atLeast"/>
      <w:jc w:val="center"/>
    </w:pPr>
    <w:rPr>
      <w:rFonts w:eastAsia="黑体"/>
      <w:b/>
      <w:sz w:val="24"/>
      <w:szCs w:val="20"/>
    </w:rPr>
  </w:style>
  <w:style w:type="paragraph" w:customStyle="1" w:styleId="400">
    <w:name w:val="Char Char1 Char"/>
    <w:basedOn w:val="1"/>
    <w:qFormat/>
    <w:uiPriority w:val="0"/>
    <w:pPr>
      <w:widowControl/>
      <w:spacing w:after="160" w:line="240" w:lineRule="exact"/>
      <w:jc w:val="left"/>
    </w:pPr>
    <w:rPr>
      <w:rFonts w:ascii="Verdana" w:hAnsi="Verdana"/>
      <w:sz w:val="20"/>
      <w:szCs w:val="20"/>
      <w:lang w:eastAsia="en-US"/>
    </w:rPr>
  </w:style>
  <w:style w:type="paragraph" w:styleId="401">
    <w:name w:val="No Spacing"/>
    <w:qFormat/>
    <w:uiPriority w:val="1"/>
    <w:rPr>
      <w:rFonts w:ascii="Calibri" w:hAnsi="Calibri" w:eastAsia="宋体" w:cs="Times New Roman"/>
      <w:sz w:val="22"/>
      <w:szCs w:val="22"/>
      <w:lang w:val="en-US" w:eastAsia="zh-CN" w:bidi="ar-SA"/>
    </w:rPr>
  </w:style>
  <w:style w:type="paragraph" w:customStyle="1" w:styleId="402">
    <w:name w:val="Body Text 211"/>
    <w:basedOn w:val="1"/>
    <w:qFormat/>
    <w:uiPriority w:val="0"/>
    <w:pPr>
      <w:widowControl/>
      <w:ind w:left="720" w:hanging="720"/>
    </w:pPr>
    <w:rPr>
      <w:sz w:val="24"/>
      <w:szCs w:val="20"/>
      <w:lang w:val="en-GB"/>
    </w:rPr>
  </w:style>
  <w:style w:type="paragraph" w:customStyle="1" w:styleId="403">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sz w:val="20"/>
      <w:szCs w:val="20"/>
    </w:rPr>
  </w:style>
  <w:style w:type="paragraph" w:customStyle="1" w:styleId="404">
    <w:name w:val="样式1"/>
    <w:basedOn w:val="1"/>
    <w:qFormat/>
    <w:uiPriority w:val="0"/>
    <w:pPr>
      <w:spacing w:line="300" w:lineRule="auto"/>
      <w:ind w:firstLine="480"/>
    </w:pPr>
    <w:rPr>
      <w:sz w:val="24"/>
    </w:rPr>
  </w:style>
  <w:style w:type="paragraph" w:customStyle="1" w:styleId="405">
    <w:name w:val="样式 加点正文 + 段前: 0.5 行 段后: 0.5 行1"/>
    <w:basedOn w:val="1"/>
    <w:qFormat/>
    <w:uiPriority w:val="0"/>
    <w:pPr>
      <w:tabs>
        <w:tab w:val="left" w:pos="1268"/>
      </w:tabs>
      <w:spacing w:line="300" w:lineRule="auto"/>
      <w:ind w:left="1268" w:hanging="420"/>
    </w:pPr>
    <w:rPr>
      <w:sz w:val="24"/>
      <w:szCs w:val="20"/>
    </w:rPr>
  </w:style>
  <w:style w:type="paragraph" w:customStyle="1" w:styleId="406">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szCs w:val="20"/>
    </w:rPr>
  </w:style>
  <w:style w:type="paragraph" w:customStyle="1" w:styleId="407">
    <w:name w:val="样式"/>
    <w:basedOn w:val="1"/>
    <w:qFormat/>
    <w:uiPriority w:val="0"/>
    <w:pPr>
      <w:spacing w:before="120" w:after="120" w:line="360" w:lineRule="auto"/>
    </w:pPr>
    <w:rPr>
      <w:rFonts w:ascii="宋体"/>
      <w:sz w:val="24"/>
      <w:szCs w:val="20"/>
    </w:rPr>
  </w:style>
  <w:style w:type="paragraph" w:customStyle="1" w:styleId="408">
    <w:name w:val="Char2 Char Char Char Char Char Char1"/>
    <w:basedOn w:val="1"/>
    <w:qFormat/>
    <w:uiPriority w:val="0"/>
    <w:pPr>
      <w:keepNext/>
      <w:widowControl/>
      <w:tabs>
        <w:tab w:val="left" w:pos="425"/>
      </w:tabs>
      <w:spacing w:before="80" w:after="80"/>
      <w:ind w:hanging="425"/>
    </w:pPr>
    <w:rPr>
      <w:rFonts w:ascii="Arial" w:hAnsi="Arial" w:cs="Arial"/>
      <w:sz w:val="20"/>
      <w:szCs w:val="20"/>
    </w:rPr>
  </w:style>
  <w:style w:type="paragraph" w:customStyle="1" w:styleId="409">
    <w:name w:val="正文 + 宋体"/>
    <w:basedOn w:val="1"/>
    <w:qFormat/>
    <w:uiPriority w:val="0"/>
    <w:pPr>
      <w:spacing w:line="360" w:lineRule="auto"/>
      <w:ind w:firstLine="420"/>
    </w:pPr>
  </w:style>
  <w:style w:type="paragraph" w:customStyle="1" w:styleId="410">
    <w:name w:val="xl53"/>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sz w:val="20"/>
      <w:szCs w:val="20"/>
    </w:rPr>
  </w:style>
  <w:style w:type="paragraph" w:customStyle="1" w:styleId="411">
    <w:name w:val="样式2"/>
    <w:basedOn w:val="1"/>
    <w:qFormat/>
    <w:uiPriority w:val="0"/>
    <w:pPr>
      <w:spacing w:line="360" w:lineRule="auto"/>
      <w:ind w:left="200"/>
    </w:pPr>
    <w:rPr>
      <w:rFonts w:ascii="宋体" w:hAnsi="宋体"/>
      <w:b/>
      <w:sz w:val="24"/>
    </w:rPr>
  </w:style>
  <w:style w:type="paragraph" w:customStyle="1" w:styleId="412">
    <w:name w:val="正文文本缩进1"/>
    <w:basedOn w:val="1"/>
    <w:qFormat/>
    <w:uiPriority w:val="0"/>
    <w:pPr>
      <w:spacing w:after="120"/>
      <w:ind w:left="420"/>
    </w:pPr>
  </w:style>
  <w:style w:type="paragraph" w:customStyle="1" w:styleId="413">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szCs w:val="20"/>
    </w:rPr>
  </w:style>
  <w:style w:type="paragraph" w:customStyle="1" w:styleId="414">
    <w:name w:val="符号与编号"/>
    <w:basedOn w:val="1"/>
    <w:qFormat/>
    <w:uiPriority w:val="0"/>
    <w:pPr>
      <w:tabs>
        <w:tab w:val="left" w:pos="900"/>
      </w:tabs>
      <w:spacing w:line="400" w:lineRule="atLeast"/>
      <w:ind w:left="900" w:hanging="420"/>
    </w:pPr>
    <w:rPr>
      <w:sz w:val="24"/>
    </w:rPr>
  </w:style>
  <w:style w:type="paragraph" w:customStyle="1" w:styleId="415">
    <w:name w:val="文档正文"/>
    <w:basedOn w:val="1"/>
    <w:qFormat/>
    <w:uiPriority w:val="0"/>
    <w:pPr>
      <w:spacing w:line="360" w:lineRule="auto"/>
    </w:pPr>
    <w:rPr>
      <w:rFonts w:ascii="宋体" w:hAnsi="宋体"/>
      <w:b/>
      <w:bCs/>
    </w:rPr>
  </w:style>
  <w:style w:type="paragraph" w:customStyle="1" w:styleId="416">
    <w:name w:val="font10"/>
    <w:basedOn w:val="1"/>
    <w:qFormat/>
    <w:uiPriority w:val="0"/>
    <w:pPr>
      <w:widowControl/>
      <w:spacing w:before="100" w:beforeAutospacing="1" w:after="100" w:afterAutospacing="1"/>
      <w:jc w:val="left"/>
    </w:pPr>
    <w:rPr>
      <w:rFonts w:ascii="楷体_GB2312" w:hAnsi="宋体" w:eastAsia="楷体_GB2312" w:cs="宋体"/>
      <w:b/>
      <w:bCs/>
      <w:sz w:val="18"/>
      <w:szCs w:val="18"/>
    </w:rPr>
  </w:style>
  <w:style w:type="paragraph" w:customStyle="1" w:styleId="417">
    <w:name w:val="xl51"/>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sz w:val="20"/>
      <w:szCs w:val="20"/>
    </w:rPr>
  </w:style>
  <w:style w:type="paragraph" w:customStyle="1" w:styleId="418">
    <w:name w:val="xl49"/>
    <w:basedOn w:val="1"/>
    <w:qFormat/>
    <w:uiPriority w:val="0"/>
    <w:pPr>
      <w:widowControl/>
      <w:pBdr>
        <w:left w:val="single" w:color="auto" w:sz="4" w:space="0"/>
        <w:right w:val="single" w:color="auto" w:sz="4" w:space="0"/>
      </w:pBdr>
      <w:spacing w:before="100" w:beforeAutospacing="1" w:after="100" w:afterAutospacing="1"/>
      <w:jc w:val="center"/>
    </w:pPr>
    <w:rPr>
      <w:b/>
      <w:bCs/>
      <w:sz w:val="20"/>
      <w:szCs w:val="20"/>
    </w:rPr>
  </w:style>
  <w:style w:type="paragraph" w:customStyle="1" w:styleId="419">
    <w:name w:val="大标题"/>
    <w:basedOn w:val="1"/>
    <w:next w:val="1"/>
    <w:qFormat/>
    <w:uiPriority w:val="0"/>
    <w:pPr>
      <w:pageBreakBefore/>
      <w:tabs>
        <w:tab w:val="left" w:pos="420"/>
      </w:tabs>
      <w:spacing w:line="360" w:lineRule="auto"/>
      <w:ind w:hanging="420"/>
      <w:outlineLvl w:val="0"/>
    </w:pPr>
    <w:rPr>
      <w:b/>
      <w:iCs/>
      <w:sz w:val="44"/>
    </w:rPr>
  </w:style>
  <w:style w:type="paragraph" w:customStyle="1" w:styleId="420">
    <w:name w:val="列出段落1"/>
    <w:basedOn w:val="1"/>
    <w:qFormat/>
    <w:uiPriority w:val="34"/>
    <w:pPr>
      <w:ind w:firstLine="200"/>
    </w:pPr>
    <w:rPr>
      <w:rFonts w:cs="宋体"/>
      <w:szCs w:val="22"/>
    </w:rPr>
  </w:style>
  <w:style w:type="paragraph" w:customStyle="1" w:styleId="421">
    <w:name w:val="正文文本 New New"/>
    <w:basedOn w:val="1"/>
    <w:qFormat/>
    <w:uiPriority w:val="0"/>
    <w:pPr>
      <w:widowControl/>
      <w:spacing w:before="60" w:after="60" w:line="360" w:lineRule="auto"/>
      <w:ind w:firstLine="200"/>
    </w:pPr>
    <w:rPr>
      <w:rFonts w:eastAsia="华文楷体"/>
      <w:sz w:val="24"/>
    </w:rPr>
  </w:style>
  <w:style w:type="paragraph" w:customStyle="1" w:styleId="422">
    <w:name w:val="content_lineheight"/>
    <w:basedOn w:val="1"/>
    <w:qFormat/>
    <w:uiPriority w:val="0"/>
    <w:pPr>
      <w:widowControl/>
      <w:spacing w:before="100" w:beforeAutospacing="1" w:after="100" w:afterAutospacing="1"/>
      <w:jc w:val="left"/>
    </w:pPr>
    <w:rPr>
      <w:rFonts w:ascii="宋体" w:hAnsi="宋体"/>
      <w:sz w:val="24"/>
    </w:rPr>
  </w:style>
  <w:style w:type="paragraph" w:customStyle="1" w:styleId="423">
    <w:name w:val="我的正文"/>
    <w:basedOn w:val="1"/>
    <w:qFormat/>
    <w:uiPriority w:val="0"/>
    <w:pPr>
      <w:widowControl/>
      <w:spacing w:line="360" w:lineRule="auto"/>
      <w:ind w:firstLine="420"/>
      <w:jc w:val="left"/>
    </w:pPr>
    <w:rPr>
      <w:rFonts w:ascii="宋体" w:hAnsi="宋体" w:cs="宋体"/>
      <w:szCs w:val="21"/>
    </w:rPr>
  </w:style>
  <w:style w:type="paragraph" w:customStyle="1" w:styleId="424">
    <w:name w:val="附录1"/>
    <w:qFormat/>
    <w:uiPriority w:val="0"/>
    <w:pPr>
      <w:tabs>
        <w:tab w:val="left" w:pos="907"/>
      </w:tabs>
      <w:spacing w:before="240" w:line="600" w:lineRule="atLeast"/>
      <w:ind w:left="902" w:hanging="420"/>
    </w:pPr>
    <w:rPr>
      <w:rFonts w:ascii="Calibri" w:hAnsi="Calibri" w:eastAsia="宋体" w:cs="Times New Roman"/>
      <w:b/>
      <w:i/>
      <w:sz w:val="28"/>
      <w:lang w:val="en-US" w:eastAsia="zh-CN" w:bidi="ar-SA"/>
    </w:rPr>
  </w:style>
  <w:style w:type="paragraph" w:customStyle="1" w:styleId="425">
    <w:name w:val="小四 段落 宋体 Char"/>
    <w:basedOn w:val="14"/>
    <w:qFormat/>
    <w:uiPriority w:val="0"/>
    <w:pPr>
      <w:tabs>
        <w:tab w:val="clear" w:pos="2952"/>
      </w:tabs>
      <w:ind w:left="0" w:right="-33" w:firstLine="600"/>
      <w:jc w:val="left"/>
    </w:pPr>
    <w:rPr>
      <w:rFonts w:ascii="仿宋_GB2312" w:eastAsia="仿宋_GB2312"/>
      <w:sz w:val="30"/>
      <w:szCs w:val="30"/>
    </w:rPr>
  </w:style>
  <w:style w:type="paragraph" w:customStyle="1" w:styleId="426">
    <w:name w:val="方案文档"/>
    <w:basedOn w:val="1"/>
    <w:qFormat/>
    <w:uiPriority w:val="0"/>
    <w:pPr>
      <w:spacing w:before="60" w:after="60" w:line="360" w:lineRule="auto"/>
      <w:jc w:val="center"/>
    </w:pPr>
    <w:rPr>
      <w:rFonts w:ascii="宋体" w:hAnsi="宋体"/>
      <w:sz w:val="24"/>
      <w:szCs w:val="20"/>
      <w:lang w:val="zh-CN"/>
    </w:rPr>
  </w:style>
  <w:style w:type="paragraph" w:customStyle="1" w:styleId="427">
    <w:name w:val="qw"/>
    <w:qFormat/>
    <w:uiPriority w:val="0"/>
    <w:pPr>
      <w:widowControl w:val="0"/>
      <w:spacing w:line="312" w:lineRule="atLeast"/>
      <w:jc w:val="both"/>
    </w:pPr>
    <w:rPr>
      <w:rFonts w:ascii="宋体" w:hAnsi="Calibri" w:eastAsia="宋体" w:cs="Times New Roman"/>
      <w:sz w:val="24"/>
      <w:lang w:val="en-US" w:eastAsia="zh-CN" w:bidi="ar-SA"/>
    </w:rPr>
  </w:style>
  <w:style w:type="paragraph" w:customStyle="1" w:styleId="428">
    <w:name w:val="Table Text Char"/>
    <w:qFormat/>
    <w:uiPriority w:val="0"/>
    <w:pPr>
      <w:spacing w:before="80" w:after="80"/>
    </w:pPr>
    <w:rPr>
      <w:rFonts w:ascii="Arial" w:hAnsi="Arial" w:eastAsia="宋体" w:cs="Arial"/>
      <w:sz w:val="18"/>
      <w:szCs w:val="28"/>
      <w:lang w:val="en-US" w:eastAsia="zh-CN" w:bidi="ar-SA"/>
    </w:rPr>
  </w:style>
  <w:style w:type="paragraph" w:customStyle="1" w:styleId="429">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szCs w:val="20"/>
    </w:rPr>
  </w:style>
  <w:style w:type="paragraph" w:customStyle="1" w:styleId="430">
    <w:name w:val="默认段落字体 Para Char"/>
    <w:basedOn w:val="1"/>
    <w:qFormat/>
    <w:uiPriority w:val="0"/>
    <w:pPr>
      <w:spacing w:line="360" w:lineRule="auto"/>
    </w:pPr>
    <w:rPr>
      <w:sz w:val="24"/>
    </w:rPr>
  </w:style>
  <w:style w:type="paragraph" w:customStyle="1" w:styleId="431">
    <w:name w:val="样式3"/>
    <w:basedOn w:val="1"/>
    <w:next w:val="1"/>
    <w:qFormat/>
    <w:uiPriority w:val="0"/>
    <w:pPr>
      <w:spacing w:line="360" w:lineRule="auto"/>
    </w:pPr>
    <w:rPr>
      <w:szCs w:val="20"/>
    </w:rPr>
  </w:style>
  <w:style w:type="paragraph" w:customStyle="1" w:styleId="432">
    <w:name w:val="xl60"/>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sz w:val="20"/>
      <w:szCs w:val="20"/>
    </w:rPr>
  </w:style>
  <w:style w:type="paragraph" w:customStyle="1" w:styleId="433">
    <w:name w:val="表格"/>
    <w:basedOn w:val="1"/>
    <w:qFormat/>
    <w:uiPriority w:val="0"/>
    <w:pPr>
      <w:ind w:firstLine="21"/>
    </w:pPr>
    <w:rPr>
      <w:rFonts w:ascii="宋体" w:hAnsi="宋体" w:cs="宋体"/>
      <w:sz w:val="20"/>
      <w:szCs w:val="20"/>
    </w:rPr>
  </w:style>
  <w:style w:type="paragraph" w:customStyle="1" w:styleId="434">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szCs w:val="20"/>
    </w:rPr>
  </w:style>
  <w:style w:type="paragraph" w:customStyle="1" w:styleId="435">
    <w:name w:val="正文 居中"/>
    <w:basedOn w:val="1"/>
    <w:qFormat/>
    <w:uiPriority w:val="0"/>
    <w:pPr>
      <w:spacing w:line="360" w:lineRule="auto"/>
      <w:jc w:val="center"/>
    </w:pPr>
    <w:rPr>
      <w:sz w:val="24"/>
      <w:szCs w:val="20"/>
    </w:rPr>
  </w:style>
  <w:style w:type="paragraph" w:customStyle="1" w:styleId="436">
    <w:name w:val="Default"/>
    <w:qFormat/>
    <w:uiPriority w:val="99"/>
    <w:pPr>
      <w:widowControl w:val="0"/>
    </w:pPr>
    <w:rPr>
      <w:rFonts w:ascii="宋体" w:hAnsi="Calibri" w:eastAsia="宋体" w:cs="宋体"/>
      <w:color w:val="000000"/>
      <w:sz w:val="24"/>
      <w:szCs w:val="24"/>
      <w:lang w:val="en-US" w:eastAsia="zh-CN" w:bidi="ar-SA"/>
    </w:rPr>
  </w:style>
  <w:style w:type="paragraph" w:customStyle="1" w:styleId="437">
    <w:name w:val="List Paragraph1"/>
    <w:basedOn w:val="1"/>
    <w:qFormat/>
    <w:uiPriority w:val="0"/>
    <w:pPr>
      <w:widowControl/>
      <w:ind w:left="720"/>
      <w:jc w:val="left"/>
    </w:pPr>
    <w:rPr>
      <w:rFonts w:ascii="Arial" w:hAnsi="Arial" w:eastAsia="黑体"/>
      <w:sz w:val="24"/>
      <w:lang w:eastAsia="en-US"/>
    </w:rPr>
  </w:style>
  <w:style w:type="paragraph" w:customStyle="1" w:styleId="438">
    <w:name w:val="xl45"/>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b/>
      <w:bCs/>
      <w:sz w:val="20"/>
      <w:szCs w:val="20"/>
    </w:rPr>
  </w:style>
  <w:style w:type="paragraph" w:customStyle="1" w:styleId="439">
    <w:name w:val="默认段落字体 Para Char Char Char Char Char Char Char Char Char1 Char Char Char Char Char Char Char"/>
    <w:basedOn w:val="17"/>
    <w:qFormat/>
    <w:uiPriority w:val="0"/>
    <w:rPr>
      <w:szCs w:val="20"/>
    </w:rPr>
  </w:style>
  <w:style w:type="paragraph" w:customStyle="1" w:styleId="440">
    <w:name w:val="Char Char Char Char Char Char Char1"/>
    <w:basedOn w:val="1"/>
    <w:qFormat/>
    <w:uiPriority w:val="0"/>
    <w:rPr>
      <w:rFonts w:ascii="Tahoma" w:hAnsi="Tahoma"/>
      <w:sz w:val="24"/>
      <w:szCs w:val="20"/>
    </w:rPr>
  </w:style>
  <w:style w:type="paragraph" w:customStyle="1" w:styleId="441">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szCs w:val="20"/>
    </w:rPr>
  </w:style>
  <w:style w:type="paragraph" w:customStyle="1" w:styleId="442">
    <w:name w:val="font13"/>
    <w:basedOn w:val="1"/>
    <w:qFormat/>
    <w:uiPriority w:val="0"/>
    <w:pPr>
      <w:widowControl/>
      <w:spacing w:before="100" w:beforeAutospacing="1" w:after="100" w:afterAutospacing="1"/>
      <w:jc w:val="left"/>
    </w:pPr>
    <w:rPr>
      <w:i/>
      <w:iCs/>
      <w:sz w:val="36"/>
      <w:szCs w:val="36"/>
    </w:rPr>
  </w:style>
  <w:style w:type="paragraph" w:customStyle="1" w:styleId="443">
    <w:name w:val="正文文本 21"/>
    <w:basedOn w:val="1"/>
    <w:qFormat/>
    <w:uiPriority w:val="0"/>
    <w:pPr>
      <w:widowControl/>
      <w:ind w:left="720" w:hanging="720"/>
    </w:pPr>
    <w:rPr>
      <w:sz w:val="24"/>
      <w:szCs w:val="20"/>
      <w:lang w:val="en-GB"/>
    </w:rPr>
  </w:style>
  <w:style w:type="paragraph" w:customStyle="1" w:styleId="444">
    <w:name w:val="Char Char1 Char Char2 Char Char"/>
    <w:basedOn w:val="1"/>
    <w:qFormat/>
    <w:uiPriority w:val="0"/>
    <w:pPr>
      <w:widowControl/>
      <w:spacing w:after="160" w:line="240" w:lineRule="exact"/>
      <w:jc w:val="left"/>
    </w:pPr>
  </w:style>
  <w:style w:type="paragraph" w:customStyle="1" w:styleId="445">
    <w:name w:val="Char Char1 Char Char Char Char1 Char Char Char Char Char Char"/>
    <w:basedOn w:val="1"/>
    <w:qFormat/>
    <w:uiPriority w:val="0"/>
    <w:rPr>
      <w:rFonts w:ascii="Tahoma" w:hAnsi="Tahoma"/>
      <w:sz w:val="24"/>
      <w:szCs w:val="20"/>
    </w:rPr>
  </w:style>
  <w:style w:type="paragraph" w:customStyle="1" w:styleId="446">
    <w:name w:val="Char Char Char"/>
    <w:basedOn w:val="1"/>
    <w:qFormat/>
    <w:uiPriority w:val="0"/>
    <w:rPr>
      <w:rFonts w:ascii="Tahoma" w:hAnsi="Tahoma"/>
      <w:sz w:val="24"/>
      <w:szCs w:val="20"/>
    </w:rPr>
  </w:style>
  <w:style w:type="paragraph" w:customStyle="1" w:styleId="447">
    <w:name w:val="font7"/>
    <w:basedOn w:val="1"/>
    <w:qFormat/>
    <w:uiPriority w:val="0"/>
    <w:pPr>
      <w:widowControl/>
      <w:spacing w:before="100" w:beforeAutospacing="1" w:after="100" w:afterAutospacing="1"/>
      <w:jc w:val="left"/>
    </w:pPr>
    <w:rPr>
      <w:rFonts w:ascii="宋体" w:hAnsi="宋体"/>
      <w:b/>
      <w:bCs/>
      <w:sz w:val="24"/>
    </w:rPr>
  </w:style>
  <w:style w:type="paragraph" w:customStyle="1" w:styleId="448">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sz w:val="20"/>
      <w:szCs w:val="20"/>
    </w:rPr>
  </w:style>
  <w:style w:type="paragraph" w:customStyle="1" w:styleId="449">
    <w:name w:val="项目符号：一级"/>
    <w:basedOn w:val="450"/>
    <w:next w:val="450"/>
    <w:qFormat/>
    <w:uiPriority w:val="0"/>
    <w:pPr>
      <w:ind w:right="-134"/>
    </w:pPr>
    <w:rPr>
      <w:bCs w:val="0"/>
    </w:rPr>
  </w:style>
  <w:style w:type="paragraph" w:customStyle="1" w:styleId="450">
    <w:name w:val="正文格式"/>
    <w:basedOn w:val="1"/>
    <w:qFormat/>
    <w:uiPriority w:val="0"/>
    <w:pPr>
      <w:widowControl/>
      <w:spacing w:line="360" w:lineRule="auto"/>
      <w:ind w:left="178" w:right="44" w:hanging="178"/>
      <w:jc w:val="left"/>
    </w:pPr>
    <w:rPr>
      <w:rFonts w:ascii="宋体" w:hAnsi="宋体"/>
      <w:bCs/>
      <w:szCs w:val="21"/>
    </w:rPr>
  </w:style>
  <w:style w:type="paragraph" w:customStyle="1" w:styleId="451">
    <w:name w:val="Pa6"/>
    <w:basedOn w:val="1"/>
    <w:next w:val="1"/>
    <w:qFormat/>
    <w:uiPriority w:val="0"/>
    <w:pPr>
      <w:spacing w:line="241" w:lineRule="atLeast"/>
      <w:jc w:val="left"/>
    </w:pPr>
    <w:rPr>
      <w:rFonts w:ascii="HYDaHeiJ" w:eastAsia="HYDaHeiJ"/>
      <w:sz w:val="24"/>
    </w:rPr>
  </w:style>
  <w:style w:type="paragraph" w:customStyle="1" w:styleId="452">
    <w:name w:val="纯文本1"/>
    <w:basedOn w:val="1"/>
    <w:qFormat/>
    <w:uiPriority w:val="0"/>
    <w:rPr>
      <w:rFonts w:ascii="宋体" w:hAnsi="宋体" w:eastAsia="楷体_GB2312" w:cs="宋体"/>
      <w:sz w:val="28"/>
      <w:szCs w:val="20"/>
    </w:rPr>
  </w:style>
  <w:style w:type="paragraph" w:customStyle="1" w:styleId="453">
    <w:name w:val="插图"/>
    <w:basedOn w:val="1"/>
    <w:qFormat/>
    <w:uiPriority w:val="0"/>
    <w:pPr>
      <w:tabs>
        <w:tab w:val="left" w:pos="1620"/>
      </w:tabs>
      <w:jc w:val="center"/>
    </w:pPr>
    <w:rPr>
      <w:bCs/>
      <w:color w:val="000000"/>
      <w:szCs w:val="22"/>
    </w:rPr>
  </w:style>
  <w:style w:type="paragraph" w:customStyle="1" w:styleId="454">
    <w:name w:val="xl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b/>
      <w:bCs/>
      <w:sz w:val="20"/>
      <w:szCs w:val="20"/>
    </w:rPr>
  </w:style>
  <w:style w:type="paragraph" w:customStyle="1" w:styleId="455">
    <w:name w:val="xl52"/>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sz w:val="20"/>
      <w:szCs w:val="20"/>
    </w:rPr>
  </w:style>
  <w:style w:type="paragraph" w:customStyle="1" w:styleId="456">
    <w:name w:val="样式 样式 首行缩进:  2 字符 + 行距: 1.5 倍行距"/>
    <w:basedOn w:val="1"/>
    <w:qFormat/>
    <w:uiPriority w:val="0"/>
    <w:pPr>
      <w:spacing w:line="360" w:lineRule="auto"/>
      <w:ind w:firstLine="470"/>
    </w:pPr>
    <w:rPr>
      <w:sz w:val="24"/>
      <w:szCs w:val="20"/>
    </w:rPr>
  </w:style>
  <w:style w:type="paragraph" w:customStyle="1" w:styleId="457">
    <w:name w:val="正文--wdh"/>
    <w:basedOn w:val="1"/>
    <w:qFormat/>
    <w:uiPriority w:val="0"/>
    <w:pPr>
      <w:spacing w:line="360" w:lineRule="auto"/>
    </w:pPr>
    <w:rPr>
      <w:sz w:val="24"/>
    </w:rPr>
  </w:style>
  <w:style w:type="paragraph" w:customStyle="1" w:styleId="458">
    <w:name w:val="Char Char Char1"/>
    <w:basedOn w:val="17"/>
    <w:qFormat/>
    <w:uiPriority w:val="0"/>
    <w:pPr>
      <w:spacing w:line="436" w:lineRule="exact"/>
    </w:pPr>
  </w:style>
  <w:style w:type="paragraph" w:customStyle="1" w:styleId="459">
    <w:name w:val="表格内容"/>
    <w:basedOn w:val="1"/>
    <w:qFormat/>
    <w:uiPriority w:val="0"/>
    <w:pPr>
      <w:widowControl/>
      <w:spacing w:before="60" w:line="300" w:lineRule="auto"/>
      <w:jc w:val="center"/>
    </w:pPr>
    <w:rPr>
      <w:szCs w:val="20"/>
    </w:rPr>
  </w:style>
  <w:style w:type="paragraph" w:customStyle="1" w:styleId="460">
    <w:name w:val="Item List Char Char"/>
    <w:qFormat/>
    <w:uiPriority w:val="0"/>
    <w:pPr>
      <w:spacing w:line="288" w:lineRule="auto"/>
      <w:jc w:val="both"/>
    </w:pPr>
    <w:rPr>
      <w:rFonts w:ascii="Arial" w:hAnsi="Arial" w:eastAsia="宋体" w:cs="Arial"/>
      <w:b/>
      <w:bCs/>
      <w:sz w:val="21"/>
      <w:szCs w:val="28"/>
      <w:lang w:val="en-US" w:eastAsia="zh-CN" w:bidi="ar-SA"/>
    </w:rPr>
  </w:style>
  <w:style w:type="paragraph" w:customStyle="1" w:styleId="461">
    <w:name w:val="列出段落2"/>
    <w:basedOn w:val="1"/>
    <w:qFormat/>
    <w:uiPriority w:val="0"/>
    <w:pPr>
      <w:widowControl/>
      <w:ind w:left="720"/>
      <w:jc w:val="left"/>
    </w:pPr>
    <w:rPr>
      <w:rFonts w:ascii="Arial" w:hAnsi="Arial" w:eastAsia="黑体" w:cs="Arial"/>
      <w:sz w:val="24"/>
      <w:lang w:eastAsia="en-US"/>
    </w:rPr>
  </w:style>
  <w:style w:type="paragraph" w:customStyle="1" w:styleId="462">
    <w:name w:val="符号与编号 Char Char"/>
    <w:basedOn w:val="1"/>
    <w:qFormat/>
    <w:uiPriority w:val="0"/>
    <w:pPr>
      <w:tabs>
        <w:tab w:val="left" w:pos="840"/>
      </w:tabs>
      <w:spacing w:line="400" w:lineRule="atLeast"/>
      <w:ind w:left="839" w:hanging="419"/>
    </w:pPr>
    <w:rPr>
      <w:sz w:val="24"/>
    </w:rPr>
  </w:style>
  <w:style w:type="paragraph" w:customStyle="1" w:styleId="463">
    <w:name w:val="正文lzq"/>
    <w:basedOn w:val="1"/>
    <w:qFormat/>
    <w:uiPriority w:val="0"/>
    <w:pPr>
      <w:spacing w:line="360" w:lineRule="auto"/>
      <w:ind w:firstLine="480"/>
    </w:pPr>
    <w:rPr>
      <w:sz w:val="24"/>
      <w:szCs w:val="20"/>
    </w:rPr>
  </w:style>
  <w:style w:type="paragraph" w:customStyle="1" w:styleId="464">
    <w:name w:val="段落"/>
    <w:qFormat/>
    <w:uiPriority w:val="0"/>
    <w:pPr>
      <w:spacing w:before="120" w:after="120" w:line="360" w:lineRule="auto"/>
      <w:ind w:firstLine="480"/>
      <w:jc w:val="both"/>
    </w:pPr>
    <w:rPr>
      <w:rFonts w:ascii="Calibri" w:hAnsi="Calibri" w:eastAsia="仿宋_GB2312" w:cs="Times New Roman"/>
      <w:sz w:val="24"/>
      <w:szCs w:val="24"/>
      <w:lang w:val="en-US" w:eastAsia="zh-CN" w:bidi="ar-SA"/>
    </w:rPr>
  </w:style>
  <w:style w:type="paragraph" w:customStyle="1" w:styleId="465">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szCs w:val="20"/>
    </w:rPr>
  </w:style>
  <w:style w:type="paragraph" w:customStyle="1" w:styleId="466">
    <w:name w:val="样式 段后: 0.5 行 左  0.75 字符"/>
    <w:basedOn w:val="1"/>
    <w:qFormat/>
    <w:uiPriority w:val="0"/>
    <w:pPr>
      <w:widowControl/>
      <w:spacing w:line="360" w:lineRule="auto"/>
      <w:ind w:firstLine="420"/>
    </w:pPr>
    <w:rPr>
      <w:rFonts w:hAnsi="Arial" w:cs="Arial"/>
      <w:szCs w:val="21"/>
    </w:rPr>
  </w:style>
  <w:style w:type="paragraph" w:customStyle="1" w:styleId="467">
    <w:name w:val="xl46"/>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sz w:val="24"/>
    </w:rPr>
  </w:style>
  <w:style w:type="paragraph" w:customStyle="1" w:styleId="468">
    <w:name w:val="段"/>
    <w:qFormat/>
    <w:uiPriority w:val="0"/>
    <w:pPr>
      <w:ind w:firstLine="200"/>
      <w:jc w:val="both"/>
    </w:pPr>
    <w:rPr>
      <w:rFonts w:ascii="宋体" w:hAnsi="Calibri" w:eastAsia="宋体" w:cs="Times New Roman"/>
      <w:sz w:val="21"/>
      <w:lang w:val="en-US" w:eastAsia="zh-CN" w:bidi="ar-SA"/>
    </w:rPr>
  </w:style>
  <w:style w:type="paragraph" w:customStyle="1" w:styleId="469">
    <w:name w:val="flName"/>
    <w:basedOn w:val="399"/>
    <w:qFormat/>
    <w:uiPriority w:val="0"/>
    <w:pPr>
      <w:spacing w:before="0" w:line="113" w:lineRule="atLeast"/>
    </w:pPr>
  </w:style>
  <w:style w:type="paragraph" w:customStyle="1" w:styleId="470">
    <w:name w:val="正文1"/>
    <w:basedOn w:val="1"/>
    <w:next w:val="1"/>
    <w:qFormat/>
    <w:uiPriority w:val="0"/>
    <w:pPr>
      <w:spacing w:before="156" w:line="360" w:lineRule="auto"/>
      <w:ind w:firstLine="510"/>
    </w:pPr>
    <w:rPr>
      <w:sz w:val="24"/>
      <w:szCs w:val="20"/>
    </w:rPr>
  </w:style>
  <w:style w:type="paragraph" w:customStyle="1" w:styleId="471">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472">
    <w:name w:val="Test2"/>
    <w:basedOn w:val="3"/>
    <w:qFormat/>
    <w:uiPriority w:val="0"/>
    <w:pPr>
      <w:widowControl/>
      <w:spacing w:line="480" w:lineRule="exact"/>
      <w:jc w:val="center"/>
    </w:pPr>
    <w:rPr>
      <w:rFonts w:ascii="黑体"/>
      <w:sz w:val="24"/>
      <w:szCs w:val="24"/>
    </w:rPr>
  </w:style>
  <w:style w:type="paragraph" w:customStyle="1" w:styleId="473">
    <w:name w:val="普通正文"/>
    <w:basedOn w:val="1"/>
    <w:qFormat/>
    <w:uiPriority w:val="0"/>
    <w:pPr>
      <w:spacing w:before="120" w:after="120" w:line="360" w:lineRule="auto"/>
      <w:ind w:firstLine="480"/>
      <w:jc w:val="left"/>
    </w:pPr>
    <w:rPr>
      <w:rFonts w:ascii="Arial" w:hAnsi="Arial"/>
      <w:sz w:val="24"/>
    </w:rPr>
  </w:style>
  <w:style w:type="paragraph" w:customStyle="1" w:styleId="474">
    <w:name w:val="font8"/>
    <w:basedOn w:val="1"/>
    <w:qFormat/>
    <w:uiPriority w:val="0"/>
    <w:pPr>
      <w:widowControl/>
      <w:spacing w:before="100" w:beforeAutospacing="1" w:after="100" w:afterAutospacing="1"/>
      <w:jc w:val="left"/>
    </w:pPr>
    <w:rPr>
      <w:rFonts w:ascii="宋体" w:hAnsi="宋体" w:cs="宋体"/>
      <w:b/>
      <w:bCs/>
      <w:i/>
      <w:iCs/>
      <w:sz w:val="20"/>
      <w:szCs w:val="20"/>
    </w:rPr>
  </w:style>
  <w:style w:type="paragraph" w:customStyle="1" w:styleId="475">
    <w:name w:val="Char"/>
    <w:basedOn w:val="1"/>
    <w:qFormat/>
    <w:uiPriority w:val="0"/>
    <w:pPr>
      <w:spacing w:line="360" w:lineRule="auto"/>
    </w:pPr>
    <w:rPr>
      <w:rFonts w:ascii="Tahoma" w:hAnsi="Tahoma"/>
      <w:sz w:val="24"/>
      <w:szCs w:val="20"/>
    </w:rPr>
  </w:style>
  <w:style w:type="paragraph" w:customStyle="1" w:styleId="476">
    <w:name w:val="Char Char Char Char Char Char Char Char Char Char"/>
    <w:basedOn w:val="1"/>
    <w:qFormat/>
    <w:uiPriority w:val="0"/>
    <w:pPr>
      <w:spacing w:line="360" w:lineRule="auto"/>
    </w:pPr>
    <w:rPr>
      <w:sz w:val="24"/>
      <w:szCs w:val="20"/>
    </w:rPr>
  </w:style>
  <w:style w:type="paragraph" w:customStyle="1" w:styleId="477">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0"/>
      <w:szCs w:val="20"/>
    </w:rPr>
  </w:style>
  <w:style w:type="paragraph" w:customStyle="1" w:styleId="478">
    <w:name w:val="xl5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b/>
      <w:bCs/>
      <w:sz w:val="20"/>
      <w:szCs w:val="20"/>
    </w:rPr>
  </w:style>
  <w:style w:type="paragraph" w:customStyle="1" w:styleId="479">
    <w:name w:val="a"/>
    <w:basedOn w:val="1"/>
    <w:qFormat/>
    <w:uiPriority w:val="0"/>
    <w:pPr>
      <w:widowControl/>
      <w:spacing w:before="100" w:beforeAutospacing="1" w:after="100" w:afterAutospacing="1"/>
    </w:pPr>
    <w:rPr>
      <w:rFonts w:ascii="宋体" w:hAnsi="宋体" w:cs="宋体"/>
      <w:sz w:val="24"/>
    </w:rPr>
  </w:style>
  <w:style w:type="paragraph" w:customStyle="1" w:styleId="480">
    <w:name w:val="xl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b/>
      <w:bCs/>
      <w:sz w:val="20"/>
      <w:szCs w:val="20"/>
    </w:rPr>
  </w:style>
  <w:style w:type="paragraph" w:customStyle="1" w:styleId="481">
    <w:name w:val="Pa5"/>
    <w:basedOn w:val="1"/>
    <w:next w:val="1"/>
    <w:qFormat/>
    <w:uiPriority w:val="0"/>
    <w:pPr>
      <w:spacing w:line="241" w:lineRule="atLeast"/>
      <w:jc w:val="left"/>
    </w:pPr>
    <w:rPr>
      <w:rFonts w:ascii="HYDaHeiJ" w:eastAsia="HYDaHeiJ"/>
      <w:sz w:val="24"/>
    </w:rPr>
  </w:style>
  <w:style w:type="paragraph" w:customStyle="1" w:styleId="482">
    <w:name w:val="丁华标题2"/>
    <w:basedOn w:val="3"/>
    <w:next w:val="395"/>
    <w:qFormat/>
    <w:uiPriority w:val="0"/>
    <w:pPr>
      <w:tabs>
        <w:tab w:val="left" w:pos="567"/>
      </w:tabs>
      <w:spacing w:before="120" w:after="120"/>
      <w:ind w:left="567" w:hanging="567"/>
      <w:jc w:val="left"/>
    </w:pPr>
    <w:rPr>
      <w:color w:val="000000"/>
      <w:sz w:val="28"/>
      <w:szCs w:val="20"/>
    </w:rPr>
  </w:style>
  <w:style w:type="paragraph" w:customStyle="1" w:styleId="483">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i/>
      <w:iCs/>
      <w:sz w:val="20"/>
      <w:szCs w:val="20"/>
    </w:rPr>
  </w:style>
  <w:style w:type="paragraph" w:customStyle="1" w:styleId="484">
    <w:name w:val="xl58"/>
    <w:basedOn w:val="1"/>
    <w:qFormat/>
    <w:uiPriority w:val="0"/>
    <w:pPr>
      <w:widowControl/>
      <w:pBdr>
        <w:left w:val="single" w:color="auto" w:sz="4" w:space="0"/>
        <w:right w:val="single" w:color="auto" w:sz="4" w:space="0"/>
      </w:pBdr>
      <w:spacing w:before="100" w:beforeAutospacing="1" w:after="100" w:afterAutospacing="1"/>
      <w:jc w:val="center"/>
    </w:pPr>
    <w:rPr>
      <w:b/>
      <w:bCs/>
      <w:i/>
      <w:iCs/>
      <w:sz w:val="20"/>
      <w:szCs w:val="20"/>
    </w:rPr>
  </w:style>
  <w:style w:type="paragraph" w:customStyle="1" w:styleId="485">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sz w:val="20"/>
      <w:szCs w:val="20"/>
    </w:rPr>
  </w:style>
  <w:style w:type="paragraph" w:customStyle="1" w:styleId="486">
    <w:name w:val="Char11"/>
    <w:basedOn w:val="1"/>
    <w:qFormat/>
    <w:uiPriority w:val="0"/>
    <w:rPr>
      <w:rFonts w:ascii="仿宋_GB2312" w:eastAsia="仿宋_GB2312"/>
      <w:b/>
      <w:sz w:val="32"/>
      <w:szCs w:val="32"/>
    </w:rPr>
  </w:style>
  <w:style w:type="paragraph" w:customStyle="1" w:styleId="487">
    <w:name w:val="Char Char"/>
    <w:basedOn w:val="1"/>
    <w:qFormat/>
    <w:uiPriority w:val="0"/>
    <w:rPr>
      <w:rFonts w:ascii="Tahoma" w:hAnsi="Tahoma"/>
      <w:sz w:val="24"/>
      <w:szCs w:val="20"/>
    </w:rPr>
  </w:style>
  <w:style w:type="paragraph" w:customStyle="1" w:styleId="488">
    <w:name w:val="正文2"/>
    <w:basedOn w:val="1"/>
    <w:qFormat/>
    <w:uiPriority w:val="0"/>
    <w:pPr>
      <w:spacing w:before="156" w:line="360" w:lineRule="auto"/>
      <w:ind w:firstLine="510"/>
    </w:pPr>
    <w:rPr>
      <w:sz w:val="24"/>
      <w:szCs w:val="20"/>
    </w:rPr>
  </w:style>
  <w:style w:type="paragraph" w:customStyle="1" w:styleId="489">
    <w:name w:val="Body Text(ch)"/>
    <w:basedOn w:val="1"/>
    <w:next w:val="21"/>
    <w:qFormat/>
    <w:uiPriority w:val="0"/>
    <w:pPr>
      <w:spacing w:after="120"/>
    </w:pPr>
    <w:rPr>
      <w:rFonts w:ascii="宋体" w:hAnsi="Arial"/>
      <w:bCs/>
      <w:iCs/>
    </w:rPr>
  </w:style>
  <w:style w:type="paragraph" w:customStyle="1" w:styleId="490">
    <w:name w:val="小四 段落 宋体 Char Char Char"/>
    <w:basedOn w:val="14"/>
    <w:qFormat/>
    <w:uiPriority w:val="0"/>
    <w:pPr>
      <w:tabs>
        <w:tab w:val="clear" w:pos="2952"/>
      </w:tabs>
      <w:spacing w:line="360" w:lineRule="auto"/>
      <w:ind w:left="0" w:right="-33" w:firstLine="545"/>
      <w:jc w:val="left"/>
    </w:pPr>
    <w:rPr>
      <w:sz w:val="24"/>
    </w:rPr>
  </w:style>
  <w:style w:type="paragraph" w:customStyle="1" w:styleId="491">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szCs w:val="20"/>
    </w:rPr>
  </w:style>
  <w:style w:type="paragraph" w:customStyle="1" w:styleId="492">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szCs w:val="20"/>
    </w:rPr>
  </w:style>
  <w:style w:type="paragraph" w:customStyle="1" w:styleId="493">
    <w:name w:val="Char1 Char Char Char"/>
    <w:basedOn w:val="1"/>
    <w:qFormat/>
    <w:uiPriority w:val="0"/>
    <w:rPr>
      <w:rFonts w:ascii="Tahoma" w:hAnsi="Tahoma" w:cs="Tahoma"/>
      <w:sz w:val="24"/>
      <w:szCs w:val="20"/>
    </w:rPr>
  </w:style>
  <w:style w:type="paragraph" w:customStyle="1" w:styleId="494">
    <w:name w:val="font12"/>
    <w:basedOn w:val="1"/>
    <w:qFormat/>
    <w:uiPriority w:val="0"/>
    <w:pPr>
      <w:widowControl/>
      <w:spacing w:before="100" w:beforeAutospacing="1" w:after="100" w:afterAutospacing="1"/>
      <w:jc w:val="left"/>
    </w:pPr>
    <w:rPr>
      <w:rFonts w:ascii="宋体" w:hAnsi="宋体" w:cs="宋体"/>
      <w:sz w:val="36"/>
      <w:szCs w:val="36"/>
    </w:rPr>
  </w:style>
  <w:style w:type="paragraph" w:customStyle="1" w:styleId="495">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496">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97">
    <w:name w:val="标题1，章节第一层"/>
    <w:basedOn w:val="450"/>
    <w:next w:val="450"/>
    <w:qFormat/>
    <w:uiPriority w:val="0"/>
    <w:pPr>
      <w:tabs>
        <w:tab w:val="left" w:pos="693"/>
      </w:tabs>
      <w:ind w:left="482"/>
      <w:outlineLvl w:val="0"/>
    </w:pPr>
    <w:rPr>
      <w:color w:val="000000"/>
      <w:sz w:val="24"/>
      <w:szCs w:val="24"/>
    </w:rPr>
  </w:style>
  <w:style w:type="paragraph" w:customStyle="1" w:styleId="498">
    <w:name w:val="greytypebeni"/>
    <w:basedOn w:val="1"/>
    <w:qFormat/>
    <w:uiPriority w:val="0"/>
    <w:pPr>
      <w:widowControl/>
      <w:jc w:val="left"/>
    </w:pPr>
    <w:rPr>
      <w:rFonts w:ascii="宋体" w:hAnsi="宋体" w:cs="宋体"/>
      <w:sz w:val="24"/>
    </w:rPr>
  </w:style>
  <w:style w:type="paragraph" w:customStyle="1" w:styleId="499">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500">
    <w:name w:val="正文 首行缩进:  2 字符 Char Char"/>
    <w:basedOn w:val="1"/>
    <w:qFormat/>
    <w:uiPriority w:val="0"/>
    <w:pPr>
      <w:spacing w:line="360" w:lineRule="auto"/>
      <w:ind w:firstLine="480"/>
    </w:pPr>
    <w:rPr>
      <w:rFonts w:ascii="楷体_GB2312" w:eastAsia="楷体_GB2312"/>
      <w:bCs/>
      <w:sz w:val="24"/>
    </w:rPr>
  </w:style>
  <w:style w:type="paragraph" w:customStyle="1" w:styleId="501">
    <w:name w:val="二级条标题"/>
    <w:basedOn w:val="1"/>
    <w:next w:val="468"/>
    <w:qFormat/>
    <w:uiPriority w:val="0"/>
    <w:pPr>
      <w:widowControl/>
      <w:tabs>
        <w:tab w:val="left" w:pos="2240"/>
      </w:tabs>
      <w:ind w:hanging="420"/>
      <w:outlineLvl w:val="3"/>
    </w:pPr>
    <w:rPr>
      <w:rFonts w:eastAsia="黑体"/>
      <w:szCs w:val="20"/>
    </w:rPr>
  </w:style>
  <w:style w:type="paragraph" w:customStyle="1" w:styleId="502">
    <w:name w:val="条1"/>
    <w:basedOn w:val="1"/>
    <w:qFormat/>
    <w:uiPriority w:val="0"/>
    <w:pPr>
      <w:tabs>
        <w:tab w:val="left" w:pos="780"/>
      </w:tabs>
      <w:spacing w:before="156" w:line="360" w:lineRule="auto"/>
      <w:ind w:left="780" w:hanging="360"/>
    </w:pPr>
    <w:rPr>
      <w:rFonts w:eastAsia="黑体"/>
      <w:sz w:val="24"/>
      <w:szCs w:val="20"/>
    </w:rPr>
  </w:style>
  <w:style w:type="paragraph" w:customStyle="1" w:styleId="503">
    <w:name w:val="Char Char1 Char Char Char Char"/>
    <w:basedOn w:val="17"/>
    <w:qFormat/>
    <w:uiPriority w:val="0"/>
    <w:pPr>
      <w:spacing w:line="436" w:lineRule="exact"/>
      <w:ind w:left="357"/>
      <w:jc w:val="left"/>
      <w:outlineLvl w:val="3"/>
    </w:pPr>
    <w:rPr>
      <w:rFonts w:ascii="Tahoma" w:hAnsi="Tahoma" w:cs="Tahoma"/>
      <w:b/>
    </w:rPr>
  </w:style>
  <w:style w:type="paragraph" w:customStyle="1" w:styleId="504">
    <w:name w:val="列表内容"/>
    <w:basedOn w:val="1"/>
    <w:next w:val="1"/>
    <w:qFormat/>
    <w:uiPriority w:val="0"/>
    <w:pPr>
      <w:widowControl/>
      <w:tabs>
        <w:tab w:val="left" w:pos="840"/>
      </w:tabs>
      <w:ind w:left="840" w:hanging="420"/>
      <w:jc w:val="left"/>
    </w:pPr>
    <w:rPr>
      <w:sz w:val="18"/>
    </w:rPr>
  </w:style>
  <w:style w:type="paragraph" w:customStyle="1" w:styleId="505">
    <w:name w:val="列出段落3"/>
    <w:basedOn w:val="1"/>
    <w:qFormat/>
    <w:uiPriority w:val="34"/>
    <w:pPr>
      <w:ind w:firstLine="420"/>
    </w:pPr>
    <w:rPr>
      <w:szCs w:val="22"/>
    </w:rPr>
  </w:style>
  <w:style w:type="paragraph" w:customStyle="1" w:styleId="506">
    <w:name w:val="段 Char"/>
    <w:qFormat/>
    <w:uiPriority w:val="0"/>
    <w:pPr>
      <w:ind w:firstLine="200"/>
      <w:jc w:val="both"/>
    </w:pPr>
    <w:rPr>
      <w:rFonts w:ascii="宋体" w:hAnsi="Calibri" w:eastAsia="宋体" w:cs="Times New Roman"/>
      <w:sz w:val="21"/>
      <w:lang w:val="en-US" w:eastAsia="zh-CN" w:bidi="ar-SA"/>
    </w:rPr>
  </w:style>
  <w:style w:type="paragraph" w:customStyle="1" w:styleId="507">
    <w:name w:val="小四 段落 宋体"/>
    <w:basedOn w:val="14"/>
    <w:qFormat/>
    <w:uiPriority w:val="0"/>
    <w:pPr>
      <w:tabs>
        <w:tab w:val="clear" w:pos="2952"/>
      </w:tabs>
      <w:spacing w:line="360" w:lineRule="auto"/>
      <w:ind w:left="113" w:right="113" w:firstLine="425"/>
      <w:jc w:val="left"/>
    </w:pPr>
    <w:rPr>
      <w:sz w:val="24"/>
    </w:rPr>
  </w:style>
  <w:style w:type="paragraph" w:customStyle="1" w:styleId="508">
    <w:name w:val="标题3"/>
    <w:basedOn w:val="4"/>
    <w:qFormat/>
    <w:uiPriority w:val="0"/>
    <w:pPr>
      <w:keepNext w:val="0"/>
      <w:keepLines w:val="0"/>
      <w:spacing w:before="0" w:after="0" w:line="360" w:lineRule="auto"/>
    </w:pPr>
    <w:rPr>
      <w:rFonts w:eastAsia="仿宋_GB2312"/>
      <w:b w:val="0"/>
      <w:sz w:val="30"/>
    </w:rPr>
  </w:style>
  <w:style w:type="paragraph" w:customStyle="1" w:styleId="509">
    <w:name w:val="1"/>
    <w:basedOn w:val="1"/>
    <w:next w:val="51"/>
    <w:qFormat/>
    <w:uiPriority w:val="0"/>
    <w:pPr>
      <w:spacing w:line="360" w:lineRule="auto"/>
    </w:pPr>
    <w:rPr>
      <w:rFonts w:eastAsia="仿宋_GB2312"/>
      <w:sz w:val="24"/>
    </w:rPr>
  </w:style>
  <w:style w:type="paragraph" w:customStyle="1" w:styleId="510">
    <w:name w:val="样式 样式 标题 3H3sect1.2.3BOD 0Heading 3 - oldh3l3CTLevel 3 Head... +..."/>
    <w:basedOn w:val="1"/>
    <w:qFormat/>
    <w:uiPriority w:val="0"/>
    <w:pPr>
      <w:keepNext/>
      <w:keepLines/>
      <w:jc w:val="left"/>
      <w:outlineLvl w:val="2"/>
    </w:pPr>
    <w:rPr>
      <w:rFonts w:cs="宋体"/>
      <w:b/>
      <w:bCs/>
      <w:sz w:val="24"/>
      <w:szCs w:val="20"/>
    </w:rPr>
  </w:style>
  <w:style w:type="paragraph" w:customStyle="1" w:styleId="511">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512">
    <w:name w:val="zw"/>
    <w:basedOn w:val="1"/>
    <w:qFormat/>
    <w:uiPriority w:val="0"/>
    <w:pPr>
      <w:widowControl/>
      <w:spacing w:line="360" w:lineRule="auto"/>
      <w:ind w:firstLine="480"/>
      <w:jc w:val="left"/>
    </w:pPr>
    <w:rPr>
      <w:rFonts w:ascii="宋体" w:hAnsi="宋体"/>
      <w:bCs/>
      <w:sz w:val="24"/>
      <w:szCs w:val="20"/>
    </w:rPr>
  </w:style>
  <w:style w:type="paragraph" w:customStyle="1" w:styleId="513">
    <w:name w:val="表头_5"/>
    <w:basedOn w:val="1"/>
    <w:qFormat/>
    <w:uiPriority w:val="0"/>
    <w:pPr>
      <w:spacing w:line="360" w:lineRule="auto"/>
    </w:pPr>
    <w:rPr>
      <w:b/>
      <w:bCs/>
      <w:sz w:val="28"/>
      <w:szCs w:val="21"/>
    </w:rPr>
  </w:style>
  <w:style w:type="paragraph" w:customStyle="1" w:styleId="514">
    <w:name w:val="正文 New"/>
    <w:qFormat/>
    <w:uiPriority w:val="0"/>
    <w:pPr>
      <w:widowControl w:val="0"/>
      <w:jc w:val="both"/>
    </w:pPr>
    <w:rPr>
      <w:rFonts w:ascii="Calibri" w:hAnsi="Calibri" w:eastAsia="宋体" w:cs="Times New Roman"/>
      <w:sz w:val="21"/>
      <w:lang w:val="en-US" w:eastAsia="zh-CN" w:bidi="ar-SA"/>
    </w:rPr>
  </w:style>
  <w:style w:type="paragraph" w:customStyle="1" w:styleId="515">
    <w:name w:val="小四 段落 宋体 Char Char"/>
    <w:basedOn w:val="1"/>
    <w:qFormat/>
    <w:uiPriority w:val="0"/>
    <w:pPr>
      <w:spacing w:line="360" w:lineRule="auto"/>
      <w:ind w:firstLine="480"/>
    </w:pPr>
    <w:rPr>
      <w:rFonts w:ascii="宋体" w:hAnsi="宋体"/>
      <w:sz w:val="24"/>
    </w:rPr>
  </w:style>
  <w:style w:type="paragraph" w:customStyle="1" w:styleId="516">
    <w:name w:val="Char1"/>
    <w:basedOn w:val="1"/>
    <w:qFormat/>
    <w:uiPriority w:val="0"/>
    <w:rPr>
      <w:rFonts w:ascii="仿宋_GB2312" w:hAnsi="宋体" w:eastAsia="仿宋_GB2312" w:cs="宋体"/>
      <w:b/>
      <w:sz w:val="32"/>
      <w:szCs w:val="32"/>
    </w:rPr>
  </w:style>
  <w:style w:type="paragraph" w:customStyle="1" w:styleId="517">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szCs w:val="20"/>
    </w:rPr>
  </w:style>
  <w:style w:type="paragraph" w:customStyle="1" w:styleId="518">
    <w:name w:val="马刚标题4"/>
    <w:basedOn w:val="519"/>
    <w:next w:val="1"/>
    <w:qFormat/>
    <w:uiPriority w:val="0"/>
    <w:pPr>
      <w:tabs>
        <w:tab w:val="left" w:pos="567"/>
        <w:tab w:val="left" w:pos="735"/>
        <w:tab w:val="left" w:pos="1050"/>
      </w:tabs>
      <w:spacing w:before="100" w:after="40"/>
      <w:outlineLvl w:val="3"/>
    </w:pPr>
    <w:rPr>
      <w:b w:val="0"/>
    </w:rPr>
  </w:style>
  <w:style w:type="paragraph" w:customStyle="1" w:styleId="519">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黑体" w:hAnsi="Arial" w:eastAsia="黑体"/>
      <w:b/>
      <w:bCs/>
      <w:sz w:val="24"/>
      <w:szCs w:val="20"/>
    </w:rPr>
  </w:style>
  <w:style w:type="paragraph" w:customStyle="1" w:styleId="520">
    <w:name w:val="font6"/>
    <w:basedOn w:val="1"/>
    <w:qFormat/>
    <w:uiPriority w:val="0"/>
    <w:pPr>
      <w:widowControl/>
      <w:spacing w:before="100" w:beforeAutospacing="1" w:after="100" w:afterAutospacing="1"/>
      <w:jc w:val="left"/>
    </w:pPr>
    <w:rPr>
      <w:rFonts w:ascii="宋体" w:hAnsi="宋体" w:cs="宋体"/>
      <w:b/>
      <w:bCs/>
      <w:sz w:val="20"/>
      <w:szCs w:val="20"/>
    </w:rPr>
  </w:style>
  <w:style w:type="paragraph" w:customStyle="1" w:styleId="521">
    <w:name w:val="章标题"/>
    <w:next w:val="468"/>
    <w:qFormat/>
    <w:uiPriority w:val="0"/>
    <w:pPr>
      <w:jc w:val="both"/>
      <w:outlineLvl w:val="1"/>
    </w:pPr>
    <w:rPr>
      <w:rFonts w:ascii="Calibri" w:hAnsi="Calibri" w:eastAsia="黑体" w:cs="Times New Roman"/>
      <w:sz w:val="21"/>
      <w:lang w:val="en-US" w:eastAsia="zh-CN" w:bidi="ar-SA"/>
    </w:rPr>
  </w:style>
  <w:style w:type="paragraph" w:customStyle="1" w:styleId="522">
    <w:name w:val="flType"/>
    <w:basedOn w:val="469"/>
    <w:qFormat/>
    <w:uiPriority w:val="0"/>
    <w:pPr>
      <w:spacing w:after="284"/>
    </w:pPr>
    <w:rPr>
      <w:rFonts w:eastAsia="宋体"/>
      <w:b w:val="0"/>
    </w:rPr>
  </w:style>
  <w:style w:type="paragraph" w:customStyle="1" w:styleId="523">
    <w:name w:val="Char Char Char Char Char Char Char Char Char Char Char Char Char Char Char Char Char Char Char Char Char Char Char1"/>
    <w:basedOn w:val="1"/>
    <w:qFormat/>
    <w:uiPriority w:val="0"/>
    <w:rPr>
      <w:rFonts w:ascii="Tahoma" w:hAnsi="Tahoma" w:cs="Tahoma"/>
      <w:sz w:val="24"/>
      <w:szCs w:val="20"/>
    </w:rPr>
  </w:style>
  <w:style w:type="paragraph" w:customStyle="1" w:styleId="524">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i/>
      <w:iCs/>
      <w:sz w:val="20"/>
      <w:szCs w:val="20"/>
    </w:rPr>
  </w:style>
  <w:style w:type="paragraph" w:customStyle="1" w:styleId="525">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rPr>
  </w:style>
  <w:style w:type="paragraph" w:customStyle="1" w:styleId="526">
    <w:name w:val="Char Char1"/>
    <w:basedOn w:val="1"/>
    <w:qFormat/>
    <w:uiPriority w:val="0"/>
    <w:rPr>
      <w:rFonts w:ascii="Tahoma" w:hAnsi="Tahoma"/>
      <w:sz w:val="24"/>
      <w:szCs w:val="20"/>
    </w:rPr>
  </w:style>
  <w:style w:type="paragraph" w:customStyle="1" w:styleId="527">
    <w:name w:val="标题3，章节第三层"/>
    <w:basedOn w:val="1"/>
    <w:next w:val="450"/>
    <w:qFormat/>
    <w:uiPriority w:val="0"/>
    <w:pPr>
      <w:spacing w:before="78" w:line="300" w:lineRule="auto"/>
      <w:outlineLvl w:val="2"/>
    </w:pPr>
    <w:rPr>
      <w:rFonts w:ascii="Arial" w:hAnsi="Arial" w:eastAsia="华文细黑"/>
      <w:sz w:val="30"/>
    </w:rPr>
  </w:style>
  <w:style w:type="paragraph" w:customStyle="1" w:styleId="528">
    <w:name w:val="p0"/>
    <w:basedOn w:val="1"/>
    <w:qFormat/>
    <w:uiPriority w:val="0"/>
    <w:pPr>
      <w:widowControl/>
      <w:spacing w:before="100" w:beforeAutospacing="1" w:after="100" w:afterAutospacing="1"/>
      <w:jc w:val="left"/>
    </w:pPr>
    <w:rPr>
      <w:rFonts w:ascii="宋体" w:hAnsi="宋体" w:cs="宋体"/>
      <w:sz w:val="24"/>
    </w:rPr>
  </w:style>
  <w:style w:type="paragraph" w:customStyle="1" w:styleId="529">
    <w:name w:val="正文 New New New New New"/>
    <w:qFormat/>
    <w:uiPriority w:val="0"/>
    <w:pPr>
      <w:widowControl w:val="0"/>
      <w:jc w:val="both"/>
    </w:pPr>
    <w:rPr>
      <w:rFonts w:ascii="Calibri" w:hAnsi="Calibri" w:eastAsia="宋体" w:cs="Times New Roman"/>
      <w:sz w:val="21"/>
      <w:szCs w:val="24"/>
      <w:lang w:val="en-US" w:eastAsia="zh-CN" w:bidi="ar-SA"/>
    </w:rPr>
  </w:style>
  <w:style w:type="paragraph" w:customStyle="1" w:styleId="530">
    <w:name w:val="标题5，章节第五层"/>
    <w:basedOn w:val="1"/>
    <w:next w:val="1"/>
    <w:qFormat/>
    <w:uiPriority w:val="0"/>
    <w:pPr>
      <w:tabs>
        <w:tab w:val="left" w:pos="1050"/>
        <w:tab w:val="left" w:pos="2100"/>
      </w:tabs>
      <w:spacing w:before="78"/>
      <w:ind w:left="2100" w:hanging="420"/>
      <w:outlineLvl w:val="4"/>
    </w:pPr>
    <w:rPr>
      <w:rFonts w:ascii="Arial" w:hAnsi="Arial" w:eastAsia="华文细黑"/>
      <w:sz w:val="30"/>
    </w:rPr>
  </w:style>
  <w:style w:type="paragraph" w:customStyle="1" w:styleId="531">
    <w:name w:val="样式 首行缩进:  2 字符"/>
    <w:basedOn w:val="1"/>
    <w:qFormat/>
    <w:uiPriority w:val="0"/>
    <w:pPr>
      <w:spacing w:line="360" w:lineRule="auto"/>
      <w:ind w:firstLine="480"/>
    </w:pPr>
    <w:rPr>
      <w:rFonts w:cs="宋体"/>
      <w:sz w:val="24"/>
      <w:szCs w:val="20"/>
    </w:rPr>
  </w:style>
  <w:style w:type="paragraph" w:customStyle="1" w:styleId="532">
    <w:name w:val="font9"/>
    <w:basedOn w:val="1"/>
    <w:qFormat/>
    <w:uiPriority w:val="0"/>
    <w:pPr>
      <w:widowControl/>
      <w:spacing w:before="100" w:beforeAutospacing="1" w:after="100" w:afterAutospacing="1"/>
      <w:jc w:val="left"/>
    </w:pPr>
    <w:rPr>
      <w:b/>
      <w:bCs/>
      <w:sz w:val="20"/>
      <w:szCs w:val="20"/>
    </w:rPr>
  </w:style>
  <w:style w:type="paragraph" w:customStyle="1" w:styleId="533">
    <w:name w:val="xl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b/>
      <w:bCs/>
      <w:sz w:val="20"/>
      <w:szCs w:val="20"/>
    </w:rPr>
  </w:style>
  <w:style w:type="paragraph" w:customStyle="1" w:styleId="534">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cs="宋体"/>
      <w:b/>
      <w:bCs/>
      <w:sz w:val="24"/>
    </w:rPr>
  </w:style>
  <w:style w:type="paragraph" w:customStyle="1" w:styleId="535">
    <w:name w:val="tableau"/>
    <w:basedOn w:val="1"/>
    <w:qFormat/>
    <w:uiPriority w:val="0"/>
    <w:pPr>
      <w:widowControl/>
      <w:spacing w:before="20" w:after="20"/>
      <w:jc w:val="center"/>
    </w:pPr>
    <w:rPr>
      <w:rFonts w:ascii="Arial" w:hAnsi="Arial"/>
      <w:sz w:val="16"/>
      <w:szCs w:val="20"/>
      <w:lang w:val="en-GB" w:eastAsia="en-US"/>
    </w:rPr>
  </w:style>
  <w:style w:type="paragraph" w:customStyle="1" w:styleId="536">
    <w:name w:val="TOC 标题11"/>
    <w:basedOn w:val="2"/>
    <w:next w:val="1"/>
    <w:qFormat/>
    <w:uiPriority w:val="39"/>
    <w:pPr>
      <w:widowControl/>
      <w:spacing w:before="480" w:after="0" w:line="276" w:lineRule="auto"/>
      <w:jc w:val="left"/>
      <w:outlineLvl w:val="9"/>
    </w:pPr>
    <w:rPr>
      <w:rFonts w:ascii="Cambria" w:hAnsi="Cambria"/>
      <w:color w:val="365F91"/>
      <w:sz w:val="28"/>
      <w:szCs w:val="28"/>
    </w:rPr>
  </w:style>
  <w:style w:type="paragraph" w:customStyle="1" w:styleId="537">
    <w:name w:val="Char Char Char Char Char Char Char Char Char1"/>
    <w:basedOn w:val="1"/>
    <w:qFormat/>
    <w:uiPriority w:val="0"/>
    <w:pPr>
      <w:tabs>
        <w:tab w:val="left" w:pos="360"/>
      </w:tabs>
      <w:ind w:left="360" w:hanging="360"/>
    </w:pPr>
    <w:rPr>
      <w:sz w:val="24"/>
    </w:rPr>
  </w:style>
  <w:style w:type="paragraph" w:customStyle="1" w:styleId="538">
    <w:name w:val="4"/>
    <w:basedOn w:val="1"/>
    <w:next w:val="47"/>
    <w:qFormat/>
    <w:uiPriority w:val="0"/>
    <w:pPr>
      <w:spacing w:line="360" w:lineRule="auto"/>
      <w:ind w:firstLine="420"/>
    </w:pPr>
    <w:rPr>
      <w:color w:val="FF0000"/>
      <w:sz w:val="24"/>
    </w:rPr>
  </w:style>
  <w:style w:type="paragraph" w:customStyle="1" w:styleId="539">
    <w:name w:val="Char Char1 Char Char Char Char Char Char Char"/>
    <w:basedOn w:val="1"/>
    <w:qFormat/>
    <w:uiPriority w:val="0"/>
    <w:rPr>
      <w:rFonts w:ascii="Tahoma" w:hAnsi="Tahoma" w:cs="Tahoma"/>
      <w:sz w:val="24"/>
      <w:szCs w:val="20"/>
    </w:rPr>
  </w:style>
  <w:style w:type="paragraph" w:customStyle="1" w:styleId="540">
    <w:name w:val="批注框文本1"/>
    <w:basedOn w:val="1"/>
    <w:qFormat/>
    <w:uiPriority w:val="0"/>
    <w:rPr>
      <w:sz w:val="18"/>
      <w:szCs w:val="18"/>
    </w:rPr>
  </w:style>
  <w:style w:type="paragraph" w:customStyle="1" w:styleId="541">
    <w:name w:val="retrait3"/>
    <w:basedOn w:val="1"/>
    <w:qFormat/>
    <w:uiPriority w:val="0"/>
    <w:pPr>
      <w:widowControl/>
      <w:spacing w:before="20" w:after="20"/>
      <w:ind w:left="851"/>
      <w:jc w:val="left"/>
    </w:pPr>
    <w:rPr>
      <w:rFonts w:ascii="Arial" w:hAnsi="Arial"/>
      <w:sz w:val="24"/>
      <w:szCs w:val="20"/>
      <w:lang w:val="en-GB"/>
    </w:rPr>
  </w:style>
  <w:style w:type="paragraph" w:customStyle="1" w:styleId="542">
    <w:name w:val="样式 段后: 0.25 行"/>
    <w:basedOn w:val="1"/>
    <w:qFormat/>
    <w:uiPriority w:val="0"/>
    <w:pPr>
      <w:widowControl/>
      <w:spacing w:line="300" w:lineRule="auto"/>
      <w:ind w:firstLine="420"/>
      <w:jc w:val="left"/>
    </w:pPr>
    <w:rPr>
      <w:rFonts w:ascii="Arial" w:hAnsi="Arial" w:cs="宋体"/>
      <w:sz w:val="22"/>
      <w:szCs w:val="20"/>
      <w:lang w:eastAsia="en-US"/>
    </w:rPr>
  </w:style>
  <w:style w:type="paragraph" w:customStyle="1" w:styleId="543">
    <w:name w:val="Char Char Char Char1"/>
    <w:basedOn w:val="17"/>
    <w:qFormat/>
    <w:uiPriority w:val="0"/>
    <w:pPr>
      <w:spacing w:line="360" w:lineRule="auto"/>
    </w:pPr>
    <w:rPr>
      <w:rFonts w:ascii="Tahoma" w:hAnsi="Tahoma"/>
    </w:rPr>
  </w:style>
  <w:style w:type="paragraph" w:customStyle="1" w:styleId="544">
    <w:name w:val="标准文本"/>
    <w:basedOn w:val="1"/>
    <w:qFormat/>
    <w:uiPriority w:val="0"/>
    <w:pPr>
      <w:spacing w:line="360" w:lineRule="auto"/>
      <w:ind w:firstLine="480"/>
    </w:pPr>
    <w:rPr>
      <w:rFonts w:cs="宋体"/>
      <w:sz w:val="24"/>
    </w:rPr>
  </w:style>
  <w:style w:type="paragraph" w:customStyle="1" w:styleId="545">
    <w:name w:val="标题 11"/>
    <w:basedOn w:val="1"/>
    <w:next w:val="1"/>
    <w:qFormat/>
    <w:uiPriority w:val="0"/>
    <w:pPr>
      <w:keepNext/>
      <w:widowControl/>
      <w:tabs>
        <w:tab w:val="left" w:leader="underscore" w:pos="1440"/>
        <w:tab w:val="left" w:leader="hyphen" w:pos="5670"/>
      </w:tabs>
      <w:spacing w:before="290" w:after="290"/>
      <w:ind w:firstLine="2890"/>
    </w:pPr>
    <w:rPr>
      <w:rFonts w:ascii="黑体" w:eastAsia="黑体"/>
      <w:b/>
      <w:sz w:val="24"/>
      <w:szCs w:val="28"/>
    </w:rPr>
  </w:style>
  <w:style w:type="paragraph" w:customStyle="1" w:styleId="546">
    <w:name w:val="样式4 Char"/>
    <w:basedOn w:val="1"/>
    <w:qFormat/>
    <w:uiPriority w:val="0"/>
    <w:pPr>
      <w:widowControl/>
      <w:spacing w:line="360" w:lineRule="auto"/>
      <w:ind w:firstLine="480"/>
      <w:jc w:val="left"/>
    </w:pPr>
    <w:rPr>
      <w:rFonts w:cs="宋体"/>
      <w:color w:val="000000"/>
      <w:sz w:val="24"/>
    </w:rPr>
  </w:style>
  <w:style w:type="paragraph" w:customStyle="1" w:styleId="547">
    <w:name w:val="Char2"/>
    <w:basedOn w:val="17"/>
    <w:qFormat/>
    <w:uiPriority w:val="0"/>
    <w:rPr>
      <w:rFonts w:ascii="Tahoma" w:hAnsi="Tahoma"/>
    </w:rPr>
  </w:style>
  <w:style w:type="paragraph" w:customStyle="1" w:styleId="548">
    <w:name w:val="样式 标题 3H3sect1.2.3BOD 0Heading 3 - oldh3l3CTLevel 3 Head..."/>
    <w:basedOn w:val="4"/>
    <w:qFormat/>
    <w:uiPriority w:val="0"/>
    <w:pPr>
      <w:spacing w:line="240" w:lineRule="auto"/>
      <w:jc w:val="left"/>
    </w:pPr>
    <w:rPr>
      <w:rFonts w:cs="宋体"/>
      <w:sz w:val="30"/>
      <w:szCs w:val="20"/>
    </w:rPr>
  </w:style>
  <w:style w:type="paragraph" w:customStyle="1" w:styleId="549">
    <w:name w:val="表格内文字"/>
    <w:basedOn w:val="1"/>
    <w:qFormat/>
    <w:uiPriority w:val="0"/>
    <w:pPr>
      <w:spacing w:line="300" w:lineRule="atLeast"/>
    </w:pPr>
    <w:rPr>
      <w:sz w:val="18"/>
    </w:rPr>
  </w:style>
  <w:style w:type="paragraph" w:customStyle="1" w:styleId="550">
    <w:name w:val="Table Paragraph"/>
    <w:basedOn w:val="1"/>
    <w:qFormat/>
    <w:uiPriority w:val="1"/>
    <w:pPr>
      <w:jc w:val="left"/>
    </w:pPr>
    <w:rPr>
      <w:rFonts w:ascii="宋体" w:hAnsi="宋体" w:cs="宋体"/>
      <w:sz w:val="22"/>
      <w:szCs w:val="22"/>
      <w:lang w:val="zh-CN" w:bidi="zh-CN"/>
    </w:rPr>
  </w:style>
  <w:style w:type="paragraph" w:customStyle="1" w:styleId="551">
    <w:name w:val="普通 (Web)"/>
    <w:basedOn w:val="1"/>
    <w:qFormat/>
    <w:uiPriority w:val="0"/>
    <w:pPr>
      <w:widowControl/>
      <w:spacing w:before="100" w:beforeAutospacing="1" w:after="100" w:afterAutospacing="1"/>
      <w:jc w:val="left"/>
    </w:pPr>
    <w:rPr>
      <w:rFonts w:ascii="宋体" w:hAnsi="宋体"/>
      <w:sz w:val="24"/>
    </w:rPr>
  </w:style>
  <w:style w:type="paragraph" w:customStyle="1" w:styleId="552">
    <w:name w:val="a0"/>
    <w:basedOn w:val="1"/>
    <w:qFormat/>
    <w:uiPriority w:val="0"/>
    <w:pPr>
      <w:widowControl/>
      <w:spacing w:before="100" w:beforeAutospacing="1" w:after="100" w:afterAutospacing="1"/>
    </w:pPr>
    <w:rPr>
      <w:rFonts w:ascii="宋体" w:hAnsi="宋体" w:cs="宋体"/>
      <w:sz w:val="24"/>
    </w:rPr>
  </w:style>
  <w:style w:type="paragraph" w:customStyle="1" w:styleId="553">
    <w:name w:val="项目符号，一级"/>
    <w:basedOn w:val="450"/>
    <w:next w:val="450"/>
    <w:qFormat/>
    <w:uiPriority w:val="0"/>
    <w:pPr>
      <w:tabs>
        <w:tab w:val="left" w:pos="1320"/>
      </w:tabs>
      <w:spacing w:line="240" w:lineRule="atLeast"/>
      <w:ind w:left="376" w:firstLine="0"/>
    </w:pPr>
    <w:rPr>
      <w:bCs w:val="0"/>
      <w:color w:val="000000"/>
      <w:szCs w:val="24"/>
    </w:rPr>
  </w:style>
  <w:style w:type="paragraph" w:customStyle="1" w:styleId="554">
    <w:name w:val="111111"/>
    <w:basedOn w:val="1"/>
    <w:qFormat/>
    <w:uiPriority w:val="0"/>
    <w:pPr>
      <w:spacing w:before="120" w:after="120"/>
      <w:jc w:val="center"/>
    </w:pPr>
    <w:rPr>
      <w:rFonts w:ascii="宋体" w:hAnsi="宋体" w:eastAsia="黑体" w:cs="宋体"/>
      <w:b/>
      <w:bCs/>
      <w:szCs w:val="21"/>
    </w:rPr>
  </w:style>
  <w:style w:type="paragraph" w:customStyle="1" w:styleId="555">
    <w:name w:val="Body Text 21"/>
    <w:basedOn w:val="1"/>
    <w:qFormat/>
    <w:uiPriority w:val="0"/>
    <w:pPr>
      <w:widowControl/>
      <w:ind w:left="720" w:hanging="720"/>
    </w:pPr>
    <w:rPr>
      <w:sz w:val="24"/>
      <w:szCs w:val="20"/>
      <w:lang w:val="en-GB"/>
    </w:rPr>
  </w:style>
  <w:style w:type="paragraph" w:customStyle="1" w:styleId="556">
    <w:name w:val="Char Char Char Char Char Char Char Char Char Char Char1 Char Char Char1"/>
    <w:basedOn w:val="1"/>
    <w:qFormat/>
    <w:uiPriority w:val="0"/>
    <w:pPr>
      <w:ind w:firstLine="200"/>
      <w:jc w:val="left"/>
    </w:pPr>
    <w:rPr>
      <w:rFonts w:ascii="Tahoma" w:hAnsi="Tahoma"/>
      <w:sz w:val="24"/>
    </w:rPr>
  </w:style>
  <w:style w:type="paragraph" w:customStyle="1" w:styleId="557">
    <w:name w:val="Char Char Char Char Char"/>
    <w:basedOn w:val="1"/>
    <w:qFormat/>
    <w:uiPriority w:val="0"/>
    <w:rPr>
      <w:rFonts w:ascii="Tahoma" w:hAnsi="Tahoma"/>
      <w:sz w:val="24"/>
      <w:szCs w:val="20"/>
    </w:rPr>
  </w:style>
  <w:style w:type="paragraph" w:customStyle="1" w:styleId="558">
    <w:name w:val="table_1stline"/>
    <w:basedOn w:val="1"/>
    <w:qFormat/>
    <w:uiPriority w:val="0"/>
    <w:pPr>
      <w:widowControl/>
      <w:spacing w:before="120"/>
      <w:jc w:val="left"/>
    </w:pPr>
    <w:rPr>
      <w:bCs/>
      <w:sz w:val="20"/>
      <w:szCs w:val="20"/>
      <w:lang w:val="de-DE" w:eastAsia="de-DE"/>
    </w:rPr>
  </w:style>
  <w:style w:type="paragraph" w:customStyle="1" w:styleId="559">
    <w:name w:val="Char Char1 Char1"/>
    <w:basedOn w:val="1"/>
    <w:qFormat/>
    <w:uiPriority w:val="0"/>
    <w:pPr>
      <w:widowControl/>
      <w:spacing w:after="160" w:line="240" w:lineRule="exact"/>
      <w:jc w:val="left"/>
    </w:pPr>
    <w:rPr>
      <w:rFonts w:ascii="Verdana" w:hAnsi="Verdana"/>
      <w:sz w:val="20"/>
      <w:szCs w:val="20"/>
      <w:lang w:eastAsia="en-US"/>
    </w:rPr>
  </w:style>
  <w:style w:type="paragraph" w:customStyle="1" w:styleId="560">
    <w:name w:val="7"/>
    <w:basedOn w:val="1"/>
    <w:next w:val="53"/>
    <w:qFormat/>
    <w:uiPriority w:val="0"/>
    <w:pPr>
      <w:widowControl/>
      <w:spacing w:before="100" w:beforeAutospacing="1" w:after="100" w:afterAutospacing="1"/>
      <w:jc w:val="left"/>
    </w:pPr>
    <w:rPr>
      <w:rFonts w:ascii="宋体" w:hAnsi="宋体"/>
      <w:sz w:val="24"/>
      <w:szCs w:val="20"/>
    </w:rPr>
  </w:style>
  <w:style w:type="paragraph" w:customStyle="1" w:styleId="561">
    <w:name w:val="样式 标题 2第一章 标题 2Heading 2 HiddenHeading 2 CCBSheading 2H2h2..."/>
    <w:basedOn w:val="3"/>
    <w:qFormat/>
    <w:uiPriority w:val="0"/>
    <w:pPr>
      <w:keepLines w:val="0"/>
      <w:tabs>
        <w:tab w:val="left" w:pos="360"/>
      </w:tabs>
      <w:spacing w:line="240" w:lineRule="auto"/>
      <w:ind w:left="360" w:hanging="360"/>
      <w:jc w:val="center"/>
    </w:pPr>
    <w:rPr>
      <w:rFonts w:ascii="黑体" w:hAnsi="Times New Roman" w:cs="宋体"/>
      <w:b w:val="0"/>
      <w:bCs w:val="0"/>
      <w:szCs w:val="20"/>
    </w:rPr>
  </w:style>
  <w:style w:type="paragraph" w:customStyle="1" w:styleId="562">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0"/>
      <w:szCs w:val="20"/>
    </w:rPr>
  </w:style>
  <w:style w:type="paragraph" w:customStyle="1" w:styleId="563">
    <w:name w:val="一级标题"/>
    <w:basedOn w:val="1"/>
    <w:qFormat/>
    <w:uiPriority w:val="0"/>
    <w:pPr>
      <w:tabs>
        <w:tab w:val="left" w:pos="903"/>
      </w:tabs>
      <w:spacing w:line="360" w:lineRule="auto"/>
      <w:ind w:left="900" w:hanging="420"/>
    </w:pPr>
    <w:rPr>
      <w:rFonts w:ascii="Arial" w:hAnsi="Arial" w:cs="Arial"/>
      <w:sz w:val="24"/>
      <w:szCs w:val="20"/>
    </w:rPr>
  </w:style>
  <w:style w:type="paragraph" w:customStyle="1" w:styleId="564">
    <w:name w:val="马刚标题1"/>
    <w:basedOn w:val="2"/>
    <w:next w:val="1"/>
    <w:qFormat/>
    <w:uiPriority w:val="0"/>
    <w:pPr>
      <w:tabs>
        <w:tab w:val="left" w:pos="315"/>
        <w:tab w:val="left" w:pos="567"/>
      </w:tabs>
      <w:spacing w:before="400" w:after="120"/>
      <w:ind w:left="567" w:hanging="567"/>
      <w:jc w:val="left"/>
    </w:pPr>
    <w:rPr>
      <w:rFonts w:eastAsia="黑体"/>
      <w:b w:val="0"/>
      <w:bCs w:val="0"/>
      <w:sz w:val="32"/>
      <w:szCs w:val="20"/>
    </w:rPr>
  </w:style>
  <w:style w:type="paragraph" w:customStyle="1" w:styleId="565">
    <w:name w:val="Char Char Char Char Char Char Char Char Char Char Char Char Char"/>
    <w:basedOn w:val="1"/>
    <w:qFormat/>
    <w:uiPriority w:val="0"/>
    <w:pPr>
      <w:widowControl/>
      <w:spacing w:after="160" w:line="240" w:lineRule="exact"/>
      <w:jc w:val="left"/>
    </w:pPr>
  </w:style>
  <w:style w:type="paragraph" w:customStyle="1" w:styleId="566">
    <w:name w:val="font14"/>
    <w:basedOn w:val="1"/>
    <w:qFormat/>
    <w:uiPriority w:val="0"/>
    <w:pPr>
      <w:widowControl/>
      <w:spacing w:before="100" w:beforeAutospacing="1" w:after="100" w:afterAutospacing="1"/>
      <w:jc w:val="left"/>
    </w:pPr>
    <w:rPr>
      <w:sz w:val="36"/>
      <w:szCs w:val="36"/>
    </w:rPr>
  </w:style>
  <w:style w:type="paragraph" w:customStyle="1" w:styleId="567">
    <w:name w:val="af17cgridlangnp1033langf"/>
    <w:qFormat/>
    <w:uiPriority w:val="0"/>
    <w:pPr>
      <w:widowControl w:val="0"/>
      <w:spacing w:before="156" w:line="360" w:lineRule="atLeast"/>
      <w:ind w:left="567" w:firstLine="510"/>
      <w:jc w:val="both"/>
    </w:pPr>
    <w:rPr>
      <w:rFonts w:ascii="Calibri" w:hAnsi="Calibri" w:eastAsia="宋体" w:cs="Times New Roman"/>
      <w:lang w:val="en-US" w:eastAsia="zh-CN" w:bidi="ar-SA"/>
    </w:rPr>
  </w:style>
  <w:style w:type="paragraph" w:customStyle="1" w:styleId="568">
    <w:name w:val="Char Char Char Char"/>
    <w:basedOn w:val="17"/>
    <w:qFormat/>
    <w:uiPriority w:val="0"/>
    <w:pPr>
      <w:spacing w:line="360" w:lineRule="auto"/>
    </w:pPr>
    <w:rPr>
      <w:rFonts w:ascii="Tahoma" w:hAnsi="Tahoma"/>
    </w:rPr>
  </w:style>
  <w:style w:type="paragraph" w:customStyle="1" w:styleId="569">
    <w:name w:val="批注主题1"/>
    <w:basedOn w:val="18"/>
    <w:next w:val="18"/>
    <w:qFormat/>
    <w:uiPriority w:val="0"/>
    <w:rPr>
      <w:b/>
      <w:bCs/>
      <w:szCs w:val="24"/>
    </w:rPr>
  </w:style>
  <w:style w:type="paragraph" w:customStyle="1" w:styleId="570">
    <w:name w:val="标题 4宋体"/>
    <w:basedOn w:val="5"/>
    <w:qFormat/>
    <w:uiPriority w:val="0"/>
    <w:pPr>
      <w:keepLines w:val="0"/>
      <w:spacing w:before="0" w:after="0" w:line="360" w:lineRule="auto"/>
      <w:jc w:val="left"/>
    </w:pPr>
    <w:rPr>
      <w:rFonts w:ascii="宋体" w:hAnsi="宋体" w:eastAsia="宋体"/>
      <w:bCs/>
      <w:color w:val="000000"/>
      <w:sz w:val="24"/>
    </w:rPr>
  </w:style>
  <w:style w:type="paragraph" w:customStyle="1" w:styleId="571">
    <w:name w:val="标题2，章节第二层"/>
    <w:basedOn w:val="1"/>
    <w:next w:val="450"/>
    <w:qFormat/>
    <w:uiPriority w:val="0"/>
    <w:pPr>
      <w:tabs>
        <w:tab w:val="left" w:pos="630"/>
        <w:tab w:val="left" w:pos="992"/>
      </w:tabs>
      <w:spacing w:line="300" w:lineRule="auto"/>
      <w:ind w:left="992" w:hanging="567"/>
      <w:outlineLvl w:val="1"/>
    </w:pPr>
    <w:rPr>
      <w:rFonts w:ascii="Arial" w:hAnsi="Arial" w:eastAsia="黑体"/>
      <w:sz w:val="32"/>
    </w:rPr>
  </w:style>
  <w:style w:type="paragraph" w:customStyle="1" w:styleId="572">
    <w:name w:val="小四 段落 宋体 Char Char Char Char"/>
    <w:basedOn w:val="1"/>
    <w:qFormat/>
    <w:uiPriority w:val="0"/>
    <w:pPr>
      <w:spacing w:line="360" w:lineRule="auto"/>
      <w:ind w:right="-33" w:firstLine="480"/>
      <w:jc w:val="left"/>
    </w:pPr>
    <w:rPr>
      <w:sz w:val="24"/>
    </w:rPr>
  </w:style>
  <w:style w:type="paragraph" w:customStyle="1" w:styleId="573">
    <w:name w:val="表蕊"/>
    <w:basedOn w:val="1"/>
    <w:qFormat/>
    <w:uiPriority w:val="0"/>
    <w:pPr>
      <w:spacing w:line="320" w:lineRule="atLeast"/>
      <w:jc w:val="left"/>
    </w:pPr>
    <w:rPr>
      <w:rFonts w:eastAsia="楷体_GB2312"/>
      <w:spacing w:val="-10"/>
      <w:szCs w:val="20"/>
    </w:rPr>
  </w:style>
  <w:style w:type="paragraph" w:customStyle="1" w:styleId="574">
    <w:name w:val="项目符号，二级"/>
    <w:basedOn w:val="450"/>
    <w:next w:val="450"/>
    <w:qFormat/>
    <w:uiPriority w:val="0"/>
    <w:pPr>
      <w:tabs>
        <w:tab w:val="left" w:pos="1211"/>
        <w:tab w:val="left" w:pos="1337"/>
      </w:tabs>
      <w:ind w:left="1337" w:right="-27" w:firstLine="480"/>
    </w:pPr>
    <w:rPr>
      <w:bCs w:val="0"/>
      <w:color w:val="000000"/>
      <w:sz w:val="24"/>
      <w:szCs w:val="24"/>
    </w:rPr>
  </w:style>
  <w:style w:type="paragraph" w:customStyle="1" w:styleId="575">
    <w:name w:val="方案正文"/>
    <w:basedOn w:val="1"/>
    <w:qFormat/>
    <w:uiPriority w:val="0"/>
    <w:pPr>
      <w:spacing w:before="156" w:line="360" w:lineRule="auto"/>
      <w:ind w:firstLine="359"/>
      <w:jc w:val="left"/>
    </w:pPr>
    <w:rPr>
      <w:rFonts w:ascii="Arial" w:hAnsi="Arial" w:cs="宋体"/>
      <w:sz w:val="24"/>
      <w:szCs w:val="21"/>
    </w:rPr>
  </w:style>
  <w:style w:type="paragraph" w:customStyle="1" w:styleId="576">
    <w:name w:val="标准小四"/>
    <w:basedOn w:val="1"/>
    <w:qFormat/>
    <w:uiPriority w:val="0"/>
    <w:pPr>
      <w:spacing w:line="360" w:lineRule="auto"/>
      <w:ind w:firstLine="480"/>
    </w:pPr>
    <w:rPr>
      <w:rFonts w:ascii="Arial" w:hAnsi="Arial"/>
      <w:sz w:val="24"/>
      <w:szCs w:val="21"/>
    </w:rPr>
  </w:style>
  <w:style w:type="paragraph" w:customStyle="1" w:styleId="577">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i/>
      <w:iCs/>
      <w:sz w:val="20"/>
      <w:szCs w:val="20"/>
    </w:rPr>
  </w:style>
  <w:style w:type="paragraph" w:customStyle="1" w:styleId="578">
    <w:name w:val="Char Char Char Char Char Char Char Char Char Char Char1"/>
    <w:basedOn w:val="1"/>
    <w:qFormat/>
    <w:uiPriority w:val="0"/>
    <w:rPr>
      <w:rFonts w:ascii="Tahoma" w:hAnsi="Tahoma" w:cs="Tahoma"/>
      <w:sz w:val="24"/>
      <w:szCs w:val="20"/>
    </w:rPr>
  </w:style>
  <w:style w:type="paragraph" w:customStyle="1" w:styleId="579">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0"/>
      <w:szCs w:val="20"/>
    </w:rPr>
  </w:style>
  <w:style w:type="paragraph" w:customStyle="1" w:styleId="580">
    <w:name w:val="Normal Indent1"/>
    <w:basedOn w:val="1"/>
    <w:qFormat/>
    <w:uiPriority w:val="0"/>
    <w:pPr>
      <w:ind w:firstLine="420"/>
    </w:pPr>
    <w:rPr>
      <w:sz w:val="20"/>
      <w:szCs w:val="20"/>
    </w:rPr>
  </w:style>
  <w:style w:type="paragraph" w:customStyle="1" w:styleId="581">
    <w:name w:val="正文表标题"/>
    <w:next w:val="468"/>
    <w:qFormat/>
    <w:uiPriority w:val="0"/>
    <w:pPr>
      <w:tabs>
        <w:tab w:val="left" w:pos="900"/>
      </w:tabs>
      <w:ind w:left="900" w:hanging="420"/>
      <w:jc w:val="center"/>
    </w:pPr>
    <w:rPr>
      <w:rFonts w:ascii="黑体" w:hAnsi="Calibri" w:eastAsia="黑体" w:cs="Times New Roman"/>
      <w:sz w:val="21"/>
      <w:lang w:val="en-US" w:eastAsia="zh-CN" w:bidi="ar-SA"/>
    </w:rPr>
  </w:style>
  <w:style w:type="paragraph" w:customStyle="1" w:styleId="582">
    <w:name w:val="Char Char Char Char Char Char Char Char Char Char Char Char Char Char1"/>
    <w:basedOn w:val="1"/>
    <w:qFormat/>
    <w:uiPriority w:val="0"/>
    <w:rPr>
      <w:rFonts w:ascii="Tahoma" w:hAnsi="Tahoma" w:cs="Tahoma"/>
      <w:sz w:val="24"/>
      <w:szCs w:val="20"/>
    </w:rPr>
  </w:style>
  <w:style w:type="paragraph" w:customStyle="1" w:styleId="583">
    <w:name w:val="black1"/>
    <w:basedOn w:val="1"/>
    <w:qFormat/>
    <w:uiPriority w:val="0"/>
    <w:pPr>
      <w:widowControl/>
      <w:spacing w:before="100" w:beforeAutospacing="1" w:after="100" w:afterAutospacing="1"/>
      <w:jc w:val="left"/>
    </w:pPr>
    <w:rPr>
      <w:rFonts w:ascii="宋体" w:hAnsi="宋体"/>
      <w:sz w:val="24"/>
    </w:rPr>
  </w:style>
  <w:style w:type="table" w:customStyle="1" w:styleId="584">
    <w:name w:val="Table Normal"/>
    <w:unhideWhenUsed/>
    <w:qFormat/>
    <w:uiPriority w:val="2"/>
    <w:pPr>
      <w:widowControl w:val="0"/>
    </w:pPr>
    <w:rPr>
      <w:sz w:val="22"/>
      <w:lang w:eastAsia="en-US"/>
    </w:rPr>
    <w:tblPr>
      <w:tblCellMar>
        <w:top w:w="0" w:type="dxa"/>
        <w:left w:w="0" w:type="dxa"/>
        <w:bottom w:w="0" w:type="dxa"/>
        <w:right w:w="0" w:type="dxa"/>
      </w:tblCellMar>
    </w:tblPr>
  </w:style>
  <w:style w:type="paragraph" w:customStyle="1" w:styleId="585">
    <w:name w:val="（RZM政采）正文-首行缩进2"/>
    <w:basedOn w:val="1"/>
    <w:qFormat/>
    <w:uiPriority w:val="0"/>
    <w:pPr>
      <w:spacing w:line="360" w:lineRule="auto"/>
      <w:ind w:firstLine="200"/>
    </w:pPr>
    <w:rPr>
      <w:rFonts w:ascii="宋体" w:hAnsi="宋体"/>
      <w:szCs w:val="21"/>
      <w:lang w:val="zh-CN"/>
    </w:rPr>
  </w:style>
  <w:style w:type="paragraph" w:customStyle="1" w:styleId="586">
    <w:name w:val="cucd-0"/>
    <w:qFormat/>
    <w:uiPriority w:val="0"/>
    <w:pPr>
      <w:spacing w:line="360" w:lineRule="auto"/>
      <w:ind w:firstLine="480"/>
    </w:pPr>
    <w:rPr>
      <w:rFonts w:ascii="宋体" w:hAnsi="宋体" w:eastAsia="宋体" w:cs="Times New Roman"/>
      <w:sz w:val="24"/>
      <w:szCs w:val="22"/>
      <w:lang w:val="en-US" w:eastAsia="zh-CN" w:bidi="ar-SA"/>
    </w:rPr>
  </w:style>
  <w:style w:type="paragraph" w:customStyle="1" w:styleId="587">
    <w:name w:val="cucd-2"/>
    <w:next w:val="588"/>
    <w:qFormat/>
    <w:uiPriority w:val="0"/>
    <w:pPr>
      <w:tabs>
        <w:tab w:val="left" w:pos="9180"/>
        <w:tab w:val="left" w:pos="9360"/>
      </w:tabs>
      <w:spacing w:line="360" w:lineRule="exact"/>
      <w:ind w:right="-512"/>
      <w:jc w:val="both"/>
      <w:outlineLvl w:val="1"/>
    </w:pPr>
    <w:rPr>
      <w:rFonts w:ascii="宋体" w:hAnsi="宋体" w:eastAsia="宋体" w:cs="Times New Roman"/>
      <w:b/>
      <w:sz w:val="24"/>
      <w:szCs w:val="24"/>
      <w:lang w:val="zh-CN" w:eastAsia="zh-CN" w:bidi="ar-SA"/>
    </w:rPr>
  </w:style>
  <w:style w:type="paragraph" w:customStyle="1" w:styleId="588">
    <w:name w:val="cucd-3"/>
    <w:next w:val="1"/>
    <w:qFormat/>
    <w:uiPriority w:val="0"/>
    <w:pPr>
      <w:tabs>
        <w:tab w:val="left" w:pos="9180"/>
        <w:tab w:val="left" w:pos="9360"/>
      </w:tabs>
      <w:spacing w:line="360" w:lineRule="auto"/>
      <w:ind w:right="-512"/>
      <w:outlineLvl w:val="2"/>
    </w:pPr>
    <w:rPr>
      <w:rFonts w:ascii="楷体" w:hAnsi="楷体" w:eastAsia="楷体" w:cs="Times New Roman"/>
      <w:b/>
      <w:color w:val="000000"/>
      <w:sz w:val="24"/>
      <w:szCs w:val="24"/>
      <w:lang w:val="en-US" w:eastAsia="zh-CN" w:bidi="ar-SA"/>
    </w:rPr>
  </w:style>
  <w:style w:type="paragraph" w:customStyle="1" w:styleId="589">
    <w:name w:val="表格字体"/>
    <w:qFormat/>
    <w:uiPriority w:val="0"/>
    <w:pPr>
      <w:ind w:firstLine="6"/>
      <w:jc w:val="center"/>
    </w:pPr>
    <w:rPr>
      <w:rFonts w:ascii="宋体" w:hAnsi="宋体" w:eastAsia="宋体" w:cs="宋体"/>
      <w:sz w:val="21"/>
      <w:szCs w:val="18"/>
      <w:lang w:val="en-US" w:eastAsia="zh-CN" w:bidi="ar-SA"/>
    </w:rPr>
  </w:style>
  <w:style w:type="character" w:customStyle="1" w:styleId="590">
    <w:name w:val="font71"/>
    <w:basedOn w:val="61"/>
    <w:qFormat/>
    <w:uiPriority w:val="0"/>
    <w:rPr>
      <w:rFonts w:hint="eastAsia" w:ascii="宋体" w:hAnsi="宋体" w:eastAsia="宋体" w:cs="宋体"/>
      <w:color w:val="000000"/>
      <w:sz w:val="22"/>
      <w:szCs w:val="22"/>
      <w:u w:val="none"/>
    </w:rPr>
  </w:style>
  <w:style w:type="character" w:customStyle="1" w:styleId="591">
    <w:name w:val="font41"/>
    <w:basedOn w:val="61"/>
    <w:qFormat/>
    <w:uiPriority w:val="0"/>
    <w:rPr>
      <w:rFonts w:hint="eastAsia" w:ascii="宋体" w:hAnsi="宋体" w:eastAsia="宋体" w:cs="宋体"/>
      <w:color w:val="000000"/>
      <w:sz w:val="22"/>
      <w:szCs w:val="22"/>
      <w:u w:val="none"/>
    </w:rPr>
  </w:style>
  <w:style w:type="character" w:customStyle="1" w:styleId="592">
    <w:name w:val="列出段落 Char"/>
    <w:link w:val="250"/>
    <w:qFormat/>
    <w:uiPriority w:val="1"/>
    <w:rPr>
      <w:sz w:val="21"/>
      <w:szCs w:val="24"/>
    </w:rPr>
  </w:style>
  <w:style w:type="paragraph" w:customStyle="1" w:styleId="593">
    <w:name w:val="Table Text"/>
    <w:basedOn w:val="1"/>
    <w:semiHidden/>
    <w:qFormat/>
    <w:uiPriority w:val="0"/>
    <w:rPr>
      <w:rFonts w:ascii="宋体" w:hAnsi="宋体" w:cs="宋体"/>
      <w:sz w:val="24"/>
      <w:lang w:eastAsia="en-US"/>
    </w:rPr>
  </w:style>
  <w:style w:type="paragraph" w:customStyle="1" w:styleId="594">
    <w:name w:val="修订1"/>
    <w:hidden/>
    <w:unhideWhenUsed/>
    <w:qFormat/>
    <w:uiPriority w:val="99"/>
    <w:rPr>
      <w:rFonts w:ascii="Calibri" w:hAnsi="Calibri" w:eastAsia="宋体" w:cs="Times New Roman"/>
      <w:sz w:val="21"/>
      <w:szCs w:val="24"/>
      <w:lang w:val="en-US" w:eastAsia="zh-CN" w:bidi="ar-SA"/>
    </w:rPr>
  </w:style>
  <w:style w:type="paragraph" w:customStyle="1" w:styleId="595">
    <w:name w:val="修订2"/>
    <w:hidden/>
    <w:unhideWhenUsed/>
    <w:qFormat/>
    <w:uiPriority w:val="99"/>
    <w:rPr>
      <w:rFonts w:ascii="Calibri" w:hAnsi="Calibri" w:eastAsia="宋体" w:cs="Times New Roman"/>
      <w:sz w:val="21"/>
      <w:szCs w:val="24"/>
      <w:lang w:val="en-US" w:eastAsia="zh-CN" w:bidi="ar-SA"/>
    </w:rPr>
  </w:style>
  <w:style w:type="paragraph" w:customStyle="1" w:styleId="596">
    <w:name w:val="索引 411"/>
    <w:basedOn w:val="1"/>
    <w:next w:val="1"/>
    <w:unhideWhenUsed/>
    <w:qFormat/>
    <w:uiPriority w:val="99"/>
    <w:pPr>
      <w:ind w:left="600"/>
    </w:pPr>
  </w:style>
  <w:style w:type="paragraph" w:customStyle="1" w:styleId="597">
    <w:name w:val="索引 41"/>
    <w:basedOn w:val="1"/>
    <w:next w:val="1"/>
    <w:semiHidden/>
    <w:qFormat/>
    <w:uiPriority w:val="0"/>
    <w:pPr>
      <w:ind w:left="1260"/>
    </w:pPr>
    <w:rPr>
      <w:rFonts w:eastAsia="Calibri" w:cs="宋体"/>
      <w:sz w:val="20"/>
      <w:lang w:val="zh-CN"/>
    </w:rPr>
  </w:style>
  <w:style w:type="character" w:customStyle="1" w:styleId="598">
    <w:name w:val="font61"/>
    <w:basedOn w:val="61"/>
    <w:qFormat/>
    <w:uiPriority w:val="0"/>
    <w:rPr>
      <w:rFonts w:hint="eastAsia" w:ascii="宋体" w:hAnsi="宋体" w:eastAsia="宋体" w:cs="宋体"/>
      <w:color w:val="000000"/>
      <w:sz w:val="18"/>
      <w:szCs w:val="18"/>
      <w:u w:val="none"/>
    </w:rPr>
  </w:style>
  <w:style w:type="character" w:customStyle="1" w:styleId="599">
    <w:name w:val="font51"/>
    <w:basedOn w:val="61"/>
    <w:qFormat/>
    <w:uiPriority w:val="0"/>
    <w:rPr>
      <w:rFonts w:hint="eastAsia" w:ascii="等线" w:hAnsi="等线" w:eastAsia="等线" w:cs="等线"/>
      <w:color w:val="00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E45A2BA-EC2A-413C-A118-63C30682555F}">
  <ds:schemaRefs/>
</ds:datastoreItem>
</file>

<file path=docProps/app.xml><?xml version="1.0" encoding="utf-8"?>
<Properties xmlns="http://schemas.openxmlformats.org/officeDocument/2006/extended-properties" xmlns:vt="http://schemas.openxmlformats.org/officeDocument/2006/docPropsVTypes">
  <Template>Normal.dotm</Template>
  <Company>HP Inc.</Company>
  <Pages>52</Pages>
  <Words>18754</Words>
  <Characters>19862</Characters>
  <Lines>216</Lines>
  <Paragraphs>60</Paragraphs>
  <TotalTime>3</TotalTime>
  <ScaleCrop>false</ScaleCrop>
  <LinksUpToDate>false</LinksUpToDate>
  <CharactersWithSpaces>19954</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2024-10-28T03:08:00Z</dcterms:created>
  <dc:creator>焦翔</dc:creator>
  <cp:lastModifiedBy>李小敏</cp:lastModifiedBy>
  <cp:lastPrinted>2024-10-19T06:19:00Z</cp:lastPrinted>
  <dcterms:modified xsi:type="dcterms:W3CDTF">2024-10-28T13:25:00Z</dcterms:modified>
  <dc:title>公开招标文件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02802EE99EA94820A8B2576C32C80CE8_13</vt:lpwstr>
  </property>
</Properties>
</file>