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line="99" w:lineRule="atLeast"/>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color w:val="000000"/>
          <w:sz w:val="72"/>
          <w:highlight w:val="none"/>
        </w:rPr>
      </w:r>
      <w:r>
        <w:rPr>
          <w:rFonts w:ascii="DengXian Light" w:hAnsi="DengXian Light" w:eastAsia="DengXian Light" w:cs="DengXian Light"/>
          <w:color w:val="000000"/>
          <w:sz w:val="72"/>
          <w:highlight w:val="none"/>
        </w:rPr>
      </w:r>
    </w:p>
    <w:p>
      <w:pPr>
        <w:ind w:left="0" w:right="0" w:firstLine="0"/>
        <w:jc w:val="center"/>
        <w:spacing w:before="0" w:after="0" w:line="99" w:lineRule="atLeast"/>
        <w:rPr>
          <w:rFonts w:ascii="DengXian Light" w:hAnsi="DengXian Light" w:eastAsia="DengXian Light" w:cs="DengXian Light"/>
          <w:color w:val="000000"/>
          <w:sz w:val="72"/>
          <w:szCs w:val="72"/>
          <w:highlight w:val="none"/>
        </w:rPr>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color w:val="000000"/>
          <w:sz w:val="72"/>
          <w:highlight w:val="none"/>
        </w:rPr>
      </w:r>
      <w:r>
        <w:rPr>
          <w:rFonts w:ascii="DengXian Light" w:hAnsi="DengXian Light" w:eastAsia="DengXian Light" w:cs="DengXian Light"/>
          <w:color w:val="000000"/>
          <w:sz w:val="72"/>
          <w:highlight w:val="none"/>
        </w:rPr>
      </w:r>
    </w:p>
    <w:p>
      <w:pPr>
        <w:ind w:left="0" w:right="0" w:firstLine="0"/>
        <w:jc w:val="center"/>
        <w:spacing w:before="0" w:after="0" w:line="99" w:lineRule="atLeast"/>
        <w:rPr>
          <w:rFonts w:ascii="DengXian Light" w:hAnsi="DengXian Light" w:eastAsia="DengXian Light" w:cs="DengXian Light"/>
          <w:color w:val="000000"/>
          <w:sz w:val="72"/>
          <w:szCs w:val="72"/>
          <w:highlight w:val="none"/>
        </w:rPr>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color w:val="000000"/>
          <w:sz w:val="72"/>
          <w:highlight w:val="none"/>
        </w:rPr>
      </w:r>
      <w:r>
        <w:rPr>
          <w:rFonts w:ascii="DengXian Light" w:hAnsi="DengXian Light" w:eastAsia="DengXian Light" w:cs="DengXian Light"/>
          <w:color w:val="000000"/>
          <w:sz w:val="72"/>
          <w:highlight w:val="none"/>
        </w:rPr>
      </w:r>
    </w:p>
    <w:p>
      <w:pPr>
        <w:ind w:left="0" w:right="0" w:firstLine="0"/>
        <w:jc w:val="center"/>
        <w:spacing w:before="0" w:after="0" w:line="99" w:lineRule="atLeast"/>
        <w:rPr>
          <w:rFonts w:ascii="DengXian Light" w:hAnsi="DengXian Light" w:eastAsia="DengXian Light" w:cs="DengXian Light"/>
          <w:color w:val="000000"/>
          <w:sz w:val="72"/>
          <w:szCs w:val="72"/>
          <w:highlight w:val="none"/>
        </w:rPr>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color w:val="000000"/>
          <w:sz w:val="72"/>
          <w:highlight w:val="none"/>
        </w:rPr>
      </w:r>
      <w:r>
        <w:rPr>
          <w:rFonts w:ascii="DengXian Light" w:hAnsi="DengXian Light" w:eastAsia="DengXian Light" w:cs="DengXian Light"/>
          <w:color w:val="000000"/>
          <w:sz w:val="72"/>
          <w:highlight w:val="none"/>
        </w:rPr>
      </w:r>
    </w:p>
    <w:p>
      <w:pPr>
        <w:ind w:left="0" w:right="0" w:firstLine="0"/>
        <w:jc w:val="center"/>
        <w:spacing w:before="0" w:after="0" w:line="99" w:lineRule="atLeast"/>
        <w:rPr>
          <w:rFonts w:ascii="DengXian Light" w:hAnsi="DengXian Light" w:eastAsia="DengXian Light" w:cs="DengXian Light"/>
          <w:color w:val="000000"/>
          <w:sz w:val="72"/>
          <w:szCs w:val="72"/>
          <w:highlight w:val="none"/>
        </w:rPr>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color w:val="000000"/>
          <w:sz w:val="72"/>
        </w:rPr>
        <w:t xml:space="preserve">滨海县政府采购招标文件</w:t>
      </w:r>
      <w:r/>
    </w:p>
    <w:p>
      <w:pPr>
        <w:ind w:left="0" w:right="0" w:firstLine="0"/>
        <w:jc w:val="center"/>
        <w:spacing w:before="0" w:after="0" w:line="99" w:lineRule="atLeast"/>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b/>
          <w:color w:val="000000"/>
          <w:sz w:val="32"/>
        </w:rPr>
        <w:t xml:space="preserve"> </w:t>
      </w:r>
      <w:r/>
    </w:p>
    <w:p>
      <w:pPr>
        <w:ind w:left="0" w:right="0" w:firstLine="0"/>
        <w:jc w:val="center"/>
        <w:spacing w:before="0" w:after="0" w:line="99" w:lineRule="atLeast"/>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b/>
          <w:color w:val="000000"/>
          <w:sz w:val="32"/>
        </w:rPr>
        <w:t xml:space="preserve"> </w:t>
      </w:r>
      <w:r/>
    </w:p>
    <w:p>
      <w:pPr>
        <w:ind w:left="0" w:right="0" w:firstLine="0"/>
        <w:jc w:val="center"/>
        <w:spacing w:before="0" w:after="0" w:line="99" w:lineRule="atLeast"/>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b/>
          <w:color w:val="000000"/>
          <w:sz w:val="36"/>
        </w:rPr>
        <w:t xml:space="preserve">项目编号：JSZC-320922-ZQYC-G2024-0010</w:t>
      </w:r>
      <w:r/>
    </w:p>
    <w:p>
      <w:pPr>
        <w:ind w:left="0" w:right="0" w:firstLine="0"/>
        <w:spacing w:before="0" w:after="0" w:line="99" w:lineRule="atLeast"/>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b/>
          <w:color w:val="000000"/>
          <w:sz w:val="36"/>
        </w:rPr>
      </w:r>
      <w:r/>
    </w:p>
    <w:p>
      <w:pPr>
        <w:pStyle w:val="654"/>
        <w:ind w:left="0" w:right="0" w:firstLine="0"/>
        <w:jc w:val="both"/>
        <w:spacing w:before="340" w:after="330" w:line="1056" w:lineRule="atLeast"/>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b/>
          <w:color w:val="000000"/>
          <w:sz w:val="32"/>
        </w:rPr>
        <w:t xml:space="preserve">项目名称：滨海县农业综合行政执法局渔政船、32526执法艇维护运行保养项目</w:t>
      </w:r>
      <w:r/>
    </w:p>
    <w:p>
      <w:pPr>
        <w:ind w:left="0" w:right="0" w:firstLine="0"/>
        <w:jc w:val="both"/>
        <w:spacing w:before="0" w:after="0" w:line="99" w:lineRule="atLeast"/>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b/>
          <w:color w:val="000000"/>
          <w:sz w:val="32"/>
        </w:rPr>
        <w:t xml:space="preserve">       </w:t>
      </w:r>
      <w:r/>
    </w:p>
    <w:p>
      <w:pPr>
        <w:ind w:left="0" w:right="0" w:firstLine="440"/>
        <w:spacing w:before="0" w:after="0" w:line="400" w:lineRule="atLeast"/>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color w:val="000000"/>
          <w:sz w:val="22"/>
        </w:rPr>
        <w:t xml:space="preserve"> </w:t>
      </w:r>
      <w:r/>
    </w:p>
    <w:p>
      <w:pPr>
        <w:ind w:left="0" w:right="0" w:firstLine="0"/>
        <w:jc w:val="both"/>
        <w:spacing w:before="0" w:after="0" w:line="99" w:lineRule="atLeast"/>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b/>
          <w:color w:val="000000"/>
          <w:sz w:val="32"/>
        </w:rPr>
        <w:t xml:space="preserve"> </w:t>
      </w:r>
      <w:r/>
    </w:p>
    <w:p>
      <w:pPr>
        <w:ind w:left="0" w:right="0" w:firstLine="1807"/>
        <w:jc w:val="both"/>
        <w:spacing w:before="0" w:after="0" w:line="99" w:lineRule="atLeast"/>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b/>
          <w:color w:val="000000"/>
          <w:sz w:val="36"/>
        </w:rPr>
        <w:t xml:space="preserve"> </w:t>
      </w:r>
      <w:r/>
    </w:p>
    <w:p>
      <w:pPr>
        <w:ind w:left="0" w:right="0" w:firstLine="0"/>
        <w:jc w:val="center"/>
        <w:spacing w:before="0" w:after="0" w:line="99" w:lineRule="atLeast"/>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b/>
          <w:color w:val="000000"/>
          <w:sz w:val="36"/>
        </w:rPr>
        <w:t xml:space="preserve">采购单位：滨海县农业综合行政执法局</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color w:val="000000"/>
          <w:sz w:val="21"/>
        </w:rPr>
        <w:t xml:space="preserve"> </w:t>
      </w:r>
      <w:r/>
    </w:p>
    <w:p>
      <w:pPr>
        <w:ind w:left="0" w:right="0" w:firstLine="0"/>
        <w:jc w:val="center"/>
        <w:spacing w:before="0" w:after="0" w:line="99" w:lineRule="atLeast"/>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b/>
          <w:color w:val="000000"/>
          <w:sz w:val="36"/>
        </w:rPr>
        <w:t xml:space="preserve">二〇二四年七月</w:t>
      </w:r>
      <w:r/>
    </w:p>
    <w:p>
      <w:pPr>
        <w:ind w:left="0" w:right="0" w:firstLine="0"/>
        <w:spacing w:before="0" w:after="0" w:line="99"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99" w:lineRule="atLeast"/>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color w:val="000000"/>
          <w:sz w:val="21"/>
        </w:rPr>
        <w:t xml:space="preserve"> </w:t>
      </w:r>
      <w:r/>
    </w:p>
    <w:p>
      <w:pPr>
        <w:ind w:left="0" w:right="0" w:firstLine="0"/>
        <w:jc w:val="center"/>
        <w:spacing w:before="0" w:after="0" w:line="99" w:lineRule="atLeast"/>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b/>
          <w:color w:val="000000"/>
          <w:sz w:val="44"/>
          <w:highlight w:val="none"/>
        </w:rPr>
      </w:r>
      <w:r>
        <w:rPr>
          <w:rFonts w:ascii="DengXian Light" w:hAnsi="DengXian Light" w:eastAsia="DengXian Light" w:cs="DengXian Light"/>
          <w:b/>
          <w:color w:val="000000"/>
          <w:sz w:val="44"/>
          <w:highlight w:val="none"/>
        </w:rPr>
      </w:r>
    </w:p>
    <w:p>
      <w:pPr>
        <w:ind w:left="0" w:right="0" w:firstLine="0"/>
        <w:jc w:val="center"/>
        <w:spacing w:before="0" w:after="0" w:line="99" w:lineRule="atLeast"/>
        <w:rPr>
          <w:rFonts w:ascii="DengXian Light" w:hAnsi="DengXian Light" w:eastAsia="DengXian Light" w:cs="DengXian Light"/>
          <w:b/>
          <w:bCs/>
          <w:color w:val="000000"/>
          <w:sz w:val="44"/>
          <w:szCs w:val="44"/>
          <w:highlight w:val="none"/>
        </w:rPr>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b/>
          <w:color w:val="000000"/>
          <w:sz w:val="44"/>
          <w:highlight w:val="none"/>
        </w:rPr>
      </w:r>
      <w:r>
        <w:rPr>
          <w:rFonts w:ascii="DengXian Light" w:hAnsi="DengXian Light" w:eastAsia="DengXian Light" w:cs="DengXian Light"/>
          <w:b/>
          <w:color w:val="000000"/>
          <w:sz w:val="44"/>
          <w:highlight w:val="none"/>
        </w:rPr>
      </w:r>
    </w:p>
    <w:p>
      <w:pPr>
        <w:ind w:left="0" w:right="0" w:firstLine="0"/>
        <w:jc w:val="center"/>
        <w:spacing w:before="0" w:after="0" w:line="99" w:lineRule="atLeast"/>
        <w:rPr>
          <w:rFonts w:ascii="DengXian Light" w:hAnsi="DengXian Light" w:eastAsia="DengXian Light" w:cs="DengXian Light"/>
          <w:b/>
          <w:bCs/>
          <w:color w:val="000000"/>
          <w:sz w:val="44"/>
          <w:szCs w:val="44"/>
          <w:highlight w:val="none"/>
        </w:rPr>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b/>
          <w:color w:val="000000"/>
          <w:sz w:val="44"/>
          <w:highlight w:val="none"/>
        </w:rPr>
      </w:r>
      <w:r>
        <w:rPr>
          <w:rFonts w:ascii="DengXian Light" w:hAnsi="DengXian Light" w:eastAsia="DengXian Light" w:cs="DengXian Light"/>
          <w:b/>
          <w:color w:val="000000"/>
          <w:sz w:val="44"/>
          <w:highlight w:val="none"/>
        </w:rPr>
      </w:r>
    </w:p>
    <w:p>
      <w:pPr>
        <w:ind w:left="0" w:right="0" w:firstLine="0"/>
        <w:jc w:val="center"/>
        <w:spacing w:before="0" w:after="0" w:line="99" w:lineRule="atLeast"/>
        <w:rPr>
          <w:rFonts w:ascii="DengXian Light" w:hAnsi="DengXian Light" w:eastAsia="DengXian Light" w:cs="DengXian Light"/>
          <w:b/>
          <w:bCs/>
          <w:color w:val="000000"/>
          <w:sz w:val="44"/>
          <w:szCs w:val="44"/>
          <w:highlight w:val="none"/>
        </w:rPr>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b/>
          <w:color w:val="000000"/>
          <w:sz w:val="44"/>
          <w:highlight w:val="none"/>
        </w:rPr>
      </w:r>
      <w:r>
        <w:rPr>
          <w:rFonts w:ascii="DengXian Light" w:hAnsi="DengXian Light" w:eastAsia="DengXian Light" w:cs="DengXian Light"/>
          <w:b/>
          <w:color w:val="000000"/>
          <w:sz w:val="44"/>
          <w:highlight w:val="none"/>
        </w:rPr>
      </w:r>
    </w:p>
    <w:p>
      <w:pPr>
        <w:ind w:left="0" w:right="0" w:firstLine="0"/>
        <w:jc w:val="center"/>
        <w:spacing w:before="0" w:after="0" w:line="99" w:lineRule="atLeast"/>
        <w:rPr>
          <w:rFonts w:ascii="DengXian Light" w:hAnsi="DengXian Light" w:eastAsia="DengXian Light" w:cs="DengXian Light"/>
          <w:b/>
          <w:bCs/>
          <w:color w:val="000000"/>
          <w:sz w:val="44"/>
          <w:szCs w:val="44"/>
          <w:highlight w:val="none"/>
        </w:rPr>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b/>
          <w:color w:val="000000"/>
          <w:sz w:val="44"/>
        </w:rPr>
        <w:t xml:space="preserve">总  目  录</w:t>
      </w:r>
      <w:r/>
    </w:p>
    <w:p>
      <w:pPr>
        <w:ind w:left="0" w:right="1470" w:firstLine="0"/>
        <w:spacing w:before="0" w:after="120"/>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color w:val="000000"/>
          <w:sz w:val="24"/>
        </w:rPr>
        <w:t xml:space="preserve"> </w:t>
      </w:r>
      <w:r/>
    </w:p>
    <w:p>
      <w:pPr>
        <w:numPr>
          <w:ilvl w:val="0"/>
          <w:numId w:val="10"/>
        </w:numPr>
        <w:jc w:val="both"/>
        <w:spacing w:before="0" w:after="0" w:line="213" w:lineRule="atLeast"/>
        <w:tabs>
          <w:tab w:val="left" w:pos="1440" w:leader="none"/>
        </w:tabs>
        <w:rPr>
          <w:sz w:val="40"/>
          <w:szCs w:val="40"/>
        </w:rPr>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color w:val="000000"/>
          <w:sz w:val="40"/>
          <w:szCs w:val="40"/>
        </w:rPr>
        <w:t xml:space="preserve">招标公告</w:t>
      </w:r>
      <w:r>
        <w:rPr>
          <w:sz w:val="40"/>
          <w:szCs w:val="40"/>
        </w:rPr>
      </w:r>
      <w:r/>
    </w:p>
    <w:p>
      <w:pPr>
        <w:numPr>
          <w:ilvl w:val="0"/>
          <w:numId w:val="10"/>
        </w:numPr>
        <w:jc w:val="both"/>
        <w:spacing w:before="0" w:after="0" w:line="213" w:lineRule="atLeast"/>
        <w:tabs>
          <w:tab w:val="left" w:pos="1440" w:leader="none"/>
        </w:tabs>
        <w:rPr>
          <w:sz w:val="40"/>
          <w:szCs w:val="40"/>
        </w:rPr>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color w:val="000000"/>
          <w:sz w:val="40"/>
          <w:szCs w:val="40"/>
        </w:rPr>
        <w:t xml:space="preserve">投标人须知</w:t>
      </w:r>
      <w:r>
        <w:rPr>
          <w:sz w:val="40"/>
          <w:szCs w:val="40"/>
        </w:rPr>
      </w:r>
      <w:r/>
    </w:p>
    <w:p>
      <w:pPr>
        <w:numPr>
          <w:ilvl w:val="0"/>
          <w:numId w:val="10"/>
        </w:numPr>
        <w:jc w:val="both"/>
        <w:spacing w:before="0" w:after="0" w:line="213" w:lineRule="atLeast"/>
        <w:tabs>
          <w:tab w:val="left" w:pos="1440" w:leader="none"/>
        </w:tabs>
        <w:rPr>
          <w:sz w:val="40"/>
          <w:szCs w:val="40"/>
        </w:rPr>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color w:val="000000"/>
          <w:sz w:val="40"/>
          <w:szCs w:val="40"/>
        </w:rPr>
        <w:t xml:space="preserve">合同条款及格式</w:t>
      </w:r>
      <w:r>
        <w:rPr>
          <w:sz w:val="40"/>
          <w:szCs w:val="40"/>
        </w:rPr>
      </w:r>
      <w:r/>
    </w:p>
    <w:p>
      <w:pPr>
        <w:numPr>
          <w:ilvl w:val="0"/>
          <w:numId w:val="10"/>
        </w:numPr>
        <w:jc w:val="both"/>
        <w:spacing w:before="0" w:after="0" w:line="213" w:lineRule="atLeast"/>
        <w:tabs>
          <w:tab w:val="left" w:pos="1440" w:leader="none"/>
        </w:tabs>
        <w:rPr>
          <w:sz w:val="40"/>
          <w:szCs w:val="40"/>
        </w:rPr>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color w:val="000000"/>
          <w:sz w:val="40"/>
          <w:szCs w:val="40"/>
        </w:rPr>
        <w:t xml:space="preserve">项目需求</w:t>
      </w:r>
      <w:r>
        <w:rPr>
          <w:sz w:val="40"/>
          <w:szCs w:val="40"/>
        </w:rPr>
      </w:r>
      <w:r/>
    </w:p>
    <w:p>
      <w:pPr>
        <w:numPr>
          <w:ilvl w:val="0"/>
          <w:numId w:val="10"/>
        </w:numPr>
        <w:jc w:val="both"/>
        <w:spacing w:before="0" w:after="0" w:line="213" w:lineRule="atLeast"/>
        <w:tabs>
          <w:tab w:val="left" w:pos="1440" w:leader="none"/>
        </w:tabs>
        <w:rPr>
          <w:sz w:val="40"/>
          <w:szCs w:val="40"/>
        </w:rPr>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color w:val="000000"/>
          <w:sz w:val="40"/>
          <w:szCs w:val="40"/>
        </w:rPr>
        <w:t xml:space="preserve">评标方法与评标标准</w:t>
      </w:r>
      <w:r>
        <w:rPr>
          <w:sz w:val="40"/>
          <w:szCs w:val="40"/>
        </w:rPr>
      </w:r>
      <w:r/>
    </w:p>
    <w:p>
      <w:pPr>
        <w:numPr>
          <w:ilvl w:val="0"/>
          <w:numId w:val="10"/>
        </w:numPr>
        <w:jc w:val="both"/>
        <w:spacing w:before="0" w:after="0" w:line="213" w:lineRule="atLeast"/>
        <w:tabs>
          <w:tab w:val="left" w:pos="1440" w:leader="none"/>
        </w:tabs>
        <w:rPr>
          <w:sz w:val="40"/>
          <w:szCs w:val="40"/>
        </w:rPr>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color w:val="000000"/>
          <w:sz w:val="40"/>
          <w:szCs w:val="40"/>
        </w:rPr>
        <w:t xml:space="preserve">投标文件格式</w:t>
      </w:r>
      <w:r>
        <w:rPr>
          <w:sz w:val="40"/>
          <w:szCs w:val="40"/>
        </w:rPr>
      </w:r>
      <w:r/>
    </w:p>
    <w:p>
      <w:pPr>
        <w:ind w:left="0" w:right="0" w:firstLine="0"/>
        <w:jc w:val="both"/>
        <w:spacing w:before="0" w:after="0" w:line="213" w:lineRule="atLeast"/>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color w:val="000000"/>
          <w:sz w:val="21"/>
        </w:rPr>
        <w:t xml:space="preserve"> </w:t>
      </w:r>
      <w:r>
        <w:rPr>
          <w:rFonts w:ascii="Times New Roman" w:hAnsi="Times New Roman" w:eastAsia="Times New Roman" w:cs="Times New Roman"/>
          <w:sz w:val="21"/>
        </w:rPr>
      </w:r>
      <w:r/>
    </w:p>
    <w:p>
      <w:pPr>
        <w:ind w:left="0" w:right="0" w:firstLine="0"/>
        <w:jc w:val="center"/>
        <w:spacing w:before="240" w:after="240" w:line="99" w:lineRule="atLeast"/>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color w:val="000000"/>
          <w:sz w:val="44"/>
          <w:highlight w:val="none"/>
        </w:rPr>
      </w:r>
      <w:r>
        <w:rPr>
          <w:rFonts w:ascii="DengXian Light" w:hAnsi="DengXian Light" w:eastAsia="DengXian Light" w:cs="DengXian Light"/>
          <w:color w:val="000000"/>
          <w:sz w:val="44"/>
          <w:highlight w:val="none"/>
        </w:rPr>
      </w:r>
    </w:p>
    <w:p>
      <w:pPr>
        <w:ind w:left="0" w:right="0" w:firstLine="0"/>
        <w:jc w:val="center"/>
        <w:spacing w:before="240" w:after="240" w:line="99" w:lineRule="atLeast"/>
        <w:rPr>
          <w:rFonts w:ascii="DengXian Light" w:hAnsi="DengXian Light" w:eastAsia="DengXian Light" w:cs="DengXian Light"/>
          <w:color w:val="000000"/>
          <w:sz w:val="44"/>
          <w:szCs w:val="44"/>
          <w:highlight w:val="none"/>
        </w:rPr>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color w:val="000000"/>
          <w:sz w:val="44"/>
          <w:highlight w:val="none"/>
        </w:rPr>
      </w:r>
      <w:r>
        <w:rPr>
          <w:rFonts w:ascii="DengXian Light" w:hAnsi="DengXian Light" w:eastAsia="DengXian Light" w:cs="DengXian Light"/>
          <w:color w:val="000000"/>
          <w:sz w:val="44"/>
          <w:highlight w:val="none"/>
        </w:rPr>
      </w:r>
    </w:p>
    <w:p>
      <w:pPr>
        <w:ind w:left="0" w:right="0" w:firstLine="0"/>
        <w:jc w:val="center"/>
        <w:spacing w:before="240" w:after="240" w:line="99" w:lineRule="atLeast"/>
        <w:rPr>
          <w:rFonts w:ascii="DengXian Light" w:hAnsi="DengXian Light" w:eastAsia="DengXian Light" w:cs="DengXian Light"/>
          <w:color w:val="000000"/>
          <w:sz w:val="44"/>
          <w:szCs w:val="44"/>
          <w:highlight w:val="none"/>
        </w:rPr>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color w:val="000000"/>
          <w:sz w:val="44"/>
          <w:highlight w:val="none"/>
        </w:rPr>
      </w:r>
      <w:r>
        <w:rPr>
          <w:rFonts w:ascii="DengXian Light" w:hAnsi="DengXian Light" w:eastAsia="DengXian Light" w:cs="DengXian Light"/>
          <w:color w:val="000000"/>
          <w:sz w:val="44"/>
          <w:highlight w:val="none"/>
        </w:rPr>
      </w:r>
    </w:p>
    <w:p>
      <w:pPr>
        <w:ind w:left="0" w:right="0" w:firstLine="0"/>
        <w:jc w:val="center"/>
        <w:spacing w:before="240" w:after="240" w:line="99" w:lineRule="atLeast"/>
        <w:rPr>
          <w:rFonts w:ascii="DengXian Light" w:hAnsi="DengXian Light" w:eastAsia="DengXian Light" w:cs="DengXian Light"/>
          <w:color w:val="000000"/>
          <w:sz w:val="44"/>
          <w:szCs w:val="44"/>
          <w:highlight w:val="none"/>
        </w:rPr>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color w:val="000000"/>
          <w:sz w:val="44"/>
          <w:highlight w:val="none"/>
        </w:rPr>
      </w:r>
      <w:r>
        <w:rPr>
          <w:rFonts w:ascii="DengXian Light" w:hAnsi="DengXian Light" w:eastAsia="DengXian Light" w:cs="DengXian Light"/>
          <w:color w:val="000000"/>
          <w:sz w:val="44"/>
          <w:highlight w:val="none"/>
        </w:rPr>
      </w:r>
    </w:p>
    <w:p>
      <w:pPr>
        <w:ind w:left="0" w:right="0" w:firstLine="0"/>
        <w:jc w:val="center"/>
        <w:spacing w:before="240" w:after="240" w:line="99" w:lineRule="atLeast"/>
        <w:rPr>
          <w:rFonts w:ascii="DengXian Light" w:hAnsi="DengXian Light" w:eastAsia="DengXian Light" w:cs="DengXian Light"/>
          <w:color w:val="000000"/>
          <w:sz w:val="44"/>
          <w:szCs w:val="44"/>
          <w:highlight w:val="none"/>
        </w:rPr>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color w:val="000000"/>
          <w:sz w:val="44"/>
          <w:highlight w:val="none"/>
        </w:rPr>
      </w:r>
      <w:r>
        <w:rPr>
          <w:rFonts w:ascii="DengXian Light" w:hAnsi="DengXian Light" w:eastAsia="DengXian Light" w:cs="DengXian Light"/>
          <w:color w:val="000000"/>
          <w:sz w:val="44"/>
          <w:highlight w:val="none"/>
        </w:rPr>
      </w:r>
    </w:p>
    <w:p>
      <w:pPr>
        <w:ind w:left="0" w:right="0" w:firstLine="0"/>
        <w:jc w:val="center"/>
        <w:spacing w:before="240" w:after="240" w:line="99" w:lineRule="atLeast"/>
        <w:rPr>
          <w:rFonts w:ascii="DengXian Light" w:hAnsi="DengXian Light" w:eastAsia="DengXian Light" w:cs="DengXian Light"/>
          <w:color w:val="000000"/>
          <w:sz w:val="44"/>
          <w:szCs w:val="44"/>
          <w:highlight w:val="none"/>
        </w:rPr>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color w:val="000000"/>
          <w:sz w:val="44"/>
          <w:highlight w:val="none"/>
        </w:rPr>
      </w:r>
      <w:r>
        <w:rPr>
          <w:rFonts w:ascii="DengXian Light" w:hAnsi="DengXian Light" w:eastAsia="DengXian Light" w:cs="DengXian Light"/>
          <w:color w:val="000000"/>
          <w:sz w:val="44"/>
          <w:highlight w:val="none"/>
        </w:rPr>
      </w:r>
    </w:p>
    <w:p>
      <w:pPr>
        <w:ind w:left="0" w:right="0" w:firstLine="0"/>
        <w:jc w:val="center"/>
        <w:spacing w:before="240" w:after="240" w:line="99" w:lineRule="atLeast"/>
        <w:rPr>
          <w:rFonts w:ascii="DengXian Light" w:hAnsi="DengXian Light" w:eastAsia="DengXian Light" w:cs="DengXian Light"/>
          <w:color w:val="000000"/>
          <w:sz w:val="44"/>
          <w:szCs w:val="44"/>
          <w:highlight w:val="none"/>
        </w:rPr>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color w:val="000000"/>
          <w:sz w:val="44"/>
          <w:highlight w:val="none"/>
        </w:rPr>
      </w:r>
      <w:r>
        <w:rPr>
          <w:rFonts w:ascii="DengXian Light" w:hAnsi="DengXian Light" w:eastAsia="DengXian Light" w:cs="DengXian Light"/>
          <w:color w:val="000000"/>
          <w:sz w:val="44"/>
          <w:highlight w:val="none"/>
        </w:rPr>
      </w:r>
    </w:p>
    <w:p>
      <w:pPr>
        <w:ind w:left="0" w:right="0" w:firstLine="0"/>
        <w:jc w:val="center"/>
        <w:spacing w:before="240" w:after="240" w:line="99" w:lineRule="atLeast"/>
        <w:rPr>
          <w:rFonts w:ascii="DengXian Light" w:hAnsi="DengXian Light" w:eastAsia="DengXian Light" w:cs="DengXian Light"/>
          <w:color w:val="000000"/>
          <w:sz w:val="44"/>
          <w:szCs w:val="44"/>
          <w:highlight w:val="none"/>
        </w:rPr>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color w:val="000000"/>
          <w:sz w:val="44"/>
          <w:highlight w:val="none"/>
        </w:rPr>
      </w:r>
      <w:r>
        <w:rPr>
          <w:rFonts w:ascii="DengXian Light" w:hAnsi="DengXian Light" w:eastAsia="DengXian Light" w:cs="DengXian Light"/>
          <w:color w:val="000000"/>
          <w:sz w:val="44"/>
          <w:highlight w:val="none"/>
        </w:rPr>
      </w:r>
    </w:p>
    <w:p>
      <w:pPr>
        <w:ind w:left="0" w:right="0" w:firstLine="0"/>
        <w:jc w:val="center"/>
        <w:spacing w:before="240" w:after="240" w:line="99" w:lineRule="atLeast"/>
        <w:rPr>
          <w:rFonts w:ascii="DengXian Light" w:hAnsi="DengXian Light" w:eastAsia="DengXian Light" w:cs="DengXian Light"/>
          <w:color w:val="000000"/>
          <w:sz w:val="44"/>
          <w:szCs w:val="44"/>
          <w:highlight w:val="none"/>
        </w:rPr>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color w:val="000000"/>
          <w:sz w:val="44"/>
          <w:highlight w:val="none"/>
        </w:rPr>
      </w:r>
      <w:r>
        <w:rPr>
          <w:rFonts w:ascii="DengXian Light" w:hAnsi="DengXian Light" w:eastAsia="DengXian Light" w:cs="DengXian Light"/>
          <w:color w:val="000000"/>
          <w:sz w:val="44"/>
          <w:highlight w:val="none"/>
        </w:rPr>
      </w:r>
    </w:p>
    <w:p>
      <w:pPr>
        <w:ind w:left="0" w:right="0" w:firstLine="0"/>
        <w:jc w:val="center"/>
        <w:spacing w:before="240" w:after="240" w:line="99" w:lineRule="atLeast"/>
        <w:rPr>
          <w:rFonts w:ascii="DengXian Light" w:hAnsi="DengXian Light" w:eastAsia="DengXian Light" w:cs="DengXian Light"/>
          <w:color w:val="000000"/>
          <w:sz w:val="44"/>
          <w:szCs w:val="44"/>
          <w:highlight w:val="none"/>
        </w:rPr>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color w:val="000000"/>
          <w:sz w:val="44"/>
          <w:highlight w:val="none"/>
        </w:rPr>
      </w:r>
      <w:r>
        <w:rPr>
          <w:rFonts w:ascii="DengXian Light" w:hAnsi="DengXian Light" w:eastAsia="DengXian Light" w:cs="DengXian Light"/>
          <w:color w:val="000000"/>
          <w:sz w:val="44"/>
          <w:highlight w:val="none"/>
        </w:rPr>
      </w:r>
    </w:p>
    <w:p>
      <w:pPr>
        <w:ind w:left="0" w:right="0" w:firstLine="0"/>
        <w:jc w:val="center"/>
        <w:spacing w:before="240" w:after="240" w:line="99" w:lineRule="atLeast"/>
        <w:rPr>
          <w:rFonts w:ascii="DengXian Light" w:hAnsi="DengXian Light" w:eastAsia="DengXian Light" w:cs="DengXian Light"/>
          <w:color w:val="000000"/>
          <w:sz w:val="44"/>
          <w:szCs w:val="44"/>
          <w:highlight w:val="none"/>
        </w:rPr>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color w:val="000000"/>
          <w:sz w:val="44"/>
        </w:rPr>
        <w:t xml:space="preserve">第一章  招标公告</w:t>
      </w:r>
      <w:r/>
    </w:p>
    <w:p>
      <w:pPr>
        <w:ind w:left="0" w:right="0" w:firstLine="480"/>
        <w:jc w:val="both"/>
        <w:spacing w:before="0" w:after="0" w:line="99" w:lineRule="atLeast"/>
        <w:pBdr>
          <w:top w:val="single" w:color="000000" w:sz="4" w:space="0"/>
          <w:left w:val="single" w:color="000000" w:sz="4" w:space="0"/>
          <w:bottom w:val="single" w:color="000000" w:sz="4" w:space="0"/>
          <w:right w:val="single" w:color="000000" w:sz="4" w:space="0"/>
        </w:pBdr>
      </w:pPr>
      <w:r>
        <w:rPr>
          <w:rFonts w:ascii="DengXian Light" w:hAnsi="DengXian Light" w:eastAsia="DengXian Light" w:cs="DengXian Light"/>
          <w:color w:val="000000"/>
          <w:sz w:val="24"/>
        </w:rPr>
        <w:t xml:space="preserve">项目概况</w:t>
      </w:r>
      <w:r/>
    </w:p>
    <w:p>
      <w:pPr>
        <w:ind w:left="0" w:right="0" w:firstLine="480"/>
        <w:jc w:val="both"/>
        <w:spacing w:before="0" w:after="0" w:line="99" w:lineRule="atLeast"/>
        <w:pBdr>
          <w:top w:val="single" w:color="000000" w:sz="4" w:space="0"/>
          <w:left w:val="single" w:color="000000" w:sz="4" w:space="0"/>
          <w:bottom w:val="single" w:color="000000" w:sz="4" w:space="0"/>
          <w:right w:val="single" w:color="000000" w:sz="4" w:space="0"/>
        </w:pBdr>
      </w:pPr>
      <w:r>
        <w:rPr>
          <w:rFonts w:ascii="DengXian Light" w:hAnsi="DengXian Light" w:eastAsia="DengXian Light" w:cs="DengXian Light"/>
          <w:color w:val="000000"/>
          <w:sz w:val="24"/>
          <w:u w:val="single"/>
        </w:rPr>
        <w:t xml:space="preserve">滨海县农业综合行政执法局渔政船、32526执法艇维护运行保养项目</w:t>
      </w:r>
      <w:r>
        <w:rPr>
          <w:rFonts w:ascii="DengXian Light" w:hAnsi="DengXian Light" w:eastAsia="DengXian Light" w:cs="DengXian Light"/>
          <w:color w:val="000000"/>
          <w:sz w:val="24"/>
        </w:rPr>
        <w:t xml:space="preserve">的潜在投标人应在</w:t>
      </w:r>
      <w:r>
        <w:rPr>
          <w:rFonts w:ascii="DengXian Light" w:hAnsi="DengXian Light" w:eastAsia="DengXian Light" w:cs="DengXian Light"/>
          <w:color w:val="000000"/>
          <w:sz w:val="24"/>
          <w:u w:val="single"/>
        </w:rPr>
        <w:t xml:space="preserve">“中国政府采购网”、“江苏政府采购网、盐城市政府采购网”获取招标文件，并于2024年8月15日9时整（</w:t>
      </w:r>
      <w:r>
        <w:rPr>
          <w:rFonts w:ascii="DengXian Light" w:hAnsi="DengXian Light" w:eastAsia="DengXian Light" w:cs="DengXian Light"/>
          <w:color w:val="000000"/>
          <w:sz w:val="24"/>
        </w:rPr>
        <w:t xml:space="preserve">北京时间）前递交投标文件。</w:t>
      </w:r>
      <w:r/>
    </w:p>
    <w:p>
      <w:pPr>
        <w:ind w:left="0" w:right="0" w:firstLine="480"/>
        <w:spacing w:before="240" w:after="240" w:line="99" w:lineRule="atLeast"/>
        <w:tabs>
          <w:tab w:val="left" w:pos="3165" w:leader="none"/>
          <w:tab w:val="left" w:pos="4153" w:leader="none"/>
        </w:tabs>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color w:val="000000"/>
          <w:sz w:val="24"/>
        </w:rPr>
        <w:t xml:space="preserve">一、项目基本情况</w:t>
      </w:r>
      <w:r/>
    </w:p>
    <w:p>
      <w:pPr>
        <w:ind w:left="0" w:right="0" w:firstLine="480"/>
        <w:jc w:val="both"/>
        <w:spacing w:before="0" w:after="0" w:line="99" w:lineRule="atLeast"/>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color w:val="000000"/>
          <w:sz w:val="24"/>
        </w:rPr>
        <w:t xml:space="preserve">1.项目编号： JSZC-320922-ZQYC-G2024-0010</w:t>
      </w:r>
      <w:r/>
    </w:p>
    <w:p>
      <w:pPr>
        <w:ind w:left="0" w:right="0" w:firstLine="480"/>
        <w:jc w:val="both"/>
        <w:spacing w:before="0" w:after="0" w:line="99" w:lineRule="atLeast"/>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color w:val="000000"/>
          <w:sz w:val="24"/>
        </w:rPr>
        <w:t xml:space="preserve">2.项目名称：滨海县农业综合行政执法局渔政船、32526执法艇维护运行保养项目；</w:t>
      </w:r>
      <w:r/>
    </w:p>
    <w:p>
      <w:pPr>
        <w:ind w:left="0" w:right="0" w:firstLine="480"/>
        <w:jc w:val="both"/>
        <w:spacing w:before="0" w:after="0" w:line="99" w:lineRule="atLeast"/>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color w:val="000000"/>
          <w:sz w:val="24"/>
        </w:rPr>
        <w:t xml:space="preserve">3.预算金额（即最高限价）：人民币96万元；</w:t>
      </w:r>
      <w:r/>
    </w:p>
    <w:p>
      <w:pPr>
        <w:ind w:left="0" w:right="0" w:firstLine="480"/>
        <w:jc w:val="both"/>
        <w:spacing w:before="0" w:after="0" w:line="99" w:lineRule="atLeast"/>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color w:val="000000"/>
          <w:sz w:val="24"/>
        </w:rPr>
        <w:t xml:space="preserve">4.采购需求：滨海县农业综合行政执法局渔政船、32526执法艇维护运行保养项目，共一个包件，具体包含但不限于：中国渔政32526号的船体部分:船体上，下排，喷砂，喷漆，水下壳板及舱面舾装件整修保养等，内部整修，更换部分设施设备；轮机部分：主、副机三级保养，重换齿轮箱,机舱管阀系大保养,轴舵系保养；电器部分:全船发电机系统保养，再换电缆、灯具，通导设备检测、调试，部分更换；全船教生消防设备整修:救生设备养护、检测，部分更换等。具体详细内容见本招标文件第四章；             </w:t>
      </w:r>
      <w:r/>
    </w:p>
    <w:p>
      <w:pPr>
        <w:ind w:left="0" w:right="0" w:firstLine="480"/>
        <w:jc w:val="both"/>
        <w:spacing w:before="0" w:after="0" w:line="99" w:lineRule="atLeast"/>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color w:val="000000"/>
          <w:sz w:val="24"/>
        </w:rPr>
        <w:t xml:space="preserve">5.项目地点：采购人指定送达整修地点；</w:t>
      </w:r>
      <w:r/>
    </w:p>
    <w:p>
      <w:pPr>
        <w:ind w:left="0" w:right="0" w:firstLine="480"/>
        <w:jc w:val="both"/>
        <w:spacing w:before="0" w:after="0" w:line="99" w:lineRule="atLeast"/>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color w:val="000000"/>
          <w:sz w:val="24"/>
        </w:rPr>
        <w:t xml:space="preserve">6.质量标准：合格；</w:t>
      </w:r>
      <w:r/>
    </w:p>
    <w:p>
      <w:pPr>
        <w:ind w:left="0" w:right="0" w:firstLine="480"/>
        <w:jc w:val="both"/>
        <w:spacing w:before="0" w:after="0" w:line="99" w:lineRule="atLeast"/>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color w:val="000000"/>
          <w:sz w:val="24"/>
        </w:rPr>
        <w:t xml:space="preserve">7.合同履行期限：60日历天；</w:t>
      </w:r>
      <w:r/>
    </w:p>
    <w:p>
      <w:pPr>
        <w:ind w:left="0" w:right="0" w:firstLine="480"/>
        <w:jc w:val="both"/>
        <w:spacing w:before="0" w:after="0" w:line="99" w:lineRule="atLeast"/>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color w:val="000000"/>
          <w:sz w:val="24"/>
        </w:rPr>
        <w:t xml:space="preserve">8.质量保修期：一年。</w:t>
      </w:r>
      <w:r/>
    </w:p>
    <w:p>
      <w:pPr>
        <w:ind w:left="0" w:right="0" w:firstLine="480"/>
        <w:jc w:val="both"/>
        <w:spacing w:before="0" w:after="0" w:line="99" w:lineRule="atLeast"/>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color w:val="000000"/>
          <w:sz w:val="24"/>
        </w:rPr>
        <w:t xml:space="preserve">二、申请人的资格要求：</w:t>
      </w:r>
      <w:r/>
    </w:p>
    <w:p>
      <w:pPr>
        <w:ind w:left="0" w:right="0" w:firstLine="480"/>
        <w:jc w:val="both"/>
        <w:spacing w:before="0" w:after="0" w:line="99" w:lineRule="atLeast"/>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color w:val="000000"/>
          <w:sz w:val="24"/>
        </w:rPr>
        <w:t xml:space="preserve">1.满足《中华人民共和国政府采购法》第二十二条规定，并提供下列材料；</w:t>
      </w:r>
      <w:r/>
    </w:p>
    <w:p>
      <w:pPr>
        <w:ind w:left="0" w:right="0" w:firstLine="600"/>
        <w:jc w:val="both"/>
        <w:spacing w:before="0" w:after="0" w:line="99" w:lineRule="atLeast"/>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color w:val="000000"/>
          <w:sz w:val="24"/>
        </w:rPr>
        <w:t xml:space="preserve">(1)法人或者其他组织的营业执照等证明文件，自然人的身份证明；</w:t>
      </w:r>
      <w:r/>
    </w:p>
    <w:p>
      <w:pPr>
        <w:ind w:left="0" w:right="0" w:firstLine="480"/>
        <w:jc w:val="both"/>
        <w:spacing w:before="0" w:after="0" w:line="99" w:lineRule="atLeast"/>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color w:val="000000"/>
          <w:sz w:val="24"/>
        </w:rPr>
        <w:t xml:space="preserve"> (2)上一年度的财务报表（成立不满一年不需提供）；</w:t>
      </w:r>
      <w:r/>
    </w:p>
    <w:p>
      <w:pPr>
        <w:ind w:left="0" w:right="0" w:firstLine="600"/>
        <w:jc w:val="both"/>
        <w:spacing w:before="0" w:after="0" w:line="99" w:lineRule="atLeast"/>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color w:val="000000"/>
          <w:sz w:val="24"/>
        </w:rPr>
        <w:t xml:space="preserve">(3)依法缴纳税收和社会保障资金的相关材料；</w:t>
      </w:r>
      <w:r/>
    </w:p>
    <w:p>
      <w:pPr>
        <w:ind w:left="0" w:right="0" w:firstLine="480"/>
        <w:jc w:val="both"/>
        <w:spacing w:before="0" w:after="0" w:line="99" w:lineRule="atLeast"/>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color w:val="000000"/>
          <w:sz w:val="24"/>
        </w:rPr>
        <w:t xml:space="preserve"> (4)具备履行合同所必需的设备和专业技术能力的书面声明；</w:t>
      </w:r>
      <w:r/>
    </w:p>
    <w:p>
      <w:pPr>
        <w:ind w:left="0" w:right="0" w:firstLine="600"/>
        <w:jc w:val="both"/>
        <w:spacing w:before="0" w:after="0" w:line="99" w:lineRule="atLeast"/>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color w:val="000000"/>
          <w:sz w:val="24"/>
        </w:rPr>
        <w:t xml:space="preserve">(5)参加政府采购活动前3年内在经营活动中没有重大违法记录的书面声明；</w:t>
      </w:r>
      <w:r/>
    </w:p>
    <w:p>
      <w:pPr>
        <w:ind w:left="0" w:right="0" w:firstLine="480"/>
        <w:jc w:val="both"/>
        <w:spacing w:before="0" w:after="0" w:line="99" w:lineRule="atLeast"/>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color w:val="000000"/>
          <w:sz w:val="24"/>
        </w:rPr>
        <w:t xml:space="preserve">2.落实政府采购政策需满足的资格要求：</w:t>
      </w:r>
      <w:r/>
    </w:p>
    <w:p>
      <w:pPr>
        <w:ind w:left="0" w:right="0" w:firstLine="480"/>
        <w:jc w:val="both"/>
        <w:spacing w:before="0" w:after="0" w:line="99" w:lineRule="atLeast"/>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color w:val="000000"/>
          <w:sz w:val="24"/>
        </w:rPr>
        <w:t xml:space="preserve">本项目给予小微型企业、监狱企业或残疾人福利性单位报价20%的扣除，用扣除后的价格参加评审。价格扣除比例对小型企业和微型企业同等对待，不作区分。监狱企业、残疾人福利单位属于小型、微型企业的，不重复享受政策。具体中小企业划分标准详见《关于印发中小企业划型标准规定的通知》工信部联企业〔2011〕300号）。</w:t>
      </w:r>
      <w:r/>
    </w:p>
    <w:p>
      <w:pPr>
        <w:ind w:left="0" w:right="0" w:firstLine="480"/>
        <w:jc w:val="both"/>
        <w:spacing w:before="0" w:after="0" w:line="99" w:lineRule="atLeast"/>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color w:val="000000"/>
          <w:sz w:val="24"/>
        </w:rPr>
        <w:t xml:space="preserve">3.本项目的特定资格要求：</w:t>
      </w:r>
      <w:r/>
    </w:p>
    <w:p>
      <w:pPr>
        <w:ind w:left="0" w:right="0" w:firstLine="480"/>
        <w:jc w:val="both"/>
        <w:spacing w:before="0" w:after="0" w:line="99" w:lineRule="atLeast"/>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color w:val="000000"/>
          <w:sz w:val="24"/>
        </w:rPr>
        <w:t xml:space="preserve">（1）未被“信用中国”网站（www.creditchina.gov.cn）列入失信被执行人、重大税收违法失信主体、政府采购严重失信行为记录名单。</w:t>
      </w:r>
      <w:r/>
    </w:p>
    <w:p>
      <w:pPr>
        <w:ind w:left="0" w:right="0" w:firstLine="480"/>
        <w:jc w:val="both"/>
        <w:spacing w:before="0" w:after="0" w:line="99" w:lineRule="atLeast"/>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color w:val="000000"/>
          <w:sz w:val="24"/>
        </w:rPr>
        <w:t xml:space="preserve">（2）单位负责人为同一人或者存在直接控股、管理关系的不同供应商，不得参加同一合同项下的政府采购活动。</w:t>
      </w:r>
      <w:r/>
    </w:p>
    <w:p>
      <w:pPr>
        <w:ind w:left="0" w:right="0" w:firstLine="480"/>
        <w:jc w:val="both"/>
        <w:spacing w:before="0" w:after="0" w:line="99" w:lineRule="atLeast"/>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color w:val="000000"/>
          <w:sz w:val="24"/>
        </w:rPr>
        <w:t xml:space="preserve">（3）本项目</w:t>
      </w:r>
      <w:r>
        <w:rPr>
          <w:rFonts w:ascii="DengXian Light" w:hAnsi="DengXian Light" w:eastAsia="DengXian Light" w:cs="DengXian Light"/>
          <w:color w:val="000000"/>
          <w:sz w:val="24"/>
          <w:u w:val="single"/>
        </w:rPr>
        <w:t xml:space="preserve">不接受</w:t>
      </w:r>
      <w:r>
        <w:rPr>
          <w:rFonts w:ascii="DengXian Light" w:hAnsi="DengXian Light" w:eastAsia="DengXian Light" w:cs="DengXian Light"/>
          <w:color w:val="000000"/>
          <w:sz w:val="24"/>
        </w:rPr>
        <w:t xml:space="preserve">联合体投标。</w:t>
      </w:r>
      <w:r/>
    </w:p>
    <w:p>
      <w:pPr>
        <w:ind w:left="0" w:right="0" w:firstLine="480"/>
        <w:spacing w:before="240" w:after="240" w:line="99" w:lineRule="atLeast"/>
        <w:tabs>
          <w:tab w:val="left" w:pos="3165" w:leader="none"/>
          <w:tab w:val="left" w:pos="4153" w:leader="none"/>
        </w:tabs>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color w:val="000000"/>
          <w:sz w:val="24"/>
        </w:rPr>
        <w:t xml:space="preserve">三、获取招标文件</w:t>
      </w:r>
      <w:r/>
    </w:p>
    <w:p>
      <w:pPr>
        <w:ind w:left="0" w:right="0" w:firstLine="480"/>
        <w:jc w:val="both"/>
        <w:spacing w:before="0" w:after="0" w:line="99" w:lineRule="atLeast"/>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color w:val="000000"/>
          <w:sz w:val="24"/>
        </w:rPr>
        <w:t xml:space="preserve">1.时间：2024年7月25日8：30至2024年8月1日17：00。（北京时间，法定节假日除外）。</w:t>
      </w:r>
      <w:r/>
    </w:p>
    <w:p>
      <w:pPr>
        <w:ind w:left="0" w:right="0" w:firstLine="480"/>
        <w:jc w:val="both"/>
        <w:spacing w:before="0" w:after="0" w:line="99" w:lineRule="atLeast"/>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color w:val="000000"/>
          <w:sz w:val="24"/>
        </w:rPr>
        <w:t xml:space="preserve">2、获取方式：投标人代表或授权委托人凭【单位介绍信或授权委托书(须加盖单位公章,注明投标人代表或授权委托人姓名、手机号码、电子邮箱)、营业执照、投标人代表(或授权委托人)身份证】原件的电子扫描或截图件,通过电子邮件的方式在上述规定时间发至邮箱1158118797@qq.com,方可获取招标文件。发送电子邮件后请即刻电话告知代理公司(联系人：高先生；联系方式:15950201008)查收并确认,因电子邮件发送失败等原因造成代理公司未收到电子邮件的,责任由投标人自负。未能成功获取招标文件的潜在投标人投标无效。 </w:t>
      </w:r>
      <w:r/>
    </w:p>
    <w:p>
      <w:pPr>
        <w:ind w:left="0" w:right="0" w:firstLine="480"/>
        <w:jc w:val="both"/>
        <w:spacing w:before="0" w:after="0" w:line="99" w:lineRule="atLeast"/>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color w:val="000000"/>
          <w:sz w:val="24"/>
        </w:rPr>
        <w:t xml:space="preserve">四、提交投标文件截止时间、开标时间和地点</w:t>
      </w:r>
      <w:r/>
    </w:p>
    <w:p>
      <w:pPr>
        <w:ind w:left="0" w:right="0" w:firstLine="480"/>
        <w:jc w:val="both"/>
        <w:spacing w:before="0" w:after="0" w:line="99" w:lineRule="atLeast"/>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color w:val="000000"/>
          <w:sz w:val="24"/>
        </w:rPr>
        <w:t xml:space="preserve">时间：2024年8月15日9时整（北京时间）</w:t>
      </w:r>
      <w:r/>
    </w:p>
    <w:p>
      <w:pPr>
        <w:ind w:left="0" w:right="0" w:firstLine="480"/>
        <w:jc w:val="both"/>
        <w:spacing w:before="0" w:after="0" w:line="99" w:lineRule="atLeast"/>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color w:val="000000"/>
          <w:sz w:val="24"/>
        </w:rPr>
        <w:t xml:space="preserve">地点: 滨海县育才路166号滨海县政务服务中心二楼G区2202开标室</w:t>
      </w:r>
      <w:r/>
    </w:p>
    <w:p>
      <w:pPr>
        <w:ind w:left="0" w:right="0" w:firstLine="480"/>
        <w:spacing w:before="240" w:after="240" w:line="499" w:lineRule="atLeast"/>
        <w:tabs>
          <w:tab w:val="left" w:pos="3165" w:leader="none"/>
          <w:tab w:val="left" w:pos="4153" w:leader="none"/>
        </w:tabs>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color w:val="000000"/>
          <w:sz w:val="24"/>
        </w:rPr>
        <w:t xml:space="preserve">五、公告期限</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color w:val="000000"/>
          <w:sz w:val="24"/>
        </w:rPr>
        <w:t xml:space="preserve">自本公告发布之日起5个工作日。</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color w:val="000000"/>
          <w:sz w:val="24"/>
        </w:rPr>
        <w:t xml:space="preserve">六、其他补充事宜</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color w:val="000000"/>
          <w:sz w:val="24"/>
        </w:rPr>
        <w:t xml:space="preserve">1.各投标人在投标截止时间前应当每天都上网查询，以便获取更新的澄清、修改、补充内容。凡涉及到该项目的补充说明和修改，均以江苏政府采购网上的更正或补充通知为准。</w:t>
      </w:r>
      <w:r/>
    </w:p>
    <w:p>
      <w:pPr>
        <w:ind w:left="0" w:right="0" w:firstLine="480"/>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color w:val="000000"/>
          <w:sz w:val="24"/>
        </w:rPr>
        <w:t xml:space="preserve">2.投标人如在投标过程中存在以下行为，将被列入不良行为记录名单。</w:t>
      </w:r>
      <w:r/>
    </w:p>
    <w:p>
      <w:pPr>
        <w:ind w:left="0" w:right="0" w:firstLine="480"/>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color w:val="000000"/>
          <w:sz w:val="24"/>
        </w:rPr>
        <w:t xml:space="preserve">2.1提供虚假材料谋取中标成交的或采取不正当手段诋毁、排挤其他供应商的；</w:t>
      </w:r>
      <w:r/>
    </w:p>
    <w:p>
      <w:pPr>
        <w:ind w:left="0" w:right="0" w:firstLine="480"/>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color w:val="000000"/>
          <w:sz w:val="24"/>
        </w:rPr>
        <w:t xml:space="preserve">2.2投标人递交无竞争力投标文件的。</w:t>
      </w:r>
      <w:r/>
    </w:p>
    <w:p>
      <w:pPr>
        <w:ind w:left="0" w:right="0" w:firstLine="480"/>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color w:val="000000"/>
          <w:sz w:val="24"/>
        </w:rPr>
        <w:t xml:space="preserve">3.投标人存在串通投标、以他人名义投标、弄虚作假等违法违规行为，或者无正当理由放弃投标、中标资格，造成项目招标失败的，不得参加该项目重新招标的投标。</w:t>
      </w:r>
      <w:r/>
    </w:p>
    <w:p>
      <w:pPr>
        <w:ind w:left="0" w:right="0" w:firstLine="480"/>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color w:val="000000"/>
          <w:sz w:val="24"/>
        </w:rPr>
        <w:t xml:space="preserve">4.因供应商的系统环境、操作等原因导致报名、开评标过程中出现问题由供应商自行承担负责。</w:t>
      </w:r>
      <w:r/>
    </w:p>
    <w:p>
      <w:pPr>
        <w:ind w:left="0" w:right="0" w:firstLine="480"/>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color w:val="000000"/>
          <w:sz w:val="24"/>
        </w:rPr>
        <w:t xml:space="preserve">5.本项目不收取投标保证金，不收取质量保证金。</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color w:val="000000"/>
          <w:sz w:val="24"/>
        </w:rPr>
        <w:t xml:space="preserve">6.本项目落实小微型企业扶持政府采购政策（详见招标文件）。</w:t>
      </w:r>
      <w:r/>
    </w:p>
    <w:p>
      <w:pPr>
        <w:ind w:left="0" w:right="117" w:firstLine="439"/>
        <w:spacing w:before="232" w:after="0" w:line="102" w:lineRule="atLeast"/>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color w:val="000000"/>
          <w:sz w:val="24"/>
        </w:rPr>
        <w:t xml:space="preserve">7.付款方式：本项目采购合同签订后，支付合同总价的30%作为预付款(支付预付款时，中标人须提供银行的预付款保函);中标人根据招标人要求维修结束并经招标人验收合格后付至合同价的50%;正常使用三个月后付至合同价的97%；余款在质保期满后一次性结清。需要提供税务发票进行结算。</w:t>
      </w:r>
      <w:r/>
    </w:p>
    <w:p>
      <w:pPr>
        <w:ind w:left="0" w:right="0" w:firstLine="480"/>
        <w:spacing w:before="240" w:after="240" w:line="499" w:lineRule="atLeast"/>
        <w:tabs>
          <w:tab w:val="left" w:pos="3165" w:leader="none"/>
          <w:tab w:val="left" w:pos="4153" w:leader="none"/>
        </w:tabs>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color w:val="000000"/>
          <w:sz w:val="24"/>
        </w:rPr>
        <w:t xml:space="preserve">七、对本次招标提出询问，请按以下方式联系。</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color w:val="000000"/>
          <w:sz w:val="24"/>
        </w:rPr>
        <w:t xml:space="preserve">1.采购人信息</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color w:val="000000"/>
          <w:sz w:val="24"/>
        </w:rPr>
        <w:t xml:space="preserve">名    称：滨海县农业综合行政执法局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color w:val="000000"/>
          <w:sz w:val="24"/>
        </w:rPr>
        <w:t xml:space="preserve">联 系 人：刘女士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color w:val="000000"/>
          <w:sz w:val="24"/>
        </w:rPr>
        <w:t xml:space="preserve">联系电话：13905118163</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color w:val="000000"/>
          <w:sz w:val="24"/>
        </w:rPr>
        <w:t xml:space="preserve">2、采购代理机构信息</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color w:val="000000"/>
          <w:sz w:val="24"/>
        </w:rPr>
        <w:t xml:space="preserve">名    称：盐城市智强项目管理有限公司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color w:val="000000"/>
          <w:sz w:val="24"/>
        </w:rPr>
        <w:t xml:space="preserve">地　　址：滨海县政务服务中心二楼G区2202室</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color w:val="000000"/>
          <w:sz w:val="24"/>
        </w:rPr>
        <w:t xml:space="preserve">联 系 人：高先生</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color w:val="000000"/>
          <w:sz w:val="24"/>
        </w:rPr>
        <w:t xml:space="preserve">联系电话：15950201008</w:t>
      </w:r>
      <w:r/>
    </w:p>
    <w:p>
      <w:pPr>
        <w:ind w:left="0" w:right="0" w:firstLine="480"/>
        <w:spacing w:before="0" w:after="0" w:line="99" w:lineRule="atLeast"/>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color w:val="000000"/>
          <w:sz w:val="24"/>
        </w:rPr>
        <w:t xml:space="preserve">邮    箱：1158118797@qq.com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font>
  <w:font w:name="Symbol">
    <w:panose1 w:val="05050102010706020507"/>
  </w:font>
  <w:font w:name="DengXian Light">
    <w:panose1 w:val="02010600030101010101"/>
  </w:font>
  <w:font w:name="Wingdings">
    <w:panose1 w:val="05000000000000000000"/>
  </w:font>
  <w:font w:name="Courier New">
    <w:panose1 w:val="02070309020205020404"/>
  </w:font>
  <w:font w:name="SimHei">
    <w:panose1 w:val="02010609060101010101"/>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w:lvlJc w:val="left"/>
      <w:pPr>
        <w:ind w:left="1440" w:hanging="1440"/>
      </w:pPr>
      <w:rPr>
        <w:rFonts w:ascii="SimHei" w:hAnsi="SimHei" w:eastAsia="SimHei" w:cs="SimHei"/>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6"/>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4"/>
      <w:numFmt w:val="decimal"/>
      <w:isLgl w:val="false"/>
      <w:suff w:val="tab"/>
      <w:lvlText w:val="第%1章"/>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第%1章"/>
      <w:lvlJc w:val="left"/>
      <w:pPr>
        <w:ind w:left="1440" w:hanging="1440"/>
      </w:pPr>
      <w:rPr>
        <w:rFonts w:ascii="SimHei" w:hAnsi="SimHei" w:eastAsia="SimHei" w:cs="SimHei"/>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4">
    <w:name w:val="Heading 1"/>
    <w:link w:val="655"/>
    <w:uiPriority w:val="9"/>
    <w:qFormat/>
    <w:pPr>
      <w:keepLines/>
      <w:keepNext/>
      <w:spacing w:before="480" w:after="200"/>
      <w:outlineLvl w:val="0"/>
    </w:pPr>
    <w:rPr>
      <w:rFonts w:ascii="Arial" w:hAnsi="Arial" w:eastAsia="Arial" w:cs="Arial"/>
      <w:sz w:val="40"/>
      <w:szCs w:val="40"/>
    </w:rPr>
  </w:style>
  <w:style w:type="character" w:styleId="655">
    <w:name w:val="Heading 1 Char"/>
    <w:link w:val="654"/>
    <w:uiPriority w:val="9"/>
    <w:rPr>
      <w:rFonts w:ascii="Arial" w:hAnsi="Arial" w:eastAsia="Arial" w:cs="Arial"/>
      <w:sz w:val="40"/>
      <w:szCs w:val="40"/>
    </w:rPr>
  </w:style>
  <w:style w:type="paragraph" w:styleId="656">
    <w:name w:val="Heading 2"/>
    <w:link w:val="657"/>
    <w:uiPriority w:val="9"/>
    <w:unhideWhenUsed/>
    <w:qFormat/>
    <w:pPr>
      <w:keepLines/>
      <w:keepNext/>
      <w:spacing w:before="360" w:after="200"/>
      <w:outlineLvl w:val="1"/>
    </w:pPr>
    <w:rPr>
      <w:rFonts w:ascii="Arial" w:hAnsi="Arial" w:eastAsia="Arial" w:cs="Arial"/>
      <w:sz w:val="34"/>
    </w:rPr>
  </w:style>
  <w:style w:type="character" w:styleId="657">
    <w:name w:val="Heading 2 Char"/>
    <w:link w:val="656"/>
    <w:uiPriority w:val="9"/>
    <w:rPr>
      <w:rFonts w:ascii="Arial" w:hAnsi="Arial" w:eastAsia="Arial" w:cs="Arial"/>
      <w:sz w:val="34"/>
    </w:rPr>
  </w:style>
  <w:style w:type="paragraph" w:styleId="658">
    <w:name w:val="Heading 3"/>
    <w:link w:val="659"/>
    <w:uiPriority w:val="9"/>
    <w:unhideWhenUsed/>
    <w:qFormat/>
    <w:pPr>
      <w:keepLines/>
      <w:keepNext/>
      <w:spacing w:before="320" w:after="200"/>
      <w:outlineLvl w:val="2"/>
    </w:pPr>
    <w:rPr>
      <w:rFonts w:ascii="Arial" w:hAnsi="Arial" w:eastAsia="Arial" w:cs="Arial"/>
      <w:sz w:val="30"/>
      <w:szCs w:val="30"/>
    </w:rPr>
  </w:style>
  <w:style w:type="character" w:styleId="659">
    <w:name w:val="Heading 3 Char"/>
    <w:link w:val="658"/>
    <w:uiPriority w:val="9"/>
    <w:rPr>
      <w:rFonts w:ascii="Arial" w:hAnsi="Arial" w:eastAsia="Arial" w:cs="Arial"/>
      <w:sz w:val="30"/>
      <w:szCs w:val="30"/>
    </w:rPr>
  </w:style>
  <w:style w:type="paragraph" w:styleId="660">
    <w:name w:val="Heading 4"/>
    <w:link w:val="661"/>
    <w:uiPriority w:val="9"/>
    <w:unhideWhenUsed/>
    <w:qFormat/>
    <w:pPr>
      <w:keepLines/>
      <w:keepNext/>
      <w:spacing w:before="320" w:after="200"/>
      <w:outlineLvl w:val="3"/>
    </w:pPr>
    <w:rPr>
      <w:rFonts w:ascii="Arial" w:hAnsi="Arial" w:eastAsia="Arial" w:cs="Arial"/>
      <w:b/>
      <w:bCs/>
      <w:sz w:val="26"/>
      <w:szCs w:val="26"/>
    </w:rPr>
  </w:style>
  <w:style w:type="character" w:styleId="661">
    <w:name w:val="Heading 4 Char"/>
    <w:link w:val="660"/>
    <w:uiPriority w:val="9"/>
    <w:rPr>
      <w:rFonts w:ascii="Arial" w:hAnsi="Arial" w:eastAsia="Arial" w:cs="Arial"/>
      <w:b/>
      <w:bCs/>
      <w:sz w:val="26"/>
      <w:szCs w:val="26"/>
    </w:rPr>
  </w:style>
  <w:style w:type="paragraph" w:styleId="662">
    <w:name w:val="Heading 5"/>
    <w:link w:val="663"/>
    <w:uiPriority w:val="9"/>
    <w:unhideWhenUsed/>
    <w:qFormat/>
    <w:pPr>
      <w:keepLines/>
      <w:keepNext/>
      <w:spacing w:before="320" w:after="200"/>
      <w:outlineLvl w:val="4"/>
    </w:pPr>
    <w:rPr>
      <w:rFonts w:ascii="Arial" w:hAnsi="Arial" w:eastAsia="Arial" w:cs="Arial"/>
      <w:b/>
      <w:bCs/>
      <w:sz w:val="24"/>
      <w:szCs w:val="24"/>
    </w:rPr>
  </w:style>
  <w:style w:type="character" w:styleId="663">
    <w:name w:val="Heading 5 Char"/>
    <w:link w:val="662"/>
    <w:uiPriority w:val="9"/>
    <w:rPr>
      <w:rFonts w:ascii="Arial" w:hAnsi="Arial" w:eastAsia="Arial" w:cs="Arial"/>
      <w:b/>
      <w:bCs/>
      <w:sz w:val="24"/>
      <w:szCs w:val="24"/>
    </w:rPr>
  </w:style>
  <w:style w:type="paragraph" w:styleId="664">
    <w:name w:val="Heading 6"/>
    <w:link w:val="665"/>
    <w:uiPriority w:val="9"/>
    <w:unhideWhenUsed/>
    <w:qFormat/>
    <w:pPr>
      <w:keepLines/>
      <w:keepNext/>
      <w:spacing w:before="320" w:after="200"/>
      <w:outlineLvl w:val="5"/>
    </w:pPr>
    <w:rPr>
      <w:rFonts w:ascii="Arial" w:hAnsi="Arial" w:eastAsia="Arial" w:cs="Arial"/>
      <w:b/>
      <w:bCs/>
      <w:sz w:val="22"/>
      <w:szCs w:val="22"/>
    </w:rPr>
  </w:style>
  <w:style w:type="character" w:styleId="665">
    <w:name w:val="Heading 6 Char"/>
    <w:link w:val="664"/>
    <w:uiPriority w:val="9"/>
    <w:rPr>
      <w:rFonts w:ascii="Arial" w:hAnsi="Arial" w:eastAsia="Arial" w:cs="Arial"/>
      <w:b/>
      <w:bCs/>
      <w:sz w:val="22"/>
      <w:szCs w:val="22"/>
    </w:rPr>
  </w:style>
  <w:style w:type="paragraph" w:styleId="666">
    <w:name w:val="Heading 7"/>
    <w:link w:val="667"/>
    <w:uiPriority w:val="9"/>
    <w:unhideWhenUsed/>
    <w:qFormat/>
    <w:pPr>
      <w:keepLines/>
      <w:keepNext/>
      <w:spacing w:before="320" w:after="200"/>
      <w:outlineLvl w:val="6"/>
    </w:pPr>
    <w:rPr>
      <w:rFonts w:ascii="Arial" w:hAnsi="Arial" w:eastAsia="Arial" w:cs="Arial"/>
      <w:b/>
      <w:bCs/>
      <w:i/>
      <w:iCs/>
      <w:sz w:val="22"/>
      <w:szCs w:val="22"/>
    </w:rPr>
  </w:style>
  <w:style w:type="character" w:styleId="667">
    <w:name w:val="Heading 7 Char"/>
    <w:link w:val="666"/>
    <w:uiPriority w:val="9"/>
    <w:rPr>
      <w:rFonts w:ascii="Arial" w:hAnsi="Arial" w:eastAsia="Arial" w:cs="Arial"/>
      <w:b/>
      <w:bCs/>
      <w:i/>
      <w:iCs/>
      <w:sz w:val="22"/>
      <w:szCs w:val="22"/>
    </w:rPr>
  </w:style>
  <w:style w:type="paragraph" w:styleId="668">
    <w:name w:val="Heading 8"/>
    <w:link w:val="669"/>
    <w:uiPriority w:val="9"/>
    <w:unhideWhenUsed/>
    <w:qFormat/>
    <w:pPr>
      <w:keepLines/>
      <w:keepNext/>
      <w:spacing w:before="320" w:after="200"/>
      <w:outlineLvl w:val="7"/>
    </w:pPr>
    <w:rPr>
      <w:rFonts w:ascii="Arial" w:hAnsi="Arial" w:eastAsia="Arial" w:cs="Arial"/>
      <w:i/>
      <w:iCs/>
      <w:sz w:val="22"/>
      <w:szCs w:val="22"/>
    </w:rPr>
  </w:style>
  <w:style w:type="character" w:styleId="669">
    <w:name w:val="Heading 8 Char"/>
    <w:link w:val="668"/>
    <w:uiPriority w:val="9"/>
    <w:rPr>
      <w:rFonts w:ascii="Arial" w:hAnsi="Arial" w:eastAsia="Arial" w:cs="Arial"/>
      <w:i/>
      <w:iCs/>
      <w:sz w:val="22"/>
      <w:szCs w:val="22"/>
    </w:rPr>
  </w:style>
  <w:style w:type="paragraph" w:styleId="670">
    <w:name w:val="Heading 9"/>
    <w:link w:val="671"/>
    <w:uiPriority w:val="9"/>
    <w:unhideWhenUsed/>
    <w:qFormat/>
    <w:pPr>
      <w:keepLines/>
      <w:keepNext/>
      <w:spacing w:before="320" w:after="200"/>
      <w:outlineLvl w:val="8"/>
    </w:pPr>
    <w:rPr>
      <w:rFonts w:ascii="Arial" w:hAnsi="Arial" w:eastAsia="Arial" w:cs="Arial"/>
      <w:i/>
      <w:iCs/>
      <w:sz w:val="21"/>
      <w:szCs w:val="21"/>
    </w:rPr>
  </w:style>
  <w:style w:type="character" w:styleId="671">
    <w:name w:val="Heading 9 Char"/>
    <w:link w:val="670"/>
    <w:uiPriority w:val="9"/>
    <w:rPr>
      <w:rFonts w:ascii="Arial" w:hAnsi="Arial" w:eastAsia="Arial" w:cs="Arial"/>
      <w:i/>
      <w:iCs/>
      <w:sz w:val="21"/>
      <w:szCs w:val="21"/>
    </w:rPr>
  </w:style>
  <w:style w:type="paragraph" w:styleId="672">
    <w:name w:val="List Paragraph"/>
    <w:uiPriority w:val="34"/>
    <w:qFormat/>
    <w:pPr>
      <w:contextualSpacing/>
      <w:ind w:left="720"/>
    </w:pPr>
  </w:style>
  <w:style w:type="paragraph" w:styleId="673">
    <w:name w:val="No Spacing"/>
    <w:uiPriority w:val="1"/>
    <w:qFormat/>
    <w:pPr>
      <w:spacing w:before="0" w:after="0" w:line="240" w:lineRule="auto"/>
    </w:pPr>
  </w:style>
  <w:style w:type="paragraph" w:styleId="674">
    <w:name w:val="Title"/>
    <w:link w:val="675"/>
    <w:uiPriority w:val="10"/>
    <w:qFormat/>
    <w:pPr>
      <w:contextualSpacing/>
      <w:spacing w:before="300" w:after="200"/>
    </w:pPr>
    <w:rPr>
      <w:sz w:val="48"/>
      <w:szCs w:val="48"/>
    </w:rPr>
  </w:style>
  <w:style w:type="character" w:styleId="675">
    <w:name w:val="Title Char"/>
    <w:link w:val="674"/>
    <w:uiPriority w:val="10"/>
    <w:rPr>
      <w:sz w:val="48"/>
      <w:szCs w:val="48"/>
    </w:rPr>
  </w:style>
  <w:style w:type="paragraph" w:styleId="676">
    <w:name w:val="Subtitle"/>
    <w:link w:val="677"/>
    <w:uiPriority w:val="11"/>
    <w:qFormat/>
    <w:pPr>
      <w:spacing w:before="200" w:after="200"/>
    </w:pPr>
    <w:rPr>
      <w:sz w:val="24"/>
      <w:szCs w:val="24"/>
    </w:rPr>
  </w:style>
  <w:style w:type="character" w:styleId="677">
    <w:name w:val="Subtitle Char"/>
    <w:link w:val="676"/>
    <w:uiPriority w:val="11"/>
    <w:rPr>
      <w:sz w:val="24"/>
      <w:szCs w:val="24"/>
    </w:rPr>
  </w:style>
  <w:style w:type="paragraph" w:styleId="678">
    <w:name w:val="Quote"/>
    <w:link w:val="679"/>
    <w:uiPriority w:val="29"/>
    <w:qFormat/>
    <w:pPr>
      <w:ind w:left="720" w:right="720"/>
    </w:pPr>
    <w:rPr>
      <w:i/>
    </w:rPr>
  </w:style>
  <w:style w:type="character" w:styleId="679">
    <w:name w:val="Quote Char"/>
    <w:link w:val="678"/>
    <w:uiPriority w:val="29"/>
    <w:rPr>
      <w:i/>
    </w:rPr>
  </w:style>
  <w:style w:type="paragraph" w:styleId="680">
    <w:name w:val="Intense Quote"/>
    <w:link w:val="68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81">
    <w:name w:val="Intense Quote Char"/>
    <w:link w:val="680"/>
    <w:uiPriority w:val="30"/>
    <w:rPr>
      <w:i/>
    </w:rPr>
  </w:style>
  <w:style w:type="paragraph" w:styleId="682">
    <w:name w:val="Header"/>
    <w:link w:val="683"/>
    <w:uiPriority w:val="99"/>
    <w:unhideWhenUsed/>
    <w:pPr>
      <w:spacing w:after="0" w:line="240" w:lineRule="auto"/>
      <w:tabs>
        <w:tab w:val="center" w:pos="7143" w:leader="none"/>
        <w:tab w:val="right" w:pos="14287" w:leader="none"/>
      </w:tabs>
    </w:pPr>
  </w:style>
  <w:style w:type="character" w:styleId="683">
    <w:name w:val="Header Char"/>
    <w:link w:val="682"/>
    <w:uiPriority w:val="99"/>
  </w:style>
  <w:style w:type="paragraph" w:styleId="684">
    <w:name w:val="Footer"/>
    <w:link w:val="687"/>
    <w:uiPriority w:val="99"/>
    <w:unhideWhenUsed/>
    <w:pPr>
      <w:spacing w:after="0" w:line="240" w:lineRule="auto"/>
      <w:tabs>
        <w:tab w:val="center" w:pos="7143" w:leader="none"/>
        <w:tab w:val="right" w:pos="14287" w:leader="none"/>
      </w:tabs>
    </w:pPr>
  </w:style>
  <w:style w:type="character" w:styleId="685">
    <w:name w:val="Footer Char"/>
    <w:link w:val="684"/>
    <w:uiPriority w:val="99"/>
  </w:style>
  <w:style w:type="paragraph" w:styleId="686">
    <w:name w:val="Caption"/>
    <w:uiPriority w:val="35"/>
    <w:semiHidden/>
    <w:unhideWhenUsed/>
    <w:qFormat/>
    <w:pPr>
      <w:spacing w:line="276" w:lineRule="auto"/>
    </w:pPr>
    <w:rPr>
      <w:b/>
      <w:bCs/>
      <w:color w:val="4f81bd" w:themeColor="accent1"/>
      <w:sz w:val="18"/>
      <w:szCs w:val="18"/>
    </w:rPr>
  </w:style>
  <w:style w:type="character" w:styleId="687">
    <w:name w:val="Caption Char"/>
    <w:basedOn w:val="686"/>
    <w:link w:val="684"/>
    <w:uiPriority w:val="99"/>
  </w:style>
  <w:style w:type="table" w:styleId="68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8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9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9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0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0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0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0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0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0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0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2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2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2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2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2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2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2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2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2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3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3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3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3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3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4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4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4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4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4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4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4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5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5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5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5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5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5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5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6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6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6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6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6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6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6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7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7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7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8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8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8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8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8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8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8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8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8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9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9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9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9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1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1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1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1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14">
    <w:name w:val="Hyperlink"/>
    <w:uiPriority w:val="99"/>
    <w:unhideWhenUsed/>
    <w:rPr>
      <w:color w:val="0000ff" w:themeColor="hyperlink"/>
      <w:u w:val="single"/>
    </w:rPr>
  </w:style>
  <w:style w:type="paragraph" w:styleId="815">
    <w:name w:val="footnote text"/>
    <w:link w:val="816"/>
    <w:uiPriority w:val="99"/>
    <w:semiHidden/>
    <w:unhideWhenUsed/>
    <w:pPr>
      <w:spacing w:after="40" w:line="240" w:lineRule="auto"/>
    </w:pPr>
    <w:rPr>
      <w:sz w:val="18"/>
    </w:rPr>
  </w:style>
  <w:style w:type="character" w:styleId="816">
    <w:name w:val="Footnote Text Char"/>
    <w:link w:val="815"/>
    <w:uiPriority w:val="99"/>
    <w:rPr>
      <w:sz w:val="18"/>
    </w:rPr>
  </w:style>
  <w:style w:type="character" w:styleId="817">
    <w:name w:val="footnote reference"/>
    <w:uiPriority w:val="99"/>
    <w:unhideWhenUsed/>
    <w:rPr>
      <w:vertAlign w:val="superscript"/>
    </w:rPr>
  </w:style>
  <w:style w:type="paragraph" w:styleId="818">
    <w:name w:val="endnote text"/>
    <w:link w:val="819"/>
    <w:uiPriority w:val="99"/>
    <w:semiHidden/>
    <w:unhideWhenUsed/>
    <w:pPr>
      <w:spacing w:after="0" w:line="240" w:lineRule="auto"/>
    </w:pPr>
    <w:rPr>
      <w:sz w:val="20"/>
    </w:rPr>
  </w:style>
  <w:style w:type="character" w:styleId="819">
    <w:name w:val="Endnote Text Char"/>
    <w:link w:val="818"/>
    <w:uiPriority w:val="99"/>
    <w:rPr>
      <w:sz w:val="20"/>
    </w:rPr>
  </w:style>
  <w:style w:type="character" w:styleId="820">
    <w:name w:val="endnote reference"/>
    <w:uiPriority w:val="99"/>
    <w:semiHidden/>
    <w:unhideWhenUsed/>
    <w:rPr>
      <w:vertAlign w:val="superscript"/>
    </w:rPr>
  </w:style>
  <w:style w:type="paragraph" w:styleId="821">
    <w:name w:val="toc 1"/>
    <w:uiPriority w:val="39"/>
    <w:unhideWhenUsed/>
    <w:pPr>
      <w:ind w:left="0" w:right="0" w:firstLine="0"/>
      <w:spacing w:after="57"/>
    </w:pPr>
  </w:style>
  <w:style w:type="paragraph" w:styleId="822">
    <w:name w:val="toc 2"/>
    <w:uiPriority w:val="39"/>
    <w:unhideWhenUsed/>
    <w:pPr>
      <w:ind w:left="283" w:right="0" w:firstLine="0"/>
      <w:spacing w:after="57"/>
    </w:pPr>
  </w:style>
  <w:style w:type="paragraph" w:styleId="823">
    <w:name w:val="toc 3"/>
    <w:uiPriority w:val="39"/>
    <w:unhideWhenUsed/>
    <w:pPr>
      <w:ind w:left="567" w:right="0" w:firstLine="0"/>
      <w:spacing w:after="57"/>
    </w:pPr>
  </w:style>
  <w:style w:type="paragraph" w:styleId="824">
    <w:name w:val="toc 4"/>
    <w:uiPriority w:val="39"/>
    <w:unhideWhenUsed/>
    <w:pPr>
      <w:ind w:left="850" w:right="0" w:firstLine="0"/>
      <w:spacing w:after="57"/>
    </w:pPr>
  </w:style>
  <w:style w:type="paragraph" w:styleId="825">
    <w:name w:val="toc 5"/>
    <w:uiPriority w:val="39"/>
    <w:unhideWhenUsed/>
    <w:pPr>
      <w:ind w:left="1134" w:right="0" w:firstLine="0"/>
      <w:spacing w:after="57"/>
    </w:pPr>
  </w:style>
  <w:style w:type="paragraph" w:styleId="826">
    <w:name w:val="toc 6"/>
    <w:uiPriority w:val="39"/>
    <w:unhideWhenUsed/>
    <w:pPr>
      <w:ind w:left="1417" w:right="0" w:firstLine="0"/>
      <w:spacing w:after="57"/>
    </w:pPr>
  </w:style>
  <w:style w:type="paragraph" w:styleId="827">
    <w:name w:val="toc 7"/>
    <w:uiPriority w:val="39"/>
    <w:unhideWhenUsed/>
    <w:pPr>
      <w:ind w:left="1701" w:right="0" w:firstLine="0"/>
      <w:spacing w:after="57"/>
    </w:pPr>
  </w:style>
  <w:style w:type="paragraph" w:styleId="828">
    <w:name w:val="toc 8"/>
    <w:uiPriority w:val="39"/>
    <w:unhideWhenUsed/>
    <w:pPr>
      <w:ind w:left="1984" w:right="0" w:firstLine="0"/>
      <w:spacing w:after="57"/>
    </w:pPr>
  </w:style>
  <w:style w:type="paragraph" w:styleId="829">
    <w:name w:val="toc 9"/>
    <w:uiPriority w:val="39"/>
    <w:unhideWhenUsed/>
    <w:pPr>
      <w:ind w:left="2268" w:right="0" w:firstLine="0"/>
      <w:spacing w:after="57"/>
    </w:pPr>
  </w:style>
  <w:style w:type="paragraph" w:styleId="830">
    <w:name w:val="TOC Heading"/>
    <w:uiPriority w:val="39"/>
    <w:unhideWhenUsed/>
  </w:style>
  <w:style w:type="paragraph" w:styleId="831">
    <w:name w:val="table of figures"/>
    <w:uiPriority w:val="99"/>
    <w:unhideWhenUsed/>
    <w:pPr>
      <w:spacing w:after="0" w:afterAutospacing="0"/>
    </w:pPr>
  </w:style>
  <w:style w:type="character" w:styleId="832" w:default="1">
    <w:name w:val="Default Paragraph Font"/>
    <w:uiPriority w:val="1"/>
    <w:semiHidden/>
    <w:unhideWhenUsed/>
  </w:style>
  <w:style w:type="numbering" w:styleId="833" w:default="1">
    <w:name w:val="No List"/>
    <w:uiPriority w:val="99"/>
    <w:semiHidden/>
    <w:unhideWhenUsed/>
  </w:style>
  <w:style w:type="paragraph" w:styleId="834" w:default="1">
    <w:name w:val="Normal"/>
    <w:qFormat/>
  </w:style>
  <w:style w:type="table" w:styleId="83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高权</cp:lastModifiedBy>
  <cp:revision>2</cp:revision>
  <dcterms:created xsi:type="dcterms:W3CDTF">2024-07-25T03:29:16Z</dcterms:created>
  <dcterms:modified xsi:type="dcterms:W3CDTF">2024-07-25T03:36:56Z</dcterms:modified>
</cp:coreProperties>
</file>